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77ED9" w14:textId="4B52DB3F" w:rsidR="4189C6E7" w:rsidRPr="00A56CF4" w:rsidRDefault="0051722C" w:rsidP="32C11173">
      <w:pPr>
        <w:spacing w:before="120" w:after="120"/>
        <w:jc w:val="center"/>
        <w:rPr>
          <w:b/>
          <w:bCs/>
          <w:color w:val="000000" w:themeColor="text1"/>
        </w:rPr>
      </w:pPr>
      <w:r>
        <w:rPr>
          <w:noProof/>
        </w:rPr>
        <w:drawing>
          <wp:inline distT="0" distB="0" distL="0" distR="0" wp14:anchorId="7F8136D7" wp14:editId="1DC94016">
            <wp:extent cx="1322705" cy="1188720"/>
            <wp:effectExtent l="0" t="0" r="0" b="0"/>
            <wp:docPr id="120288560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Lst>
                    </a:blip>
                    <a:stretch>
                      <a:fillRect/>
                    </a:stretch>
                  </pic:blipFill>
                  <pic:spPr>
                    <a:xfrm>
                      <a:off x="0" y="0"/>
                      <a:ext cx="1322705" cy="1188720"/>
                    </a:xfrm>
                    <a:prstGeom prst="rect">
                      <a:avLst/>
                    </a:prstGeom>
                  </pic:spPr>
                </pic:pic>
              </a:graphicData>
            </a:graphic>
          </wp:inline>
        </w:drawing>
      </w:r>
    </w:p>
    <w:p w14:paraId="51A05F1B" w14:textId="77777777" w:rsidR="00271B59" w:rsidRPr="00A56CF4" w:rsidRDefault="003817CD" w:rsidP="00A56CF4">
      <w:pPr>
        <w:autoSpaceDE w:val="0"/>
        <w:autoSpaceDN w:val="0"/>
        <w:adjustRightInd w:val="0"/>
        <w:spacing w:before="120" w:after="120"/>
        <w:jc w:val="center"/>
        <w:rPr>
          <w:rFonts w:ascii="Book Antiqua" w:eastAsia="Book Antiqua" w:hAnsi="Book Antiqua" w:cs="Book Antiqua"/>
          <w:b/>
          <w:color w:val="000000" w:themeColor="text1"/>
          <w:sz w:val="44"/>
          <w:szCs w:val="44"/>
        </w:rPr>
      </w:pPr>
      <w:r w:rsidRPr="4EB32E86">
        <w:rPr>
          <w:rFonts w:ascii="Book Antiqua" w:eastAsia="Book Antiqua" w:hAnsi="Book Antiqua" w:cs="Book Antiqua"/>
          <w:b/>
          <w:color w:val="000000" w:themeColor="text1"/>
          <w:sz w:val="44"/>
          <w:szCs w:val="44"/>
        </w:rPr>
        <w:t>Supreme C</w:t>
      </w:r>
      <w:r w:rsidR="00271B59" w:rsidRPr="4EB32E86">
        <w:rPr>
          <w:rFonts w:ascii="Book Antiqua" w:eastAsia="Book Antiqua" w:hAnsi="Book Antiqua" w:cs="Book Antiqua"/>
          <w:b/>
          <w:color w:val="000000" w:themeColor="text1"/>
          <w:sz w:val="44"/>
          <w:szCs w:val="44"/>
        </w:rPr>
        <w:t>ourt of Victoria</w:t>
      </w:r>
    </w:p>
    <w:p w14:paraId="106D771D" w14:textId="77777777" w:rsidR="00271B59" w:rsidRPr="00A56CF4" w:rsidRDefault="00271B59" w:rsidP="00A56CF4">
      <w:pPr>
        <w:autoSpaceDE w:val="0"/>
        <w:autoSpaceDN w:val="0"/>
        <w:adjustRightInd w:val="0"/>
        <w:spacing w:before="120" w:after="120"/>
        <w:jc w:val="center"/>
        <w:rPr>
          <w:rFonts w:ascii="Book Antiqua" w:eastAsia="Book Antiqua" w:hAnsi="Book Antiqua" w:cs="Book Antiqua"/>
          <w:b/>
          <w:color w:val="000000" w:themeColor="text1"/>
          <w:sz w:val="28"/>
          <w:szCs w:val="28"/>
        </w:rPr>
      </w:pPr>
      <w:r w:rsidRPr="4EB32E86">
        <w:rPr>
          <w:rFonts w:ascii="Book Antiqua" w:eastAsia="Book Antiqua" w:hAnsi="Book Antiqua" w:cs="Book Antiqua"/>
          <w:b/>
          <w:color w:val="000000" w:themeColor="text1"/>
          <w:sz w:val="28"/>
          <w:szCs w:val="28"/>
        </w:rPr>
        <w:t xml:space="preserve">Practice Note </w:t>
      </w:r>
      <w:r w:rsidR="003817CD" w:rsidRPr="4EB32E86">
        <w:rPr>
          <w:rFonts w:ascii="Book Antiqua" w:eastAsia="Book Antiqua" w:hAnsi="Book Antiqua" w:cs="Book Antiqua"/>
          <w:b/>
          <w:color w:val="000000" w:themeColor="text1"/>
          <w:sz w:val="28"/>
          <w:szCs w:val="28"/>
        </w:rPr>
        <w:t xml:space="preserve">SC </w:t>
      </w:r>
      <w:r w:rsidR="000117C7" w:rsidRPr="4EB32E86">
        <w:rPr>
          <w:rFonts w:ascii="Book Antiqua" w:eastAsia="Book Antiqua" w:hAnsi="Book Antiqua" w:cs="Book Antiqua"/>
          <w:b/>
          <w:color w:val="000000" w:themeColor="text1"/>
          <w:sz w:val="28"/>
          <w:szCs w:val="28"/>
        </w:rPr>
        <w:t xml:space="preserve">CL </w:t>
      </w:r>
      <w:r w:rsidR="009809E5" w:rsidRPr="4EB32E86">
        <w:rPr>
          <w:rFonts w:ascii="Book Antiqua" w:eastAsia="Book Antiqua" w:hAnsi="Book Antiqua" w:cs="Book Antiqua"/>
          <w:b/>
          <w:color w:val="000000" w:themeColor="text1"/>
          <w:sz w:val="28"/>
          <w:szCs w:val="28"/>
        </w:rPr>
        <w:t>5</w:t>
      </w:r>
    </w:p>
    <w:p w14:paraId="527F4104" w14:textId="77777777" w:rsidR="00271B59" w:rsidRPr="00A56CF4" w:rsidRDefault="009809E5" w:rsidP="00A56CF4">
      <w:pPr>
        <w:autoSpaceDE w:val="0"/>
        <w:autoSpaceDN w:val="0"/>
        <w:adjustRightInd w:val="0"/>
        <w:spacing w:before="120" w:after="120"/>
        <w:jc w:val="center"/>
        <w:rPr>
          <w:rFonts w:ascii="Book Antiqua" w:eastAsia="Book Antiqua" w:hAnsi="Book Antiqua" w:cs="Book Antiqua"/>
          <w:b/>
          <w:color w:val="000000" w:themeColor="text1"/>
          <w:sz w:val="28"/>
          <w:szCs w:val="28"/>
        </w:rPr>
      </w:pPr>
      <w:r w:rsidRPr="4EB32E86">
        <w:rPr>
          <w:rFonts w:ascii="Book Antiqua" w:eastAsia="Book Antiqua" w:hAnsi="Book Antiqua" w:cs="Book Antiqua"/>
          <w:b/>
          <w:color w:val="000000" w:themeColor="text1"/>
          <w:sz w:val="28"/>
          <w:szCs w:val="28"/>
        </w:rPr>
        <w:t xml:space="preserve">Professional Liability </w:t>
      </w:r>
      <w:r w:rsidR="000117C7" w:rsidRPr="4EB32E86">
        <w:rPr>
          <w:rFonts w:ascii="Book Antiqua" w:eastAsia="Book Antiqua" w:hAnsi="Book Antiqua" w:cs="Book Antiqua"/>
          <w:b/>
          <w:color w:val="000000" w:themeColor="text1"/>
          <w:sz w:val="28"/>
          <w:szCs w:val="28"/>
        </w:rPr>
        <w:t>List</w:t>
      </w:r>
    </w:p>
    <w:p w14:paraId="76EE1A1B" w14:textId="77777777" w:rsidR="00CD0331" w:rsidRPr="005A7E3F" w:rsidRDefault="00CD0331" w:rsidP="00CD0331">
      <w:pPr>
        <w:autoSpaceDE w:val="0"/>
        <w:autoSpaceDN w:val="0"/>
        <w:adjustRightInd w:val="0"/>
        <w:spacing w:before="120" w:after="120"/>
        <w:jc w:val="center"/>
        <w:rPr>
          <w:rFonts w:ascii="Book Antiqua" w:hAnsi="Book Antiqua"/>
          <w:b/>
          <w:color w:val="000000"/>
        </w:rPr>
      </w:pPr>
    </w:p>
    <w:p w14:paraId="276C6DFA" w14:textId="77777777" w:rsidR="00A50A22" w:rsidRPr="00AE3513" w:rsidRDefault="00A50A22" w:rsidP="00AE3513">
      <w:pPr>
        <w:pStyle w:val="ListParagraph"/>
        <w:keepNext/>
        <w:numPr>
          <w:ilvl w:val="0"/>
          <w:numId w:val="2"/>
        </w:numPr>
        <w:autoSpaceDE w:val="0"/>
        <w:autoSpaceDN w:val="0"/>
        <w:adjustRightInd w:val="0"/>
        <w:spacing w:before="120" w:after="120"/>
        <w:contextualSpacing w:val="0"/>
        <w:jc w:val="both"/>
        <w:rPr>
          <w:rFonts w:ascii="Book Antiqua" w:eastAsia="Book Antiqua" w:hAnsi="Book Antiqua" w:cs="Book Antiqua"/>
          <w:b/>
          <w:color w:val="000000" w:themeColor="text1"/>
          <w:sz w:val="24"/>
          <w:szCs w:val="24"/>
        </w:rPr>
      </w:pPr>
      <w:r w:rsidRPr="00AE3513">
        <w:rPr>
          <w:rFonts w:ascii="Book Antiqua" w:eastAsia="Book Antiqua" w:hAnsi="Book Antiqua" w:cs="Book Antiqua"/>
          <w:b/>
          <w:bCs/>
          <w:sz w:val="24"/>
          <w:szCs w:val="24"/>
        </w:rPr>
        <w:t>INTRODUCTION</w:t>
      </w:r>
    </w:p>
    <w:p w14:paraId="05C3E684" w14:textId="77777777" w:rsidR="00A50A22" w:rsidRPr="00AE3513" w:rsidRDefault="00A50A22" w:rsidP="00AE3513">
      <w:pPr>
        <w:pStyle w:val="ListParagraph"/>
        <w:numPr>
          <w:ilvl w:val="1"/>
          <w:numId w:val="2"/>
        </w:numPr>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The Chief Justice has authorised the issue of the following Practice Note.</w:t>
      </w:r>
    </w:p>
    <w:p w14:paraId="476F0F7F" w14:textId="77777777" w:rsidR="00A50A22" w:rsidRPr="00AE3513" w:rsidRDefault="00A50A22" w:rsidP="00AE3513">
      <w:pPr>
        <w:pStyle w:val="ListParagraph"/>
        <w:numPr>
          <w:ilvl w:val="1"/>
          <w:numId w:val="2"/>
        </w:numPr>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The purpose of this Practice Note is to describe the procedures to be followed in</w:t>
      </w:r>
      <w:r w:rsidR="00641C0A" w:rsidRPr="00AE3513">
        <w:rPr>
          <w:rFonts w:ascii="Book Antiqua" w:eastAsia="Book Antiqua" w:hAnsi="Book Antiqua" w:cs="Book Antiqua"/>
          <w:sz w:val="24"/>
          <w:szCs w:val="24"/>
        </w:rPr>
        <w:t xml:space="preserve"> the</w:t>
      </w:r>
      <w:r w:rsidRPr="00AE3513">
        <w:rPr>
          <w:rFonts w:ascii="Book Antiqua" w:eastAsia="Book Antiqua" w:hAnsi="Book Antiqua" w:cs="Book Antiqua"/>
          <w:sz w:val="24"/>
          <w:szCs w:val="24"/>
        </w:rPr>
        <w:t xml:space="preserve"> </w:t>
      </w:r>
      <w:r w:rsidR="00807D47" w:rsidRPr="00AE3513">
        <w:rPr>
          <w:rFonts w:ascii="Book Antiqua" w:eastAsia="Book Antiqua" w:hAnsi="Book Antiqua" w:cs="Book Antiqua"/>
          <w:sz w:val="24"/>
          <w:szCs w:val="24"/>
        </w:rPr>
        <w:t>Professional Liability</w:t>
      </w:r>
      <w:r w:rsidR="0095180B" w:rsidRPr="00AE3513">
        <w:rPr>
          <w:rFonts w:ascii="Book Antiqua" w:eastAsia="Book Antiqua" w:hAnsi="Book Antiqua" w:cs="Book Antiqua"/>
          <w:sz w:val="24"/>
          <w:szCs w:val="24"/>
        </w:rPr>
        <w:t xml:space="preserve"> </w:t>
      </w:r>
      <w:r w:rsidRPr="00AE3513">
        <w:rPr>
          <w:rFonts w:ascii="Book Antiqua" w:eastAsia="Book Antiqua" w:hAnsi="Book Antiqua" w:cs="Book Antiqua"/>
          <w:sz w:val="24"/>
          <w:szCs w:val="24"/>
        </w:rPr>
        <w:t xml:space="preserve">List. </w:t>
      </w:r>
      <w:r w:rsidR="00465282" w:rsidRPr="00AE3513">
        <w:rPr>
          <w:rFonts w:ascii="Book Antiqua" w:eastAsia="Book Antiqua" w:hAnsi="Book Antiqua" w:cs="Book Antiqua"/>
          <w:sz w:val="24"/>
          <w:szCs w:val="24"/>
        </w:rPr>
        <w:t xml:space="preserve"> </w:t>
      </w:r>
      <w:r w:rsidRPr="00AE3513">
        <w:rPr>
          <w:rFonts w:ascii="Book Antiqua" w:eastAsia="Book Antiqua" w:hAnsi="Book Antiqua" w:cs="Book Antiqua"/>
          <w:sz w:val="24"/>
          <w:szCs w:val="24"/>
        </w:rPr>
        <w:t>The List is a case management list within the Common Law Division of the Court.</w:t>
      </w:r>
    </w:p>
    <w:p w14:paraId="0AB26829" w14:textId="77777777" w:rsidR="00A50A22" w:rsidRPr="00AE3513" w:rsidRDefault="00730BC6" w:rsidP="00AE3513">
      <w:pPr>
        <w:pStyle w:val="ListParagraph"/>
        <w:numPr>
          <w:ilvl w:val="1"/>
          <w:numId w:val="2"/>
        </w:numPr>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The purpose of the List is to provide for the just and efficient determination of eligible proceedings, through early identification of the substantial questions in controversy and flexible adoption of appropriate procedures</w:t>
      </w:r>
      <w:r w:rsidR="00A50A22" w:rsidRPr="00AE3513">
        <w:rPr>
          <w:rFonts w:ascii="Book Antiqua" w:eastAsia="Book Antiqua" w:hAnsi="Book Antiqua" w:cs="Book Antiqua"/>
          <w:sz w:val="24"/>
          <w:szCs w:val="24"/>
        </w:rPr>
        <w:t>.</w:t>
      </w:r>
    </w:p>
    <w:p w14:paraId="7952AB62" w14:textId="77777777" w:rsidR="00A50A22" w:rsidRPr="00AE3513" w:rsidRDefault="00A50A22" w:rsidP="00AE3513">
      <w:pPr>
        <w:spacing w:before="120" w:after="120"/>
        <w:ind w:left="720" w:hanging="720"/>
        <w:jc w:val="both"/>
        <w:rPr>
          <w:rFonts w:ascii="Book Antiqua" w:hAnsi="Book Antiqua"/>
        </w:rPr>
      </w:pPr>
    </w:p>
    <w:p w14:paraId="7385BB2B" w14:textId="77777777" w:rsidR="00A50A22" w:rsidRPr="00747764" w:rsidRDefault="00A50A22" w:rsidP="00AE3513">
      <w:pPr>
        <w:pStyle w:val="ListParagraph"/>
        <w:keepNext/>
        <w:numPr>
          <w:ilvl w:val="0"/>
          <w:numId w:val="2"/>
        </w:numPr>
        <w:autoSpaceDE w:val="0"/>
        <w:autoSpaceDN w:val="0"/>
        <w:adjustRightInd w:val="0"/>
        <w:spacing w:before="120" w:after="120"/>
        <w:contextualSpacing w:val="0"/>
        <w:jc w:val="both"/>
        <w:rPr>
          <w:rFonts w:ascii="Book Antiqua" w:eastAsia="Book Antiqua" w:hAnsi="Book Antiqua" w:cs="Book Antiqua"/>
          <w:b/>
          <w:sz w:val="24"/>
          <w:szCs w:val="24"/>
        </w:rPr>
      </w:pPr>
      <w:r w:rsidRPr="00747764">
        <w:rPr>
          <w:rFonts w:ascii="Book Antiqua" w:eastAsia="Book Antiqua" w:hAnsi="Book Antiqua" w:cs="Book Antiqua"/>
          <w:b/>
          <w:bCs/>
          <w:sz w:val="24"/>
          <w:szCs w:val="24"/>
        </w:rPr>
        <w:t>DEFINITIONS</w:t>
      </w:r>
    </w:p>
    <w:p w14:paraId="6C6A6877" w14:textId="77777777" w:rsidR="00A50A22" w:rsidRPr="00AE3513" w:rsidRDefault="00A50A22" w:rsidP="00AE3513">
      <w:pPr>
        <w:pStyle w:val="ListParagraph"/>
        <w:numPr>
          <w:ilvl w:val="1"/>
          <w:numId w:val="2"/>
        </w:numPr>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In this Practice Note:</w:t>
      </w:r>
    </w:p>
    <w:p w14:paraId="4B546A56" w14:textId="77777777" w:rsidR="00807D47" w:rsidRPr="00AE3513" w:rsidRDefault="00807D47" w:rsidP="00AE3513">
      <w:pPr>
        <w:pStyle w:val="ListParagraph"/>
        <w:spacing w:before="120" w:after="120"/>
        <w:contextualSpacing w:val="0"/>
        <w:jc w:val="both"/>
        <w:rPr>
          <w:rFonts w:ascii="Book Antiqua" w:eastAsia="Book Antiqua" w:hAnsi="Book Antiqua" w:cs="Book Antiqua"/>
          <w:b/>
          <w:bCs/>
          <w:i/>
          <w:iCs/>
          <w:sz w:val="24"/>
          <w:szCs w:val="24"/>
        </w:rPr>
      </w:pPr>
      <w:r w:rsidRPr="00AE3513">
        <w:rPr>
          <w:rFonts w:ascii="Book Antiqua" w:eastAsia="Book Antiqua" w:hAnsi="Book Antiqua" w:cs="Book Antiqua"/>
          <w:b/>
          <w:bCs/>
          <w:i/>
          <w:iCs/>
          <w:sz w:val="24"/>
          <w:szCs w:val="24"/>
        </w:rPr>
        <w:t xml:space="preserve">Associate Judge </w:t>
      </w:r>
      <w:r w:rsidR="00465282" w:rsidRPr="00AE3513">
        <w:rPr>
          <w:rFonts w:ascii="Book Antiqua" w:eastAsia="Book Antiqua" w:hAnsi="Book Antiqua" w:cs="Book Antiqua"/>
          <w:sz w:val="24"/>
          <w:szCs w:val="24"/>
        </w:rPr>
        <w:t>means the Associate J</w:t>
      </w:r>
      <w:r w:rsidRPr="00AE3513">
        <w:rPr>
          <w:rFonts w:ascii="Book Antiqua" w:eastAsia="Book Antiqua" w:hAnsi="Book Antiqua" w:cs="Book Antiqua"/>
          <w:sz w:val="24"/>
          <w:szCs w:val="24"/>
        </w:rPr>
        <w:t>udge assisting in the management of the List;</w:t>
      </w:r>
    </w:p>
    <w:p w14:paraId="0080362B" w14:textId="77777777" w:rsidR="00956EC0" w:rsidRPr="00AE3513" w:rsidRDefault="00956EC0" w:rsidP="00AE3513">
      <w:pPr>
        <w:pStyle w:val="ListParagraph"/>
        <w:spacing w:before="120" w:after="120"/>
        <w:ind w:left="1440" w:hanging="720"/>
        <w:contextualSpacing w:val="0"/>
        <w:jc w:val="both"/>
        <w:rPr>
          <w:rFonts w:ascii="Book Antiqua" w:eastAsia="Book Antiqua" w:hAnsi="Book Antiqua" w:cs="Book Antiqua"/>
          <w:sz w:val="24"/>
          <w:szCs w:val="24"/>
        </w:rPr>
      </w:pPr>
      <w:r w:rsidRPr="00AE3513">
        <w:rPr>
          <w:rFonts w:ascii="Book Antiqua" w:eastAsia="Book Antiqua" w:hAnsi="Book Antiqua" w:cs="Book Antiqua"/>
          <w:b/>
          <w:bCs/>
          <w:i/>
          <w:iCs/>
          <w:sz w:val="24"/>
          <w:szCs w:val="24"/>
        </w:rPr>
        <w:t>Judge</w:t>
      </w:r>
      <w:r w:rsidRPr="00AE3513">
        <w:rPr>
          <w:rFonts w:ascii="Book Antiqua" w:eastAsia="Book Antiqua" w:hAnsi="Book Antiqua" w:cs="Book Antiqua"/>
          <w:sz w:val="24"/>
          <w:szCs w:val="24"/>
        </w:rPr>
        <w:t xml:space="preserve"> means the Judge in Charge of the List;</w:t>
      </w:r>
    </w:p>
    <w:p w14:paraId="51AAC9B1" w14:textId="77777777" w:rsidR="004625E2" w:rsidRPr="00AE3513" w:rsidRDefault="004625E2" w:rsidP="00AE3513">
      <w:pPr>
        <w:pStyle w:val="ListParagraph"/>
        <w:spacing w:before="120" w:after="120"/>
        <w:contextualSpacing w:val="0"/>
        <w:jc w:val="both"/>
        <w:rPr>
          <w:rFonts w:ascii="Book Antiqua" w:eastAsia="Book Antiqua" w:hAnsi="Book Antiqua" w:cs="Book Antiqua"/>
          <w:b/>
          <w:bCs/>
          <w:i/>
          <w:iCs/>
          <w:sz w:val="24"/>
          <w:szCs w:val="24"/>
        </w:rPr>
      </w:pPr>
      <w:r w:rsidRPr="00AE3513">
        <w:rPr>
          <w:rFonts w:ascii="Book Antiqua" w:eastAsia="Book Antiqua" w:hAnsi="Book Antiqua" w:cs="Book Antiqua"/>
          <w:b/>
          <w:bCs/>
          <w:i/>
          <w:iCs/>
          <w:sz w:val="24"/>
          <w:szCs w:val="24"/>
        </w:rPr>
        <w:t xml:space="preserve">Judicial Registrar </w:t>
      </w:r>
      <w:r w:rsidRPr="00AE3513">
        <w:rPr>
          <w:rFonts w:ascii="Book Antiqua" w:eastAsia="Book Antiqua" w:hAnsi="Book Antiqua" w:cs="Book Antiqua"/>
          <w:sz w:val="24"/>
          <w:szCs w:val="24"/>
        </w:rPr>
        <w:t>means the Judicial Registrar assisting in the management of the List;</w:t>
      </w:r>
    </w:p>
    <w:p w14:paraId="20085C60" w14:textId="77777777" w:rsidR="00A50A22" w:rsidRPr="00AE3513" w:rsidRDefault="00A50A22" w:rsidP="00AE3513">
      <w:pPr>
        <w:pStyle w:val="ListParagraph"/>
        <w:spacing w:before="120" w:after="120"/>
        <w:ind w:left="1440" w:hanging="720"/>
        <w:contextualSpacing w:val="0"/>
        <w:jc w:val="both"/>
        <w:rPr>
          <w:rFonts w:ascii="Book Antiqua" w:eastAsia="Book Antiqua" w:hAnsi="Book Antiqua" w:cs="Book Antiqua"/>
          <w:sz w:val="24"/>
          <w:szCs w:val="24"/>
        </w:rPr>
      </w:pPr>
      <w:r w:rsidRPr="00AE3513">
        <w:rPr>
          <w:rFonts w:ascii="Book Antiqua" w:eastAsia="Book Antiqua" w:hAnsi="Book Antiqua" w:cs="Book Antiqua"/>
          <w:b/>
          <w:bCs/>
          <w:i/>
          <w:iCs/>
          <w:sz w:val="24"/>
          <w:szCs w:val="24"/>
        </w:rPr>
        <w:t>List</w:t>
      </w:r>
      <w:r w:rsidRPr="00AE3513">
        <w:rPr>
          <w:rFonts w:ascii="Book Antiqua" w:eastAsia="Book Antiqua" w:hAnsi="Book Antiqua" w:cs="Book Antiqua"/>
          <w:sz w:val="24"/>
          <w:szCs w:val="24"/>
        </w:rPr>
        <w:t xml:space="preserve"> means the </w:t>
      </w:r>
      <w:r w:rsidR="00807D47" w:rsidRPr="00AE3513">
        <w:rPr>
          <w:rFonts w:ascii="Book Antiqua" w:eastAsia="Book Antiqua" w:hAnsi="Book Antiqua" w:cs="Book Antiqua"/>
          <w:sz w:val="24"/>
          <w:szCs w:val="24"/>
        </w:rPr>
        <w:t>Professional Liability</w:t>
      </w:r>
      <w:r w:rsidR="00541F76" w:rsidRPr="00AE3513">
        <w:rPr>
          <w:rFonts w:ascii="Book Antiqua" w:eastAsia="Book Antiqua" w:hAnsi="Book Antiqua" w:cs="Book Antiqua"/>
          <w:sz w:val="24"/>
          <w:szCs w:val="24"/>
        </w:rPr>
        <w:t xml:space="preserve"> </w:t>
      </w:r>
      <w:r w:rsidR="00850F93" w:rsidRPr="00AE3513">
        <w:rPr>
          <w:rFonts w:ascii="Book Antiqua" w:eastAsia="Book Antiqua" w:hAnsi="Book Antiqua" w:cs="Book Antiqua"/>
          <w:sz w:val="24"/>
          <w:szCs w:val="24"/>
        </w:rPr>
        <w:t>List</w:t>
      </w:r>
      <w:r w:rsidRPr="00AE3513">
        <w:rPr>
          <w:rFonts w:ascii="Book Antiqua" w:eastAsia="Book Antiqua" w:hAnsi="Book Antiqua" w:cs="Book Antiqua"/>
          <w:sz w:val="24"/>
          <w:szCs w:val="24"/>
        </w:rPr>
        <w:t>;</w:t>
      </w:r>
    </w:p>
    <w:p w14:paraId="7BCCA257" w14:textId="3B19B718" w:rsidR="004625E2" w:rsidRPr="00AE3513" w:rsidRDefault="004625E2" w:rsidP="00AE3513">
      <w:pPr>
        <w:pStyle w:val="ListParagraph"/>
        <w:spacing w:before="120" w:after="120"/>
        <w:contextualSpacing w:val="0"/>
        <w:jc w:val="both"/>
        <w:rPr>
          <w:rFonts w:ascii="Book Antiqua" w:eastAsia="Book Antiqua" w:hAnsi="Book Antiqua" w:cs="Book Antiqua"/>
          <w:b/>
          <w:bCs/>
          <w:i/>
          <w:iCs/>
          <w:sz w:val="24"/>
          <w:szCs w:val="24"/>
        </w:rPr>
      </w:pPr>
      <w:r w:rsidRPr="00AE3513">
        <w:rPr>
          <w:rFonts w:ascii="Book Antiqua" w:eastAsia="Book Antiqua" w:hAnsi="Book Antiqua" w:cs="Book Antiqua"/>
          <w:b/>
          <w:bCs/>
          <w:i/>
          <w:iCs/>
          <w:sz w:val="24"/>
          <w:szCs w:val="24"/>
        </w:rPr>
        <w:t xml:space="preserve">List </w:t>
      </w:r>
      <w:r w:rsidR="007220CE" w:rsidRPr="00AE3513">
        <w:rPr>
          <w:rFonts w:ascii="Book Antiqua" w:eastAsia="Book Antiqua" w:hAnsi="Book Antiqua" w:cs="Book Antiqua"/>
          <w:b/>
          <w:bCs/>
          <w:i/>
          <w:iCs/>
          <w:sz w:val="24"/>
          <w:szCs w:val="24"/>
        </w:rPr>
        <w:t>C</w:t>
      </w:r>
      <w:r w:rsidRPr="00AE3513">
        <w:rPr>
          <w:rFonts w:ascii="Book Antiqua" w:eastAsia="Book Antiqua" w:hAnsi="Book Antiqua" w:cs="Book Antiqua"/>
          <w:b/>
          <w:bCs/>
          <w:i/>
          <w:iCs/>
          <w:sz w:val="24"/>
          <w:szCs w:val="24"/>
        </w:rPr>
        <w:t xml:space="preserve">oordinator </w:t>
      </w:r>
      <w:r w:rsidRPr="00AE3513">
        <w:rPr>
          <w:rFonts w:ascii="Book Antiqua" w:eastAsia="Book Antiqua" w:hAnsi="Book Antiqua" w:cs="Book Antiqua"/>
          <w:sz w:val="24"/>
          <w:szCs w:val="24"/>
        </w:rPr>
        <w:t>means the Court officer assigned to support the judicial officers</w:t>
      </w:r>
      <w:r w:rsidR="00DC2067" w:rsidRPr="00AE3513">
        <w:rPr>
          <w:rFonts w:ascii="Book Antiqua" w:eastAsia="Book Antiqua" w:hAnsi="Book Antiqua" w:cs="Book Antiqua"/>
          <w:sz w:val="24"/>
          <w:szCs w:val="24"/>
        </w:rPr>
        <w:t xml:space="preserve"> managing the List</w:t>
      </w:r>
      <w:r w:rsidRPr="00AE3513">
        <w:rPr>
          <w:rFonts w:ascii="Book Antiqua" w:eastAsia="Book Antiqua" w:hAnsi="Book Antiqua" w:cs="Book Antiqua"/>
          <w:sz w:val="24"/>
          <w:szCs w:val="24"/>
        </w:rPr>
        <w:t>;</w:t>
      </w:r>
    </w:p>
    <w:p w14:paraId="3089760C" w14:textId="4889C6FF" w:rsidR="00AA15CC" w:rsidRPr="00AE3513" w:rsidRDefault="00AA15CC" w:rsidP="00AE3513">
      <w:pPr>
        <w:pStyle w:val="ListParagraph"/>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b/>
          <w:i/>
          <w:sz w:val="24"/>
          <w:szCs w:val="24"/>
        </w:rPr>
        <w:t>List directions day</w:t>
      </w:r>
      <w:r w:rsidRPr="00AE3513">
        <w:rPr>
          <w:rFonts w:ascii="Book Antiqua" w:eastAsia="Book Antiqua" w:hAnsi="Book Antiqua" w:cs="Book Antiqua"/>
          <w:sz w:val="24"/>
          <w:szCs w:val="24"/>
        </w:rPr>
        <w:t xml:space="preserve"> means one of the regular days listed on the </w:t>
      </w:r>
      <w:hyperlink r:id="rId14" w:history="1">
        <w:r w:rsidR="00C826D2" w:rsidRPr="00AE3513">
          <w:rPr>
            <w:rStyle w:val="Hyperlink"/>
            <w:rFonts w:ascii="Book Antiqua" w:eastAsia="Book Antiqua" w:hAnsi="Book Antiqua" w:cs="Book Antiqua"/>
            <w:sz w:val="24"/>
            <w:szCs w:val="24"/>
          </w:rPr>
          <w:t>List webpage</w:t>
        </w:r>
      </w:hyperlink>
      <w:r w:rsidR="00C826D2">
        <w:rPr>
          <w:rStyle w:val="Hyperlink"/>
          <w:rFonts w:ascii="Book Antiqua" w:eastAsia="Book Antiqua" w:hAnsi="Book Antiqua" w:cs="Book Antiqua"/>
          <w:sz w:val="24"/>
          <w:szCs w:val="24"/>
        </w:rPr>
        <w:t xml:space="preserve"> </w:t>
      </w:r>
      <w:r w:rsidRPr="00AE3513">
        <w:rPr>
          <w:rFonts w:ascii="Book Antiqua" w:eastAsia="Book Antiqua" w:hAnsi="Book Antiqua" w:cs="Book Antiqua"/>
          <w:sz w:val="24"/>
          <w:szCs w:val="24"/>
        </w:rPr>
        <w:t xml:space="preserve">on the Court’s website (generally held </w:t>
      </w:r>
      <w:r w:rsidR="007B58AF" w:rsidRPr="00AE3513">
        <w:rPr>
          <w:rFonts w:ascii="Book Antiqua" w:eastAsia="Book Antiqua" w:hAnsi="Book Antiqua" w:cs="Book Antiqua"/>
          <w:sz w:val="24"/>
          <w:szCs w:val="24"/>
        </w:rPr>
        <w:t xml:space="preserve">monthly </w:t>
      </w:r>
      <w:r w:rsidR="00C826D2">
        <w:rPr>
          <w:rFonts w:ascii="Book Antiqua" w:eastAsia="Book Antiqua" w:hAnsi="Book Antiqua" w:cs="Book Antiqua"/>
          <w:sz w:val="24"/>
          <w:szCs w:val="24"/>
        </w:rPr>
        <w:t xml:space="preserve">on Thursdays </w:t>
      </w:r>
      <w:r w:rsidRPr="00AE3513">
        <w:rPr>
          <w:rFonts w:ascii="Book Antiqua" w:eastAsia="Book Antiqua" w:hAnsi="Book Antiqua" w:cs="Book Antiqua"/>
          <w:sz w:val="24"/>
          <w:szCs w:val="24"/>
        </w:rPr>
        <w:t>during the Court sitting term);</w:t>
      </w:r>
    </w:p>
    <w:p w14:paraId="0177A1C3" w14:textId="68A3F8B4" w:rsidR="003C0D39" w:rsidRPr="00AE3513" w:rsidRDefault="003C0D39" w:rsidP="00AE3513">
      <w:pPr>
        <w:pStyle w:val="ListParagraph"/>
        <w:spacing w:before="120" w:after="120"/>
        <w:contextualSpacing w:val="0"/>
        <w:jc w:val="both"/>
        <w:rPr>
          <w:rFonts w:ascii="Book Antiqua" w:eastAsia="Book Antiqua" w:hAnsi="Book Antiqua" w:cs="Book Antiqua"/>
          <w:sz w:val="24"/>
          <w:szCs w:val="24"/>
        </w:rPr>
      </w:pPr>
      <w:r w:rsidRPr="00AE3513">
        <w:rPr>
          <w:rFonts w:ascii="Book Antiqua" w:hAnsi="Book Antiqua"/>
          <w:b/>
          <w:i/>
          <w:sz w:val="24"/>
          <w:szCs w:val="24"/>
        </w:rPr>
        <w:t>List webpage</w:t>
      </w:r>
      <w:r w:rsidRPr="00AE3513">
        <w:rPr>
          <w:rFonts w:ascii="Book Antiqua" w:eastAsia="Book Antiqua" w:hAnsi="Book Antiqua" w:cs="Book Antiqua"/>
          <w:sz w:val="24"/>
          <w:szCs w:val="24"/>
        </w:rPr>
        <w:t xml:space="preserve"> means the </w:t>
      </w:r>
      <w:hyperlink r:id="rId15" w:history="1">
        <w:r w:rsidR="00E37DAA" w:rsidRPr="00AE3513">
          <w:rPr>
            <w:rStyle w:val="Hyperlink"/>
            <w:rFonts w:ascii="Book Antiqua" w:eastAsia="Book Antiqua" w:hAnsi="Book Antiqua" w:cs="Book Antiqua"/>
            <w:sz w:val="24"/>
            <w:szCs w:val="24"/>
          </w:rPr>
          <w:t>webpage</w:t>
        </w:r>
      </w:hyperlink>
      <w:r w:rsidRPr="00AE3513">
        <w:rPr>
          <w:rFonts w:ascii="Book Antiqua" w:eastAsia="Book Antiqua" w:hAnsi="Book Antiqua" w:cs="Book Antiqua"/>
          <w:sz w:val="24"/>
          <w:szCs w:val="24"/>
        </w:rPr>
        <w:t xml:space="preserve"> dedicated to the List available on the Court’s website (www.supremecourt.vic.gov.au);</w:t>
      </w:r>
    </w:p>
    <w:p w14:paraId="63A468D5" w14:textId="5E3E659B" w:rsidR="006B633E" w:rsidRPr="00AE3513" w:rsidRDefault="006B633E" w:rsidP="00AE3513">
      <w:pPr>
        <w:pStyle w:val="ListParagraph"/>
        <w:spacing w:before="120" w:after="120"/>
        <w:ind w:left="1440" w:hanging="720"/>
        <w:contextualSpacing w:val="0"/>
        <w:jc w:val="both"/>
        <w:rPr>
          <w:rFonts w:ascii="Book Antiqua" w:eastAsia="Book Antiqua" w:hAnsi="Book Antiqua" w:cs="Book Antiqua"/>
          <w:sz w:val="24"/>
          <w:szCs w:val="24"/>
        </w:rPr>
      </w:pPr>
      <w:r w:rsidRPr="00AE3513">
        <w:rPr>
          <w:rFonts w:ascii="Book Antiqua" w:eastAsia="Book Antiqua" w:hAnsi="Book Antiqua" w:cs="Book Antiqua"/>
          <w:b/>
          <w:i/>
          <w:sz w:val="24"/>
          <w:szCs w:val="24"/>
        </w:rPr>
        <w:t xml:space="preserve">Rules </w:t>
      </w:r>
      <w:r w:rsidRPr="00AE3513">
        <w:rPr>
          <w:rFonts w:ascii="Book Antiqua" w:eastAsia="Book Antiqua" w:hAnsi="Book Antiqua" w:cs="Book Antiqua"/>
          <w:sz w:val="24"/>
          <w:szCs w:val="24"/>
        </w:rPr>
        <w:t xml:space="preserve">means the </w:t>
      </w:r>
      <w:r w:rsidRPr="00AE3513">
        <w:rPr>
          <w:rFonts w:ascii="Book Antiqua" w:eastAsia="Book Antiqua" w:hAnsi="Book Antiqua" w:cs="Book Antiqua"/>
          <w:i/>
          <w:iCs/>
          <w:sz w:val="24"/>
          <w:szCs w:val="24"/>
        </w:rPr>
        <w:t>Supreme Court (General Civil Procedure) Rules 2015;</w:t>
      </w:r>
    </w:p>
    <w:p w14:paraId="7793E1CE" w14:textId="7B4B8ED9" w:rsidR="007220CE" w:rsidRPr="00AE3513" w:rsidRDefault="007220CE" w:rsidP="00AE3513">
      <w:pPr>
        <w:pStyle w:val="ListParagraph"/>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b/>
          <w:i/>
          <w:sz w:val="24"/>
          <w:szCs w:val="24"/>
        </w:rPr>
        <w:t xml:space="preserve">Technology Practice Note </w:t>
      </w:r>
      <w:r w:rsidRPr="00AE3513">
        <w:rPr>
          <w:rFonts w:ascii="Book Antiqua" w:eastAsia="Book Antiqua" w:hAnsi="Book Antiqua" w:cs="Book Antiqua"/>
          <w:sz w:val="24"/>
          <w:szCs w:val="24"/>
        </w:rPr>
        <w:t>means Practice Note SC Gen 5 Technology in Civil Litigation</w:t>
      </w:r>
      <w:r w:rsidR="006B633E" w:rsidRPr="00AE3513">
        <w:rPr>
          <w:rFonts w:ascii="Book Antiqua" w:eastAsia="Book Antiqua" w:hAnsi="Book Antiqua" w:cs="Book Antiqua"/>
          <w:sz w:val="24"/>
          <w:szCs w:val="24"/>
        </w:rPr>
        <w:t>.</w:t>
      </w:r>
    </w:p>
    <w:p w14:paraId="783BF6EC" w14:textId="562D6218" w:rsidR="00FD4B3F" w:rsidRPr="00AE3513" w:rsidRDefault="00FD4B3F" w:rsidP="00AE3513">
      <w:pPr>
        <w:autoSpaceDE w:val="0"/>
        <w:autoSpaceDN w:val="0"/>
        <w:adjustRightInd w:val="0"/>
        <w:spacing w:before="120" w:after="120"/>
        <w:ind w:left="720" w:hanging="720"/>
        <w:jc w:val="both"/>
        <w:rPr>
          <w:rFonts w:ascii="Book Antiqua" w:eastAsia="Book Antiqua" w:hAnsi="Book Antiqua" w:cs="Book Antiqua"/>
        </w:rPr>
      </w:pPr>
    </w:p>
    <w:p w14:paraId="2F7CBDE3" w14:textId="77777777" w:rsidR="00FD4B3F" w:rsidRPr="00AE3513" w:rsidRDefault="00FD4B3F" w:rsidP="00AE3513">
      <w:pPr>
        <w:pStyle w:val="ListParagraph"/>
        <w:keepNext/>
        <w:numPr>
          <w:ilvl w:val="0"/>
          <w:numId w:val="2"/>
        </w:numPr>
        <w:autoSpaceDE w:val="0"/>
        <w:autoSpaceDN w:val="0"/>
        <w:adjustRightInd w:val="0"/>
        <w:spacing w:before="120" w:after="120"/>
        <w:contextualSpacing w:val="0"/>
        <w:jc w:val="both"/>
        <w:rPr>
          <w:rFonts w:ascii="Book Antiqua" w:eastAsia="Book Antiqua" w:hAnsi="Book Antiqua" w:cs="Book Antiqua"/>
          <w:b/>
          <w:bCs/>
          <w:sz w:val="24"/>
          <w:szCs w:val="24"/>
        </w:rPr>
      </w:pPr>
      <w:r w:rsidRPr="00AE3513">
        <w:rPr>
          <w:rFonts w:ascii="Book Antiqua" w:eastAsia="Book Antiqua" w:hAnsi="Book Antiqua" w:cs="Book Antiqua"/>
          <w:b/>
          <w:bCs/>
          <w:sz w:val="24"/>
          <w:szCs w:val="24"/>
        </w:rPr>
        <w:t>COMMENCEMENT</w:t>
      </w:r>
    </w:p>
    <w:p w14:paraId="5F8D7492" w14:textId="06E448CC" w:rsidR="00FD4B3F" w:rsidRPr="00AE3513" w:rsidRDefault="00FD4B3F"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This Practice No</w:t>
      </w:r>
      <w:r w:rsidR="001C57E2" w:rsidRPr="00AE3513">
        <w:rPr>
          <w:rFonts w:ascii="Book Antiqua" w:eastAsia="Book Antiqua" w:hAnsi="Book Antiqua" w:cs="Book Antiqua"/>
          <w:sz w:val="24"/>
          <w:szCs w:val="24"/>
        </w:rPr>
        <w:t>te was issued and commence</w:t>
      </w:r>
      <w:r w:rsidR="009D2B5F">
        <w:rPr>
          <w:rFonts w:ascii="Book Antiqua" w:eastAsia="Book Antiqua" w:hAnsi="Book Antiqua" w:cs="Book Antiqua"/>
          <w:sz w:val="24"/>
          <w:szCs w:val="24"/>
        </w:rPr>
        <w:t>d</w:t>
      </w:r>
      <w:r w:rsidR="001C57E2" w:rsidRPr="00AE3513">
        <w:rPr>
          <w:rFonts w:ascii="Book Antiqua" w:eastAsia="Book Antiqua" w:hAnsi="Book Antiqua" w:cs="Book Antiqua"/>
          <w:sz w:val="24"/>
          <w:szCs w:val="24"/>
        </w:rPr>
        <w:t xml:space="preserve"> on </w:t>
      </w:r>
      <w:r w:rsidR="006A76BB">
        <w:rPr>
          <w:rFonts w:ascii="Book Antiqua" w:eastAsia="Book Antiqua" w:hAnsi="Book Antiqua" w:cs="Book Antiqua"/>
          <w:sz w:val="24"/>
          <w:szCs w:val="24"/>
        </w:rPr>
        <w:t xml:space="preserve">1 </w:t>
      </w:r>
      <w:bookmarkStart w:id="0" w:name="_GoBack"/>
      <w:bookmarkEnd w:id="0"/>
      <w:r w:rsidR="004625E2" w:rsidRPr="00AE3513">
        <w:rPr>
          <w:rFonts w:ascii="Book Antiqua" w:eastAsia="Book Antiqua" w:hAnsi="Book Antiqua" w:cs="Book Antiqua"/>
          <w:sz w:val="24"/>
          <w:szCs w:val="24"/>
        </w:rPr>
        <w:t xml:space="preserve">October 2018 </w:t>
      </w:r>
      <w:r w:rsidRPr="00AE3513">
        <w:rPr>
          <w:rFonts w:ascii="Book Antiqua" w:eastAsia="Book Antiqua" w:hAnsi="Book Antiqua" w:cs="Book Antiqua"/>
          <w:sz w:val="24"/>
          <w:szCs w:val="24"/>
        </w:rPr>
        <w:t xml:space="preserve">and </w:t>
      </w:r>
      <w:r w:rsidR="001C355D" w:rsidRPr="00AE3513">
        <w:rPr>
          <w:rFonts w:ascii="Book Antiqua" w:eastAsia="Book Antiqua" w:hAnsi="Book Antiqua" w:cs="Book Antiqua"/>
          <w:sz w:val="24"/>
          <w:szCs w:val="24"/>
        </w:rPr>
        <w:t xml:space="preserve">applies </w:t>
      </w:r>
      <w:r w:rsidRPr="00AE3513">
        <w:rPr>
          <w:rFonts w:ascii="Book Antiqua" w:eastAsia="Book Antiqua" w:hAnsi="Book Antiqua" w:cs="Book Antiqua"/>
          <w:sz w:val="24"/>
          <w:szCs w:val="24"/>
        </w:rPr>
        <w:t>to all proceedings in the List whenever commenced.</w:t>
      </w:r>
    </w:p>
    <w:p w14:paraId="50BDED57" w14:textId="77777777" w:rsidR="00C5118C" w:rsidRPr="00AE3513" w:rsidRDefault="00C5118C" w:rsidP="00B068C4">
      <w:pPr>
        <w:spacing w:before="120" w:after="120"/>
        <w:ind w:left="720" w:hanging="720"/>
        <w:jc w:val="both"/>
        <w:rPr>
          <w:rFonts w:ascii="Book Antiqua" w:hAnsi="Book Antiqua"/>
        </w:rPr>
      </w:pPr>
    </w:p>
    <w:p w14:paraId="2146F674" w14:textId="77777777" w:rsidR="006E7E0B" w:rsidRPr="00AE3513" w:rsidRDefault="00C5118C" w:rsidP="00AE3513">
      <w:pPr>
        <w:pStyle w:val="ListParagraph"/>
        <w:keepNext/>
        <w:numPr>
          <w:ilvl w:val="0"/>
          <w:numId w:val="2"/>
        </w:numPr>
        <w:autoSpaceDE w:val="0"/>
        <w:autoSpaceDN w:val="0"/>
        <w:adjustRightInd w:val="0"/>
        <w:spacing w:before="120" w:after="120"/>
        <w:contextualSpacing w:val="0"/>
        <w:jc w:val="both"/>
        <w:rPr>
          <w:rFonts w:ascii="Book Antiqua" w:eastAsia="Book Antiqua" w:hAnsi="Book Antiqua" w:cs="Book Antiqua"/>
          <w:b/>
          <w:bCs/>
          <w:sz w:val="24"/>
          <w:szCs w:val="24"/>
        </w:rPr>
      </w:pPr>
      <w:r w:rsidRPr="00AE3513">
        <w:rPr>
          <w:rFonts w:ascii="Book Antiqua" w:eastAsia="Book Antiqua" w:hAnsi="Book Antiqua" w:cs="Book Antiqua"/>
          <w:b/>
          <w:bCs/>
          <w:sz w:val="24"/>
          <w:szCs w:val="24"/>
        </w:rPr>
        <w:t>PROCEEDINGS SUITABLE FOR INCLUSION IN THE LIST</w:t>
      </w:r>
    </w:p>
    <w:p w14:paraId="3A697D6F" w14:textId="77777777" w:rsidR="00733A34" w:rsidRPr="00AE3513" w:rsidRDefault="00733A34"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Proceedings involving a claim for economic loss against a professional for breach of duty in tort or contract, related statutory contravention (e.g. misleading or deceptive conduct), or for breach of equitable duties should be initiated in the List.</w:t>
      </w:r>
    </w:p>
    <w:p w14:paraId="7BFDD520" w14:textId="77777777" w:rsidR="00733A34" w:rsidRPr="00AE3513" w:rsidRDefault="00733A34"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Without limiting the generality of paragraph 4.1, claims for breach of duty against the following professionals are suitable for inclusion in the List:</w:t>
      </w:r>
    </w:p>
    <w:p w14:paraId="53E6299B" w14:textId="170F5C04" w:rsidR="00733A34" w:rsidRPr="00AE3513" w:rsidRDefault="007B58AF" w:rsidP="00AE3513">
      <w:pPr>
        <w:numPr>
          <w:ilvl w:val="0"/>
          <w:numId w:val="4"/>
        </w:numPr>
        <w:spacing w:before="120" w:after="120"/>
        <w:ind w:left="1440"/>
        <w:jc w:val="both"/>
        <w:rPr>
          <w:rFonts w:ascii="Book Antiqua" w:eastAsia="Book Antiqua" w:hAnsi="Book Antiqua" w:cs="Book Antiqua"/>
        </w:rPr>
      </w:pPr>
      <w:r w:rsidRPr="00AE3513">
        <w:rPr>
          <w:rFonts w:ascii="Book Antiqua" w:eastAsia="Book Antiqua" w:hAnsi="Book Antiqua" w:cs="Book Antiqua"/>
        </w:rPr>
        <w:t xml:space="preserve">legal </w:t>
      </w:r>
      <w:r w:rsidR="00733A34" w:rsidRPr="00AE3513">
        <w:rPr>
          <w:rFonts w:ascii="Book Antiqua" w:eastAsia="Book Antiqua" w:hAnsi="Book Antiqua" w:cs="Book Antiqua"/>
        </w:rPr>
        <w:t>practitioners;</w:t>
      </w:r>
    </w:p>
    <w:p w14:paraId="3FD6F840" w14:textId="3C84A124" w:rsidR="00733A34" w:rsidRPr="00AE3513" w:rsidRDefault="007B58AF" w:rsidP="00AE3513">
      <w:pPr>
        <w:numPr>
          <w:ilvl w:val="0"/>
          <w:numId w:val="4"/>
        </w:numPr>
        <w:spacing w:before="120" w:after="120"/>
        <w:ind w:left="1440"/>
        <w:jc w:val="both"/>
        <w:rPr>
          <w:rFonts w:ascii="Book Antiqua" w:eastAsia="Book Antiqua" w:hAnsi="Book Antiqua" w:cs="Book Antiqua"/>
        </w:rPr>
      </w:pPr>
      <w:r w:rsidRPr="00AE3513">
        <w:rPr>
          <w:rFonts w:ascii="Book Antiqua" w:eastAsia="Book Antiqua" w:hAnsi="Book Antiqua" w:cs="Book Antiqua"/>
        </w:rPr>
        <w:t xml:space="preserve">financial </w:t>
      </w:r>
      <w:r w:rsidR="00733A34" w:rsidRPr="00AE3513">
        <w:rPr>
          <w:rFonts w:ascii="Book Antiqua" w:eastAsia="Book Antiqua" w:hAnsi="Book Antiqua" w:cs="Book Antiqua"/>
        </w:rPr>
        <w:t>advisers (including accountants, financial planners and finance brokers);</w:t>
      </w:r>
    </w:p>
    <w:p w14:paraId="34FE7A08" w14:textId="01A265BA" w:rsidR="00733A34" w:rsidRPr="00AE3513" w:rsidRDefault="007B58AF" w:rsidP="00AE3513">
      <w:pPr>
        <w:numPr>
          <w:ilvl w:val="0"/>
          <w:numId w:val="4"/>
        </w:numPr>
        <w:spacing w:before="120" w:after="120"/>
        <w:ind w:left="1440"/>
        <w:jc w:val="both"/>
        <w:rPr>
          <w:rFonts w:ascii="Book Antiqua" w:eastAsia="Book Antiqua" w:hAnsi="Book Antiqua" w:cs="Book Antiqua"/>
        </w:rPr>
      </w:pPr>
      <w:r w:rsidRPr="00AE3513">
        <w:rPr>
          <w:rFonts w:ascii="Book Antiqua" w:eastAsia="Book Antiqua" w:hAnsi="Book Antiqua" w:cs="Book Antiqua"/>
        </w:rPr>
        <w:t>stockbrokers</w:t>
      </w:r>
      <w:r w:rsidR="00733A34" w:rsidRPr="00AE3513">
        <w:rPr>
          <w:rFonts w:ascii="Book Antiqua" w:eastAsia="Book Antiqua" w:hAnsi="Book Antiqua" w:cs="Book Antiqua"/>
        </w:rPr>
        <w:t>;</w:t>
      </w:r>
    </w:p>
    <w:p w14:paraId="219C4306" w14:textId="357897F2" w:rsidR="00733A34" w:rsidRPr="00AE3513" w:rsidRDefault="007B58AF" w:rsidP="00AE3513">
      <w:pPr>
        <w:numPr>
          <w:ilvl w:val="0"/>
          <w:numId w:val="4"/>
        </w:numPr>
        <w:spacing w:before="120" w:after="120"/>
        <w:ind w:left="1440"/>
        <w:jc w:val="both"/>
        <w:rPr>
          <w:rFonts w:ascii="Book Antiqua" w:eastAsia="Book Antiqua" w:hAnsi="Book Antiqua" w:cs="Book Antiqua"/>
        </w:rPr>
      </w:pPr>
      <w:r w:rsidRPr="00AE3513">
        <w:rPr>
          <w:rFonts w:ascii="Book Antiqua" w:eastAsia="Book Antiqua" w:hAnsi="Book Antiqua" w:cs="Book Antiqua"/>
        </w:rPr>
        <w:t xml:space="preserve">insurance </w:t>
      </w:r>
      <w:r w:rsidR="00733A34" w:rsidRPr="00AE3513">
        <w:rPr>
          <w:rFonts w:ascii="Book Antiqua" w:eastAsia="Book Antiqua" w:hAnsi="Book Antiqua" w:cs="Book Antiqua"/>
        </w:rPr>
        <w:t>brokers and agents;</w:t>
      </w:r>
    </w:p>
    <w:p w14:paraId="43EBA998" w14:textId="5FECC8EF" w:rsidR="00D52843" w:rsidRPr="00AE3513" w:rsidRDefault="00B951D2" w:rsidP="00AE3513">
      <w:pPr>
        <w:numPr>
          <w:ilvl w:val="0"/>
          <w:numId w:val="4"/>
        </w:numPr>
        <w:spacing w:before="120" w:after="120"/>
        <w:ind w:left="1440"/>
        <w:jc w:val="both"/>
        <w:rPr>
          <w:rFonts w:ascii="Book Antiqua" w:eastAsia="Book Antiqua" w:hAnsi="Book Antiqua" w:cs="Book Antiqua"/>
        </w:rPr>
      </w:pPr>
      <w:r w:rsidRPr="00AE3513">
        <w:rPr>
          <w:rFonts w:ascii="Book Antiqua" w:eastAsia="Book Antiqua" w:hAnsi="Book Antiqua" w:cs="Book Antiqua"/>
        </w:rPr>
        <w:t xml:space="preserve">real </w:t>
      </w:r>
      <w:r w:rsidR="00733A34" w:rsidRPr="00AE3513">
        <w:rPr>
          <w:rFonts w:ascii="Book Antiqua" w:eastAsia="Book Antiqua" w:hAnsi="Book Antiqua" w:cs="Book Antiqua"/>
        </w:rPr>
        <w:t xml:space="preserve">estate agents and conveyancers; </w:t>
      </w:r>
    </w:p>
    <w:p w14:paraId="3549E84B" w14:textId="62573235" w:rsidR="007656EA" w:rsidRPr="00AE3513" w:rsidRDefault="00B951D2" w:rsidP="00AE3513">
      <w:pPr>
        <w:numPr>
          <w:ilvl w:val="0"/>
          <w:numId w:val="4"/>
        </w:numPr>
        <w:spacing w:before="120" w:after="120"/>
        <w:ind w:left="1440"/>
        <w:jc w:val="both"/>
        <w:rPr>
          <w:rFonts w:ascii="Book Antiqua" w:eastAsia="Book Antiqua" w:hAnsi="Book Antiqua" w:cs="Book Antiqua"/>
        </w:rPr>
      </w:pPr>
      <w:r w:rsidRPr="00AE3513">
        <w:rPr>
          <w:rFonts w:ascii="Book Antiqua" w:eastAsia="Book Antiqua" w:hAnsi="Book Antiqua" w:cs="Book Antiqua"/>
        </w:rPr>
        <w:t>valuers</w:t>
      </w:r>
      <w:r w:rsidR="007656EA" w:rsidRPr="00AE3513">
        <w:rPr>
          <w:rFonts w:ascii="Book Antiqua" w:eastAsia="Book Antiqua" w:hAnsi="Book Antiqua" w:cs="Book Antiqua"/>
        </w:rPr>
        <w:t>;</w:t>
      </w:r>
    </w:p>
    <w:p w14:paraId="6F61624F" w14:textId="375B7602" w:rsidR="00733A34" w:rsidRPr="00AE3513" w:rsidRDefault="00B951D2" w:rsidP="00AE3513">
      <w:pPr>
        <w:numPr>
          <w:ilvl w:val="0"/>
          <w:numId w:val="4"/>
        </w:numPr>
        <w:spacing w:before="120" w:after="120"/>
        <w:ind w:left="1440"/>
        <w:jc w:val="both"/>
        <w:rPr>
          <w:rFonts w:ascii="Book Antiqua" w:eastAsia="Book Antiqua" w:hAnsi="Book Antiqua" w:cs="Book Antiqua"/>
        </w:rPr>
      </w:pPr>
      <w:r w:rsidRPr="00AE3513">
        <w:rPr>
          <w:rFonts w:ascii="Book Antiqua" w:eastAsia="Book Antiqua" w:hAnsi="Book Antiqua" w:cs="Book Antiqua"/>
        </w:rPr>
        <w:t xml:space="preserve">taxation </w:t>
      </w:r>
      <w:r w:rsidR="007656EA" w:rsidRPr="00AE3513">
        <w:rPr>
          <w:rFonts w:ascii="Book Antiqua" w:eastAsia="Book Antiqua" w:hAnsi="Book Antiqua" w:cs="Book Antiqua"/>
        </w:rPr>
        <w:t>professionals</w:t>
      </w:r>
      <w:r w:rsidR="00733A34" w:rsidRPr="00AE3513">
        <w:rPr>
          <w:rFonts w:ascii="Book Antiqua" w:eastAsia="Book Antiqua" w:hAnsi="Book Antiqua" w:cs="Book Antiqua"/>
        </w:rPr>
        <w:t>.</w:t>
      </w:r>
    </w:p>
    <w:p w14:paraId="152BB4BF" w14:textId="77777777" w:rsidR="000973B7" w:rsidRPr="00AE3513" w:rsidRDefault="000973B7"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Claims against the following professionals are excluded from the List:</w:t>
      </w:r>
    </w:p>
    <w:p w14:paraId="48C1BC2F" w14:textId="2F7E3468" w:rsidR="000973B7" w:rsidRPr="00AE3513" w:rsidRDefault="00B951D2" w:rsidP="00AE3513">
      <w:pPr>
        <w:numPr>
          <w:ilvl w:val="0"/>
          <w:numId w:val="5"/>
        </w:numPr>
        <w:spacing w:before="120" w:after="120"/>
        <w:ind w:left="1440"/>
        <w:jc w:val="both"/>
        <w:rPr>
          <w:rFonts w:ascii="Book Antiqua" w:eastAsia="Book Antiqua" w:hAnsi="Book Antiqua" w:cs="Book Antiqua"/>
        </w:rPr>
      </w:pPr>
      <w:r w:rsidRPr="00AE3513">
        <w:rPr>
          <w:rFonts w:ascii="Book Antiqua" w:eastAsia="Book Antiqua" w:hAnsi="Book Antiqua" w:cs="Book Antiqua"/>
        </w:rPr>
        <w:t xml:space="preserve">personal </w:t>
      </w:r>
      <w:r w:rsidR="00046D3B" w:rsidRPr="00AE3513">
        <w:rPr>
          <w:rFonts w:ascii="Book Antiqua" w:eastAsia="Book Antiqua" w:hAnsi="Book Antiqua" w:cs="Book Antiqua"/>
        </w:rPr>
        <w:t>injury claims against h</w:t>
      </w:r>
      <w:r w:rsidR="000973B7" w:rsidRPr="00AE3513">
        <w:rPr>
          <w:rFonts w:ascii="Book Antiqua" w:eastAsia="Book Antiqua" w:hAnsi="Book Antiqua" w:cs="Book Antiqua"/>
        </w:rPr>
        <w:t>ealth practitioners (managed in the Personal Injuries List);</w:t>
      </w:r>
      <w:r w:rsidR="007656EA" w:rsidRPr="00AE3513">
        <w:rPr>
          <w:rFonts w:ascii="Book Antiqua" w:eastAsia="Book Antiqua" w:hAnsi="Book Antiqua" w:cs="Book Antiqua"/>
        </w:rPr>
        <w:t xml:space="preserve"> and</w:t>
      </w:r>
    </w:p>
    <w:p w14:paraId="4B5D24C6" w14:textId="6A912E75" w:rsidR="000973B7" w:rsidRPr="00AE3513" w:rsidRDefault="00B951D2" w:rsidP="00AE3513">
      <w:pPr>
        <w:numPr>
          <w:ilvl w:val="0"/>
          <w:numId w:val="5"/>
        </w:numPr>
        <w:spacing w:before="120" w:after="120"/>
        <w:ind w:left="1440"/>
        <w:jc w:val="both"/>
        <w:rPr>
          <w:rFonts w:ascii="Book Antiqua" w:eastAsia="Book Antiqua" w:hAnsi="Book Antiqua" w:cs="Book Antiqua"/>
        </w:rPr>
      </w:pPr>
      <w:r w:rsidRPr="00AE3513">
        <w:rPr>
          <w:rFonts w:ascii="Book Antiqua" w:eastAsia="Book Antiqua" w:hAnsi="Book Antiqua" w:cs="Book Antiqua"/>
        </w:rPr>
        <w:t>building</w:t>
      </w:r>
      <w:r w:rsidR="000973B7" w:rsidRPr="00AE3513">
        <w:rPr>
          <w:rFonts w:ascii="Book Antiqua" w:eastAsia="Book Antiqua" w:hAnsi="Book Antiqua" w:cs="Book Antiqua"/>
        </w:rPr>
        <w:t>, construction and engineering practitioners (managed in the Commercial Court)</w:t>
      </w:r>
      <w:r w:rsidR="007656EA" w:rsidRPr="00AE3513">
        <w:rPr>
          <w:rFonts w:ascii="Book Antiqua" w:eastAsia="Book Antiqua" w:hAnsi="Book Antiqua" w:cs="Book Antiqua"/>
        </w:rPr>
        <w:t>.</w:t>
      </w:r>
    </w:p>
    <w:p w14:paraId="7CCCF69A" w14:textId="6D741900" w:rsidR="00046D3B" w:rsidRPr="00AE3513" w:rsidRDefault="00046D3B"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Note, where the cause of action arose in regional Victoria, or where the majority of witnesses or parties reside in regional Victoria, proceedings of the nature set out in paragraphs 4.1 and 4.2 should be initiated in the Civil Circuit List (see Practice Note SC CL 1).</w:t>
      </w:r>
    </w:p>
    <w:p w14:paraId="4F58A7A1" w14:textId="77777777" w:rsidR="000973B7" w:rsidRPr="00AE3513" w:rsidRDefault="000973B7" w:rsidP="00AE3513">
      <w:pPr>
        <w:spacing w:before="120" w:after="120"/>
        <w:ind w:left="720" w:hanging="720"/>
        <w:jc w:val="both"/>
        <w:rPr>
          <w:rFonts w:ascii="Book Antiqua" w:hAnsi="Book Antiqua"/>
        </w:rPr>
      </w:pPr>
    </w:p>
    <w:p w14:paraId="1723B451" w14:textId="77777777" w:rsidR="00182C1F" w:rsidRPr="00AE3513" w:rsidRDefault="00182C1F" w:rsidP="00AE3513">
      <w:pPr>
        <w:pStyle w:val="ListParagraph"/>
        <w:keepNext/>
        <w:numPr>
          <w:ilvl w:val="0"/>
          <w:numId w:val="2"/>
        </w:numPr>
        <w:autoSpaceDE w:val="0"/>
        <w:autoSpaceDN w:val="0"/>
        <w:adjustRightInd w:val="0"/>
        <w:spacing w:before="120" w:after="120"/>
        <w:contextualSpacing w:val="0"/>
        <w:jc w:val="both"/>
        <w:rPr>
          <w:rFonts w:ascii="Book Antiqua" w:eastAsia="Book Antiqua" w:hAnsi="Book Antiqua" w:cs="Book Antiqua"/>
          <w:b/>
          <w:bCs/>
          <w:sz w:val="24"/>
          <w:szCs w:val="24"/>
        </w:rPr>
      </w:pPr>
      <w:r w:rsidRPr="00AE3513">
        <w:rPr>
          <w:rFonts w:ascii="Book Antiqua" w:eastAsia="Book Antiqua" w:hAnsi="Book Antiqua" w:cs="Book Antiqua"/>
          <w:b/>
          <w:bCs/>
          <w:sz w:val="24"/>
          <w:szCs w:val="24"/>
        </w:rPr>
        <w:t>PROCEDURE FOR ENTRY INTO THE LIST</w:t>
      </w:r>
    </w:p>
    <w:p w14:paraId="4FC93F52" w14:textId="39D1C7BD" w:rsidR="00182C1F" w:rsidRPr="00AE3513" w:rsidRDefault="007C66C1"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b/>
          <w:bCs/>
          <w:sz w:val="24"/>
          <w:szCs w:val="24"/>
        </w:rPr>
      </w:pPr>
      <w:r w:rsidRPr="00AE3513">
        <w:rPr>
          <w:rFonts w:ascii="Book Antiqua" w:eastAsia="Book Antiqua" w:hAnsi="Book Antiqua" w:cs="Book Antiqua"/>
          <w:sz w:val="24"/>
          <w:szCs w:val="24"/>
        </w:rPr>
        <w:t>Proceedings of the nature set out in paragraph</w:t>
      </w:r>
      <w:r w:rsidR="006C71CD" w:rsidRPr="00AE3513">
        <w:rPr>
          <w:rFonts w:ascii="Book Antiqua" w:eastAsia="Book Antiqua" w:hAnsi="Book Antiqua" w:cs="Book Antiqua"/>
          <w:sz w:val="24"/>
          <w:szCs w:val="24"/>
        </w:rPr>
        <w:t>s</w:t>
      </w:r>
      <w:r w:rsidRPr="00AE3513">
        <w:rPr>
          <w:rFonts w:ascii="Book Antiqua" w:eastAsia="Book Antiqua" w:hAnsi="Book Antiqua" w:cs="Book Antiqua"/>
          <w:sz w:val="24"/>
          <w:szCs w:val="24"/>
        </w:rPr>
        <w:t xml:space="preserve"> </w:t>
      </w:r>
      <w:r w:rsidR="006C71CD" w:rsidRPr="00AE3513">
        <w:rPr>
          <w:rFonts w:ascii="Book Antiqua" w:eastAsia="Book Antiqua" w:hAnsi="Book Antiqua" w:cs="Book Antiqua"/>
          <w:sz w:val="24"/>
          <w:szCs w:val="24"/>
        </w:rPr>
        <w:t>4.1 to 4.</w:t>
      </w:r>
      <w:r w:rsidR="00015396" w:rsidRPr="00AE3513">
        <w:rPr>
          <w:rFonts w:ascii="Book Antiqua" w:eastAsia="Book Antiqua" w:hAnsi="Book Antiqua" w:cs="Book Antiqua"/>
          <w:sz w:val="24"/>
          <w:szCs w:val="24"/>
        </w:rPr>
        <w:t>2</w:t>
      </w:r>
      <w:r w:rsidR="006C71CD" w:rsidRPr="00AE3513">
        <w:rPr>
          <w:rFonts w:ascii="Book Antiqua" w:eastAsia="Book Antiqua" w:hAnsi="Book Antiqua" w:cs="Book Antiqua"/>
          <w:sz w:val="24"/>
          <w:szCs w:val="24"/>
        </w:rPr>
        <w:t xml:space="preserve"> </w:t>
      </w:r>
      <w:r w:rsidRPr="00AE3513">
        <w:rPr>
          <w:rFonts w:ascii="Book Antiqua" w:eastAsia="Book Antiqua" w:hAnsi="Book Antiqua" w:cs="Book Antiqua"/>
          <w:sz w:val="24"/>
          <w:szCs w:val="24"/>
        </w:rPr>
        <w:t>should be initiated in the List by endorsing the heading of the originating process “</w:t>
      </w:r>
      <w:r w:rsidR="00807D47" w:rsidRPr="00AE3513">
        <w:rPr>
          <w:rFonts w:ascii="Book Antiqua" w:eastAsia="Book Antiqua" w:hAnsi="Book Antiqua" w:cs="Book Antiqua"/>
          <w:sz w:val="24"/>
          <w:szCs w:val="24"/>
        </w:rPr>
        <w:t>Professional Liability</w:t>
      </w:r>
      <w:r w:rsidR="00637201" w:rsidRPr="00AE3513">
        <w:rPr>
          <w:rFonts w:ascii="Book Antiqua" w:eastAsia="Book Antiqua" w:hAnsi="Book Antiqua" w:cs="Book Antiqua"/>
          <w:sz w:val="24"/>
          <w:szCs w:val="24"/>
        </w:rPr>
        <w:t xml:space="preserve"> List</w:t>
      </w:r>
      <w:r w:rsidRPr="00AE3513">
        <w:rPr>
          <w:rFonts w:ascii="Book Antiqua" w:eastAsia="Book Antiqua" w:hAnsi="Book Antiqua" w:cs="Book Antiqua"/>
          <w:sz w:val="24"/>
          <w:szCs w:val="24"/>
        </w:rPr>
        <w:t>”</w:t>
      </w:r>
      <w:r w:rsidR="00D90F79" w:rsidRPr="00AE3513">
        <w:rPr>
          <w:rFonts w:ascii="Book Antiqua" w:eastAsia="Book Antiqua" w:hAnsi="Book Antiqua" w:cs="Book Antiqua"/>
          <w:sz w:val="24"/>
          <w:szCs w:val="24"/>
        </w:rPr>
        <w:t>.</w:t>
      </w:r>
      <w:r w:rsidRPr="00AE3513">
        <w:rPr>
          <w:rFonts w:ascii="Book Antiqua" w:eastAsia="Book Antiqua" w:hAnsi="Book Antiqua" w:cs="Book Antiqua"/>
          <w:sz w:val="24"/>
          <w:szCs w:val="24"/>
        </w:rPr>
        <w:t xml:space="preserve"> </w:t>
      </w:r>
      <w:r w:rsidR="00E81517" w:rsidRPr="00AE3513">
        <w:rPr>
          <w:rFonts w:ascii="Book Antiqua" w:eastAsia="Book Antiqua" w:hAnsi="Book Antiqua" w:cs="Book Antiqua"/>
          <w:sz w:val="24"/>
          <w:szCs w:val="24"/>
        </w:rPr>
        <w:t xml:space="preserve"> </w:t>
      </w:r>
      <w:r w:rsidRPr="00AE3513">
        <w:rPr>
          <w:rFonts w:ascii="Book Antiqua" w:eastAsia="Book Antiqua" w:hAnsi="Book Antiqua" w:cs="Book Antiqua"/>
          <w:sz w:val="24"/>
          <w:szCs w:val="24"/>
        </w:rPr>
        <w:t>The heading of all subsequent documents filed in the proceeding should also be endorsed “</w:t>
      </w:r>
      <w:r w:rsidR="00807D47" w:rsidRPr="00AE3513">
        <w:rPr>
          <w:rFonts w:ascii="Book Antiqua" w:eastAsia="Book Antiqua" w:hAnsi="Book Antiqua" w:cs="Book Antiqua"/>
          <w:sz w:val="24"/>
          <w:szCs w:val="24"/>
        </w:rPr>
        <w:t>Professional Liability</w:t>
      </w:r>
      <w:r w:rsidR="00637201" w:rsidRPr="00AE3513">
        <w:rPr>
          <w:rFonts w:ascii="Book Antiqua" w:eastAsia="Book Antiqua" w:hAnsi="Book Antiqua" w:cs="Book Antiqua"/>
          <w:sz w:val="24"/>
          <w:szCs w:val="24"/>
        </w:rPr>
        <w:t xml:space="preserve"> List</w:t>
      </w:r>
      <w:r w:rsidRPr="00AE3513">
        <w:rPr>
          <w:rFonts w:ascii="Book Antiqua" w:eastAsia="Book Antiqua" w:hAnsi="Book Antiqua" w:cs="Book Antiqua"/>
          <w:sz w:val="24"/>
          <w:szCs w:val="24"/>
        </w:rPr>
        <w:t>”</w:t>
      </w:r>
      <w:r w:rsidR="00B86E13" w:rsidRPr="00AE3513">
        <w:rPr>
          <w:rFonts w:ascii="Book Antiqua" w:eastAsia="Book Antiqua" w:hAnsi="Book Antiqua" w:cs="Book Antiqua"/>
          <w:sz w:val="24"/>
          <w:szCs w:val="24"/>
        </w:rPr>
        <w:t xml:space="preserve">. </w:t>
      </w:r>
    </w:p>
    <w:p w14:paraId="768F19F5" w14:textId="77777777" w:rsidR="00182C1F" w:rsidRPr="00AE3513" w:rsidRDefault="00182C1F"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b/>
          <w:bCs/>
          <w:sz w:val="24"/>
          <w:szCs w:val="24"/>
        </w:rPr>
      </w:pPr>
      <w:r w:rsidRPr="00AE3513">
        <w:rPr>
          <w:rFonts w:ascii="Book Antiqua" w:eastAsia="Book Antiqua" w:hAnsi="Book Antiqua" w:cs="Book Antiqua"/>
          <w:sz w:val="24"/>
          <w:szCs w:val="24"/>
        </w:rPr>
        <w:t xml:space="preserve">If at any time after the initiation of a proceeding it appears to the Court that it is appropriate to have the </w:t>
      </w:r>
      <w:r w:rsidR="007C66C1" w:rsidRPr="00AE3513">
        <w:rPr>
          <w:rFonts w:ascii="Book Antiqua" w:eastAsia="Book Antiqua" w:hAnsi="Book Antiqua" w:cs="Book Antiqua"/>
          <w:sz w:val="24"/>
          <w:szCs w:val="24"/>
        </w:rPr>
        <w:t>proceeding managed in the List</w:t>
      </w:r>
      <w:r w:rsidRPr="00AE3513">
        <w:rPr>
          <w:rFonts w:ascii="Book Antiqua" w:eastAsia="Book Antiqua" w:hAnsi="Book Antiqua" w:cs="Book Antiqua"/>
          <w:sz w:val="24"/>
          <w:szCs w:val="24"/>
        </w:rPr>
        <w:t>, the proceeding may be transferred into the List on the Court’s own motion</w:t>
      </w:r>
      <w:r w:rsidR="00984EF6" w:rsidRPr="00AE3513">
        <w:rPr>
          <w:rFonts w:ascii="Book Antiqua" w:eastAsia="Book Antiqua" w:hAnsi="Book Antiqua" w:cs="Book Antiqua"/>
          <w:sz w:val="24"/>
          <w:szCs w:val="24"/>
        </w:rPr>
        <w:t>.</w:t>
      </w:r>
      <w:r w:rsidR="00015396" w:rsidRPr="00AE3513">
        <w:rPr>
          <w:rFonts w:ascii="Book Antiqua" w:eastAsia="Book Antiqua" w:hAnsi="Book Antiqua" w:cs="Book Antiqua"/>
          <w:sz w:val="24"/>
          <w:szCs w:val="24"/>
        </w:rPr>
        <w:t xml:space="preserve"> </w:t>
      </w:r>
      <w:r w:rsidR="00E81517" w:rsidRPr="00AE3513">
        <w:rPr>
          <w:rFonts w:ascii="Book Antiqua" w:eastAsia="Book Antiqua" w:hAnsi="Book Antiqua" w:cs="Book Antiqua"/>
          <w:sz w:val="24"/>
          <w:szCs w:val="24"/>
        </w:rPr>
        <w:t xml:space="preserve"> </w:t>
      </w:r>
      <w:r w:rsidR="00015396" w:rsidRPr="00AE3513">
        <w:rPr>
          <w:rFonts w:ascii="Book Antiqua" w:eastAsia="Book Antiqua" w:hAnsi="Book Antiqua" w:cs="Book Antiqua"/>
          <w:sz w:val="24"/>
          <w:szCs w:val="24"/>
        </w:rPr>
        <w:t xml:space="preserve">This may occur where, </w:t>
      </w:r>
      <w:r w:rsidR="00015396" w:rsidRPr="00AE3513">
        <w:rPr>
          <w:rFonts w:ascii="Book Antiqua" w:eastAsia="Book Antiqua" w:hAnsi="Book Antiqua" w:cs="Book Antiqua"/>
          <w:sz w:val="24"/>
          <w:szCs w:val="24"/>
        </w:rPr>
        <w:lastRenderedPageBreak/>
        <w:t>by virtue of an amended claim, counter-claim or third party claim, an eligible professional liability claim is introduced into the proceeding</w:t>
      </w:r>
      <w:r w:rsidR="00E81517" w:rsidRPr="00AE3513">
        <w:rPr>
          <w:rFonts w:ascii="Book Antiqua" w:eastAsia="Book Antiqua" w:hAnsi="Book Antiqua" w:cs="Book Antiqua"/>
          <w:sz w:val="24"/>
          <w:szCs w:val="24"/>
        </w:rPr>
        <w:t>.</w:t>
      </w:r>
    </w:p>
    <w:p w14:paraId="6AE3BECB" w14:textId="77777777" w:rsidR="00182C1F" w:rsidRPr="00AE3513" w:rsidRDefault="00182C1F"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b/>
          <w:bCs/>
          <w:sz w:val="24"/>
          <w:szCs w:val="24"/>
        </w:rPr>
      </w:pPr>
      <w:r w:rsidRPr="00AE3513">
        <w:rPr>
          <w:rFonts w:ascii="Book Antiqua" w:eastAsia="Book Antiqua" w:hAnsi="Book Antiqua" w:cs="Book Antiqua"/>
          <w:sz w:val="24"/>
          <w:szCs w:val="24"/>
        </w:rPr>
        <w:t xml:space="preserve">Conversely, a proceeding initiated in the List may be transferred out of the List on the Court’s own motion if it appears to the Court that it is appropriate to have the </w:t>
      </w:r>
      <w:r w:rsidR="007C66C1" w:rsidRPr="00AE3513">
        <w:rPr>
          <w:rFonts w:ascii="Book Antiqua" w:eastAsia="Book Antiqua" w:hAnsi="Book Antiqua" w:cs="Book Antiqua"/>
          <w:sz w:val="24"/>
          <w:szCs w:val="24"/>
        </w:rPr>
        <w:t>proceeding managed in a different list</w:t>
      </w:r>
      <w:r w:rsidR="00984EF6" w:rsidRPr="00AE3513">
        <w:rPr>
          <w:rFonts w:ascii="Book Antiqua" w:eastAsia="Book Antiqua" w:hAnsi="Book Antiqua" w:cs="Book Antiqua"/>
          <w:sz w:val="24"/>
          <w:szCs w:val="24"/>
        </w:rPr>
        <w:t>.</w:t>
      </w:r>
    </w:p>
    <w:p w14:paraId="3E1B5613" w14:textId="42E41E51" w:rsidR="00182C1F" w:rsidRPr="00AE3513" w:rsidRDefault="00182C1F"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b/>
          <w:bCs/>
          <w:sz w:val="24"/>
          <w:szCs w:val="24"/>
        </w:rPr>
      </w:pPr>
      <w:r w:rsidRPr="00AE3513">
        <w:rPr>
          <w:rFonts w:ascii="Book Antiqua" w:eastAsia="Book Antiqua" w:hAnsi="Book Antiqua" w:cs="Book Antiqua"/>
          <w:sz w:val="24"/>
          <w:szCs w:val="24"/>
        </w:rPr>
        <w:t>No additional fees will be payable for the inclusion of a proceeding in the List</w:t>
      </w:r>
      <w:r w:rsidR="00984EF6" w:rsidRPr="00AE3513">
        <w:rPr>
          <w:rFonts w:ascii="Book Antiqua" w:eastAsia="Book Antiqua" w:hAnsi="Book Antiqua" w:cs="Book Antiqua"/>
          <w:sz w:val="24"/>
          <w:szCs w:val="24"/>
        </w:rPr>
        <w:t>.</w:t>
      </w:r>
    </w:p>
    <w:p w14:paraId="446BEE81" w14:textId="761077F0" w:rsidR="004C7C35" w:rsidRPr="00C826D2" w:rsidRDefault="004C7C35"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b/>
          <w:bCs/>
          <w:sz w:val="24"/>
          <w:szCs w:val="24"/>
        </w:rPr>
      </w:pPr>
      <w:r w:rsidRPr="00AE3513">
        <w:rPr>
          <w:rFonts w:ascii="Book Antiqua" w:eastAsia="Book Antiqua" w:hAnsi="Book Antiqua" w:cs="Book Antiqua"/>
          <w:bCs/>
          <w:sz w:val="24"/>
          <w:szCs w:val="24"/>
        </w:rPr>
        <w:t>T</w:t>
      </w:r>
      <w:r w:rsidRPr="00AE3513">
        <w:rPr>
          <w:rFonts w:ascii="Book Antiqua" w:eastAsia="Book Antiqua" w:hAnsi="Book Antiqua" w:cs="Book Antiqua"/>
          <w:sz w:val="24"/>
          <w:szCs w:val="24"/>
        </w:rPr>
        <w:t xml:space="preserve">he Court may initiate a transfer of a proceeding in accordance with the </w:t>
      </w:r>
      <w:r w:rsidRPr="00AE3513">
        <w:rPr>
          <w:rFonts w:ascii="Book Antiqua" w:eastAsia="Book Antiqua" w:hAnsi="Book Antiqua" w:cs="Book Antiqua"/>
          <w:i/>
          <w:sz w:val="24"/>
          <w:szCs w:val="24"/>
        </w:rPr>
        <w:t xml:space="preserve">Courts (Case Transfer) Act 1991 </w:t>
      </w:r>
      <w:r w:rsidRPr="00AE3513">
        <w:rPr>
          <w:rFonts w:ascii="Book Antiqua" w:eastAsia="Book Antiqua" w:hAnsi="Book Antiqua" w:cs="Book Antiqua"/>
          <w:sz w:val="24"/>
          <w:szCs w:val="24"/>
        </w:rPr>
        <w:t>(Vic) if it appears that it may be more appropriate for the proceeding to be heard and determined by another court.</w:t>
      </w:r>
    </w:p>
    <w:p w14:paraId="70D619F6" w14:textId="0CF64121" w:rsidR="00C826D2" w:rsidRPr="00C826D2" w:rsidRDefault="00C826D2" w:rsidP="00C826D2">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b/>
          <w:bCs/>
          <w:sz w:val="24"/>
          <w:szCs w:val="24"/>
        </w:rPr>
      </w:pPr>
      <w:r w:rsidRPr="00C826D2">
        <w:rPr>
          <w:rFonts w:ascii="Book Antiqua" w:eastAsia="Book Antiqua" w:hAnsi="Book Antiqua" w:cs="Book Antiqua"/>
          <w:bCs/>
          <w:sz w:val="24"/>
          <w:szCs w:val="24"/>
        </w:rPr>
        <w:t>Case management will, in the first instance, be managed by the Judicial Registrar.</w:t>
      </w:r>
      <w:r>
        <w:rPr>
          <w:rFonts w:ascii="Book Antiqua" w:eastAsia="Book Antiqua" w:hAnsi="Book Antiqua" w:cs="Book Antiqua"/>
          <w:b/>
          <w:bCs/>
          <w:sz w:val="24"/>
          <w:szCs w:val="24"/>
        </w:rPr>
        <w:t xml:space="preserve"> </w:t>
      </w:r>
      <w:r w:rsidRPr="00AE3513">
        <w:rPr>
          <w:rFonts w:ascii="Book Antiqua" w:eastAsia="Book Antiqua" w:hAnsi="Book Antiqua" w:cs="Book Antiqua"/>
          <w:sz w:val="24"/>
          <w:szCs w:val="24"/>
        </w:rPr>
        <w:t>The Judicial Registrar may refer the management of a proceeding, or a specific matter arising in the course of a proceeding, to the Associate Judge or the Judge.</w:t>
      </w:r>
    </w:p>
    <w:p w14:paraId="39C1F922" w14:textId="77777777" w:rsidR="00182C1F" w:rsidRPr="00AE3513" w:rsidRDefault="00182C1F" w:rsidP="00B068C4">
      <w:pPr>
        <w:spacing w:before="120" w:after="120"/>
        <w:ind w:left="720" w:hanging="720"/>
        <w:jc w:val="both"/>
        <w:rPr>
          <w:rFonts w:ascii="Book Antiqua" w:hAnsi="Book Antiqua"/>
          <w:b/>
        </w:rPr>
      </w:pPr>
    </w:p>
    <w:p w14:paraId="617F6C36" w14:textId="77777777" w:rsidR="00182C1F" w:rsidRPr="00AE3513" w:rsidRDefault="00015396" w:rsidP="00AE3513">
      <w:pPr>
        <w:pStyle w:val="ListParagraph"/>
        <w:keepNext/>
        <w:numPr>
          <w:ilvl w:val="0"/>
          <w:numId w:val="2"/>
        </w:numPr>
        <w:autoSpaceDE w:val="0"/>
        <w:autoSpaceDN w:val="0"/>
        <w:adjustRightInd w:val="0"/>
        <w:spacing w:before="120" w:after="120"/>
        <w:contextualSpacing w:val="0"/>
        <w:jc w:val="both"/>
        <w:rPr>
          <w:rFonts w:ascii="Book Antiqua" w:eastAsia="Book Antiqua" w:hAnsi="Book Antiqua" w:cs="Book Antiqua"/>
          <w:b/>
          <w:bCs/>
          <w:sz w:val="24"/>
          <w:szCs w:val="24"/>
        </w:rPr>
      </w:pPr>
      <w:r w:rsidRPr="00AE3513">
        <w:rPr>
          <w:rFonts w:ascii="Book Antiqua" w:eastAsia="Book Antiqua" w:hAnsi="Book Antiqua" w:cs="Book Antiqua"/>
          <w:b/>
          <w:bCs/>
          <w:sz w:val="24"/>
          <w:szCs w:val="24"/>
        </w:rPr>
        <w:t xml:space="preserve">FIRST </w:t>
      </w:r>
      <w:r w:rsidR="00162996" w:rsidRPr="00AE3513">
        <w:rPr>
          <w:rFonts w:ascii="Book Antiqua" w:eastAsia="Book Antiqua" w:hAnsi="Book Antiqua" w:cs="Book Antiqua"/>
          <w:b/>
          <w:bCs/>
          <w:sz w:val="24"/>
          <w:szCs w:val="24"/>
        </w:rPr>
        <w:t>DIRECTION</w:t>
      </w:r>
      <w:r w:rsidRPr="00AE3513">
        <w:rPr>
          <w:rFonts w:ascii="Book Antiqua" w:eastAsia="Book Antiqua" w:hAnsi="Book Antiqua" w:cs="Book Antiqua"/>
          <w:b/>
          <w:bCs/>
          <w:sz w:val="24"/>
          <w:szCs w:val="24"/>
        </w:rPr>
        <w:t>S HEARING</w:t>
      </w:r>
    </w:p>
    <w:p w14:paraId="70672BCE" w14:textId="2A8D7691" w:rsidR="00B14A18" w:rsidRPr="00AE3513" w:rsidRDefault="004C7C35"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D</w:t>
      </w:r>
      <w:r w:rsidR="00015396" w:rsidRPr="00AE3513">
        <w:rPr>
          <w:rFonts w:ascii="Book Antiqua" w:eastAsia="Book Antiqua" w:hAnsi="Book Antiqua" w:cs="Book Antiqua"/>
          <w:sz w:val="24"/>
          <w:szCs w:val="24"/>
        </w:rPr>
        <w:t xml:space="preserve">irections for the management of a proceeding in the List </w:t>
      </w:r>
      <w:r w:rsidRPr="00AE3513">
        <w:rPr>
          <w:rFonts w:ascii="Book Antiqua" w:eastAsia="Book Antiqua" w:hAnsi="Book Antiqua" w:cs="Book Antiqua"/>
          <w:sz w:val="24"/>
          <w:szCs w:val="24"/>
        </w:rPr>
        <w:t xml:space="preserve">will be given </w:t>
      </w:r>
      <w:r w:rsidR="00015396" w:rsidRPr="00AE3513">
        <w:rPr>
          <w:rFonts w:ascii="Book Antiqua" w:eastAsia="Book Antiqua" w:hAnsi="Book Antiqua" w:cs="Book Antiqua"/>
          <w:sz w:val="24"/>
          <w:szCs w:val="24"/>
        </w:rPr>
        <w:t>at a first directions hearing</w:t>
      </w:r>
      <w:r w:rsidR="00AD6C5C" w:rsidRPr="00AE3513">
        <w:rPr>
          <w:rFonts w:ascii="Book Antiqua" w:eastAsia="Book Antiqua" w:hAnsi="Book Antiqua" w:cs="Book Antiqua"/>
          <w:sz w:val="24"/>
          <w:szCs w:val="24"/>
        </w:rPr>
        <w:t xml:space="preserve"> on a List directions day</w:t>
      </w:r>
      <w:r w:rsidR="00015396" w:rsidRPr="00AE3513">
        <w:rPr>
          <w:rFonts w:ascii="Book Antiqua" w:eastAsia="Book Antiqua" w:hAnsi="Book Antiqua" w:cs="Book Antiqua"/>
          <w:sz w:val="24"/>
          <w:szCs w:val="24"/>
        </w:rPr>
        <w:t xml:space="preserve">. </w:t>
      </w:r>
      <w:r w:rsidR="00E81517" w:rsidRPr="00AE3513">
        <w:rPr>
          <w:rFonts w:ascii="Book Antiqua" w:eastAsia="Book Antiqua" w:hAnsi="Book Antiqua" w:cs="Book Antiqua"/>
          <w:sz w:val="24"/>
          <w:szCs w:val="24"/>
        </w:rPr>
        <w:t xml:space="preserve"> </w:t>
      </w:r>
      <w:r w:rsidR="00015396" w:rsidRPr="00AE3513">
        <w:rPr>
          <w:rFonts w:ascii="Book Antiqua" w:eastAsia="Book Antiqua" w:hAnsi="Book Antiqua" w:cs="Book Antiqua"/>
          <w:sz w:val="24"/>
          <w:szCs w:val="24"/>
        </w:rPr>
        <w:t>The Court will generally notify the parties of the date and time of the first directions hearing within 14 days of the filing of the first defence</w:t>
      </w:r>
      <w:r w:rsidR="00B14A18" w:rsidRPr="00AE3513">
        <w:rPr>
          <w:rFonts w:ascii="Book Antiqua" w:eastAsia="Book Antiqua" w:hAnsi="Book Antiqua" w:cs="Book Antiqua"/>
          <w:sz w:val="24"/>
          <w:szCs w:val="24"/>
        </w:rPr>
        <w:t>.</w:t>
      </w:r>
    </w:p>
    <w:p w14:paraId="41087605" w14:textId="77777777" w:rsidR="00015396" w:rsidRPr="00AE3513" w:rsidRDefault="00015396"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 xml:space="preserve">At the first directions hearing, the Court expects that each party's representative will be properly briefed and familiar with the proceeding, and will be able to deal fully with all issues that might arise. </w:t>
      </w:r>
      <w:r w:rsidR="00E81517" w:rsidRPr="00AE3513">
        <w:rPr>
          <w:rFonts w:ascii="Book Antiqua" w:eastAsia="Book Antiqua" w:hAnsi="Book Antiqua" w:cs="Book Antiqua"/>
          <w:sz w:val="24"/>
          <w:szCs w:val="24"/>
        </w:rPr>
        <w:t xml:space="preserve"> </w:t>
      </w:r>
      <w:r w:rsidRPr="00AE3513">
        <w:rPr>
          <w:rFonts w:ascii="Book Antiqua" w:eastAsia="Book Antiqua" w:hAnsi="Book Antiqua" w:cs="Book Antiqua"/>
          <w:sz w:val="24"/>
          <w:szCs w:val="24"/>
        </w:rPr>
        <w:t xml:space="preserve">This expectation applies equally to self-represented litigants. </w:t>
      </w:r>
      <w:r w:rsidR="00E81517" w:rsidRPr="00AE3513">
        <w:rPr>
          <w:rFonts w:ascii="Book Antiqua" w:eastAsia="Book Antiqua" w:hAnsi="Book Antiqua" w:cs="Book Antiqua"/>
          <w:sz w:val="24"/>
          <w:szCs w:val="24"/>
        </w:rPr>
        <w:t xml:space="preserve"> </w:t>
      </w:r>
      <w:r w:rsidRPr="00AE3513">
        <w:rPr>
          <w:rFonts w:ascii="Book Antiqua" w:eastAsia="Book Antiqua" w:hAnsi="Book Antiqua" w:cs="Book Antiqua"/>
          <w:sz w:val="24"/>
          <w:szCs w:val="24"/>
        </w:rPr>
        <w:t>If counsel have been retained to appear in the trial of the proceeding by the time of the first direction</w:t>
      </w:r>
      <w:r w:rsidR="00BE5BB7" w:rsidRPr="00AE3513">
        <w:rPr>
          <w:rFonts w:ascii="Book Antiqua" w:eastAsia="Book Antiqua" w:hAnsi="Book Antiqua" w:cs="Book Antiqua"/>
          <w:sz w:val="24"/>
          <w:szCs w:val="24"/>
        </w:rPr>
        <w:t>s</w:t>
      </w:r>
      <w:r w:rsidRPr="00AE3513">
        <w:rPr>
          <w:rFonts w:ascii="Book Antiqua" w:eastAsia="Book Antiqua" w:hAnsi="Book Antiqua" w:cs="Book Antiqua"/>
          <w:sz w:val="24"/>
          <w:szCs w:val="24"/>
        </w:rPr>
        <w:t xml:space="preserve"> hearing, parties are strongly encouraged to brief such counsel to appear at the directions hearing.</w:t>
      </w:r>
    </w:p>
    <w:p w14:paraId="7CA48524" w14:textId="77777777" w:rsidR="00015396" w:rsidRPr="00AE3513" w:rsidRDefault="00015396"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At the first directions hearing, all parties are expected to have considered:</w:t>
      </w:r>
    </w:p>
    <w:p w14:paraId="4E94A26D" w14:textId="77777777" w:rsidR="00015396" w:rsidRPr="00AE3513" w:rsidRDefault="00BE5BB7" w:rsidP="00AE3513">
      <w:pPr>
        <w:pStyle w:val="ListParagraph"/>
        <w:numPr>
          <w:ilvl w:val="0"/>
          <w:numId w:val="6"/>
        </w:numPr>
        <w:spacing w:before="120" w:after="120"/>
        <w:ind w:left="144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t</w:t>
      </w:r>
      <w:r w:rsidR="00015396" w:rsidRPr="00AE3513">
        <w:rPr>
          <w:rFonts w:ascii="Book Antiqua" w:eastAsia="Book Antiqua" w:hAnsi="Book Antiqua" w:cs="Book Antiqua"/>
          <w:sz w:val="24"/>
          <w:szCs w:val="24"/>
        </w:rPr>
        <w:t>he nature of the claim, and the key legal and factual issues which may arise;</w:t>
      </w:r>
    </w:p>
    <w:p w14:paraId="3727FC40" w14:textId="77777777" w:rsidR="00015396" w:rsidRPr="00AE3513" w:rsidRDefault="00BE5BB7" w:rsidP="00AE3513">
      <w:pPr>
        <w:pStyle w:val="ListParagraph"/>
        <w:numPr>
          <w:ilvl w:val="0"/>
          <w:numId w:val="6"/>
        </w:numPr>
        <w:spacing w:before="120" w:after="120"/>
        <w:ind w:left="144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w</w:t>
      </w:r>
      <w:r w:rsidR="00015396" w:rsidRPr="00AE3513">
        <w:rPr>
          <w:rFonts w:ascii="Book Antiqua" w:eastAsia="Book Antiqua" w:hAnsi="Book Antiqua" w:cs="Book Antiqua"/>
          <w:sz w:val="24"/>
          <w:szCs w:val="24"/>
        </w:rPr>
        <w:t>hether the parties have given each other sufficient information to understand the principal questions in issue;</w:t>
      </w:r>
    </w:p>
    <w:p w14:paraId="1404F620" w14:textId="77777777" w:rsidR="00015396" w:rsidRPr="00AE3513" w:rsidRDefault="00BE5BB7" w:rsidP="00AE3513">
      <w:pPr>
        <w:pStyle w:val="ListParagraph"/>
        <w:numPr>
          <w:ilvl w:val="0"/>
          <w:numId w:val="6"/>
        </w:numPr>
        <w:spacing w:before="120" w:after="120"/>
        <w:ind w:left="144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t</w:t>
      </w:r>
      <w:r w:rsidR="00015396" w:rsidRPr="00AE3513">
        <w:rPr>
          <w:rFonts w:ascii="Book Antiqua" w:eastAsia="Book Antiqua" w:hAnsi="Book Antiqua" w:cs="Book Antiqua"/>
          <w:sz w:val="24"/>
          <w:szCs w:val="24"/>
        </w:rPr>
        <w:t xml:space="preserve">heir compliance with section 26 of the </w:t>
      </w:r>
      <w:r w:rsidR="00015396" w:rsidRPr="00AE3513">
        <w:rPr>
          <w:rFonts w:ascii="Book Antiqua" w:eastAsia="Book Antiqua" w:hAnsi="Book Antiqua" w:cs="Book Antiqua"/>
          <w:i/>
          <w:iCs/>
          <w:sz w:val="24"/>
          <w:szCs w:val="24"/>
        </w:rPr>
        <w:t>Civil Procedure Act</w:t>
      </w:r>
      <w:r w:rsidR="00015396" w:rsidRPr="00AE3513">
        <w:rPr>
          <w:rFonts w:ascii="Book Antiqua" w:eastAsia="Book Antiqua" w:hAnsi="Book Antiqua" w:cs="Book Antiqua"/>
          <w:sz w:val="24"/>
          <w:szCs w:val="24"/>
        </w:rPr>
        <w:t xml:space="preserve"> </w:t>
      </w:r>
      <w:r w:rsidR="00015396" w:rsidRPr="00AE3513">
        <w:rPr>
          <w:rFonts w:ascii="Book Antiqua" w:eastAsia="Book Antiqua" w:hAnsi="Book Antiqua" w:cs="Book Antiqua"/>
          <w:i/>
          <w:iCs/>
          <w:sz w:val="24"/>
          <w:szCs w:val="24"/>
        </w:rPr>
        <w:t>2010</w:t>
      </w:r>
      <w:r w:rsidR="00015396" w:rsidRPr="00AE3513">
        <w:rPr>
          <w:rFonts w:ascii="Book Antiqua" w:eastAsia="Book Antiqua" w:hAnsi="Book Antiqua" w:cs="Book Antiqua"/>
          <w:sz w:val="24"/>
          <w:szCs w:val="24"/>
        </w:rPr>
        <w:t>;</w:t>
      </w:r>
    </w:p>
    <w:p w14:paraId="1D62D90F" w14:textId="77777777" w:rsidR="00015396" w:rsidRPr="00AE3513" w:rsidRDefault="00BE5BB7" w:rsidP="00AE3513">
      <w:pPr>
        <w:pStyle w:val="ListParagraph"/>
        <w:numPr>
          <w:ilvl w:val="0"/>
          <w:numId w:val="6"/>
        </w:numPr>
        <w:spacing w:before="120" w:after="120"/>
        <w:ind w:left="144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t</w:t>
      </w:r>
      <w:r w:rsidR="00015396" w:rsidRPr="00AE3513">
        <w:rPr>
          <w:rFonts w:ascii="Book Antiqua" w:eastAsia="Book Antiqua" w:hAnsi="Book Antiqua" w:cs="Book Antiqua"/>
          <w:sz w:val="24"/>
          <w:szCs w:val="24"/>
        </w:rPr>
        <w:t>he likely duration and the mode of the trial;</w:t>
      </w:r>
    </w:p>
    <w:p w14:paraId="742DC719" w14:textId="017D92A5" w:rsidR="00015396" w:rsidRPr="00AE3513" w:rsidRDefault="00BE5BB7" w:rsidP="00AE3513">
      <w:pPr>
        <w:pStyle w:val="ListParagraph"/>
        <w:numPr>
          <w:ilvl w:val="0"/>
          <w:numId w:val="6"/>
        </w:numPr>
        <w:spacing w:before="120" w:after="120"/>
        <w:ind w:left="144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t</w:t>
      </w:r>
      <w:r w:rsidR="00015396" w:rsidRPr="00AE3513">
        <w:rPr>
          <w:rFonts w:ascii="Book Antiqua" w:eastAsia="Book Antiqua" w:hAnsi="Book Antiqua" w:cs="Book Antiqua"/>
          <w:sz w:val="24"/>
          <w:szCs w:val="24"/>
        </w:rPr>
        <w:t xml:space="preserve">he </w:t>
      </w:r>
      <w:r w:rsidR="004625E2" w:rsidRPr="00AE3513">
        <w:rPr>
          <w:rFonts w:ascii="Book Antiqua" w:eastAsia="Book Antiqua" w:hAnsi="Book Antiqua" w:cs="Book Antiqua"/>
          <w:sz w:val="24"/>
          <w:szCs w:val="24"/>
        </w:rPr>
        <w:t xml:space="preserve">timing </w:t>
      </w:r>
      <w:r w:rsidR="00015396" w:rsidRPr="00AE3513">
        <w:rPr>
          <w:rFonts w:ascii="Book Antiqua" w:eastAsia="Book Antiqua" w:hAnsi="Book Antiqua" w:cs="Book Antiqua"/>
          <w:sz w:val="24"/>
          <w:szCs w:val="24"/>
        </w:rPr>
        <w:t>of mediation or other form of alternative dispute resolution;</w:t>
      </w:r>
    </w:p>
    <w:p w14:paraId="1B3C0232" w14:textId="77777777" w:rsidR="00015396" w:rsidRPr="00AE3513" w:rsidRDefault="00BE5BB7" w:rsidP="00AE3513">
      <w:pPr>
        <w:pStyle w:val="ListParagraph"/>
        <w:numPr>
          <w:ilvl w:val="0"/>
          <w:numId w:val="6"/>
        </w:numPr>
        <w:spacing w:before="120" w:after="120"/>
        <w:ind w:left="144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j</w:t>
      </w:r>
      <w:r w:rsidR="00015396" w:rsidRPr="00AE3513">
        <w:rPr>
          <w:rFonts w:ascii="Book Antiqua" w:eastAsia="Book Antiqua" w:hAnsi="Book Antiqua" w:cs="Book Antiqua"/>
          <w:sz w:val="24"/>
          <w:szCs w:val="24"/>
        </w:rPr>
        <w:t>oinder of any further parties;</w:t>
      </w:r>
    </w:p>
    <w:p w14:paraId="682CF23B" w14:textId="77777777" w:rsidR="00015396" w:rsidRPr="00AE3513" w:rsidRDefault="00BE5BB7" w:rsidP="00AE3513">
      <w:pPr>
        <w:pStyle w:val="ListParagraph"/>
        <w:numPr>
          <w:ilvl w:val="0"/>
          <w:numId w:val="6"/>
        </w:numPr>
        <w:spacing w:before="120" w:after="120"/>
        <w:ind w:left="144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w</w:t>
      </w:r>
      <w:r w:rsidR="00015396" w:rsidRPr="00AE3513">
        <w:rPr>
          <w:rFonts w:ascii="Book Antiqua" w:eastAsia="Book Antiqua" w:hAnsi="Book Antiqua" w:cs="Book Antiqua"/>
          <w:sz w:val="24"/>
          <w:szCs w:val="24"/>
        </w:rPr>
        <w:t>hether apportionment is sought against any party or other person;</w:t>
      </w:r>
    </w:p>
    <w:p w14:paraId="1F55B8DF" w14:textId="77777777" w:rsidR="00015396" w:rsidRPr="00AE3513" w:rsidRDefault="00BE5BB7" w:rsidP="00AE3513">
      <w:pPr>
        <w:pStyle w:val="ListParagraph"/>
        <w:numPr>
          <w:ilvl w:val="0"/>
          <w:numId w:val="6"/>
        </w:numPr>
        <w:spacing w:before="120" w:after="120"/>
        <w:ind w:left="144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t</w:t>
      </w:r>
      <w:r w:rsidR="00015396" w:rsidRPr="00AE3513">
        <w:rPr>
          <w:rFonts w:ascii="Book Antiqua" w:eastAsia="Book Antiqua" w:hAnsi="Book Antiqua" w:cs="Book Antiqua"/>
          <w:sz w:val="24"/>
          <w:szCs w:val="24"/>
        </w:rPr>
        <w:t>he filing and service of any further pleadings;</w:t>
      </w:r>
    </w:p>
    <w:p w14:paraId="36A20B05" w14:textId="2E0A9E89" w:rsidR="00015396" w:rsidRPr="00AE3513" w:rsidRDefault="00BE5BB7" w:rsidP="00AE3513">
      <w:pPr>
        <w:pStyle w:val="ListParagraph"/>
        <w:numPr>
          <w:ilvl w:val="0"/>
          <w:numId w:val="6"/>
        </w:numPr>
        <w:spacing w:before="120" w:after="120"/>
        <w:ind w:left="144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t</w:t>
      </w:r>
      <w:r w:rsidR="00015396" w:rsidRPr="00AE3513">
        <w:rPr>
          <w:rFonts w:ascii="Book Antiqua" w:eastAsia="Book Antiqua" w:hAnsi="Book Antiqua" w:cs="Book Antiqua"/>
          <w:sz w:val="24"/>
          <w:szCs w:val="24"/>
        </w:rPr>
        <w:t>he provision of proper particulars;</w:t>
      </w:r>
    </w:p>
    <w:p w14:paraId="6870C968" w14:textId="01FD3AC8" w:rsidR="00400990" w:rsidRPr="00AE3513" w:rsidRDefault="00400990" w:rsidP="00AE3513">
      <w:pPr>
        <w:pStyle w:val="ListParagraph"/>
        <w:numPr>
          <w:ilvl w:val="0"/>
          <w:numId w:val="6"/>
        </w:numPr>
        <w:spacing w:before="120" w:after="120"/>
        <w:ind w:left="144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whether interrogatories are required;</w:t>
      </w:r>
    </w:p>
    <w:p w14:paraId="018D87A7" w14:textId="46319931" w:rsidR="00015396" w:rsidRPr="00AE3513" w:rsidRDefault="00BE5BB7" w:rsidP="00AE3513">
      <w:pPr>
        <w:pStyle w:val="ListParagraph"/>
        <w:numPr>
          <w:ilvl w:val="0"/>
          <w:numId w:val="6"/>
        </w:numPr>
        <w:spacing w:before="120" w:after="120"/>
        <w:ind w:left="144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lastRenderedPageBreak/>
        <w:t>t</w:t>
      </w:r>
      <w:r w:rsidR="00015396" w:rsidRPr="00AE3513">
        <w:rPr>
          <w:rFonts w:ascii="Book Antiqua" w:eastAsia="Book Antiqua" w:hAnsi="Book Antiqua" w:cs="Book Antiqua"/>
          <w:sz w:val="24"/>
          <w:szCs w:val="24"/>
        </w:rPr>
        <w:t xml:space="preserve">he scope of discovery </w:t>
      </w:r>
      <w:r w:rsidR="00DC7B6F" w:rsidRPr="00AE3513">
        <w:rPr>
          <w:rFonts w:ascii="Book Antiqua" w:eastAsia="Book Antiqua" w:hAnsi="Book Antiqua" w:cs="Book Antiqua"/>
          <w:sz w:val="24"/>
          <w:szCs w:val="24"/>
        </w:rPr>
        <w:t xml:space="preserve">and, having regard to Parts C &amp; D of the Technology Practice Note, the appropriate method of discovery and exchange/inspection of documents; </w:t>
      </w:r>
    </w:p>
    <w:p w14:paraId="7C9D8B99" w14:textId="6D61A7E5" w:rsidR="00015396" w:rsidRPr="00AE3513" w:rsidRDefault="00BE5BB7" w:rsidP="00AE3513">
      <w:pPr>
        <w:pStyle w:val="ListParagraph"/>
        <w:numPr>
          <w:ilvl w:val="0"/>
          <w:numId w:val="6"/>
        </w:numPr>
        <w:spacing w:before="120" w:after="120"/>
        <w:ind w:left="144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w</w:t>
      </w:r>
      <w:r w:rsidR="00015396" w:rsidRPr="00AE3513">
        <w:rPr>
          <w:rFonts w:ascii="Book Antiqua" w:eastAsia="Book Antiqua" w:hAnsi="Book Antiqua" w:cs="Book Antiqua"/>
          <w:sz w:val="24"/>
          <w:szCs w:val="24"/>
        </w:rPr>
        <w:t>hether expert evidence is appropriate for the resolution of the issues in dispute and, if so, the nature and scope of any likely expert evidence</w:t>
      </w:r>
      <w:r w:rsidR="005953D9" w:rsidRPr="00AE3513">
        <w:rPr>
          <w:rFonts w:ascii="Book Antiqua" w:eastAsia="Book Antiqua" w:hAnsi="Book Antiqua" w:cs="Book Antiqua"/>
          <w:sz w:val="24"/>
          <w:szCs w:val="24"/>
        </w:rPr>
        <w:t xml:space="preserve"> and whether a common expert might be jointly retained</w:t>
      </w:r>
      <w:r w:rsidR="000772A7">
        <w:rPr>
          <w:rFonts w:ascii="Book Antiqua" w:eastAsia="Book Antiqua" w:hAnsi="Book Antiqua" w:cs="Book Antiqua"/>
          <w:sz w:val="24"/>
          <w:szCs w:val="24"/>
        </w:rPr>
        <w:t xml:space="preserve"> (but, see paragraph 6.10 below)</w:t>
      </w:r>
      <w:r w:rsidR="00015396" w:rsidRPr="00AE3513">
        <w:rPr>
          <w:rFonts w:ascii="Book Antiqua" w:eastAsia="Book Antiqua" w:hAnsi="Book Antiqua" w:cs="Book Antiqua"/>
          <w:sz w:val="24"/>
          <w:szCs w:val="24"/>
        </w:rPr>
        <w:t>;</w:t>
      </w:r>
    </w:p>
    <w:p w14:paraId="5E0DC807" w14:textId="3317731C" w:rsidR="006D1C78" w:rsidRPr="00AE3513" w:rsidRDefault="006D1C78" w:rsidP="00AE3513">
      <w:pPr>
        <w:pStyle w:val="ListParagraph"/>
        <w:numPr>
          <w:ilvl w:val="0"/>
          <w:numId w:val="6"/>
        </w:numPr>
        <w:spacing w:before="120" w:after="120"/>
        <w:ind w:left="144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whether questions in the proceeding should be referred to a special referee pursuant to Order 50 of the Rules or to a Court appointed expert pursuant to s</w:t>
      </w:r>
      <w:r w:rsidR="00B951D2" w:rsidRPr="00AE3513">
        <w:rPr>
          <w:rFonts w:ascii="Book Antiqua" w:eastAsia="Book Antiqua" w:hAnsi="Book Antiqua" w:cs="Book Antiqua"/>
          <w:sz w:val="24"/>
          <w:szCs w:val="24"/>
        </w:rPr>
        <w:t>ection</w:t>
      </w:r>
      <w:r w:rsidRPr="00AE3513">
        <w:rPr>
          <w:rFonts w:ascii="Book Antiqua" w:eastAsia="Book Antiqua" w:hAnsi="Book Antiqua" w:cs="Book Antiqua"/>
          <w:sz w:val="24"/>
          <w:szCs w:val="24"/>
        </w:rPr>
        <w:t xml:space="preserve"> 65M </w:t>
      </w:r>
      <w:r w:rsidRPr="00AE3513">
        <w:rPr>
          <w:rFonts w:ascii="Book Antiqua" w:eastAsia="Book Antiqua" w:hAnsi="Book Antiqua" w:cs="Book Antiqua"/>
          <w:i/>
          <w:sz w:val="24"/>
          <w:szCs w:val="24"/>
        </w:rPr>
        <w:t xml:space="preserve">Civil Procedure Act 2010, </w:t>
      </w:r>
      <w:r w:rsidRPr="00AE3513">
        <w:rPr>
          <w:rFonts w:ascii="Book Antiqua" w:eastAsia="Book Antiqua" w:hAnsi="Book Antiqua" w:cs="Book Antiqua"/>
          <w:sz w:val="24"/>
          <w:szCs w:val="24"/>
        </w:rPr>
        <w:t>and, if so, at what stage;</w:t>
      </w:r>
    </w:p>
    <w:p w14:paraId="4301645B" w14:textId="77777777" w:rsidR="00015396" w:rsidRPr="00AE3513" w:rsidRDefault="00BE5BB7" w:rsidP="00AE3513">
      <w:pPr>
        <w:pStyle w:val="ListParagraph"/>
        <w:numPr>
          <w:ilvl w:val="0"/>
          <w:numId w:val="6"/>
        </w:numPr>
        <w:spacing w:before="120" w:after="120"/>
        <w:ind w:left="144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t</w:t>
      </w:r>
      <w:r w:rsidR="00015396" w:rsidRPr="00AE3513">
        <w:rPr>
          <w:rFonts w:ascii="Book Antiqua" w:eastAsia="Book Antiqua" w:hAnsi="Book Antiqua" w:cs="Book Antiqua"/>
          <w:sz w:val="24"/>
          <w:szCs w:val="24"/>
        </w:rPr>
        <w:t>he timing for the filing and service of any evidence or affidavits; and</w:t>
      </w:r>
    </w:p>
    <w:p w14:paraId="2773CB5B" w14:textId="77777777" w:rsidR="00015396" w:rsidRPr="00AE3513" w:rsidRDefault="00BE5BB7" w:rsidP="00AE3513">
      <w:pPr>
        <w:pStyle w:val="ListParagraph"/>
        <w:numPr>
          <w:ilvl w:val="0"/>
          <w:numId w:val="6"/>
        </w:numPr>
        <w:spacing w:before="120" w:after="120"/>
        <w:ind w:left="144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w</w:t>
      </w:r>
      <w:r w:rsidR="00015396" w:rsidRPr="00AE3513">
        <w:rPr>
          <w:rFonts w:ascii="Book Antiqua" w:eastAsia="Book Antiqua" w:hAnsi="Book Antiqua" w:cs="Book Antiqua"/>
          <w:sz w:val="24"/>
          <w:szCs w:val="24"/>
        </w:rPr>
        <w:t>hether an order should be made for the separate trial of any question.</w:t>
      </w:r>
    </w:p>
    <w:p w14:paraId="204D22CD" w14:textId="77777777" w:rsidR="00EE72C0" w:rsidRPr="00AE3513" w:rsidRDefault="00EE72C0"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In considering the matters set out in paragraph 6.3, and any other directions required to progress the matter, parties should note that:</w:t>
      </w:r>
    </w:p>
    <w:p w14:paraId="4A3CC38D" w14:textId="77777777" w:rsidR="00EE72C0" w:rsidRPr="00AE3513" w:rsidRDefault="002B43DF" w:rsidP="00AE3513">
      <w:pPr>
        <w:numPr>
          <w:ilvl w:val="0"/>
          <w:numId w:val="7"/>
        </w:numPr>
        <w:spacing w:before="120" w:after="120"/>
        <w:ind w:left="1440"/>
        <w:jc w:val="both"/>
        <w:rPr>
          <w:rFonts w:ascii="Book Antiqua" w:eastAsia="Book Antiqua" w:hAnsi="Book Antiqua" w:cs="Book Antiqua"/>
        </w:rPr>
      </w:pPr>
      <w:r w:rsidRPr="00AE3513">
        <w:rPr>
          <w:rFonts w:ascii="Book Antiqua" w:eastAsia="Book Antiqua" w:hAnsi="Book Antiqua" w:cs="Book Antiqua"/>
        </w:rPr>
        <w:t>l</w:t>
      </w:r>
      <w:r w:rsidR="00EE72C0" w:rsidRPr="00AE3513">
        <w:rPr>
          <w:rFonts w:ascii="Book Antiqua" w:eastAsia="Book Antiqua" w:hAnsi="Book Antiqua" w:cs="Book Antiqua"/>
        </w:rPr>
        <w:t>eave is required for the filing and service of interrogatories, notwithstanding any consent minutes filed by the parties providing for them; and</w:t>
      </w:r>
    </w:p>
    <w:p w14:paraId="1826D117" w14:textId="77777777" w:rsidR="00EE72C0" w:rsidRPr="00AE3513" w:rsidRDefault="002B43DF" w:rsidP="00AE3513">
      <w:pPr>
        <w:numPr>
          <w:ilvl w:val="0"/>
          <w:numId w:val="7"/>
        </w:numPr>
        <w:spacing w:before="120" w:after="120"/>
        <w:ind w:left="1440"/>
        <w:jc w:val="both"/>
        <w:rPr>
          <w:rFonts w:ascii="Book Antiqua" w:eastAsia="Book Antiqua" w:hAnsi="Book Antiqua" w:cs="Book Antiqua"/>
        </w:rPr>
      </w:pPr>
      <w:r w:rsidRPr="00AE3513">
        <w:rPr>
          <w:rFonts w:ascii="Book Antiqua" w:eastAsia="Book Antiqua" w:hAnsi="Book Antiqua" w:cs="Book Antiqua"/>
        </w:rPr>
        <w:t>g</w:t>
      </w:r>
      <w:r w:rsidR="00EE72C0" w:rsidRPr="00AE3513">
        <w:rPr>
          <w:rFonts w:ascii="Book Antiqua" w:eastAsia="Book Antiqua" w:hAnsi="Book Antiqua" w:cs="Book Antiqua"/>
        </w:rPr>
        <w:t>enerally, orders will not be made for witness statements and all witnesses will be required to give oral evidence at trial.</w:t>
      </w:r>
    </w:p>
    <w:p w14:paraId="2430232B" w14:textId="77777777" w:rsidR="004625E2" w:rsidRPr="00AE3513" w:rsidRDefault="00DC2067"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 xml:space="preserve">In most cases, proceedings will be listed for trial at the first directions hearing.  Parties and practitioners should be in a position to provide an estimate of the length of the trial.  Trial dates will be fixed approximately one year after the first directions hearing.  </w:t>
      </w:r>
    </w:p>
    <w:p w14:paraId="65C1EADB" w14:textId="5D74CC26" w:rsidR="00DC2067" w:rsidRPr="00AE3513" w:rsidRDefault="00DC2067"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 xml:space="preserve">If the parties form the view that there is likely to be a substantial change in the estimated length of the trial, they should promptly notify the </w:t>
      </w:r>
      <w:r w:rsidR="00A12BE6" w:rsidRPr="00AE3513">
        <w:rPr>
          <w:rFonts w:ascii="Book Antiqua" w:eastAsia="Book Antiqua" w:hAnsi="Book Antiqua" w:cs="Book Antiqua"/>
          <w:sz w:val="24"/>
          <w:szCs w:val="24"/>
        </w:rPr>
        <w:t xml:space="preserve">List Coordinator </w:t>
      </w:r>
      <w:r w:rsidRPr="00AE3513">
        <w:rPr>
          <w:rFonts w:ascii="Book Antiqua" w:eastAsia="Book Antiqua" w:hAnsi="Book Antiqua" w:cs="Book Antiqua"/>
          <w:sz w:val="24"/>
          <w:szCs w:val="24"/>
        </w:rPr>
        <w:t xml:space="preserve"> A change in the estimate would not ordinarily lead to a trial date being vacated.  </w:t>
      </w:r>
    </w:p>
    <w:p w14:paraId="5B5BC346" w14:textId="77777777" w:rsidR="00015396" w:rsidRPr="00AE3513" w:rsidRDefault="00775612"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Consent orders will not usually be made on the papers prior to the first directions hearing.</w:t>
      </w:r>
    </w:p>
    <w:p w14:paraId="6A5F4DF6" w14:textId="176A2570" w:rsidR="004625E2" w:rsidRPr="00AE3513" w:rsidRDefault="00DC2067"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 xml:space="preserve">Sample standard orders which will be made at the first directions hearing </w:t>
      </w:r>
      <w:r w:rsidR="00A12BE6" w:rsidRPr="00AE3513">
        <w:rPr>
          <w:rFonts w:ascii="Book Antiqua" w:eastAsia="Book Antiqua" w:hAnsi="Book Antiqua" w:cs="Book Antiqua"/>
          <w:sz w:val="24"/>
          <w:szCs w:val="24"/>
        </w:rPr>
        <w:t>can be accessed via the List webpage on the Court’s website.</w:t>
      </w:r>
    </w:p>
    <w:p w14:paraId="653EC808" w14:textId="71F990BA" w:rsidR="004625E2" w:rsidRPr="00AE3513" w:rsidRDefault="004625E2"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 xml:space="preserve">In some proceedings within the List, a case management conference </w:t>
      </w:r>
      <w:r w:rsidR="00A12BE6" w:rsidRPr="00AE3513">
        <w:rPr>
          <w:rFonts w:ascii="Book Antiqua" w:eastAsia="Book Antiqua" w:hAnsi="Book Antiqua" w:cs="Book Antiqua"/>
          <w:sz w:val="24"/>
          <w:szCs w:val="24"/>
        </w:rPr>
        <w:t xml:space="preserve">may be convened </w:t>
      </w:r>
      <w:r w:rsidRPr="00AE3513">
        <w:rPr>
          <w:rFonts w:ascii="Book Antiqua" w:eastAsia="Book Antiqua" w:hAnsi="Book Antiqua" w:cs="Book Antiqua"/>
          <w:sz w:val="24"/>
          <w:szCs w:val="24"/>
        </w:rPr>
        <w:t>prior to the first directions hearing, or in substitution for the first directions hearing</w:t>
      </w:r>
      <w:r w:rsidR="00DC2067" w:rsidRPr="00AE3513">
        <w:rPr>
          <w:rFonts w:ascii="Book Antiqua" w:eastAsia="Book Antiqua" w:hAnsi="Book Antiqua" w:cs="Book Antiqua"/>
          <w:sz w:val="24"/>
          <w:szCs w:val="24"/>
        </w:rPr>
        <w:t>, to enable more detailed consideration of the matters referred to in paragraph 6.3</w:t>
      </w:r>
      <w:r w:rsidRPr="00AE3513">
        <w:rPr>
          <w:rFonts w:ascii="Book Antiqua" w:eastAsia="Book Antiqua" w:hAnsi="Book Antiqua" w:cs="Book Antiqua"/>
          <w:sz w:val="24"/>
          <w:szCs w:val="24"/>
        </w:rPr>
        <w:t>.</w:t>
      </w:r>
    </w:p>
    <w:p w14:paraId="2DF5F1BA" w14:textId="5E2D3460" w:rsidR="003A737F" w:rsidRPr="00AE3513" w:rsidRDefault="003A737F"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 xml:space="preserve">Parties are reminded that, pursuant to section 65G of the </w:t>
      </w:r>
      <w:r w:rsidRPr="00AE3513">
        <w:rPr>
          <w:rFonts w:ascii="Book Antiqua" w:eastAsia="Book Antiqua" w:hAnsi="Book Antiqua" w:cs="Book Antiqua"/>
          <w:i/>
          <w:sz w:val="24"/>
          <w:szCs w:val="24"/>
        </w:rPr>
        <w:t>Civil Procedure Act 2010</w:t>
      </w:r>
      <w:r w:rsidRPr="00AE3513">
        <w:rPr>
          <w:rFonts w:ascii="Book Antiqua" w:eastAsia="Book Antiqua" w:hAnsi="Book Antiqua" w:cs="Book Antiqua"/>
          <w:sz w:val="24"/>
          <w:szCs w:val="24"/>
        </w:rPr>
        <w:t xml:space="preserve">, directions must be sought from the Court as soon as practicable by a party </w:t>
      </w:r>
      <w:r w:rsidR="005E0365" w:rsidRPr="00AE3513">
        <w:rPr>
          <w:rFonts w:ascii="Book Antiqua" w:eastAsia="Book Antiqua" w:hAnsi="Book Antiqua" w:cs="Book Antiqua"/>
          <w:sz w:val="24"/>
          <w:szCs w:val="24"/>
        </w:rPr>
        <w:t xml:space="preserve">intending </w:t>
      </w:r>
      <w:r w:rsidRPr="00AE3513">
        <w:rPr>
          <w:rFonts w:ascii="Book Antiqua" w:eastAsia="Book Antiqua" w:hAnsi="Book Antiqua" w:cs="Book Antiqua"/>
          <w:sz w:val="24"/>
          <w:szCs w:val="24"/>
        </w:rPr>
        <w:t>to adduce expert evidence at trial, or becomes aware that they may adduce expert evidence at trial.</w:t>
      </w:r>
    </w:p>
    <w:p w14:paraId="348CC9CD" w14:textId="77777777" w:rsidR="00400B2E" w:rsidRPr="00AE3513" w:rsidRDefault="00400B2E" w:rsidP="00AE3513">
      <w:pPr>
        <w:autoSpaceDE w:val="0"/>
        <w:autoSpaceDN w:val="0"/>
        <w:adjustRightInd w:val="0"/>
        <w:spacing w:before="120" w:after="120"/>
        <w:ind w:left="720" w:hanging="720"/>
        <w:jc w:val="both"/>
        <w:rPr>
          <w:rFonts w:ascii="Book Antiqua" w:hAnsi="Book Antiqua"/>
          <w:b/>
        </w:rPr>
      </w:pPr>
    </w:p>
    <w:p w14:paraId="182690B9" w14:textId="77777777" w:rsidR="00400B2E" w:rsidRPr="00AE3513" w:rsidRDefault="00775612" w:rsidP="00AE3513">
      <w:pPr>
        <w:pStyle w:val="ListParagraph"/>
        <w:keepNext/>
        <w:numPr>
          <w:ilvl w:val="0"/>
          <w:numId w:val="2"/>
        </w:numPr>
        <w:autoSpaceDE w:val="0"/>
        <w:autoSpaceDN w:val="0"/>
        <w:adjustRightInd w:val="0"/>
        <w:spacing w:before="120" w:after="120"/>
        <w:contextualSpacing w:val="0"/>
        <w:rPr>
          <w:rFonts w:ascii="Book Antiqua" w:eastAsia="Book Antiqua" w:hAnsi="Book Antiqua" w:cs="Book Antiqua"/>
          <w:b/>
          <w:bCs/>
          <w:sz w:val="24"/>
          <w:szCs w:val="24"/>
        </w:rPr>
      </w:pPr>
      <w:r w:rsidRPr="00AE3513">
        <w:rPr>
          <w:rFonts w:ascii="Book Antiqua" w:eastAsia="Book Antiqua" w:hAnsi="Book Antiqua" w:cs="Book Antiqua"/>
          <w:b/>
          <w:bCs/>
          <w:sz w:val="24"/>
          <w:szCs w:val="24"/>
        </w:rPr>
        <w:lastRenderedPageBreak/>
        <w:t>MANAGEMENT OF PROCEEDINGS FOLLOWING THE FIRST DIRECTIONS HEARING</w:t>
      </w:r>
    </w:p>
    <w:p w14:paraId="1A8AB51E" w14:textId="77777777" w:rsidR="00775612" w:rsidRPr="00AE3513" w:rsidRDefault="00775612"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 xml:space="preserve">The Court expects all parties to cooperate with one another to achieve the just and efficient resolution of the proceeding in accordance with the </w:t>
      </w:r>
      <w:r w:rsidRPr="00AE3513">
        <w:rPr>
          <w:rFonts w:ascii="Book Antiqua" w:eastAsia="Book Antiqua" w:hAnsi="Book Antiqua" w:cs="Book Antiqua"/>
          <w:i/>
          <w:iCs/>
          <w:sz w:val="24"/>
          <w:szCs w:val="24"/>
        </w:rPr>
        <w:t>Civil Procedure Act 2010</w:t>
      </w:r>
      <w:r w:rsidRPr="00AE3513">
        <w:rPr>
          <w:rFonts w:ascii="Book Antiqua" w:eastAsia="Book Antiqua" w:hAnsi="Book Antiqua" w:cs="Book Antiqua"/>
          <w:sz w:val="24"/>
          <w:szCs w:val="24"/>
        </w:rPr>
        <w:t>.</w:t>
      </w:r>
    </w:p>
    <w:p w14:paraId="49D91E52" w14:textId="4BC08DD1" w:rsidR="00775612" w:rsidRPr="00AE3513" w:rsidRDefault="00775612"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 xml:space="preserve">The following matters will not be dealt with at a directions hearing and should be determined </w:t>
      </w:r>
      <w:r w:rsidR="00AC0AD0" w:rsidRPr="00AE3513">
        <w:rPr>
          <w:rFonts w:ascii="Book Antiqua" w:eastAsia="Book Antiqua" w:hAnsi="Book Antiqua" w:cs="Book Antiqua"/>
          <w:sz w:val="24"/>
          <w:szCs w:val="24"/>
        </w:rPr>
        <w:t xml:space="preserve">at a separate hearing </w:t>
      </w:r>
      <w:r w:rsidRPr="00AE3513">
        <w:rPr>
          <w:rFonts w:ascii="Book Antiqua" w:eastAsia="Book Antiqua" w:hAnsi="Book Antiqua" w:cs="Book Antiqua"/>
          <w:sz w:val="24"/>
          <w:szCs w:val="24"/>
        </w:rPr>
        <w:t xml:space="preserve">(unless the </w:t>
      </w:r>
      <w:r w:rsidR="00AC0AD0" w:rsidRPr="00AE3513">
        <w:rPr>
          <w:rFonts w:ascii="Book Antiqua" w:eastAsia="Book Antiqua" w:hAnsi="Book Antiqua" w:cs="Book Antiqua"/>
          <w:sz w:val="24"/>
          <w:szCs w:val="24"/>
        </w:rPr>
        <w:t xml:space="preserve">Judicial Registrar </w:t>
      </w:r>
      <w:r w:rsidR="00197E14" w:rsidRPr="00AE3513">
        <w:rPr>
          <w:rFonts w:ascii="Book Antiqua" w:eastAsia="Book Antiqua" w:hAnsi="Book Antiqua" w:cs="Book Antiqua"/>
          <w:sz w:val="24"/>
          <w:szCs w:val="24"/>
        </w:rPr>
        <w:t>considers</w:t>
      </w:r>
      <w:r w:rsidRPr="00AE3513">
        <w:rPr>
          <w:rFonts w:ascii="Book Antiqua" w:eastAsia="Book Antiqua" w:hAnsi="Book Antiqua" w:cs="Book Antiqua"/>
          <w:sz w:val="24"/>
          <w:szCs w:val="24"/>
        </w:rPr>
        <w:t xml:space="preserve"> otherwise):</w:t>
      </w:r>
    </w:p>
    <w:p w14:paraId="296CFE8A" w14:textId="77777777" w:rsidR="00775612" w:rsidRPr="00AE3513" w:rsidRDefault="002B43DF" w:rsidP="00AE3513">
      <w:pPr>
        <w:numPr>
          <w:ilvl w:val="0"/>
          <w:numId w:val="8"/>
        </w:numPr>
        <w:spacing w:before="120" w:after="120"/>
        <w:ind w:hanging="720"/>
        <w:jc w:val="both"/>
        <w:rPr>
          <w:rFonts w:ascii="Book Antiqua" w:eastAsia="Book Antiqua" w:hAnsi="Book Antiqua" w:cs="Book Antiqua"/>
        </w:rPr>
      </w:pPr>
      <w:r w:rsidRPr="00AE3513">
        <w:rPr>
          <w:rFonts w:ascii="Book Antiqua" w:eastAsia="Book Antiqua" w:hAnsi="Book Antiqua" w:cs="Book Antiqua"/>
        </w:rPr>
        <w:t>d</w:t>
      </w:r>
      <w:r w:rsidR="00775612" w:rsidRPr="00AE3513">
        <w:rPr>
          <w:rFonts w:ascii="Book Antiqua" w:eastAsia="Book Antiqua" w:hAnsi="Book Antiqua" w:cs="Book Antiqua"/>
        </w:rPr>
        <w:t>iscovery disputes;</w:t>
      </w:r>
    </w:p>
    <w:p w14:paraId="556DCA4D" w14:textId="77777777" w:rsidR="00775612" w:rsidRPr="00AE3513" w:rsidRDefault="002B43DF" w:rsidP="00AE3513">
      <w:pPr>
        <w:numPr>
          <w:ilvl w:val="0"/>
          <w:numId w:val="8"/>
        </w:numPr>
        <w:spacing w:before="120" w:after="120"/>
        <w:ind w:hanging="720"/>
        <w:jc w:val="both"/>
        <w:rPr>
          <w:rFonts w:ascii="Book Antiqua" w:eastAsia="Book Antiqua" w:hAnsi="Book Antiqua" w:cs="Book Antiqua"/>
        </w:rPr>
      </w:pPr>
      <w:r w:rsidRPr="00AE3513">
        <w:rPr>
          <w:rFonts w:ascii="Book Antiqua" w:eastAsia="Book Antiqua" w:hAnsi="Book Antiqua" w:cs="Book Antiqua"/>
        </w:rPr>
        <w:t>d</w:t>
      </w:r>
      <w:r w:rsidR="00775612" w:rsidRPr="00AE3513">
        <w:rPr>
          <w:rFonts w:ascii="Book Antiqua" w:eastAsia="Book Antiqua" w:hAnsi="Book Antiqua" w:cs="Book Antiqua"/>
        </w:rPr>
        <w:t>isputes concerning the giving or adequacy of pleadings and particulars;</w:t>
      </w:r>
    </w:p>
    <w:p w14:paraId="6FF6C177" w14:textId="77777777" w:rsidR="00775612" w:rsidRPr="00AE3513" w:rsidRDefault="002B43DF" w:rsidP="00AE3513">
      <w:pPr>
        <w:numPr>
          <w:ilvl w:val="0"/>
          <w:numId w:val="8"/>
        </w:numPr>
        <w:spacing w:before="120" w:after="120"/>
        <w:ind w:hanging="720"/>
        <w:jc w:val="both"/>
        <w:rPr>
          <w:rFonts w:ascii="Book Antiqua" w:eastAsia="Book Antiqua" w:hAnsi="Book Antiqua" w:cs="Book Antiqua"/>
        </w:rPr>
      </w:pPr>
      <w:r w:rsidRPr="00AE3513">
        <w:rPr>
          <w:rFonts w:ascii="Book Antiqua" w:eastAsia="Book Antiqua" w:hAnsi="Book Antiqua" w:cs="Book Antiqua"/>
        </w:rPr>
        <w:t>a</w:t>
      </w:r>
      <w:r w:rsidR="00775612" w:rsidRPr="00AE3513">
        <w:rPr>
          <w:rFonts w:ascii="Book Antiqua" w:eastAsia="Book Antiqua" w:hAnsi="Book Antiqua" w:cs="Book Antiqua"/>
        </w:rPr>
        <w:t>pplications for security for costs;</w:t>
      </w:r>
    </w:p>
    <w:p w14:paraId="6868D5BC" w14:textId="77777777" w:rsidR="00775612" w:rsidRPr="00AE3513" w:rsidRDefault="002B43DF" w:rsidP="00AE3513">
      <w:pPr>
        <w:numPr>
          <w:ilvl w:val="0"/>
          <w:numId w:val="8"/>
        </w:numPr>
        <w:spacing w:before="120" w:after="120"/>
        <w:ind w:hanging="720"/>
        <w:jc w:val="both"/>
        <w:rPr>
          <w:rFonts w:ascii="Book Antiqua" w:eastAsia="Book Antiqua" w:hAnsi="Book Antiqua" w:cs="Book Antiqua"/>
        </w:rPr>
      </w:pPr>
      <w:r w:rsidRPr="00AE3513">
        <w:rPr>
          <w:rFonts w:ascii="Book Antiqua" w:eastAsia="Book Antiqua" w:hAnsi="Book Antiqua" w:cs="Book Antiqua"/>
        </w:rPr>
        <w:t>t</w:t>
      </w:r>
      <w:r w:rsidR="00775612" w:rsidRPr="00AE3513">
        <w:rPr>
          <w:rFonts w:ascii="Book Antiqua" w:eastAsia="Book Antiqua" w:hAnsi="Book Antiqua" w:cs="Book Antiqua"/>
        </w:rPr>
        <w:t>he joinder of any parties;</w:t>
      </w:r>
    </w:p>
    <w:p w14:paraId="18DC6F88" w14:textId="77777777" w:rsidR="00775612" w:rsidRPr="00AE3513" w:rsidRDefault="002B43DF" w:rsidP="00AE3513">
      <w:pPr>
        <w:numPr>
          <w:ilvl w:val="0"/>
          <w:numId w:val="8"/>
        </w:numPr>
        <w:spacing w:before="120" w:after="120"/>
        <w:ind w:hanging="720"/>
        <w:jc w:val="both"/>
        <w:rPr>
          <w:rFonts w:ascii="Book Antiqua" w:eastAsia="Book Antiqua" w:hAnsi="Book Antiqua" w:cs="Book Antiqua"/>
        </w:rPr>
      </w:pPr>
      <w:r w:rsidRPr="00AE3513">
        <w:rPr>
          <w:rFonts w:ascii="Book Antiqua" w:eastAsia="Book Antiqua" w:hAnsi="Book Antiqua" w:cs="Book Antiqua"/>
        </w:rPr>
        <w:t>a</w:t>
      </w:r>
      <w:r w:rsidR="00775612" w:rsidRPr="00AE3513">
        <w:rPr>
          <w:rFonts w:ascii="Book Antiqua" w:eastAsia="Book Antiqua" w:hAnsi="Book Antiqua" w:cs="Book Antiqua"/>
        </w:rPr>
        <w:t>pplications to strike out proceedings or for summary judgment; and</w:t>
      </w:r>
    </w:p>
    <w:p w14:paraId="5BAF6CE7" w14:textId="749D7E62" w:rsidR="00775612" w:rsidRPr="00AE3513" w:rsidRDefault="002B43DF" w:rsidP="00AE3513">
      <w:pPr>
        <w:numPr>
          <w:ilvl w:val="0"/>
          <w:numId w:val="8"/>
        </w:numPr>
        <w:spacing w:before="120" w:after="120"/>
        <w:ind w:hanging="720"/>
        <w:jc w:val="both"/>
        <w:rPr>
          <w:rFonts w:ascii="Book Antiqua" w:eastAsia="Book Antiqua" w:hAnsi="Book Antiqua" w:cs="Book Antiqua"/>
        </w:rPr>
      </w:pPr>
      <w:r w:rsidRPr="00AE3513">
        <w:rPr>
          <w:rFonts w:ascii="Book Antiqua" w:eastAsia="Book Antiqua" w:hAnsi="Book Antiqua" w:cs="Book Antiqua"/>
        </w:rPr>
        <w:t>d</w:t>
      </w:r>
      <w:r w:rsidR="00775612" w:rsidRPr="00AE3513">
        <w:rPr>
          <w:rFonts w:ascii="Book Antiqua" w:eastAsia="Book Antiqua" w:hAnsi="Book Antiqua" w:cs="Book Antiqua"/>
        </w:rPr>
        <w:t>isputes concerning subpoenas</w:t>
      </w:r>
      <w:r w:rsidR="00DC2067" w:rsidRPr="00AE3513">
        <w:rPr>
          <w:rFonts w:ascii="Book Antiqua" w:eastAsia="Book Antiqua" w:hAnsi="Book Antiqua" w:cs="Book Antiqua"/>
        </w:rPr>
        <w:t>;</w:t>
      </w:r>
    </w:p>
    <w:p w14:paraId="73F1B21B" w14:textId="0C639356" w:rsidR="00DC2067" w:rsidRPr="00AE3513" w:rsidRDefault="00DC2067" w:rsidP="00AE3513">
      <w:pPr>
        <w:spacing w:before="120" w:after="120"/>
        <w:ind w:left="720"/>
        <w:jc w:val="both"/>
        <w:rPr>
          <w:rFonts w:ascii="Book Antiqua" w:eastAsia="Book Antiqua" w:hAnsi="Book Antiqua" w:cs="Book Antiqua"/>
        </w:rPr>
      </w:pPr>
      <w:r w:rsidRPr="00AE3513">
        <w:rPr>
          <w:rFonts w:ascii="Book Antiqua" w:eastAsia="Book Antiqua" w:hAnsi="Book Antiqua" w:cs="Book Antiqua"/>
        </w:rPr>
        <w:t xml:space="preserve">unless the dispute is minor in nature, and can be heard and determined </w:t>
      </w:r>
      <w:r w:rsidR="005953D9" w:rsidRPr="00AE3513">
        <w:rPr>
          <w:rFonts w:ascii="Book Antiqua" w:eastAsia="Book Antiqua" w:hAnsi="Book Antiqua" w:cs="Book Antiqua"/>
        </w:rPr>
        <w:t xml:space="preserve">expeditiously in the discretion of the </w:t>
      </w:r>
      <w:r w:rsidR="00E707D6" w:rsidRPr="00AE3513">
        <w:rPr>
          <w:rFonts w:ascii="Book Antiqua" w:eastAsia="Book Antiqua" w:hAnsi="Book Antiqua" w:cs="Book Antiqua"/>
        </w:rPr>
        <w:t>judicial officer</w:t>
      </w:r>
      <w:r w:rsidRPr="00AE3513">
        <w:rPr>
          <w:rFonts w:ascii="Book Antiqua" w:eastAsia="Book Antiqua" w:hAnsi="Book Antiqua" w:cs="Book Antiqua"/>
        </w:rPr>
        <w:t>.</w:t>
      </w:r>
    </w:p>
    <w:p w14:paraId="3E01D09A" w14:textId="330C661B" w:rsidR="00775612" w:rsidRPr="00B068C4" w:rsidRDefault="00775612" w:rsidP="00B068C4">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 xml:space="preserve">Parties seeking to </w:t>
      </w:r>
      <w:r w:rsidR="001140FD" w:rsidRPr="00AE3513">
        <w:rPr>
          <w:rFonts w:ascii="Book Antiqua" w:eastAsia="Book Antiqua" w:hAnsi="Book Antiqua" w:cs="Book Antiqua"/>
          <w:sz w:val="24"/>
          <w:szCs w:val="24"/>
        </w:rPr>
        <w:t>make an interlocutory</w:t>
      </w:r>
      <w:r w:rsidRPr="00AE3513">
        <w:rPr>
          <w:rFonts w:ascii="Book Antiqua" w:eastAsia="Book Antiqua" w:hAnsi="Book Antiqua" w:cs="Book Antiqua"/>
          <w:sz w:val="24"/>
          <w:szCs w:val="24"/>
        </w:rPr>
        <w:t xml:space="preserve"> application should </w:t>
      </w:r>
      <w:r w:rsidR="00B84FD2" w:rsidRPr="00AE3513">
        <w:rPr>
          <w:rFonts w:ascii="Book Antiqua" w:eastAsia="Book Antiqua" w:hAnsi="Book Antiqua" w:cs="Book Antiqua"/>
          <w:sz w:val="24"/>
          <w:szCs w:val="24"/>
        </w:rPr>
        <w:t xml:space="preserve">complete the “Interlocutory Application Information Form” available on the List webpage and forward it to </w:t>
      </w:r>
      <w:r w:rsidR="00A64AC5" w:rsidRPr="00AE3513">
        <w:rPr>
          <w:rFonts w:ascii="Book Antiqua" w:eastAsia="Book Antiqua" w:hAnsi="Book Antiqua" w:cs="Book Antiqua"/>
          <w:sz w:val="24"/>
          <w:szCs w:val="24"/>
        </w:rPr>
        <w:t>the List</w:t>
      </w:r>
      <w:r w:rsidR="00AC0AD0" w:rsidRPr="00AE3513">
        <w:rPr>
          <w:rFonts w:ascii="Book Antiqua" w:eastAsia="Book Antiqua" w:hAnsi="Book Antiqua" w:cs="Book Antiqua"/>
          <w:sz w:val="24"/>
          <w:szCs w:val="24"/>
        </w:rPr>
        <w:t xml:space="preserve"> Coordinator </w:t>
      </w:r>
      <w:r w:rsidRPr="00AE3513">
        <w:rPr>
          <w:rFonts w:ascii="Book Antiqua" w:eastAsia="Book Antiqua" w:hAnsi="Book Antiqua" w:cs="Book Antiqua"/>
          <w:sz w:val="24"/>
          <w:szCs w:val="24"/>
        </w:rPr>
        <w:t xml:space="preserve">in the first instance. </w:t>
      </w:r>
      <w:r w:rsidR="00E81517" w:rsidRPr="00AE3513">
        <w:rPr>
          <w:rFonts w:ascii="Book Antiqua" w:eastAsia="Book Antiqua" w:hAnsi="Book Antiqua" w:cs="Book Antiqua"/>
          <w:sz w:val="24"/>
          <w:szCs w:val="24"/>
        </w:rPr>
        <w:t xml:space="preserve"> </w:t>
      </w:r>
      <w:r w:rsidRPr="00AE3513">
        <w:rPr>
          <w:rFonts w:ascii="Book Antiqua" w:eastAsia="Book Antiqua" w:hAnsi="Book Antiqua" w:cs="Book Antiqua"/>
          <w:sz w:val="24"/>
          <w:szCs w:val="24"/>
        </w:rPr>
        <w:t>Parties will be advised of the time and date that the summons should be made returnable</w:t>
      </w:r>
      <w:r w:rsidR="00DC2067" w:rsidRPr="00AE3513">
        <w:rPr>
          <w:rFonts w:ascii="Book Antiqua" w:eastAsia="Book Antiqua" w:hAnsi="Book Antiqua" w:cs="Book Antiqua"/>
          <w:sz w:val="24"/>
          <w:szCs w:val="24"/>
        </w:rPr>
        <w:t xml:space="preserve"> and the judicial officer who will hear the application</w:t>
      </w:r>
      <w:r w:rsidRPr="00AE3513">
        <w:rPr>
          <w:rFonts w:ascii="Book Antiqua" w:eastAsia="Book Antiqua" w:hAnsi="Book Antiqua" w:cs="Book Antiqua"/>
          <w:sz w:val="24"/>
          <w:szCs w:val="24"/>
        </w:rPr>
        <w:t>.</w:t>
      </w:r>
      <w:r w:rsidR="00672CA5" w:rsidRPr="00AE3513">
        <w:rPr>
          <w:rFonts w:ascii="Book Antiqua" w:eastAsia="Book Antiqua" w:hAnsi="Book Antiqua" w:cs="Book Antiqua"/>
          <w:sz w:val="24"/>
          <w:szCs w:val="24"/>
        </w:rPr>
        <w:t xml:space="preserve"> Parties seeking an urgent hearing of an interlocutory application should contact the List Coordinator in the first instance.</w:t>
      </w:r>
    </w:p>
    <w:p w14:paraId="66AC69ED" w14:textId="77777777" w:rsidR="00775612" w:rsidRPr="00AE3513" w:rsidRDefault="00775612" w:rsidP="00AE3513">
      <w:pPr>
        <w:keepNext/>
        <w:spacing w:before="120" w:after="120"/>
        <w:ind w:left="1440" w:hanging="720"/>
        <w:jc w:val="both"/>
        <w:rPr>
          <w:rFonts w:ascii="Book Antiqua" w:eastAsia="Book Antiqua" w:hAnsi="Book Antiqua" w:cs="Book Antiqua"/>
          <w:i/>
          <w:iCs/>
        </w:rPr>
      </w:pPr>
      <w:r w:rsidRPr="00AE3513">
        <w:rPr>
          <w:rFonts w:ascii="Book Antiqua" w:eastAsia="Book Antiqua" w:hAnsi="Book Antiqua" w:cs="Book Antiqua"/>
          <w:i/>
          <w:iCs/>
        </w:rPr>
        <w:t>Joinder applications</w:t>
      </w:r>
    </w:p>
    <w:p w14:paraId="3BF3BEB9" w14:textId="479A2045" w:rsidR="00B84FD2" w:rsidRPr="00AE3513" w:rsidRDefault="00B84FD2"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Applications for joinder should be made at the earliest opportunity.  The Court will take into account any unnecessary delay on the part of a party in making any application for joinder when exercising its discretion as to whether to allow the application, and in determining the question of costs.</w:t>
      </w:r>
    </w:p>
    <w:p w14:paraId="7F689BF6" w14:textId="54300619" w:rsidR="00775612" w:rsidRPr="00AE3513" w:rsidRDefault="00775612"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Application</w:t>
      </w:r>
      <w:r w:rsidR="00B84FD2" w:rsidRPr="00AE3513">
        <w:rPr>
          <w:rFonts w:ascii="Book Antiqua" w:eastAsia="Book Antiqua" w:hAnsi="Book Antiqua" w:cs="Book Antiqua"/>
          <w:sz w:val="24"/>
          <w:szCs w:val="24"/>
        </w:rPr>
        <w:t>s</w:t>
      </w:r>
      <w:r w:rsidRPr="00AE3513">
        <w:rPr>
          <w:rFonts w:ascii="Book Antiqua" w:eastAsia="Book Antiqua" w:hAnsi="Book Antiqua" w:cs="Book Antiqua"/>
          <w:sz w:val="24"/>
          <w:szCs w:val="24"/>
        </w:rPr>
        <w:t xml:space="preserve">  should be brought by summons, supported by an affidavit setting out the basis for the joinder and including a proposed statement of claim against the party to be joined.</w:t>
      </w:r>
    </w:p>
    <w:p w14:paraId="487CB2CB" w14:textId="051F6C2E" w:rsidR="00775612" w:rsidRPr="00AE3513" w:rsidRDefault="00775612"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 xml:space="preserve">The summons and supporting affidavit must be filed and served on all existing parties and the </w:t>
      </w:r>
      <w:r w:rsidR="00B84FD2" w:rsidRPr="00AE3513">
        <w:rPr>
          <w:rFonts w:ascii="Book Antiqua" w:eastAsia="Book Antiqua" w:hAnsi="Book Antiqua" w:cs="Book Antiqua"/>
          <w:sz w:val="24"/>
          <w:szCs w:val="24"/>
        </w:rPr>
        <w:t>party sought to be joined</w:t>
      </w:r>
      <w:r w:rsidRPr="00AE3513">
        <w:rPr>
          <w:rFonts w:ascii="Book Antiqua" w:eastAsia="Book Antiqua" w:hAnsi="Book Antiqua" w:cs="Book Antiqua"/>
          <w:sz w:val="24"/>
          <w:szCs w:val="24"/>
        </w:rPr>
        <w:t xml:space="preserve"> within sufficient time to </w:t>
      </w:r>
      <w:r w:rsidR="00B84FD2" w:rsidRPr="00AE3513">
        <w:rPr>
          <w:rFonts w:ascii="Book Antiqua" w:eastAsia="Book Antiqua" w:hAnsi="Book Antiqua" w:cs="Book Antiqua"/>
          <w:sz w:val="24"/>
          <w:szCs w:val="24"/>
        </w:rPr>
        <w:t xml:space="preserve">enable </w:t>
      </w:r>
      <w:r w:rsidR="006B633E" w:rsidRPr="00AE3513">
        <w:rPr>
          <w:rFonts w:ascii="Book Antiqua" w:eastAsia="Book Antiqua" w:hAnsi="Book Antiqua" w:cs="Book Antiqua"/>
          <w:sz w:val="24"/>
          <w:szCs w:val="24"/>
        </w:rPr>
        <w:t>them to</w:t>
      </w:r>
      <w:r w:rsidRPr="00AE3513">
        <w:rPr>
          <w:rFonts w:ascii="Book Antiqua" w:eastAsia="Book Antiqua" w:hAnsi="Book Antiqua" w:cs="Book Antiqua"/>
          <w:sz w:val="24"/>
          <w:szCs w:val="24"/>
        </w:rPr>
        <w:t xml:space="preserve"> determine whether to appear on the hearing of the application, and to seek or to be subject to directions</w:t>
      </w:r>
      <w:r w:rsidR="006B633E" w:rsidRPr="00AE3513">
        <w:rPr>
          <w:rFonts w:ascii="Book Antiqua" w:eastAsia="Book Antiqua" w:hAnsi="Book Antiqua" w:cs="Book Antiqua"/>
          <w:sz w:val="24"/>
          <w:szCs w:val="24"/>
        </w:rPr>
        <w:t xml:space="preserve"> if joined</w:t>
      </w:r>
      <w:r w:rsidRPr="00AE3513">
        <w:rPr>
          <w:rFonts w:ascii="Book Antiqua" w:eastAsia="Book Antiqua" w:hAnsi="Book Antiqua" w:cs="Book Antiqua"/>
          <w:sz w:val="24"/>
          <w:szCs w:val="24"/>
        </w:rPr>
        <w:t>.</w:t>
      </w:r>
    </w:p>
    <w:p w14:paraId="5B0FF377" w14:textId="77777777" w:rsidR="00070C6A" w:rsidRPr="00AE3513" w:rsidRDefault="00070C6A" w:rsidP="00B068C4">
      <w:pPr>
        <w:spacing w:before="120" w:after="120"/>
        <w:ind w:left="720" w:hanging="720"/>
        <w:jc w:val="both"/>
        <w:rPr>
          <w:rFonts w:ascii="Book Antiqua" w:eastAsia="Book Antiqua" w:hAnsi="Book Antiqua" w:cs="Book Antiqua"/>
        </w:rPr>
      </w:pPr>
    </w:p>
    <w:p w14:paraId="4079FB28" w14:textId="610885A3" w:rsidR="00070C6A" w:rsidRPr="00AE3513" w:rsidRDefault="00990805" w:rsidP="00AE3513">
      <w:pPr>
        <w:pStyle w:val="ListParagraph"/>
        <w:keepNext/>
        <w:numPr>
          <w:ilvl w:val="0"/>
          <w:numId w:val="2"/>
        </w:numPr>
        <w:autoSpaceDE w:val="0"/>
        <w:autoSpaceDN w:val="0"/>
        <w:adjustRightInd w:val="0"/>
        <w:spacing w:before="120" w:after="120"/>
        <w:contextualSpacing w:val="0"/>
        <w:jc w:val="both"/>
        <w:rPr>
          <w:rFonts w:ascii="Book Antiqua" w:eastAsia="Book Antiqua" w:hAnsi="Book Antiqua" w:cs="Book Antiqua"/>
          <w:b/>
          <w:bCs/>
          <w:sz w:val="24"/>
          <w:szCs w:val="24"/>
        </w:rPr>
      </w:pPr>
      <w:r w:rsidRPr="00AE3513">
        <w:rPr>
          <w:rFonts w:ascii="Book Antiqua" w:eastAsia="Book Antiqua" w:hAnsi="Book Antiqua" w:cs="Book Antiqua"/>
          <w:b/>
          <w:bCs/>
          <w:sz w:val="24"/>
          <w:szCs w:val="24"/>
        </w:rPr>
        <w:t>POST-</w:t>
      </w:r>
      <w:r w:rsidR="00070C6A" w:rsidRPr="00AE3513">
        <w:rPr>
          <w:rFonts w:ascii="Book Antiqua" w:eastAsia="Book Antiqua" w:hAnsi="Book Antiqua" w:cs="Book Antiqua"/>
          <w:b/>
          <w:bCs/>
          <w:sz w:val="24"/>
          <w:szCs w:val="24"/>
        </w:rPr>
        <w:t>MEDIATION DIRECTIONS HEARING</w:t>
      </w:r>
    </w:p>
    <w:p w14:paraId="641721FB" w14:textId="36456B21" w:rsidR="00775612" w:rsidRPr="00AE3513" w:rsidRDefault="006B633E"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 xml:space="preserve">Interlocutory timetables will usually include an order that the parties attend a mediation.  </w:t>
      </w:r>
      <w:r w:rsidR="00775612" w:rsidRPr="00AE3513">
        <w:rPr>
          <w:rFonts w:ascii="Book Antiqua" w:eastAsia="Book Antiqua" w:hAnsi="Book Antiqua" w:cs="Book Antiqua"/>
          <w:sz w:val="24"/>
          <w:szCs w:val="24"/>
        </w:rPr>
        <w:t>The</w:t>
      </w:r>
      <w:r w:rsidRPr="00AE3513">
        <w:rPr>
          <w:rFonts w:ascii="Book Antiqua" w:eastAsia="Book Antiqua" w:hAnsi="Book Antiqua" w:cs="Book Antiqua"/>
          <w:sz w:val="24"/>
          <w:szCs w:val="24"/>
        </w:rPr>
        <w:t xml:space="preserve"> proceeding will be listed for </w:t>
      </w:r>
      <w:r w:rsidR="00AC0AD0" w:rsidRPr="00AE3513">
        <w:rPr>
          <w:rFonts w:ascii="Book Antiqua" w:eastAsia="Book Antiqua" w:hAnsi="Book Antiqua" w:cs="Book Antiqua"/>
          <w:sz w:val="24"/>
          <w:szCs w:val="24"/>
        </w:rPr>
        <w:t xml:space="preserve">a </w:t>
      </w:r>
      <w:r w:rsidR="00990805" w:rsidRPr="00AE3513">
        <w:rPr>
          <w:rFonts w:ascii="Book Antiqua" w:eastAsia="Book Antiqua" w:hAnsi="Book Antiqua" w:cs="Book Antiqua"/>
          <w:sz w:val="24"/>
          <w:szCs w:val="24"/>
        </w:rPr>
        <w:t>post-</w:t>
      </w:r>
      <w:r w:rsidR="00AC0AD0" w:rsidRPr="00AE3513">
        <w:rPr>
          <w:rFonts w:ascii="Book Antiqua" w:eastAsia="Book Antiqua" w:hAnsi="Book Antiqua" w:cs="Book Antiqua"/>
          <w:sz w:val="24"/>
          <w:szCs w:val="24"/>
        </w:rPr>
        <w:t xml:space="preserve">mediation directions </w:t>
      </w:r>
      <w:r w:rsidR="00AC0AD0" w:rsidRPr="00AE3513">
        <w:rPr>
          <w:rFonts w:ascii="Book Antiqua" w:eastAsia="Book Antiqua" w:hAnsi="Book Antiqua" w:cs="Book Antiqua"/>
          <w:sz w:val="24"/>
          <w:szCs w:val="24"/>
        </w:rPr>
        <w:lastRenderedPageBreak/>
        <w:t>hearing</w:t>
      </w:r>
      <w:r w:rsidRPr="00AE3513">
        <w:rPr>
          <w:rFonts w:ascii="Book Antiqua" w:eastAsia="Book Antiqua" w:hAnsi="Book Antiqua" w:cs="Book Antiqua"/>
          <w:sz w:val="24"/>
          <w:szCs w:val="24"/>
        </w:rPr>
        <w:t xml:space="preserve"> within 30 days of the date by which the mediation is to have been concluded</w:t>
      </w:r>
      <w:r w:rsidR="00AC0AD0" w:rsidRPr="00AE3513">
        <w:rPr>
          <w:rFonts w:ascii="Book Antiqua" w:eastAsia="Book Antiqua" w:hAnsi="Book Antiqua" w:cs="Book Antiqua"/>
          <w:sz w:val="24"/>
          <w:szCs w:val="24"/>
        </w:rPr>
        <w:t>, to consider, among other things</w:t>
      </w:r>
      <w:r w:rsidR="00775612" w:rsidRPr="00AE3513">
        <w:rPr>
          <w:rFonts w:ascii="Book Antiqua" w:eastAsia="Book Antiqua" w:hAnsi="Book Antiqua" w:cs="Book Antiqua"/>
          <w:sz w:val="24"/>
          <w:szCs w:val="24"/>
        </w:rPr>
        <w:t>:</w:t>
      </w:r>
    </w:p>
    <w:p w14:paraId="6AE25125" w14:textId="77777777" w:rsidR="00775612" w:rsidRPr="00AE3513" w:rsidRDefault="001C24D1" w:rsidP="00AE3513">
      <w:pPr>
        <w:numPr>
          <w:ilvl w:val="0"/>
          <w:numId w:val="9"/>
        </w:numPr>
        <w:spacing w:before="120" w:after="120"/>
        <w:ind w:hanging="720"/>
        <w:jc w:val="both"/>
        <w:rPr>
          <w:rFonts w:ascii="Book Antiqua" w:eastAsia="Book Antiqua" w:hAnsi="Book Antiqua" w:cs="Book Antiqua"/>
        </w:rPr>
      </w:pPr>
      <w:r w:rsidRPr="00AE3513">
        <w:rPr>
          <w:rFonts w:ascii="Book Antiqua" w:eastAsia="Book Antiqua" w:hAnsi="Book Antiqua" w:cs="Book Antiqua"/>
        </w:rPr>
        <w:t>d</w:t>
      </w:r>
      <w:r w:rsidR="00775612" w:rsidRPr="00AE3513">
        <w:rPr>
          <w:rFonts w:ascii="Book Antiqua" w:eastAsia="Book Antiqua" w:hAnsi="Book Antiqua" w:cs="Book Antiqua"/>
        </w:rPr>
        <w:t>irections for the preparation of the proceeding for trial;</w:t>
      </w:r>
    </w:p>
    <w:p w14:paraId="074FF98C" w14:textId="102539DB" w:rsidR="00775612" w:rsidRPr="00AE3513" w:rsidRDefault="003C384D" w:rsidP="00AE3513">
      <w:pPr>
        <w:numPr>
          <w:ilvl w:val="0"/>
          <w:numId w:val="9"/>
        </w:numPr>
        <w:spacing w:before="120" w:after="120"/>
        <w:ind w:hanging="720"/>
        <w:jc w:val="both"/>
        <w:rPr>
          <w:rFonts w:ascii="Book Antiqua" w:eastAsia="Book Antiqua" w:hAnsi="Book Antiqua" w:cs="Book Antiqua"/>
        </w:rPr>
      </w:pPr>
      <w:r w:rsidRPr="00AE3513">
        <w:rPr>
          <w:rFonts w:ascii="Book Antiqua" w:eastAsia="Book Antiqua" w:hAnsi="Book Antiqua" w:cs="Book Antiqua"/>
        </w:rPr>
        <w:t xml:space="preserve">whether </w:t>
      </w:r>
      <w:r w:rsidR="00775612" w:rsidRPr="00AE3513">
        <w:rPr>
          <w:rFonts w:ascii="Book Antiqua" w:eastAsia="Book Antiqua" w:hAnsi="Book Antiqua" w:cs="Book Antiqua"/>
        </w:rPr>
        <w:t xml:space="preserve">the issues in dispute </w:t>
      </w:r>
      <w:r w:rsidRPr="00AE3513">
        <w:rPr>
          <w:rFonts w:ascii="Book Antiqua" w:eastAsia="Book Antiqua" w:hAnsi="Book Antiqua" w:cs="Book Antiqua"/>
        </w:rPr>
        <w:t xml:space="preserve">should </w:t>
      </w:r>
      <w:r w:rsidR="00775612" w:rsidRPr="00AE3513">
        <w:rPr>
          <w:rFonts w:ascii="Book Antiqua" w:eastAsia="Book Antiqua" w:hAnsi="Book Antiqua" w:cs="Book Antiqua"/>
        </w:rPr>
        <w:t>be reduced to a statement of issues to assist the process of clarifying the real questions for resolution;</w:t>
      </w:r>
    </w:p>
    <w:p w14:paraId="22252223" w14:textId="634387DB" w:rsidR="00775612" w:rsidRPr="00AE3513" w:rsidRDefault="001C24D1" w:rsidP="00AE3513">
      <w:pPr>
        <w:numPr>
          <w:ilvl w:val="0"/>
          <w:numId w:val="9"/>
        </w:numPr>
        <w:spacing w:before="120" w:after="120"/>
        <w:ind w:hanging="720"/>
        <w:jc w:val="both"/>
        <w:rPr>
          <w:rFonts w:ascii="Book Antiqua" w:eastAsia="Book Antiqua" w:hAnsi="Book Antiqua" w:cs="Book Antiqua"/>
        </w:rPr>
      </w:pPr>
      <w:r w:rsidRPr="00AE3513">
        <w:rPr>
          <w:rFonts w:ascii="Book Antiqua" w:eastAsia="Book Antiqua" w:hAnsi="Book Antiqua" w:cs="Book Antiqua"/>
        </w:rPr>
        <w:t>d</w:t>
      </w:r>
      <w:r w:rsidR="00775612" w:rsidRPr="00AE3513">
        <w:rPr>
          <w:rFonts w:ascii="Book Antiqua" w:eastAsia="Book Antiqua" w:hAnsi="Book Antiqua" w:cs="Book Antiqua"/>
        </w:rPr>
        <w:t xml:space="preserve">irections with respect to the preparation of any </w:t>
      </w:r>
      <w:r w:rsidR="006B633E" w:rsidRPr="00AE3513">
        <w:rPr>
          <w:rFonts w:ascii="Book Antiqua" w:eastAsia="Book Antiqua" w:hAnsi="Book Antiqua" w:cs="Book Antiqua"/>
        </w:rPr>
        <w:t xml:space="preserve">further </w:t>
      </w:r>
      <w:r w:rsidR="00775612" w:rsidRPr="00AE3513">
        <w:rPr>
          <w:rFonts w:ascii="Book Antiqua" w:eastAsia="Book Antiqua" w:hAnsi="Book Antiqua" w:cs="Book Antiqua"/>
        </w:rPr>
        <w:t xml:space="preserve">expert reports and the manner in which evidence will be given by experts including directions under rule 44.06 of the </w:t>
      </w:r>
      <w:r w:rsidR="006B633E" w:rsidRPr="00AE3513">
        <w:rPr>
          <w:rFonts w:ascii="Book Antiqua" w:eastAsia="Book Antiqua" w:hAnsi="Book Antiqua" w:cs="Book Antiqua"/>
        </w:rPr>
        <w:t>Rules</w:t>
      </w:r>
      <w:r w:rsidR="00775612" w:rsidRPr="00AE3513">
        <w:rPr>
          <w:rFonts w:ascii="Book Antiqua" w:eastAsia="Book Antiqua" w:hAnsi="Book Antiqua" w:cs="Book Antiqua"/>
        </w:rPr>
        <w:t>;</w:t>
      </w:r>
    </w:p>
    <w:p w14:paraId="059B6DFD" w14:textId="77777777" w:rsidR="00775612" w:rsidRPr="00AE3513" w:rsidRDefault="001C24D1" w:rsidP="00AE3513">
      <w:pPr>
        <w:numPr>
          <w:ilvl w:val="0"/>
          <w:numId w:val="9"/>
        </w:numPr>
        <w:spacing w:before="120" w:after="120"/>
        <w:ind w:hanging="720"/>
        <w:jc w:val="both"/>
        <w:rPr>
          <w:rFonts w:ascii="Book Antiqua" w:eastAsia="Book Antiqua" w:hAnsi="Book Antiqua" w:cs="Book Antiqua"/>
        </w:rPr>
      </w:pPr>
      <w:r w:rsidRPr="00AE3513">
        <w:rPr>
          <w:rFonts w:ascii="Book Antiqua" w:eastAsia="Book Antiqua" w:hAnsi="Book Antiqua" w:cs="Book Antiqua"/>
        </w:rPr>
        <w:t>t</w:t>
      </w:r>
      <w:r w:rsidR="00775612" w:rsidRPr="00AE3513">
        <w:rPr>
          <w:rFonts w:ascii="Book Antiqua" w:eastAsia="Book Antiqua" w:hAnsi="Book Antiqua" w:cs="Book Antiqua"/>
        </w:rPr>
        <w:t xml:space="preserve">hat certain questions be heard and determined in a preliminary way; </w:t>
      </w:r>
    </w:p>
    <w:p w14:paraId="36D72B26" w14:textId="77777777" w:rsidR="00775612" w:rsidRPr="00AE3513" w:rsidRDefault="001C24D1" w:rsidP="00AE3513">
      <w:pPr>
        <w:numPr>
          <w:ilvl w:val="0"/>
          <w:numId w:val="9"/>
        </w:numPr>
        <w:spacing w:before="120" w:after="120"/>
        <w:ind w:hanging="720"/>
        <w:jc w:val="both"/>
        <w:rPr>
          <w:rFonts w:ascii="Book Antiqua" w:eastAsia="Book Antiqua" w:hAnsi="Book Antiqua" w:cs="Book Antiqua"/>
        </w:rPr>
      </w:pPr>
      <w:r w:rsidRPr="00AE3513">
        <w:rPr>
          <w:rFonts w:ascii="Book Antiqua" w:eastAsia="Book Antiqua" w:hAnsi="Book Antiqua" w:cs="Book Antiqua"/>
        </w:rPr>
        <w:t>t</w:t>
      </w:r>
      <w:r w:rsidR="00775612" w:rsidRPr="00AE3513">
        <w:rPr>
          <w:rFonts w:ascii="Book Antiqua" w:eastAsia="Book Antiqua" w:hAnsi="Book Antiqua" w:cs="Book Antiqua"/>
        </w:rPr>
        <w:t>hat the evidence and submissions of the parties upon a particular question be heard in a preliminary way;</w:t>
      </w:r>
    </w:p>
    <w:p w14:paraId="779F1908" w14:textId="0E64AC8F" w:rsidR="00775612" w:rsidRPr="00AE3513" w:rsidRDefault="001C24D1" w:rsidP="00AE3513">
      <w:pPr>
        <w:numPr>
          <w:ilvl w:val="0"/>
          <w:numId w:val="9"/>
        </w:numPr>
        <w:spacing w:before="120" w:after="120"/>
        <w:ind w:hanging="720"/>
        <w:jc w:val="both"/>
        <w:rPr>
          <w:rFonts w:ascii="Book Antiqua" w:eastAsia="Book Antiqua" w:hAnsi="Book Antiqua" w:cs="Book Antiqua"/>
        </w:rPr>
      </w:pPr>
      <w:r w:rsidRPr="00AE3513">
        <w:rPr>
          <w:rFonts w:ascii="Book Antiqua" w:eastAsia="Book Antiqua" w:hAnsi="Book Antiqua" w:cs="Book Antiqua"/>
        </w:rPr>
        <w:t>t</w:t>
      </w:r>
      <w:r w:rsidR="00775612" w:rsidRPr="00AE3513">
        <w:rPr>
          <w:rFonts w:ascii="Book Antiqua" w:eastAsia="Book Antiqua" w:hAnsi="Book Antiqua" w:cs="Book Antiqua"/>
        </w:rPr>
        <w:t>hat the evidence of all parties upon a particular question be given before the evidence upon other questions;</w:t>
      </w:r>
    </w:p>
    <w:p w14:paraId="473CB4F4" w14:textId="1D4DA9EF" w:rsidR="006C5A54" w:rsidRPr="00AE3513" w:rsidRDefault="006C5A54" w:rsidP="00AE3513">
      <w:pPr>
        <w:numPr>
          <w:ilvl w:val="0"/>
          <w:numId w:val="9"/>
        </w:numPr>
        <w:spacing w:before="120" w:after="120"/>
        <w:ind w:hanging="720"/>
        <w:jc w:val="both"/>
        <w:rPr>
          <w:rFonts w:ascii="Book Antiqua" w:eastAsia="Book Antiqua" w:hAnsi="Book Antiqua" w:cs="Book Antiqua"/>
        </w:rPr>
      </w:pPr>
      <w:r w:rsidRPr="00AE3513">
        <w:rPr>
          <w:rFonts w:ascii="Book Antiqua" w:eastAsia="Book Antiqua" w:hAnsi="Book Antiqua" w:cs="Book Antiqua"/>
        </w:rPr>
        <w:t>an updated estimate of the likely duration of the trial;</w:t>
      </w:r>
    </w:p>
    <w:p w14:paraId="70FB5160" w14:textId="013362E4" w:rsidR="00E707D6" w:rsidRPr="00AE3513" w:rsidRDefault="00E707D6" w:rsidP="00AE3513">
      <w:pPr>
        <w:numPr>
          <w:ilvl w:val="0"/>
          <w:numId w:val="9"/>
        </w:numPr>
        <w:spacing w:before="120" w:after="120"/>
        <w:ind w:hanging="720"/>
        <w:jc w:val="both"/>
        <w:rPr>
          <w:rFonts w:ascii="Book Antiqua" w:eastAsia="Book Antiqua" w:hAnsi="Book Antiqua" w:cs="Book Antiqua"/>
        </w:rPr>
      </w:pPr>
      <w:r w:rsidRPr="00AE3513">
        <w:rPr>
          <w:rFonts w:ascii="Book Antiqua" w:eastAsia="Book Antiqua" w:hAnsi="Book Antiqua" w:cs="Book Antiqua"/>
        </w:rPr>
        <w:t>fixing a time after which no further party may be joined; and</w:t>
      </w:r>
    </w:p>
    <w:p w14:paraId="13C0A532" w14:textId="4AC40E7D" w:rsidR="00DC2067" w:rsidRPr="00AE3513" w:rsidRDefault="001C24D1" w:rsidP="00AE3513">
      <w:pPr>
        <w:numPr>
          <w:ilvl w:val="0"/>
          <w:numId w:val="9"/>
        </w:numPr>
        <w:spacing w:before="120" w:after="120"/>
        <w:ind w:hanging="720"/>
        <w:jc w:val="both"/>
        <w:rPr>
          <w:rFonts w:ascii="Book Antiqua" w:eastAsia="Book Antiqua" w:hAnsi="Book Antiqua" w:cs="Book Antiqua"/>
        </w:rPr>
      </w:pPr>
      <w:r w:rsidRPr="00AE3513">
        <w:rPr>
          <w:rFonts w:ascii="Book Antiqua" w:eastAsia="Book Antiqua" w:hAnsi="Book Antiqua" w:cs="Book Antiqua"/>
        </w:rPr>
        <w:t>d</w:t>
      </w:r>
      <w:r w:rsidR="00775612" w:rsidRPr="00AE3513">
        <w:rPr>
          <w:rFonts w:ascii="Book Antiqua" w:eastAsia="Book Antiqua" w:hAnsi="Book Antiqua" w:cs="Book Antiqua"/>
        </w:rPr>
        <w:t>irections for the conduct of the trial</w:t>
      </w:r>
      <w:r w:rsidR="003E1661" w:rsidRPr="00AE3513">
        <w:rPr>
          <w:rFonts w:ascii="Book Antiqua" w:eastAsia="Book Antiqua" w:hAnsi="Book Antiqua" w:cs="Book Antiqua"/>
        </w:rPr>
        <w:t xml:space="preserve"> including, having regard to Part D of the Technology Practice Note, the means of conducting the trial</w:t>
      </w:r>
      <w:r w:rsidR="00775612" w:rsidRPr="00AE3513">
        <w:rPr>
          <w:rFonts w:ascii="Book Antiqua" w:eastAsia="Book Antiqua" w:hAnsi="Book Antiqua" w:cs="Book Antiqua"/>
        </w:rPr>
        <w:t>.</w:t>
      </w:r>
    </w:p>
    <w:p w14:paraId="6D9A80F2" w14:textId="5816F63C" w:rsidR="00DC2067" w:rsidRPr="00AE3513" w:rsidRDefault="00DC2067"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 xml:space="preserve">Sample standard orders which might be made at </w:t>
      </w:r>
      <w:r w:rsidR="009A43AC" w:rsidRPr="00AE3513">
        <w:rPr>
          <w:rFonts w:ascii="Book Antiqua" w:eastAsia="Book Antiqua" w:hAnsi="Book Antiqua" w:cs="Book Antiqua"/>
          <w:sz w:val="24"/>
          <w:szCs w:val="24"/>
        </w:rPr>
        <w:t xml:space="preserve">a </w:t>
      </w:r>
      <w:r w:rsidR="00990805" w:rsidRPr="00AE3513">
        <w:rPr>
          <w:rFonts w:ascii="Book Antiqua" w:eastAsia="Book Antiqua" w:hAnsi="Book Antiqua" w:cs="Book Antiqua"/>
          <w:sz w:val="24"/>
          <w:szCs w:val="24"/>
        </w:rPr>
        <w:t>post-</w:t>
      </w:r>
      <w:r w:rsidRPr="00AE3513">
        <w:rPr>
          <w:rFonts w:ascii="Book Antiqua" w:eastAsia="Book Antiqua" w:hAnsi="Book Antiqua" w:cs="Book Antiqua"/>
          <w:sz w:val="24"/>
          <w:szCs w:val="24"/>
        </w:rPr>
        <w:t xml:space="preserve">mediation directions hearing </w:t>
      </w:r>
      <w:r w:rsidR="009A43AC" w:rsidRPr="00AE3513">
        <w:rPr>
          <w:rFonts w:ascii="Book Antiqua" w:eastAsia="Book Antiqua" w:hAnsi="Book Antiqua" w:cs="Book Antiqua"/>
          <w:sz w:val="24"/>
          <w:szCs w:val="24"/>
        </w:rPr>
        <w:t>can be accessed via the List webpage on the Court’s website</w:t>
      </w:r>
      <w:r w:rsidRPr="00AE3513">
        <w:rPr>
          <w:rFonts w:ascii="Book Antiqua" w:eastAsia="Book Antiqua" w:hAnsi="Book Antiqua" w:cs="Book Antiqua"/>
          <w:sz w:val="24"/>
          <w:szCs w:val="24"/>
        </w:rPr>
        <w:t>.</w:t>
      </w:r>
    </w:p>
    <w:p w14:paraId="4897F9F2" w14:textId="77777777" w:rsidR="00070C6A" w:rsidRPr="00AE3513" w:rsidRDefault="00070C6A" w:rsidP="00B068C4">
      <w:pPr>
        <w:spacing w:before="120" w:after="120"/>
        <w:ind w:left="720" w:hanging="720"/>
        <w:jc w:val="both"/>
        <w:rPr>
          <w:rFonts w:ascii="Book Antiqua" w:hAnsi="Book Antiqua"/>
        </w:rPr>
      </w:pPr>
    </w:p>
    <w:p w14:paraId="5B51B56E" w14:textId="27B2C539" w:rsidR="00DC2067" w:rsidRPr="00AE3513" w:rsidRDefault="00CE6FE4" w:rsidP="00AE3513">
      <w:pPr>
        <w:pStyle w:val="ListParagraph"/>
        <w:keepNext/>
        <w:numPr>
          <w:ilvl w:val="0"/>
          <w:numId w:val="2"/>
        </w:numPr>
        <w:autoSpaceDE w:val="0"/>
        <w:autoSpaceDN w:val="0"/>
        <w:adjustRightInd w:val="0"/>
        <w:spacing w:before="120" w:after="120"/>
        <w:contextualSpacing w:val="0"/>
        <w:jc w:val="both"/>
        <w:rPr>
          <w:rFonts w:ascii="Book Antiqua" w:eastAsia="Book Antiqua" w:hAnsi="Book Antiqua" w:cs="Book Antiqua"/>
          <w:b/>
          <w:bCs/>
          <w:sz w:val="24"/>
          <w:szCs w:val="24"/>
        </w:rPr>
      </w:pPr>
      <w:r w:rsidRPr="00AE3513">
        <w:rPr>
          <w:rFonts w:ascii="Book Antiqua" w:eastAsia="Book Antiqua" w:hAnsi="Book Antiqua" w:cs="Book Antiqua"/>
          <w:b/>
          <w:bCs/>
          <w:sz w:val="24"/>
          <w:szCs w:val="24"/>
        </w:rPr>
        <w:t>FINAL DIRECTIONS HEARING</w:t>
      </w:r>
    </w:p>
    <w:p w14:paraId="68AA1DFE" w14:textId="4F19B629" w:rsidR="00775612" w:rsidRPr="00AE3513" w:rsidRDefault="009A43AC"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A</w:t>
      </w:r>
      <w:r w:rsidR="00775612" w:rsidRPr="00AE3513">
        <w:rPr>
          <w:rFonts w:ascii="Book Antiqua" w:eastAsia="Book Antiqua" w:hAnsi="Book Antiqua" w:cs="Book Antiqua"/>
          <w:sz w:val="24"/>
          <w:szCs w:val="24"/>
        </w:rPr>
        <w:t xml:space="preserve"> final directions hearing </w:t>
      </w:r>
      <w:r w:rsidRPr="00AE3513">
        <w:rPr>
          <w:rFonts w:ascii="Book Antiqua" w:eastAsia="Book Antiqua" w:hAnsi="Book Antiqua" w:cs="Book Antiqua"/>
          <w:sz w:val="24"/>
          <w:szCs w:val="24"/>
        </w:rPr>
        <w:t xml:space="preserve">will </w:t>
      </w:r>
      <w:r w:rsidR="00775612" w:rsidRPr="00AE3513">
        <w:rPr>
          <w:rFonts w:ascii="Book Antiqua" w:eastAsia="Book Antiqua" w:hAnsi="Book Antiqua" w:cs="Book Antiqua"/>
          <w:sz w:val="24"/>
          <w:szCs w:val="24"/>
        </w:rPr>
        <w:t>be held shortly before the date fixed for trial.</w:t>
      </w:r>
    </w:p>
    <w:p w14:paraId="614D7BBA" w14:textId="286E164B" w:rsidR="00775612" w:rsidRPr="00AE3513" w:rsidRDefault="00775612"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At a final directions hearing, each party’s representative should be in a position to deal with the following matters:</w:t>
      </w:r>
    </w:p>
    <w:p w14:paraId="74908255" w14:textId="05D895A2" w:rsidR="00775612" w:rsidRPr="00AE3513" w:rsidRDefault="001C24D1" w:rsidP="00AE3513">
      <w:pPr>
        <w:numPr>
          <w:ilvl w:val="0"/>
          <w:numId w:val="10"/>
        </w:numPr>
        <w:spacing w:before="120" w:after="120"/>
        <w:ind w:hanging="720"/>
        <w:jc w:val="both"/>
        <w:rPr>
          <w:rFonts w:ascii="Book Antiqua" w:eastAsia="Book Antiqua" w:hAnsi="Book Antiqua" w:cs="Book Antiqua"/>
        </w:rPr>
      </w:pPr>
      <w:r w:rsidRPr="00AE3513">
        <w:rPr>
          <w:rFonts w:ascii="Book Antiqua" w:eastAsia="Book Antiqua" w:hAnsi="Book Antiqua" w:cs="Book Antiqua"/>
        </w:rPr>
        <w:t>w</w:t>
      </w:r>
      <w:r w:rsidR="00775612" w:rsidRPr="00AE3513">
        <w:rPr>
          <w:rFonts w:ascii="Book Antiqua" w:eastAsia="Book Antiqua" w:hAnsi="Book Antiqua" w:cs="Book Antiqua"/>
        </w:rPr>
        <w:t>hether the trial is ready to proceed on the proposed commencement date;</w:t>
      </w:r>
    </w:p>
    <w:p w14:paraId="60F11B1A" w14:textId="37C30B21" w:rsidR="00E707D6" w:rsidRPr="00AE3513" w:rsidRDefault="00E707D6" w:rsidP="00AE3513">
      <w:pPr>
        <w:numPr>
          <w:ilvl w:val="0"/>
          <w:numId w:val="10"/>
        </w:numPr>
        <w:spacing w:before="120" w:after="120"/>
        <w:ind w:hanging="720"/>
        <w:jc w:val="both"/>
        <w:rPr>
          <w:rFonts w:ascii="Book Antiqua" w:eastAsia="Book Antiqua" w:hAnsi="Book Antiqua" w:cs="Book Antiqua"/>
        </w:rPr>
      </w:pPr>
      <w:r w:rsidRPr="00AE3513">
        <w:rPr>
          <w:rFonts w:ascii="Book Antiqua" w:eastAsia="Book Antiqua" w:hAnsi="Book Antiqua" w:cs="Book Antiqua"/>
        </w:rPr>
        <w:t xml:space="preserve">an updated estimate of the likely duration of the trial and a timetable for the conduct of the trial; </w:t>
      </w:r>
    </w:p>
    <w:p w14:paraId="61EDF54F" w14:textId="5232C753" w:rsidR="003E1661" w:rsidRPr="00AE3513" w:rsidRDefault="003E1661" w:rsidP="00AE3513">
      <w:pPr>
        <w:numPr>
          <w:ilvl w:val="0"/>
          <w:numId w:val="10"/>
        </w:numPr>
        <w:spacing w:before="120" w:after="120"/>
        <w:ind w:hanging="720"/>
        <w:jc w:val="both"/>
        <w:rPr>
          <w:rFonts w:ascii="Book Antiqua" w:eastAsia="Book Antiqua" w:hAnsi="Book Antiqua" w:cs="Book Antiqua"/>
        </w:rPr>
      </w:pPr>
      <w:r w:rsidRPr="00AE3513">
        <w:rPr>
          <w:rFonts w:ascii="Book Antiqua" w:eastAsia="Book Antiqua" w:hAnsi="Book Antiqua" w:cs="Book Antiqua"/>
        </w:rPr>
        <w:t xml:space="preserve">if applicable, </w:t>
      </w:r>
      <w:r w:rsidR="002E59BF" w:rsidRPr="00AE3513">
        <w:rPr>
          <w:rFonts w:ascii="Book Antiqua" w:eastAsia="Book Antiqua" w:hAnsi="Book Antiqua" w:cs="Book Antiqua"/>
        </w:rPr>
        <w:t xml:space="preserve">readiness of </w:t>
      </w:r>
      <w:r w:rsidRPr="00AE3513">
        <w:rPr>
          <w:rFonts w:ascii="Book Antiqua" w:eastAsia="Book Antiqua" w:hAnsi="Book Antiqua" w:cs="Book Antiqua"/>
        </w:rPr>
        <w:t xml:space="preserve">e-trial arrangements; </w:t>
      </w:r>
    </w:p>
    <w:p w14:paraId="66E4E911" w14:textId="77777777" w:rsidR="00775612" w:rsidRPr="00AE3513" w:rsidRDefault="001C24D1" w:rsidP="00AE3513">
      <w:pPr>
        <w:numPr>
          <w:ilvl w:val="0"/>
          <w:numId w:val="10"/>
        </w:numPr>
        <w:spacing w:before="120" w:after="120"/>
        <w:ind w:hanging="720"/>
        <w:jc w:val="both"/>
        <w:rPr>
          <w:rFonts w:ascii="Book Antiqua" w:eastAsia="Book Antiqua" w:hAnsi="Book Antiqua" w:cs="Book Antiqua"/>
        </w:rPr>
      </w:pPr>
      <w:r w:rsidRPr="00AE3513">
        <w:rPr>
          <w:rFonts w:ascii="Book Antiqua" w:eastAsia="Book Antiqua" w:hAnsi="Book Antiqua" w:cs="Book Antiqua"/>
        </w:rPr>
        <w:t>w</w:t>
      </w:r>
      <w:r w:rsidR="00775612" w:rsidRPr="00AE3513">
        <w:rPr>
          <w:rFonts w:ascii="Book Antiqua" w:eastAsia="Book Antiqua" w:hAnsi="Book Antiqua" w:cs="Book Antiqua"/>
        </w:rPr>
        <w:t>hether any applicable timetable is still appropriate;</w:t>
      </w:r>
    </w:p>
    <w:p w14:paraId="5E40B3CE" w14:textId="18E1288F" w:rsidR="00AF541C" w:rsidRPr="00AE3513" w:rsidRDefault="001C24D1" w:rsidP="00AE3513">
      <w:pPr>
        <w:numPr>
          <w:ilvl w:val="0"/>
          <w:numId w:val="10"/>
        </w:numPr>
        <w:spacing w:before="120" w:after="120"/>
        <w:ind w:hanging="720"/>
        <w:jc w:val="both"/>
        <w:rPr>
          <w:rFonts w:ascii="Book Antiqua" w:eastAsia="Book Antiqua" w:hAnsi="Book Antiqua" w:cs="Book Antiqua"/>
        </w:rPr>
      </w:pPr>
      <w:r w:rsidRPr="00AE3513">
        <w:rPr>
          <w:rFonts w:ascii="Book Antiqua" w:eastAsia="Book Antiqua" w:hAnsi="Book Antiqua" w:cs="Book Antiqua"/>
        </w:rPr>
        <w:t>w</w:t>
      </w:r>
      <w:r w:rsidR="00775612" w:rsidRPr="00AE3513">
        <w:rPr>
          <w:rFonts w:ascii="Book Antiqua" w:eastAsia="Book Antiqua" w:hAnsi="Book Antiqua" w:cs="Book Antiqua"/>
        </w:rPr>
        <w:t>hether a further mediation would be likely to achieve a settlement of some or all of the questions in issue</w:t>
      </w:r>
      <w:r w:rsidR="003316D6" w:rsidRPr="00AE3513">
        <w:rPr>
          <w:rFonts w:ascii="Book Antiqua" w:eastAsia="Book Antiqua" w:hAnsi="Book Antiqua" w:cs="Book Antiqua"/>
        </w:rPr>
        <w:t>;</w:t>
      </w:r>
      <w:r w:rsidR="003A737F" w:rsidRPr="00AE3513">
        <w:rPr>
          <w:rFonts w:ascii="Book Antiqua" w:eastAsia="Book Antiqua" w:hAnsi="Book Antiqua" w:cs="Book Antiqua"/>
        </w:rPr>
        <w:t xml:space="preserve"> and</w:t>
      </w:r>
    </w:p>
    <w:p w14:paraId="404CC77B" w14:textId="47A6C33A" w:rsidR="063BB052" w:rsidRPr="00AE3513" w:rsidRDefault="003316D6" w:rsidP="00AE3513">
      <w:pPr>
        <w:numPr>
          <w:ilvl w:val="0"/>
          <w:numId w:val="10"/>
        </w:numPr>
        <w:spacing w:before="120" w:after="120"/>
        <w:ind w:hanging="720"/>
        <w:jc w:val="both"/>
        <w:rPr>
          <w:rFonts w:ascii="Book Antiqua" w:eastAsia="Book Antiqua" w:hAnsi="Book Antiqua" w:cs="Book Antiqua"/>
        </w:rPr>
      </w:pPr>
      <w:r w:rsidRPr="00AE3513">
        <w:rPr>
          <w:rFonts w:ascii="Book Antiqua" w:eastAsia="Book Antiqua" w:hAnsi="Book Antiqua" w:cs="Book Antiqua"/>
        </w:rPr>
        <w:t>w</w:t>
      </w:r>
      <w:r w:rsidR="7F0EAD49" w:rsidRPr="00AE3513">
        <w:rPr>
          <w:rFonts w:ascii="Book Antiqua" w:eastAsia="Book Antiqua" w:hAnsi="Book Antiqua" w:cs="Book Antiqua"/>
        </w:rPr>
        <w:t>hether any interlocutory steps remain outstanding</w:t>
      </w:r>
      <w:r w:rsidRPr="00AE3513">
        <w:rPr>
          <w:rFonts w:ascii="Book Antiqua" w:eastAsia="Book Antiqua" w:hAnsi="Book Antiqua" w:cs="Book Antiqua"/>
        </w:rPr>
        <w:t>.</w:t>
      </w:r>
    </w:p>
    <w:p w14:paraId="733EE13D" w14:textId="77777777" w:rsidR="00451E61" w:rsidRPr="00AE3513" w:rsidRDefault="00451E61" w:rsidP="00B068C4">
      <w:pPr>
        <w:spacing w:before="120" w:after="120"/>
        <w:ind w:left="720" w:hanging="720"/>
        <w:jc w:val="both"/>
        <w:rPr>
          <w:rFonts w:ascii="Book Antiqua" w:hAnsi="Book Antiqua"/>
          <w:b/>
        </w:rPr>
      </w:pPr>
    </w:p>
    <w:p w14:paraId="4E53E795" w14:textId="6D87DD01" w:rsidR="00A6250F" w:rsidRPr="00AE3513" w:rsidRDefault="00A6250F" w:rsidP="00AE3513">
      <w:pPr>
        <w:pStyle w:val="ListParagraph"/>
        <w:keepNext/>
        <w:numPr>
          <w:ilvl w:val="0"/>
          <w:numId w:val="2"/>
        </w:numPr>
        <w:autoSpaceDE w:val="0"/>
        <w:autoSpaceDN w:val="0"/>
        <w:adjustRightInd w:val="0"/>
        <w:spacing w:before="120" w:after="120"/>
        <w:contextualSpacing w:val="0"/>
        <w:jc w:val="both"/>
        <w:rPr>
          <w:rFonts w:ascii="Book Antiqua" w:eastAsia="Book Antiqua" w:hAnsi="Book Antiqua" w:cs="Book Antiqua"/>
          <w:b/>
          <w:bCs/>
          <w:sz w:val="24"/>
          <w:szCs w:val="24"/>
        </w:rPr>
      </w:pPr>
      <w:r w:rsidRPr="00AE3513">
        <w:rPr>
          <w:rFonts w:ascii="Book Antiqua" w:eastAsia="Book Antiqua" w:hAnsi="Book Antiqua" w:cs="Book Antiqua"/>
          <w:b/>
          <w:bCs/>
          <w:sz w:val="24"/>
          <w:szCs w:val="24"/>
        </w:rPr>
        <w:t>TRANSCRIPT</w:t>
      </w:r>
    </w:p>
    <w:p w14:paraId="40D2F1C1" w14:textId="77777777" w:rsidR="00E852C6" w:rsidRPr="00AE3513" w:rsidRDefault="00E852C6" w:rsidP="00AE3513">
      <w:pPr>
        <w:pStyle w:val="ListParagraph"/>
        <w:numPr>
          <w:ilvl w:val="1"/>
          <w:numId w:val="2"/>
        </w:numPr>
        <w:spacing w:before="120" w:after="120"/>
        <w:contextualSpacing w:val="0"/>
        <w:jc w:val="both"/>
        <w:rPr>
          <w:rFonts w:ascii="Book Antiqua" w:hAnsi="Book Antiqua"/>
          <w:sz w:val="24"/>
          <w:szCs w:val="24"/>
        </w:rPr>
      </w:pPr>
      <w:r w:rsidRPr="00AE3513">
        <w:rPr>
          <w:rFonts w:ascii="Book Antiqua" w:hAnsi="Book Antiqua"/>
          <w:sz w:val="24"/>
          <w:szCs w:val="24"/>
        </w:rPr>
        <w:t>Practice Note SC Gen 7 is applicable to the requirements for transcript in relation to proceedings in the List.</w:t>
      </w:r>
    </w:p>
    <w:p w14:paraId="213F5EEF" w14:textId="77777777" w:rsidR="00932CBC" w:rsidRPr="00932CBC" w:rsidRDefault="00932CBC" w:rsidP="00AE3513">
      <w:pPr>
        <w:pStyle w:val="ListParagraph"/>
        <w:numPr>
          <w:ilvl w:val="1"/>
          <w:numId w:val="2"/>
        </w:numPr>
        <w:spacing w:before="120" w:after="120"/>
        <w:contextualSpacing w:val="0"/>
        <w:jc w:val="both"/>
        <w:rPr>
          <w:rFonts w:ascii="Book Antiqua" w:hAnsi="Book Antiqua"/>
          <w:sz w:val="24"/>
          <w:szCs w:val="24"/>
        </w:rPr>
      </w:pPr>
      <w:r>
        <w:rPr>
          <w:rFonts w:ascii="Book Antiqua" w:eastAsia="Book Antiqua" w:hAnsi="Book Antiqua" w:cs="Book Antiqua"/>
          <w:iCs/>
          <w:sz w:val="24"/>
          <w:szCs w:val="24"/>
        </w:rPr>
        <w:lastRenderedPageBreak/>
        <w:t>Unless parties are advised otherwise:</w:t>
      </w:r>
    </w:p>
    <w:p w14:paraId="614DA76F" w14:textId="24AA9C52" w:rsidR="00C826D2" w:rsidRPr="00AE3513" w:rsidRDefault="004F26CF" w:rsidP="00C826D2">
      <w:pPr>
        <w:numPr>
          <w:ilvl w:val="0"/>
          <w:numId w:val="13"/>
        </w:numPr>
        <w:spacing w:before="120" w:after="120"/>
        <w:jc w:val="both"/>
        <w:rPr>
          <w:rFonts w:ascii="Book Antiqua" w:hAnsi="Book Antiqua"/>
        </w:rPr>
      </w:pPr>
      <w:r>
        <w:rPr>
          <w:rFonts w:ascii="Book Antiqua" w:eastAsia="Book Antiqua" w:hAnsi="Book Antiqua" w:cs="Book Antiqua"/>
        </w:rPr>
        <w:t>the parties are required to obtain a</w:t>
      </w:r>
      <w:r w:rsidR="00E852C6" w:rsidRPr="00AE3513">
        <w:rPr>
          <w:rFonts w:ascii="Book Antiqua" w:eastAsia="Book Antiqua" w:hAnsi="Book Antiqua" w:cs="Book Antiqua"/>
        </w:rPr>
        <w:t xml:space="preserve"> running transcript for trials</w:t>
      </w:r>
      <w:r w:rsidR="00C826D2">
        <w:rPr>
          <w:rFonts w:ascii="Book Antiqua" w:eastAsia="Book Antiqua" w:hAnsi="Book Antiqua" w:cs="Book Antiqua"/>
        </w:rPr>
        <w:t>,</w:t>
      </w:r>
      <w:r w:rsidR="00E852C6" w:rsidRPr="00AE3513">
        <w:rPr>
          <w:rFonts w:ascii="Book Antiqua" w:eastAsia="Book Antiqua" w:hAnsi="Book Antiqua" w:cs="Book Antiqua"/>
        </w:rPr>
        <w:t xml:space="preserve"> interlocutory applications</w:t>
      </w:r>
      <w:r w:rsidR="005A4991">
        <w:rPr>
          <w:rFonts w:ascii="Book Antiqua" w:eastAsia="Book Antiqua" w:hAnsi="Book Antiqua" w:cs="Book Antiqua"/>
        </w:rPr>
        <w:t xml:space="preserve">, </w:t>
      </w:r>
      <w:r w:rsidR="00C826D2">
        <w:rPr>
          <w:rFonts w:ascii="Book Antiqua" w:eastAsia="Book Antiqua" w:hAnsi="Book Antiqua" w:cs="Book Antiqua"/>
        </w:rPr>
        <w:t>case management conferences</w:t>
      </w:r>
      <w:r w:rsidR="005A4991">
        <w:rPr>
          <w:rFonts w:ascii="Book Antiqua" w:eastAsia="Book Antiqua" w:hAnsi="Book Antiqua" w:cs="Book Antiqua"/>
        </w:rPr>
        <w:t xml:space="preserve"> and directions hearings</w:t>
      </w:r>
      <w:r w:rsidR="00932CBC">
        <w:rPr>
          <w:rFonts w:ascii="Book Antiqua" w:eastAsia="Book Antiqua" w:hAnsi="Book Antiqua" w:cs="Book Antiqua"/>
        </w:rPr>
        <w:t>;</w:t>
      </w:r>
    </w:p>
    <w:p w14:paraId="1E33804A" w14:textId="5DB96419" w:rsidR="00E852C6" w:rsidRPr="00C826D2" w:rsidRDefault="005A4991" w:rsidP="00C826D2">
      <w:pPr>
        <w:numPr>
          <w:ilvl w:val="0"/>
          <w:numId w:val="13"/>
        </w:numPr>
        <w:spacing w:before="120" w:after="120"/>
        <w:jc w:val="both"/>
        <w:rPr>
          <w:rFonts w:ascii="Book Antiqua" w:hAnsi="Book Antiqua"/>
        </w:rPr>
      </w:pPr>
      <w:r>
        <w:rPr>
          <w:rFonts w:ascii="Book Antiqua" w:eastAsia="Book Antiqua" w:hAnsi="Book Antiqua" w:cs="Book Antiqua"/>
        </w:rPr>
        <w:t>by leave</w:t>
      </w:r>
      <w:r w:rsidR="00C826D2" w:rsidRPr="00C826D2">
        <w:rPr>
          <w:rFonts w:ascii="Book Antiqua" w:eastAsia="Book Antiqua" w:hAnsi="Book Antiqua" w:cs="Book Antiqua"/>
        </w:rPr>
        <w:t xml:space="preserve"> of the judicial officer</w:t>
      </w:r>
      <w:r>
        <w:rPr>
          <w:rFonts w:ascii="Book Antiqua" w:eastAsia="Book Antiqua" w:hAnsi="Book Antiqua" w:cs="Book Antiqua"/>
        </w:rPr>
        <w:t>,</w:t>
      </w:r>
      <w:r w:rsidR="00C826D2" w:rsidRPr="00C826D2">
        <w:rPr>
          <w:rFonts w:ascii="Book Antiqua" w:eastAsia="Book Antiqua" w:hAnsi="Book Antiqua" w:cs="Book Antiqua"/>
        </w:rPr>
        <w:t xml:space="preserve"> a </w:t>
      </w:r>
      <w:r w:rsidR="004F26CF">
        <w:rPr>
          <w:rFonts w:ascii="Book Antiqua" w:eastAsia="Book Antiqua" w:hAnsi="Book Antiqua" w:cs="Book Antiqua"/>
        </w:rPr>
        <w:t>de</w:t>
      </w:r>
      <w:r w:rsidR="000A5CE7">
        <w:rPr>
          <w:rFonts w:ascii="Book Antiqua" w:eastAsia="Book Antiqua" w:hAnsi="Book Antiqua" w:cs="Book Antiqua"/>
        </w:rPr>
        <w:t>ferred</w:t>
      </w:r>
      <w:r w:rsidR="00C826D2" w:rsidRPr="00C826D2">
        <w:rPr>
          <w:rFonts w:ascii="Book Antiqua" w:eastAsia="Book Antiqua" w:hAnsi="Book Antiqua" w:cs="Book Antiqua"/>
        </w:rPr>
        <w:t xml:space="preserve"> transcript may be provided </w:t>
      </w:r>
      <w:r w:rsidR="00E852C6" w:rsidRPr="00C826D2">
        <w:rPr>
          <w:rFonts w:ascii="Book Antiqua" w:eastAsia="Book Antiqua" w:hAnsi="Book Antiqua" w:cs="Book Antiqua"/>
        </w:rPr>
        <w:t>for directions hearings</w:t>
      </w:r>
      <w:r w:rsidR="00932CBC" w:rsidRPr="00C826D2">
        <w:rPr>
          <w:rFonts w:ascii="Book Antiqua" w:eastAsia="Book Antiqua" w:hAnsi="Book Antiqua" w:cs="Book Antiqua"/>
        </w:rPr>
        <w:t>.</w:t>
      </w:r>
    </w:p>
    <w:p w14:paraId="115A2ABC" w14:textId="77777777" w:rsidR="00A6250F" w:rsidRPr="00AE3513" w:rsidRDefault="00A6250F" w:rsidP="00B068C4">
      <w:pPr>
        <w:spacing w:before="120" w:after="120"/>
        <w:ind w:left="720" w:hanging="720"/>
        <w:jc w:val="both"/>
        <w:rPr>
          <w:rFonts w:ascii="Book Antiqua" w:hAnsi="Book Antiqua"/>
          <w:b/>
        </w:rPr>
      </w:pPr>
    </w:p>
    <w:p w14:paraId="2CD2C611" w14:textId="7023520A" w:rsidR="00562447" w:rsidRPr="00747764" w:rsidRDefault="00B7688F" w:rsidP="00AE3513">
      <w:pPr>
        <w:pStyle w:val="ListParagraph"/>
        <w:keepNext/>
        <w:numPr>
          <w:ilvl w:val="0"/>
          <w:numId w:val="2"/>
        </w:numPr>
        <w:autoSpaceDE w:val="0"/>
        <w:autoSpaceDN w:val="0"/>
        <w:adjustRightInd w:val="0"/>
        <w:spacing w:before="120" w:after="120"/>
        <w:contextualSpacing w:val="0"/>
        <w:jc w:val="both"/>
        <w:rPr>
          <w:rFonts w:ascii="Book Antiqua" w:eastAsia="Book Antiqua" w:hAnsi="Book Antiqua" w:cs="Book Antiqua"/>
          <w:b/>
          <w:sz w:val="24"/>
          <w:szCs w:val="24"/>
        </w:rPr>
      </w:pPr>
      <w:r w:rsidRPr="00747764">
        <w:rPr>
          <w:rFonts w:ascii="Book Antiqua" w:eastAsia="Book Antiqua" w:hAnsi="Book Antiqua" w:cs="Book Antiqua"/>
          <w:b/>
          <w:bCs/>
          <w:sz w:val="24"/>
          <w:szCs w:val="24"/>
        </w:rPr>
        <w:t>COURT ORDERS</w:t>
      </w:r>
    </w:p>
    <w:p w14:paraId="1C1B38BA" w14:textId="740BF569" w:rsidR="00562447" w:rsidRPr="00AE3513" w:rsidRDefault="00562447"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If at any time the parties are unable to comply with time limits in Court orders, they must notify the List Coordinator and request an extension of time.</w:t>
      </w:r>
    </w:p>
    <w:p w14:paraId="1140B6BA" w14:textId="234AD17C" w:rsidR="00B7688F" w:rsidRPr="00AE3513" w:rsidRDefault="00E81517"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The P</w:t>
      </w:r>
      <w:r w:rsidR="00B7688F" w:rsidRPr="00AE3513">
        <w:rPr>
          <w:rFonts w:ascii="Book Antiqua" w:eastAsia="Book Antiqua" w:hAnsi="Book Antiqua" w:cs="Book Antiqua"/>
          <w:sz w:val="24"/>
          <w:szCs w:val="24"/>
        </w:rPr>
        <w:t xml:space="preserve">laintiff’s solicitors are encouraged to deliver proposed consent orders to all other parties in advance of all directions hearings. </w:t>
      </w:r>
      <w:r w:rsidRPr="00AE3513">
        <w:rPr>
          <w:rFonts w:ascii="Book Antiqua" w:eastAsia="Book Antiqua" w:hAnsi="Book Antiqua" w:cs="Book Antiqua"/>
          <w:sz w:val="24"/>
          <w:szCs w:val="24"/>
        </w:rPr>
        <w:t xml:space="preserve"> </w:t>
      </w:r>
      <w:r w:rsidR="00562447" w:rsidRPr="00AE3513">
        <w:rPr>
          <w:rFonts w:ascii="Book Antiqua" w:eastAsia="Book Antiqua" w:hAnsi="Book Antiqua" w:cs="Book Antiqua"/>
          <w:sz w:val="24"/>
          <w:szCs w:val="24"/>
        </w:rPr>
        <w:t>P</w:t>
      </w:r>
      <w:r w:rsidR="00B7688F" w:rsidRPr="00AE3513">
        <w:rPr>
          <w:rFonts w:ascii="Book Antiqua" w:eastAsia="Book Antiqua" w:hAnsi="Book Antiqua" w:cs="Book Antiqua"/>
          <w:sz w:val="24"/>
          <w:szCs w:val="24"/>
        </w:rPr>
        <w:t xml:space="preserve">arties </w:t>
      </w:r>
      <w:r w:rsidR="00562447" w:rsidRPr="00AE3513">
        <w:rPr>
          <w:rFonts w:ascii="Book Antiqua" w:eastAsia="Book Antiqua" w:hAnsi="Book Antiqua" w:cs="Book Antiqua"/>
          <w:sz w:val="24"/>
          <w:szCs w:val="24"/>
        </w:rPr>
        <w:t xml:space="preserve">seeking consent orders </w:t>
      </w:r>
      <w:r w:rsidR="00B7688F" w:rsidRPr="00AE3513">
        <w:rPr>
          <w:rFonts w:ascii="Book Antiqua" w:eastAsia="Book Antiqua" w:hAnsi="Book Antiqua" w:cs="Book Antiqua"/>
          <w:sz w:val="24"/>
          <w:szCs w:val="24"/>
        </w:rPr>
        <w:t>should email minutes of consent to the</w:t>
      </w:r>
      <w:r w:rsidR="01DE1DA1" w:rsidRPr="00AE3513">
        <w:rPr>
          <w:rFonts w:ascii="Book Antiqua" w:eastAsia="Book Antiqua" w:hAnsi="Book Antiqua" w:cs="Book Antiqua"/>
          <w:sz w:val="24"/>
          <w:szCs w:val="24"/>
        </w:rPr>
        <w:t xml:space="preserve"> </w:t>
      </w:r>
      <w:r w:rsidR="00AC0AD0" w:rsidRPr="00AE3513">
        <w:rPr>
          <w:rFonts w:ascii="Book Antiqua" w:eastAsia="Book Antiqua" w:hAnsi="Book Antiqua" w:cs="Book Antiqua"/>
          <w:sz w:val="24"/>
          <w:szCs w:val="24"/>
        </w:rPr>
        <w:t>List Coordinator</w:t>
      </w:r>
      <w:r w:rsidR="00B7688F" w:rsidRPr="00AE3513">
        <w:rPr>
          <w:rFonts w:ascii="Book Antiqua" w:eastAsia="Book Antiqua" w:hAnsi="Book Antiqua" w:cs="Book Antiqua"/>
          <w:sz w:val="24"/>
          <w:szCs w:val="24"/>
        </w:rPr>
        <w:t xml:space="preserve">, in both Word and signed PDF format, by </w:t>
      </w:r>
      <w:r w:rsidR="00B16A26" w:rsidRPr="00AE3513">
        <w:rPr>
          <w:rFonts w:ascii="Book Antiqua" w:eastAsia="Book Antiqua" w:hAnsi="Book Antiqua" w:cs="Book Antiqua"/>
          <w:sz w:val="24"/>
          <w:szCs w:val="24"/>
        </w:rPr>
        <w:t>1</w:t>
      </w:r>
      <w:r w:rsidR="00B7688F" w:rsidRPr="00AE3513">
        <w:rPr>
          <w:rFonts w:ascii="Book Antiqua" w:eastAsia="Book Antiqua" w:hAnsi="Book Antiqua" w:cs="Book Antiqua"/>
          <w:sz w:val="24"/>
          <w:szCs w:val="24"/>
        </w:rPr>
        <w:t>.</w:t>
      </w:r>
      <w:r w:rsidR="00B16A26" w:rsidRPr="00AE3513">
        <w:rPr>
          <w:rFonts w:ascii="Book Antiqua" w:eastAsia="Book Antiqua" w:hAnsi="Book Antiqua" w:cs="Book Antiqua"/>
          <w:sz w:val="24"/>
          <w:szCs w:val="24"/>
        </w:rPr>
        <w:t>0</w:t>
      </w:r>
      <w:r w:rsidR="00B7688F" w:rsidRPr="00AE3513">
        <w:rPr>
          <w:rFonts w:ascii="Book Antiqua" w:eastAsia="Book Antiqua" w:hAnsi="Book Antiqua" w:cs="Book Antiqua"/>
          <w:sz w:val="24"/>
          <w:szCs w:val="24"/>
        </w:rPr>
        <w:t xml:space="preserve">0pm on the </w:t>
      </w:r>
      <w:r w:rsidR="01DE1DA1" w:rsidRPr="00AE3513">
        <w:rPr>
          <w:rFonts w:ascii="Book Antiqua" w:eastAsia="Book Antiqua" w:hAnsi="Book Antiqua" w:cs="Book Antiqua"/>
          <w:sz w:val="24"/>
          <w:szCs w:val="24"/>
        </w:rPr>
        <w:t xml:space="preserve">business </w:t>
      </w:r>
      <w:r w:rsidR="00B7688F" w:rsidRPr="00AE3513">
        <w:rPr>
          <w:rFonts w:ascii="Book Antiqua" w:eastAsia="Book Antiqua" w:hAnsi="Book Antiqua" w:cs="Book Antiqua"/>
          <w:sz w:val="24"/>
          <w:szCs w:val="24"/>
        </w:rPr>
        <w:t xml:space="preserve">day prior to the directions hearing. </w:t>
      </w:r>
    </w:p>
    <w:p w14:paraId="7AAEA80D" w14:textId="157EDDCC" w:rsidR="00B7688F" w:rsidRPr="00AE3513" w:rsidRDefault="00B7688F"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 xml:space="preserve">Liberty to apply </w:t>
      </w:r>
      <w:r w:rsidR="00E707D6" w:rsidRPr="00AE3513">
        <w:rPr>
          <w:rFonts w:ascii="Book Antiqua" w:eastAsia="Book Antiqua" w:hAnsi="Book Antiqua" w:cs="Book Antiqua"/>
          <w:sz w:val="24"/>
          <w:szCs w:val="24"/>
        </w:rPr>
        <w:t>is</w:t>
      </w:r>
      <w:r w:rsidRPr="00AE3513">
        <w:rPr>
          <w:rFonts w:ascii="Book Antiqua" w:eastAsia="Book Antiqua" w:hAnsi="Book Antiqua" w:cs="Book Antiqua"/>
          <w:sz w:val="24"/>
          <w:szCs w:val="24"/>
        </w:rPr>
        <w:t xml:space="preserve"> implied in all </w:t>
      </w:r>
      <w:r w:rsidR="00C826D2">
        <w:rPr>
          <w:rFonts w:ascii="Book Antiqua" w:eastAsia="Book Antiqua" w:hAnsi="Book Antiqua" w:cs="Book Antiqua"/>
          <w:sz w:val="24"/>
          <w:szCs w:val="24"/>
        </w:rPr>
        <w:t xml:space="preserve">interlocutory </w:t>
      </w:r>
      <w:r w:rsidRPr="00AE3513">
        <w:rPr>
          <w:rFonts w:ascii="Book Antiqua" w:eastAsia="Book Antiqua" w:hAnsi="Book Antiqua" w:cs="Book Antiqua"/>
          <w:sz w:val="24"/>
          <w:szCs w:val="24"/>
        </w:rPr>
        <w:t>orders.</w:t>
      </w:r>
    </w:p>
    <w:p w14:paraId="686F7512" w14:textId="2C4207F9" w:rsidR="00070C6A" w:rsidRPr="00AE3513" w:rsidRDefault="00B7688F"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 xml:space="preserve">The Court will authenticate orders on the papers where appropriate. </w:t>
      </w:r>
      <w:r w:rsidR="00E81517" w:rsidRPr="00AE3513">
        <w:rPr>
          <w:rFonts w:ascii="Book Antiqua" w:eastAsia="Book Antiqua" w:hAnsi="Book Antiqua" w:cs="Book Antiqua"/>
          <w:sz w:val="24"/>
          <w:szCs w:val="24"/>
        </w:rPr>
        <w:t xml:space="preserve"> </w:t>
      </w:r>
      <w:r w:rsidRPr="00AE3513">
        <w:rPr>
          <w:rFonts w:ascii="Book Antiqua" w:eastAsia="Book Antiqua" w:hAnsi="Book Antiqua" w:cs="Book Antiqua"/>
          <w:sz w:val="24"/>
          <w:szCs w:val="24"/>
        </w:rPr>
        <w:t>However, notwithstanding that the parties may have submitted proposed consent orders, the Court may require the attendance of practitioners at a hearing.</w:t>
      </w:r>
    </w:p>
    <w:p w14:paraId="44A5C891" w14:textId="6088F3F5" w:rsidR="00B7688F" w:rsidRPr="00AE3513" w:rsidRDefault="00070C6A"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Parties are required to appear at all scheduled directions hearings unless otherwise advised by the List Coordinator.</w:t>
      </w:r>
    </w:p>
    <w:p w14:paraId="270C383F" w14:textId="77777777" w:rsidR="008368BD" w:rsidRPr="00AE3513" w:rsidRDefault="008368BD" w:rsidP="00B068C4">
      <w:pPr>
        <w:spacing w:before="120" w:after="120"/>
        <w:ind w:left="720" w:hanging="720"/>
        <w:jc w:val="both"/>
        <w:rPr>
          <w:rFonts w:ascii="Book Antiqua" w:hAnsi="Book Antiqua"/>
        </w:rPr>
      </w:pPr>
    </w:p>
    <w:p w14:paraId="1AD68D00" w14:textId="12AB5745" w:rsidR="008368BD" w:rsidRPr="00AE3513" w:rsidRDefault="008368BD" w:rsidP="00AE3513">
      <w:pPr>
        <w:pStyle w:val="ListParagraph"/>
        <w:keepNext/>
        <w:numPr>
          <w:ilvl w:val="0"/>
          <w:numId w:val="2"/>
        </w:numPr>
        <w:autoSpaceDE w:val="0"/>
        <w:autoSpaceDN w:val="0"/>
        <w:adjustRightInd w:val="0"/>
        <w:spacing w:before="120" w:after="120"/>
        <w:contextualSpacing w:val="0"/>
        <w:jc w:val="both"/>
        <w:rPr>
          <w:rFonts w:ascii="Book Antiqua" w:eastAsia="Book Antiqua" w:hAnsi="Book Antiqua" w:cs="Book Antiqua"/>
          <w:b/>
          <w:bCs/>
          <w:sz w:val="24"/>
          <w:szCs w:val="24"/>
        </w:rPr>
      </w:pPr>
      <w:r w:rsidRPr="00AE3513">
        <w:rPr>
          <w:rFonts w:ascii="Book Antiqua" w:eastAsia="Book Antiqua" w:hAnsi="Book Antiqua" w:cs="Book Antiqua"/>
          <w:b/>
          <w:bCs/>
          <w:sz w:val="24"/>
          <w:szCs w:val="24"/>
        </w:rPr>
        <w:t>USE OF TECHNOLOGY</w:t>
      </w:r>
    </w:p>
    <w:p w14:paraId="33EBF0BF" w14:textId="70993D31" w:rsidR="008368BD" w:rsidRPr="00AE3513" w:rsidRDefault="008368BD"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 xml:space="preserve">The provisions of </w:t>
      </w:r>
      <w:r w:rsidR="005500B1" w:rsidRPr="00AE3513">
        <w:rPr>
          <w:rFonts w:ascii="Book Antiqua" w:eastAsia="Book Antiqua" w:hAnsi="Book Antiqua" w:cs="Book Antiqua"/>
          <w:sz w:val="24"/>
          <w:szCs w:val="24"/>
        </w:rPr>
        <w:t xml:space="preserve">the Technology </w:t>
      </w:r>
      <w:r w:rsidRPr="00AE3513">
        <w:rPr>
          <w:rFonts w:ascii="Book Antiqua" w:eastAsia="Book Antiqua" w:hAnsi="Book Antiqua" w:cs="Book Antiqua"/>
          <w:sz w:val="24"/>
          <w:szCs w:val="24"/>
        </w:rPr>
        <w:t>Practice Note apply to proceedings in the List.</w:t>
      </w:r>
    </w:p>
    <w:p w14:paraId="7D7FAE9E" w14:textId="79FDBCC5" w:rsidR="008368BD" w:rsidRPr="00AE3513" w:rsidRDefault="008368BD"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 xml:space="preserve">For the purposes of paragraph 9.11 of that Practice Note, documentary evidence in excess of 1500 pages is to be considered a large amount of documentary evidence.  </w:t>
      </w:r>
    </w:p>
    <w:p w14:paraId="265ADE6F" w14:textId="77777777" w:rsidR="00182C1F" w:rsidRPr="00AE3513" w:rsidRDefault="00182C1F" w:rsidP="00B068C4">
      <w:pPr>
        <w:spacing w:before="120" w:after="120"/>
        <w:ind w:left="720" w:hanging="720"/>
        <w:jc w:val="both"/>
        <w:rPr>
          <w:rFonts w:ascii="Book Antiqua" w:hAnsi="Book Antiqua"/>
          <w:b/>
        </w:rPr>
      </w:pPr>
    </w:p>
    <w:p w14:paraId="071405B2" w14:textId="1550F7CD" w:rsidR="002361DF" w:rsidRPr="00AE3513" w:rsidRDefault="002361DF" w:rsidP="00AE3513">
      <w:pPr>
        <w:pStyle w:val="ListParagraph"/>
        <w:keepNext/>
        <w:numPr>
          <w:ilvl w:val="0"/>
          <w:numId w:val="2"/>
        </w:numPr>
        <w:autoSpaceDE w:val="0"/>
        <w:autoSpaceDN w:val="0"/>
        <w:adjustRightInd w:val="0"/>
        <w:spacing w:before="120" w:after="120"/>
        <w:contextualSpacing w:val="0"/>
        <w:jc w:val="both"/>
        <w:rPr>
          <w:rFonts w:ascii="Book Antiqua" w:eastAsia="Book Antiqua" w:hAnsi="Book Antiqua" w:cs="Book Antiqua"/>
          <w:b/>
          <w:bCs/>
          <w:sz w:val="24"/>
          <w:szCs w:val="24"/>
        </w:rPr>
      </w:pPr>
      <w:r w:rsidRPr="00AE3513">
        <w:rPr>
          <w:rFonts w:ascii="Book Antiqua" w:eastAsia="Book Antiqua" w:hAnsi="Book Antiqua" w:cs="Book Antiqua"/>
          <w:b/>
          <w:bCs/>
          <w:sz w:val="24"/>
          <w:szCs w:val="24"/>
        </w:rPr>
        <w:t>COMMUNICATIONS WITH THE COURT</w:t>
      </w:r>
    </w:p>
    <w:p w14:paraId="365EF3D3" w14:textId="77777777" w:rsidR="00990805" w:rsidRPr="00AE3513" w:rsidRDefault="00990805"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Practitioners should consult Practice Note SC GEN 4 Custom and Protocol which sets out the general protocol for communications with the Court.</w:t>
      </w:r>
    </w:p>
    <w:p w14:paraId="73BCBCF1" w14:textId="77777777" w:rsidR="00990805" w:rsidRPr="00AE3513" w:rsidRDefault="00990805"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Email is the preferred form of communication in relation to proceedings in the List and the following protocols should be observed:</w:t>
      </w:r>
    </w:p>
    <w:p w14:paraId="2AA95AD8" w14:textId="19CE8BF0" w:rsidR="00990805" w:rsidRPr="00AE3513" w:rsidRDefault="00990805" w:rsidP="00AE3513">
      <w:pPr>
        <w:pStyle w:val="ListParagraph"/>
        <w:numPr>
          <w:ilvl w:val="0"/>
          <w:numId w:val="12"/>
        </w:numPr>
        <w:autoSpaceDE w:val="0"/>
        <w:autoSpaceDN w:val="0"/>
        <w:adjustRightInd w:val="0"/>
        <w:spacing w:before="120" w:after="120"/>
        <w:ind w:hanging="7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Prior to a proceeding being allocated to the trial judge, email</w:t>
      </w:r>
      <w:r w:rsidR="00672CA5" w:rsidRPr="00AE3513">
        <w:rPr>
          <w:rFonts w:ascii="Book Antiqua" w:eastAsia="Book Antiqua" w:hAnsi="Book Antiqua" w:cs="Book Antiqua"/>
          <w:sz w:val="24"/>
          <w:szCs w:val="24"/>
        </w:rPr>
        <w:t>s are to be sent to the List Co</w:t>
      </w:r>
      <w:r w:rsidRPr="00AE3513">
        <w:rPr>
          <w:rFonts w:ascii="Book Antiqua" w:eastAsia="Book Antiqua" w:hAnsi="Book Antiqua" w:cs="Book Antiqua"/>
          <w:sz w:val="24"/>
          <w:szCs w:val="24"/>
        </w:rPr>
        <w:t>ordinator. Once parties have been informed of the name of the trial judge, communications should be directed to the trial judge’s associate/s. Contact details for all associates are on the Court website.</w:t>
      </w:r>
    </w:p>
    <w:p w14:paraId="3E0EDC85" w14:textId="77777777" w:rsidR="00990805" w:rsidRPr="00AE3513" w:rsidRDefault="00990805" w:rsidP="00AE3513">
      <w:pPr>
        <w:pStyle w:val="ListParagraph"/>
        <w:numPr>
          <w:ilvl w:val="0"/>
          <w:numId w:val="12"/>
        </w:numPr>
        <w:autoSpaceDE w:val="0"/>
        <w:autoSpaceDN w:val="0"/>
        <w:adjustRightInd w:val="0"/>
        <w:spacing w:before="120" w:after="120"/>
        <w:ind w:hanging="7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lastRenderedPageBreak/>
        <w:t>Emails should maintain the same level of formality expected of all communications with the Court.</w:t>
      </w:r>
    </w:p>
    <w:p w14:paraId="5B2EC22A" w14:textId="77777777" w:rsidR="00990805" w:rsidRPr="00AE3513" w:rsidRDefault="00990805" w:rsidP="00AE3513">
      <w:pPr>
        <w:pStyle w:val="ListParagraph"/>
        <w:numPr>
          <w:ilvl w:val="0"/>
          <w:numId w:val="12"/>
        </w:numPr>
        <w:autoSpaceDE w:val="0"/>
        <w:autoSpaceDN w:val="0"/>
        <w:adjustRightInd w:val="0"/>
        <w:spacing w:before="120" w:after="120"/>
        <w:ind w:hanging="7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Unless the communication concerns an application to be made without notice, all parties must be copied in.</w:t>
      </w:r>
    </w:p>
    <w:p w14:paraId="2BDBBC05" w14:textId="77777777" w:rsidR="00990805" w:rsidRPr="00AE3513" w:rsidRDefault="00990805" w:rsidP="00AE3513">
      <w:pPr>
        <w:pStyle w:val="ListParagraph"/>
        <w:numPr>
          <w:ilvl w:val="0"/>
          <w:numId w:val="12"/>
        </w:numPr>
        <w:autoSpaceDE w:val="0"/>
        <w:autoSpaceDN w:val="0"/>
        <w:adjustRightInd w:val="0"/>
        <w:spacing w:before="120" w:after="120"/>
        <w:ind w:hanging="7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Emails, like any other correspondence with the Court, are not the appropriate forum for raising contentious issues, unless the Court has invited written submissions via email.</w:t>
      </w:r>
    </w:p>
    <w:p w14:paraId="27C8E1D6" w14:textId="77777777" w:rsidR="00990805" w:rsidRPr="00AE3513" w:rsidRDefault="00990805"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 xml:space="preserve">Under the Rules of Court, lawyers are required to provide the name and email address of an individual to whom reference can be made in respect of the proceeding on all court documents.  Lawyers are expected to monitor email addresses provided and advise of any change of address in the same way as they would a mailing address.  </w:t>
      </w:r>
    </w:p>
    <w:p w14:paraId="6F99A95E" w14:textId="77777777" w:rsidR="00541F76" w:rsidRPr="00AE3513" w:rsidRDefault="00541F76" w:rsidP="00B068C4">
      <w:pPr>
        <w:spacing w:before="120" w:after="120"/>
        <w:ind w:left="720" w:hanging="720"/>
        <w:jc w:val="both"/>
        <w:rPr>
          <w:rFonts w:ascii="Book Antiqua" w:hAnsi="Book Antiqua"/>
          <w:b/>
        </w:rPr>
      </w:pPr>
    </w:p>
    <w:p w14:paraId="750368C4" w14:textId="0D02386C" w:rsidR="00541F76" w:rsidRPr="00AE3513" w:rsidRDefault="00541F76" w:rsidP="00AE3513">
      <w:pPr>
        <w:pStyle w:val="ListParagraph"/>
        <w:keepNext/>
        <w:numPr>
          <w:ilvl w:val="0"/>
          <w:numId w:val="2"/>
        </w:numPr>
        <w:autoSpaceDE w:val="0"/>
        <w:autoSpaceDN w:val="0"/>
        <w:adjustRightInd w:val="0"/>
        <w:spacing w:before="120" w:after="120"/>
        <w:contextualSpacing w:val="0"/>
        <w:jc w:val="both"/>
        <w:rPr>
          <w:rFonts w:ascii="Book Antiqua" w:eastAsia="Book Antiqua" w:hAnsi="Book Antiqua" w:cs="Book Antiqua"/>
          <w:b/>
          <w:bCs/>
          <w:sz w:val="24"/>
          <w:szCs w:val="24"/>
        </w:rPr>
      </w:pPr>
      <w:r w:rsidRPr="00AE3513">
        <w:rPr>
          <w:rFonts w:ascii="Book Antiqua" w:eastAsia="Book Antiqua" w:hAnsi="Book Antiqua" w:cs="Book Antiqua"/>
          <w:b/>
          <w:bCs/>
          <w:sz w:val="24"/>
          <w:szCs w:val="24"/>
        </w:rPr>
        <w:t>FURTHER INFORMATION</w:t>
      </w:r>
    </w:p>
    <w:p w14:paraId="1ED71D84" w14:textId="12241BBF" w:rsidR="00541F76" w:rsidRPr="00AE3513" w:rsidRDefault="00541F76" w:rsidP="00AE3513">
      <w:pPr>
        <w:pStyle w:val="ListParagraph"/>
        <w:numPr>
          <w:ilvl w:val="1"/>
          <w:numId w:val="2"/>
        </w:numPr>
        <w:autoSpaceDE w:val="0"/>
        <w:autoSpaceDN w:val="0"/>
        <w:adjustRightInd w:val="0"/>
        <w:spacing w:before="120" w:after="12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 xml:space="preserve">The </w:t>
      </w:r>
      <w:hyperlink r:id="rId16" w:history="1">
        <w:r w:rsidR="00750389" w:rsidRPr="00AE3513">
          <w:rPr>
            <w:rStyle w:val="Hyperlink"/>
            <w:rFonts w:ascii="Book Antiqua" w:eastAsia="Book Antiqua" w:hAnsi="Book Antiqua" w:cs="Book Antiqua"/>
            <w:sz w:val="24"/>
            <w:szCs w:val="24"/>
          </w:rPr>
          <w:t>List webpage</w:t>
        </w:r>
      </w:hyperlink>
      <w:r w:rsidR="00750389" w:rsidRPr="00AE3513">
        <w:rPr>
          <w:rFonts w:ascii="Book Antiqua" w:eastAsia="Book Antiqua" w:hAnsi="Book Antiqua" w:cs="Book Antiqua"/>
          <w:sz w:val="24"/>
          <w:szCs w:val="24"/>
        </w:rPr>
        <w:t xml:space="preserve"> o</w:t>
      </w:r>
      <w:r w:rsidR="007D44BF" w:rsidRPr="00AE3513">
        <w:rPr>
          <w:rFonts w:ascii="Book Antiqua" w:eastAsia="Book Antiqua" w:hAnsi="Book Antiqua" w:cs="Book Antiqua"/>
          <w:sz w:val="24"/>
          <w:szCs w:val="24"/>
        </w:rPr>
        <w:t>f</w:t>
      </w:r>
      <w:r w:rsidR="00750389" w:rsidRPr="00AE3513">
        <w:rPr>
          <w:rFonts w:ascii="Book Antiqua" w:eastAsia="Book Antiqua" w:hAnsi="Book Antiqua" w:cs="Book Antiqua"/>
          <w:sz w:val="24"/>
          <w:szCs w:val="24"/>
        </w:rPr>
        <w:t xml:space="preserve"> the </w:t>
      </w:r>
      <w:hyperlink r:id="rId17" w:history="1">
        <w:r w:rsidR="00750389" w:rsidRPr="00AE3513">
          <w:rPr>
            <w:rStyle w:val="Hyperlink"/>
            <w:rFonts w:ascii="Book Antiqua" w:eastAsia="Book Antiqua" w:hAnsi="Book Antiqua" w:cs="Book Antiqua"/>
            <w:sz w:val="24"/>
            <w:szCs w:val="24"/>
          </w:rPr>
          <w:t>Court’s</w:t>
        </w:r>
        <w:r w:rsidRPr="00AE3513">
          <w:rPr>
            <w:rStyle w:val="Hyperlink"/>
            <w:rFonts w:ascii="Book Antiqua" w:eastAsia="Book Antiqua" w:hAnsi="Book Antiqua" w:cs="Book Antiqua"/>
            <w:sz w:val="24"/>
            <w:szCs w:val="24"/>
          </w:rPr>
          <w:t xml:space="preserve"> website</w:t>
        </w:r>
      </w:hyperlink>
      <w:r w:rsidRPr="00AE3513">
        <w:rPr>
          <w:rFonts w:ascii="Book Antiqua" w:eastAsia="Book Antiqua" w:hAnsi="Book Antiqua" w:cs="Book Antiqua"/>
          <w:sz w:val="24"/>
          <w:szCs w:val="24"/>
        </w:rPr>
        <w:t xml:space="preserve"> includes </w:t>
      </w:r>
      <w:r w:rsidR="00B04A81" w:rsidRPr="00AE3513">
        <w:rPr>
          <w:rFonts w:ascii="Book Antiqua" w:eastAsia="Book Antiqua" w:hAnsi="Book Antiqua" w:cs="Book Antiqua"/>
          <w:sz w:val="24"/>
          <w:szCs w:val="24"/>
        </w:rPr>
        <w:t>u</w:t>
      </w:r>
      <w:r w:rsidRPr="00AE3513">
        <w:rPr>
          <w:rFonts w:ascii="Book Antiqua" w:eastAsia="Book Antiqua" w:hAnsi="Book Antiqua" w:cs="Book Antiqua"/>
          <w:sz w:val="24"/>
          <w:szCs w:val="24"/>
        </w:rPr>
        <w:t xml:space="preserve">p to date information about the operation of the List </w:t>
      </w:r>
      <w:r w:rsidR="00161957" w:rsidRPr="00AE3513">
        <w:rPr>
          <w:rFonts w:ascii="Book Antiqua" w:eastAsia="Book Antiqua" w:hAnsi="Book Antiqua" w:cs="Book Antiqua"/>
          <w:sz w:val="24"/>
          <w:szCs w:val="24"/>
        </w:rPr>
        <w:t>including</w:t>
      </w:r>
      <w:r w:rsidRPr="00AE3513">
        <w:rPr>
          <w:rFonts w:ascii="Book Antiqua" w:eastAsia="Book Antiqua" w:hAnsi="Book Antiqua" w:cs="Book Antiqua"/>
          <w:sz w:val="24"/>
          <w:szCs w:val="24"/>
        </w:rPr>
        <w:t>:</w:t>
      </w:r>
    </w:p>
    <w:p w14:paraId="3D942399" w14:textId="07E5AA03" w:rsidR="00161957" w:rsidRPr="00AE3513" w:rsidRDefault="003D0662" w:rsidP="00AE3513">
      <w:pPr>
        <w:pStyle w:val="ListParagraph"/>
        <w:numPr>
          <w:ilvl w:val="1"/>
          <w:numId w:val="3"/>
        </w:numPr>
        <w:autoSpaceDE w:val="0"/>
        <w:autoSpaceDN w:val="0"/>
        <w:adjustRightInd w:val="0"/>
        <w:spacing w:before="120" w:after="120"/>
        <w:ind w:left="144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 xml:space="preserve">judicial </w:t>
      </w:r>
      <w:r w:rsidR="00161957" w:rsidRPr="00AE3513">
        <w:rPr>
          <w:rFonts w:ascii="Book Antiqua" w:eastAsia="Book Antiqua" w:hAnsi="Book Antiqua" w:cs="Book Antiqua"/>
          <w:sz w:val="24"/>
          <w:szCs w:val="24"/>
        </w:rPr>
        <w:t>officers managing the List;</w:t>
      </w:r>
    </w:p>
    <w:p w14:paraId="77268BD5" w14:textId="580177B0" w:rsidR="00F1005B" w:rsidRPr="00AE3513" w:rsidRDefault="003D0662" w:rsidP="00AE3513">
      <w:pPr>
        <w:pStyle w:val="ListParagraph"/>
        <w:numPr>
          <w:ilvl w:val="1"/>
          <w:numId w:val="3"/>
        </w:numPr>
        <w:autoSpaceDE w:val="0"/>
        <w:autoSpaceDN w:val="0"/>
        <w:adjustRightInd w:val="0"/>
        <w:spacing w:before="120" w:after="120"/>
        <w:ind w:left="144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c</w:t>
      </w:r>
      <w:r w:rsidR="008958A5" w:rsidRPr="00AE3513">
        <w:rPr>
          <w:rFonts w:ascii="Book Antiqua" w:eastAsia="Book Antiqua" w:hAnsi="Book Antiqua" w:cs="Book Antiqua"/>
          <w:sz w:val="24"/>
          <w:szCs w:val="24"/>
        </w:rPr>
        <w:t>ontact details of t</w:t>
      </w:r>
      <w:r w:rsidR="00F1005B" w:rsidRPr="00AE3513">
        <w:rPr>
          <w:rFonts w:ascii="Book Antiqua" w:eastAsia="Book Antiqua" w:hAnsi="Book Antiqua" w:cs="Book Antiqua"/>
          <w:sz w:val="24"/>
          <w:szCs w:val="24"/>
        </w:rPr>
        <w:t>he List Coordinator;</w:t>
      </w:r>
    </w:p>
    <w:p w14:paraId="263D16EC" w14:textId="4BB687F9" w:rsidR="008958A5" w:rsidRPr="00AE3513" w:rsidRDefault="003D0662" w:rsidP="00AE3513">
      <w:pPr>
        <w:pStyle w:val="ListParagraph"/>
        <w:numPr>
          <w:ilvl w:val="1"/>
          <w:numId w:val="3"/>
        </w:numPr>
        <w:autoSpaceDE w:val="0"/>
        <w:autoSpaceDN w:val="0"/>
        <w:adjustRightInd w:val="0"/>
        <w:spacing w:before="120" w:after="120"/>
        <w:ind w:left="144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 xml:space="preserve">links </w:t>
      </w:r>
      <w:r w:rsidR="00161957" w:rsidRPr="00AE3513">
        <w:rPr>
          <w:rFonts w:ascii="Book Antiqua" w:eastAsia="Book Antiqua" w:hAnsi="Book Antiqua" w:cs="Book Antiqua"/>
          <w:sz w:val="24"/>
          <w:szCs w:val="24"/>
        </w:rPr>
        <w:t xml:space="preserve">to this </w:t>
      </w:r>
      <w:r w:rsidR="00541F76" w:rsidRPr="00AE3513">
        <w:rPr>
          <w:rFonts w:ascii="Book Antiqua" w:eastAsia="Book Antiqua" w:hAnsi="Book Antiqua" w:cs="Book Antiqua"/>
          <w:sz w:val="24"/>
          <w:szCs w:val="24"/>
        </w:rPr>
        <w:t xml:space="preserve">Practice Note in </w:t>
      </w:r>
      <w:r w:rsidR="008368BD" w:rsidRPr="00AE3513">
        <w:rPr>
          <w:rFonts w:ascii="Book Antiqua" w:eastAsia="Book Antiqua" w:hAnsi="Book Antiqua" w:cs="Book Antiqua"/>
          <w:sz w:val="24"/>
          <w:szCs w:val="24"/>
        </w:rPr>
        <w:t xml:space="preserve">Word </w:t>
      </w:r>
      <w:r w:rsidR="00541F76" w:rsidRPr="00AE3513">
        <w:rPr>
          <w:rFonts w:ascii="Book Antiqua" w:eastAsia="Book Antiqua" w:hAnsi="Book Antiqua" w:cs="Book Antiqua"/>
          <w:sz w:val="24"/>
          <w:szCs w:val="24"/>
        </w:rPr>
        <w:t xml:space="preserve">and </w:t>
      </w:r>
      <w:r w:rsidR="001E03FA" w:rsidRPr="00AE3513">
        <w:rPr>
          <w:rFonts w:ascii="Book Antiqua" w:eastAsia="Book Antiqua" w:hAnsi="Book Antiqua" w:cs="Book Antiqua"/>
          <w:sz w:val="24"/>
          <w:szCs w:val="24"/>
        </w:rPr>
        <w:t xml:space="preserve">PDF </w:t>
      </w:r>
      <w:r w:rsidR="00541F76" w:rsidRPr="00AE3513">
        <w:rPr>
          <w:rFonts w:ascii="Book Antiqua" w:eastAsia="Book Antiqua" w:hAnsi="Book Antiqua" w:cs="Book Antiqua"/>
          <w:sz w:val="24"/>
          <w:szCs w:val="24"/>
        </w:rPr>
        <w:t>formats</w:t>
      </w:r>
      <w:r w:rsidR="008958A5" w:rsidRPr="00AE3513">
        <w:rPr>
          <w:rFonts w:ascii="Book Antiqua" w:eastAsia="Book Antiqua" w:hAnsi="Book Antiqua" w:cs="Book Antiqua"/>
          <w:sz w:val="24"/>
          <w:szCs w:val="24"/>
        </w:rPr>
        <w:t>;</w:t>
      </w:r>
    </w:p>
    <w:p w14:paraId="4A467B04" w14:textId="348B2CFB" w:rsidR="008958A5" w:rsidRPr="00AE3513" w:rsidRDefault="003D0662" w:rsidP="00AE3513">
      <w:pPr>
        <w:pStyle w:val="ListParagraph"/>
        <w:numPr>
          <w:ilvl w:val="1"/>
          <w:numId w:val="3"/>
        </w:numPr>
        <w:autoSpaceDE w:val="0"/>
        <w:autoSpaceDN w:val="0"/>
        <w:adjustRightInd w:val="0"/>
        <w:spacing w:before="120" w:after="120"/>
        <w:ind w:left="144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s</w:t>
      </w:r>
      <w:r w:rsidR="008958A5" w:rsidRPr="00AE3513">
        <w:rPr>
          <w:rFonts w:ascii="Book Antiqua" w:eastAsia="Book Antiqua" w:hAnsi="Book Antiqua" w:cs="Book Antiqua"/>
          <w:sz w:val="24"/>
          <w:szCs w:val="24"/>
        </w:rPr>
        <w:t>tandard forms of wording for interlocutory orders;</w:t>
      </w:r>
    </w:p>
    <w:p w14:paraId="5D0ADFA1" w14:textId="77777777" w:rsidR="009639BF" w:rsidRPr="00AE3513" w:rsidRDefault="003D0662" w:rsidP="00AE3513">
      <w:pPr>
        <w:pStyle w:val="ListParagraph"/>
        <w:numPr>
          <w:ilvl w:val="1"/>
          <w:numId w:val="3"/>
        </w:numPr>
        <w:autoSpaceDE w:val="0"/>
        <w:autoSpaceDN w:val="0"/>
        <w:adjustRightInd w:val="0"/>
        <w:spacing w:before="120" w:after="120"/>
        <w:ind w:left="144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 xml:space="preserve">the </w:t>
      </w:r>
      <w:r w:rsidR="008958A5" w:rsidRPr="00AE3513">
        <w:rPr>
          <w:rFonts w:ascii="Book Antiqua" w:eastAsia="Book Antiqua" w:hAnsi="Book Antiqua" w:cs="Book Antiqua"/>
          <w:sz w:val="24"/>
          <w:szCs w:val="24"/>
        </w:rPr>
        <w:t>I</w:t>
      </w:r>
      <w:r w:rsidR="00612D04" w:rsidRPr="00AE3513">
        <w:rPr>
          <w:rFonts w:ascii="Book Antiqua" w:eastAsia="Book Antiqua" w:hAnsi="Book Antiqua" w:cs="Book Antiqua"/>
          <w:sz w:val="24"/>
          <w:szCs w:val="24"/>
        </w:rPr>
        <w:t>nterlocutory Application Information Form</w:t>
      </w:r>
      <w:r w:rsidR="009639BF" w:rsidRPr="00AE3513">
        <w:rPr>
          <w:rFonts w:ascii="Book Antiqua" w:eastAsia="Book Antiqua" w:hAnsi="Book Antiqua" w:cs="Book Antiqua"/>
          <w:sz w:val="24"/>
          <w:szCs w:val="24"/>
        </w:rPr>
        <w:t>;</w:t>
      </w:r>
    </w:p>
    <w:p w14:paraId="1CCF4FC2" w14:textId="322B0958" w:rsidR="00541F76" w:rsidRPr="00AE3513" w:rsidRDefault="00B951D2" w:rsidP="00AE3513">
      <w:pPr>
        <w:pStyle w:val="ListParagraph"/>
        <w:numPr>
          <w:ilvl w:val="1"/>
          <w:numId w:val="3"/>
        </w:numPr>
        <w:autoSpaceDE w:val="0"/>
        <w:autoSpaceDN w:val="0"/>
        <w:adjustRightInd w:val="0"/>
        <w:spacing w:before="120" w:after="120"/>
        <w:ind w:left="1440"/>
        <w:contextualSpacing w:val="0"/>
        <w:jc w:val="both"/>
        <w:rPr>
          <w:rFonts w:ascii="Book Antiqua" w:eastAsia="Book Antiqua" w:hAnsi="Book Antiqua" w:cs="Book Antiqua"/>
          <w:sz w:val="24"/>
          <w:szCs w:val="24"/>
        </w:rPr>
      </w:pPr>
      <w:r w:rsidRPr="00AE3513">
        <w:rPr>
          <w:rFonts w:ascii="Book Antiqua" w:eastAsia="Book Antiqua" w:hAnsi="Book Antiqua" w:cs="Book Antiqua"/>
          <w:sz w:val="24"/>
          <w:szCs w:val="24"/>
        </w:rPr>
        <w:t>a c</w:t>
      </w:r>
      <w:r w:rsidR="009639BF" w:rsidRPr="00AE3513">
        <w:rPr>
          <w:rFonts w:ascii="Book Antiqua" w:eastAsia="Book Antiqua" w:hAnsi="Book Antiqua" w:cs="Book Antiqua"/>
          <w:sz w:val="24"/>
          <w:szCs w:val="24"/>
        </w:rPr>
        <w:t>alendar of List directions dates</w:t>
      </w:r>
      <w:r w:rsidR="00BF6492" w:rsidRPr="00AE3513">
        <w:rPr>
          <w:rFonts w:ascii="Book Antiqua" w:eastAsia="Book Antiqua" w:hAnsi="Book Antiqua" w:cs="Book Antiqua"/>
          <w:sz w:val="24"/>
          <w:szCs w:val="24"/>
        </w:rPr>
        <w:t>.</w:t>
      </w:r>
    </w:p>
    <w:p w14:paraId="5833962C" w14:textId="77777777" w:rsidR="00DC24A7" w:rsidRPr="00AE3513" w:rsidRDefault="00DC24A7" w:rsidP="00AE3513">
      <w:pPr>
        <w:spacing w:before="120" w:after="120"/>
        <w:ind w:left="720" w:hanging="720"/>
        <w:jc w:val="both"/>
        <w:rPr>
          <w:rFonts w:ascii="Book Antiqua" w:hAnsi="Book Antiqua"/>
        </w:rPr>
      </w:pPr>
    </w:p>
    <w:p w14:paraId="4E1507E0" w14:textId="77777777" w:rsidR="003817CD" w:rsidRPr="00AE3513" w:rsidRDefault="00277B7B" w:rsidP="00AE3513">
      <w:pPr>
        <w:keepNext/>
        <w:autoSpaceDE w:val="0"/>
        <w:autoSpaceDN w:val="0"/>
        <w:adjustRightInd w:val="0"/>
        <w:spacing w:before="120" w:after="120"/>
        <w:ind w:left="720" w:hanging="720"/>
        <w:jc w:val="both"/>
        <w:rPr>
          <w:rFonts w:ascii="Book Antiqua" w:eastAsia="Book Antiqua" w:hAnsi="Book Antiqua" w:cs="Book Antiqua"/>
          <w:b/>
          <w:bCs/>
        </w:rPr>
      </w:pPr>
      <w:r w:rsidRPr="00AE3513">
        <w:rPr>
          <w:rFonts w:ascii="Book Antiqua" w:eastAsia="Book Antiqua" w:hAnsi="Book Antiqua" w:cs="Book Antiqua"/>
          <w:b/>
          <w:bCs/>
        </w:rPr>
        <w:t>AMENDMENT HISTORY</w:t>
      </w:r>
    </w:p>
    <w:p w14:paraId="20A115E5" w14:textId="7C6DE78F" w:rsidR="00612D04" w:rsidRPr="00AE3513" w:rsidRDefault="00612D04" w:rsidP="00AE3513">
      <w:pPr>
        <w:spacing w:before="120" w:after="120"/>
        <w:jc w:val="both"/>
        <w:rPr>
          <w:rFonts w:ascii="Book Antiqua" w:eastAsia="Book Antiqua" w:hAnsi="Book Antiqua" w:cs="Book Antiqua"/>
        </w:rPr>
      </w:pPr>
      <w:r w:rsidRPr="00AE3513">
        <w:rPr>
          <w:rFonts w:ascii="Book Antiqua" w:eastAsia="Book Antiqua" w:hAnsi="Book Antiqua" w:cs="Book Antiqua"/>
        </w:rPr>
        <w:t>1 October 2018: This Practice Note was reissued on 1 October 2018 and amends the version originally issued on 30 January 2017.</w:t>
      </w:r>
    </w:p>
    <w:p w14:paraId="17DBF9D0" w14:textId="29B1AF5C" w:rsidR="00AB3FFA" w:rsidRPr="00AE3513" w:rsidRDefault="001C57E2" w:rsidP="00AE3513">
      <w:pPr>
        <w:spacing w:before="120" w:after="120"/>
        <w:jc w:val="both"/>
        <w:rPr>
          <w:rFonts w:ascii="Book Antiqua" w:eastAsia="Book Antiqua" w:hAnsi="Book Antiqua" w:cs="Book Antiqua"/>
        </w:rPr>
      </w:pPr>
      <w:r w:rsidRPr="00AE3513">
        <w:rPr>
          <w:rFonts w:ascii="Book Antiqua" w:eastAsia="Book Antiqua" w:hAnsi="Book Antiqua" w:cs="Book Antiqua"/>
        </w:rPr>
        <w:t>30</w:t>
      </w:r>
      <w:r w:rsidR="00277B7B" w:rsidRPr="00AE3513">
        <w:rPr>
          <w:rFonts w:ascii="Book Antiqua" w:eastAsia="Book Antiqua" w:hAnsi="Book Antiqua" w:cs="Book Antiqua"/>
        </w:rPr>
        <w:t xml:space="preserve"> </w:t>
      </w:r>
      <w:r w:rsidR="008368BD" w:rsidRPr="00AE3513">
        <w:rPr>
          <w:rFonts w:ascii="Book Antiqua" w:eastAsia="Book Antiqua" w:hAnsi="Book Antiqua" w:cs="Book Antiqua"/>
        </w:rPr>
        <w:t>January 2017</w:t>
      </w:r>
      <w:r w:rsidR="00277B7B" w:rsidRPr="00AE3513">
        <w:rPr>
          <w:rFonts w:ascii="Book Antiqua" w:eastAsia="Book Antiqua" w:hAnsi="Book Antiqua" w:cs="Book Antiqua"/>
        </w:rPr>
        <w:t>: Th</w:t>
      </w:r>
      <w:r w:rsidRPr="00AE3513">
        <w:rPr>
          <w:rFonts w:ascii="Book Antiqua" w:eastAsia="Book Antiqua" w:hAnsi="Book Antiqua" w:cs="Book Antiqua"/>
        </w:rPr>
        <w:t>is Practice Note was issued on 30</w:t>
      </w:r>
      <w:r w:rsidR="00277B7B" w:rsidRPr="00AE3513">
        <w:rPr>
          <w:rFonts w:ascii="Book Antiqua" w:eastAsia="Book Antiqua" w:hAnsi="Book Antiqua" w:cs="Book Antiqua"/>
        </w:rPr>
        <w:t xml:space="preserve"> </w:t>
      </w:r>
      <w:r w:rsidR="008368BD" w:rsidRPr="00AE3513">
        <w:rPr>
          <w:rFonts w:ascii="Book Antiqua" w:eastAsia="Book Antiqua" w:hAnsi="Book Antiqua" w:cs="Book Antiqua"/>
        </w:rPr>
        <w:t xml:space="preserve">January 2017 </w:t>
      </w:r>
      <w:r w:rsidR="00277B7B" w:rsidRPr="00AE3513">
        <w:rPr>
          <w:rFonts w:ascii="Book Antiqua" w:eastAsia="Book Antiqua" w:hAnsi="Book Antiqua" w:cs="Book Antiqua"/>
        </w:rPr>
        <w:t>and replaced Practice Note</w:t>
      </w:r>
      <w:r w:rsidR="00D00C42" w:rsidRPr="00AE3513">
        <w:rPr>
          <w:rFonts w:ascii="Book Antiqua" w:eastAsia="Book Antiqua" w:hAnsi="Book Antiqua" w:cs="Book Antiqua"/>
        </w:rPr>
        <w:t xml:space="preserve"> No </w:t>
      </w:r>
      <w:r w:rsidR="00730BC6" w:rsidRPr="00AE3513">
        <w:rPr>
          <w:rFonts w:ascii="Book Antiqua" w:eastAsia="Book Antiqua" w:hAnsi="Book Antiqua" w:cs="Book Antiqua"/>
        </w:rPr>
        <w:t>5</w:t>
      </w:r>
      <w:r w:rsidR="00D00C42" w:rsidRPr="00AE3513">
        <w:rPr>
          <w:rFonts w:ascii="Book Antiqua" w:eastAsia="Book Antiqua" w:hAnsi="Book Antiqua" w:cs="Book Antiqua"/>
        </w:rPr>
        <w:t xml:space="preserve"> of 201</w:t>
      </w:r>
      <w:r w:rsidR="008D3626" w:rsidRPr="00AE3513">
        <w:rPr>
          <w:rFonts w:ascii="Book Antiqua" w:eastAsia="Book Antiqua" w:hAnsi="Book Antiqua" w:cs="Book Antiqua"/>
        </w:rPr>
        <w:t>5</w:t>
      </w:r>
      <w:r w:rsidR="003437EB" w:rsidRPr="00AE3513">
        <w:rPr>
          <w:rFonts w:ascii="Book Antiqua" w:eastAsia="Book Antiqua" w:hAnsi="Book Antiqua" w:cs="Book Antiqua"/>
        </w:rPr>
        <w:t xml:space="preserve"> and </w:t>
      </w:r>
      <w:r w:rsidR="003437EB" w:rsidRPr="00AE3513">
        <w:rPr>
          <w:rFonts w:ascii="Book Antiqua" w:eastAsia="Book Antiqua" w:hAnsi="Book Antiqua" w:cs="Book Antiqua"/>
          <w:i/>
          <w:iCs/>
        </w:rPr>
        <w:t>Notice to the Profession - Professional Liability Claims Against Taxation Professionals</w:t>
      </w:r>
      <w:r w:rsidR="008368BD" w:rsidRPr="00AE3513">
        <w:rPr>
          <w:rFonts w:ascii="Book Antiqua" w:eastAsia="Book Antiqua" w:hAnsi="Book Antiqua" w:cs="Book Antiqua"/>
        </w:rPr>
        <w:t xml:space="preserve"> issued on 29 June 2016</w:t>
      </w:r>
      <w:r w:rsidR="00D00C42" w:rsidRPr="00AE3513">
        <w:rPr>
          <w:rFonts w:ascii="Book Antiqua" w:eastAsia="Book Antiqua" w:hAnsi="Book Antiqua" w:cs="Book Antiqua"/>
        </w:rPr>
        <w:t>.</w:t>
      </w:r>
    </w:p>
    <w:p w14:paraId="6D0B6771" w14:textId="77777777" w:rsidR="00AB3FFA" w:rsidRPr="00940989" w:rsidRDefault="00DC4B95" w:rsidP="00940989">
      <w:pPr>
        <w:spacing w:before="120" w:after="120"/>
        <w:ind w:left="720" w:hanging="720"/>
        <w:jc w:val="right"/>
        <w:rPr>
          <w:rFonts w:ascii="Book Antiqua" w:eastAsia="Book Antiqua" w:hAnsi="Book Antiqua" w:cs="Book Antiqua"/>
        </w:rPr>
      </w:pPr>
      <w:r w:rsidRPr="00940989">
        <w:rPr>
          <w:rFonts w:ascii="Book Antiqua" w:eastAsia="Book Antiqua" w:hAnsi="Book Antiqua" w:cs="Book Antiqua"/>
        </w:rPr>
        <w:t>Vivienne Macgillivray</w:t>
      </w:r>
    </w:p>
    <w:p w14:paraId="698C53CF" w14:textId="77777777" w:rsidR="00AB3FFA" w:rsidRPr="00940989" w:rsidRDefault="00AB3FFA" w:rsidP="00940989">
      <w:pPr>
        <w:spacing w:before="120" w:after="120"/>
        <w:ind w:left="720" w:hanging="720"/>
        <w:jc w:val="right"/>
        <w:rPr>
          <w:rFonts w:ascii="Book Antiqua" w:eastAsia="Book Antiqua" w:hAnsi="Book Antiqua" w:cs="Book Antiqua"/>
        </w:rPr>
      </w:pPr>
      <w:r w:rsidRPr="00940989">
        <w:rPr>
          <w:rFonts w:ascii="Book Antiqua" w:eastAsia="Book Antiqua" w:hAnsi="Book Antiqua" w:cs="Book Antiqua"/>
        </w:rPr>
        <w:t>Executive Associate to the Chief Justice</w:t>
      </w:r>
    </w:p>
    <w:p w14:paraId="47780C7B" w14:textId="3F87272C" w:rsidR="00AC0AD0" w:rsidRPr="00D52843" w:rsidRDefault="00AC0AD0" w:rsidP="00940989">
      <w:pPr>
        <w:spacing w:before="120" w:after="120"/>
        <w:ind w:left="720" w:hanging="720"/>
        <w:jc w:val="right"/>
        <w:rPr>
          <w:rFonts w:ascii="Book Antiqua" w:eastAsia="Book Antiqua" w:hAnsi="Book Antiqua" w:cs="Book Antiqua"/>
        </w:rPr>
      </w:pPr>
      <w:r w:rsidRPr="00940989">
        <w:rPr>
          <w:rFonts w:ascii="Book Antiqua" w:eastAsia="Book Antiqua" w:hAnsi="Book Antiqua" w:cs="Book Antiqua"/>
        </w:rPr>
        <w:t>1 October 2018</w:t>
      </w:r>
    </w:p>
    <w:sectPr w:rsidR="00AC0AD0" w:rsidRPr="00D52843" w:rsidSect="0013740D">
      <w:headerReference w:type="default" r:id="rId18"/>
      <w:footerReference w:type="default" r:id="rId19"/>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080C3" w14:textId="77777777" w:rsidR="00814F7E" w:rsidRDefault="00814F7E">
      <w:r>
        <w:separator/>
      </w:r>
    </w:p>
  </w:endnote>
  <w:endnote w:type="continuationSeparator" w:id="0">
    <w:p w14:paraId="60D42F15" w14:textId="77777777" w:rsidR="00814F7E" w:rsidRDefault="00814F7E">
      <w:r>
        <w:continuationSeparator/>
      </w:r>
    </w:p>
  </w:endnote>
  <w:endnote w:type="continuationNotice" w:id="1">
    <w:p w14:paraId="12500683" w14:textId="77777777" w:rsidR="00814F7E" w:rsidRDefault="00814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E3354" w14:textId="2FC68CC5" w:rsidR="002D6E79" w:rsidRDefault="002D6E79">
    <w:pPr>
      <w:pStyle w:val="Footer"/>
      <w:jc w:val="right"/>
    </w:pPr>
    <w:r>
      <w:fldChar w:fldCharType="begin"/>
    </w:r>
    <w:r>
      <w:instrText xml:space="preserve"> PAGE   \* MERGEFORMAT </w:instrText>
    </w:r>
    <w:r>
      <w:fldChar w:fldCharType="separate"/>
    </w:r>
    <w:r w:rsidR="006A76BB">
      <w:rPr>
        <w:noProof/>
      </w:rPr>
      <w:t>2</w:t>
    </w:r>
    <w:r>
      <w:rPr>
        <w:noProof/>
      </w:rPr>
      <w:fldChar w:fldCharType="end"/>
    </w:r>
  </w:p>
  <w:p w14:paraId="6713E871" w14:textId="77777777" w:rsidR="002D6E79" w:rsidRDefault="002D6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86787" w14:textId="77777777" w:rsidR="00814F7E" w:rsidRDefault="00814F7E">
      <w:r>
        <w:separator/>
      </w:r>
    </w:p>
  </w:footnote>
  <w:footnote w:type="continuationSeparator" w:id="0">
    <w:p w14:paraId="745249FA" w14:textId="77777777" w:rsidR="00814F7E" w:rsidRDefault="00814F7E">
      <w:r>
        <w:continuationSeparator/>
      </w:r>
    </w:p>
  </w:footnote>
  <w:footnote w:type="continuationNotice" w:id="1">
    <w:p w14:paraId="03BB98E2" w14:textId="77777777" w:rsidR="00814F7E" w:rsidRDefault="00814F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79C99" w14:textId="3391EC95" w:rsidR="0014047E" w:rsidRDefault="00140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A8C"/>
    <w:multiLevelType w:val="multilevel"/>
    <w:tmpl w:val="DE8A0A68"/>
    <w:lvl w:ilvl="0">
      <w:start w:val="1"/>
      <w:numFmt w:val="decimal"/>
      <w:pStyle w:val="Heading1"/>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3D5B7B"/>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72C6674"/>
    <w:multiLevelType w:val="hybridMultilevel"/>
    <w:tmpl w:val="9F68CADC"/>
    <w:lvl w:ilvl="0" w:tplc="0C090001">
      <w:start w:val="1"/>
      <w:numFmt w:val="bullet"/>
      <w:lvlText w:val=""/>
      <w:lvlJc w:val="left"/>
      <w:pPr>
        <w:ind w:left="1440" w:hanging="360"/>
      </w:pPr>
      <w:rPr>
        <w:rFonts w:ascii="Symbol" w:hAnsi="Symbol" w:hint="default"/>
      </w:rPr>
    </w:lvl>
    <w:lvl w:ilvl="1" w:tplc="58A88186">
      <w:numFmt w:val="bullet"/>
      <w:lvlText w:val="•"/>
      <w:lvlJc w:val="left"/>
      <w:pPr>
        <w:ind w:left="2520" w:hanging="720"/>
      </w:pPr>
      <w:rPr>
        <w:rFonts w:ascii="Book Antiqua" w:eastAsia="Times New Roman" w:hAnsi="Book Antiqua" w:cs="Times New Roman"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ECC47B2"/>
    <w:multiLevelType w:val="hybridMultilevel"/>
    <w:tmpl w:val="3948FEEA"/>
    <w:lvl w:ilvl="0" w:tplc="0C090017">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92A2672"/>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249930C9"/>
    <w:multiLevelType w:val="multilevel"/>
    <w:tmpl w:val="912847B2"/>
    <w:lvl w:ilvl="0">
      <w:start w:val="1"/>
      <w:numFmt w:val="lowerLetter"/>
      <w:lvlText w:val="%1)"/>
      <w:lvlJc w:val="left"/>
      <w:pPr>
        <w:ind w:left="720" w:hanging="720"/>
      </w:pPr>
      <w:rPr>
        <w:rFonts w:hint="default"/>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313F78"/>
    <w:multiLevelType w:val="multilevel"/>
    <w:tmpl w:val="4B9AA4EA"/>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4F2C48"/>
    <w:multiLevelType w:val="multilevel"/>
    <w:tmpl w:val="E1F2960A"/>
    <w:lvl w:ilvl="0">
      <w:start w:val="1"/>
      <w:numFmt w:val="lowerLetter"/>
      <w:lvlText w:val="%1)"/>
      <w:lvlJc w:val="left"/>
      <w:pPr>
        <w:ind w:left="720" w:hanging="720"/>
      </w:pPr>
      <w:rPr>
        <w:rFonts w:hint="default"/>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40765B"/>
    <w:multiLevelType w:val="multilevel"/>
    <w:tmpl w:val="B8A66056"/>
    <w:lvl w:ilvl="0">
      <w:start w:val="1"/>
      <w:numFmt w:val="lowerLetter"/>
      <w:lvlText w:val="%1)"/>
      <w:lvlJc w:val="left"/>
      <w:pPr>
        <w:ind w:left="720" w:hanging="720"/>
      </w:pPr>
      <w:rPr>
        <w:rFonts w:hint="default"/>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50B5014"/>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69B21FB7"/>
    <w:multiLevelType w:val="hybridMultilevel"/>
    <w:tmpl w:val="DA92C3A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F973F57"/>
    <w:multiLevelType w:val="multilevel"/>
    <w:tmpl w:val="37145E98"/>
    <w:lvl w:ilvl="0">
      <w:start w:val="1"/>
      <w:numFmt w:val="lowerLetter"/>
      <w:lvlText w:val="%1)"/>
      <w:lvlJc w:val="left"/>
      <w:pPr>
        <w:ind w:left="720" w:hanging="720"/>
      </w:pPr>
      <w:rPr>
        <w:rFonts w:hint="default"/>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99631B2"/>
    <w:multiLevelType w:val="multilevel"/>
    <w:tmpl w:val="FF748DE8"/>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2"/>
  </w:num>
  <w:num w:numId="3">
    <w:abstractNumId w:val="6"/>
  </w:num>
  <w:num w:numId="4">
    <w:abstractNumId w:val="8"/>
  </w:num>
  <w:num w:numId="5">
    <w:abstractNumId w:val="11"/>
  </w:num>
  <w:num w:numId="6">
    <w:abstractNumId w:val="7"/>
  </w:num>
  <w:num w:numId="7">
    <w:abstractNumId w:val="5"/>
  </w:num>
  <w:num w:numId="8">
    <w:abstractNumId w:val="4"/>
  </w:num>
  <w:num w:numId="9">
    <w:abstractNumId w:val="3"/>
  </w:num>
  <w:num w:numId="10">
    <w:abstractNumId w:val="9"/>
  </w:num>
  <w:num w:numId="11">
    <w:abstractNumId w:val="10"/>
  </w:num>
  <w:num w:numId="12">
    <w:abstractNumId w:val="2"/>
  </w:num>
  <w:num w:numId="1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36"/>
    <w:rsid w:val="00000850"/>
    <w:rsid w:val="00004F93"/>
    <w:rsid w:val="00007DBA"/>
    <w:rsid w:val="000117C7"/>
    <w:rsid w:val="000118DD"/>
    <w:rsid w:val="0001288E"/>
    <w:rsid w:val="000128D0"/>
    <w:rsid w:val="00013D3B"/>
    <w:rsid w:val="00014B10"/>
    <w:rsid w:val="00015396"/>
    <w:rsid w:val="000324AD"/>
    <w:rsid w:val="0003306E"/>
    <w:rsid w:val="00034D85"/>
    <w:rsid w:val="00035057"/>
    <w:rsid w:val="00036894"/>
    <w:rsid w:val="00037D26"/>
    <w:rsid w:val="00043448"/>
    <w:rsid w:val="00046D3B"/>
    <w:rsid w:val="0004753E"/>
    <w:rsid w:val="00055F43"/>
    <w:rsid w:val="000566C3"/>
    <w:rsid w:val="00070C6A"/>
    <w:rsid w:val="00070CA2"/>
    <w:rsid w:val="00070D66"/>
    <w:rsid w:val="00071A96"/>
    <w:rsid w:val="00073139"/>
    <w:rsid w:val="00073769"/>
    <w:rsid w:val="000772A7"/>
    <w:rsid w:val="00077863"/>
    <w:rsid w:val="00081A41"/>
    <w:rsid w:val="00085947"/>
    <w:rsid w:val="000900F8"/>
    <w:rsid w:val="00095BA5"/>
    <w:rsid w:val="000973B7"/>
    <w:rsid w:val="000A13C5"/>
    <w:rsid w:val="000A1DE7"/>
    <w:rsid w:val="000A4F62"/>
    <w:rsid w:val="000A553C"/>
    <w:rsid w:val="000A5CE7"/>
    <w:rsid w:val="000A6B76"/>
    <w:rsid w:val="000B2E54"/>
    <w:rsid w:val="000B5F50"/>
    <w:rsid w:val="000C0998"/>
    <w:rsid w:val="000C1777"/>
    <w:rsid w:val="000C2CE1"/>
    <w:rsid w:val="000C39A3"/>
    <w:rsid w:val="000C5F4B"/>
    <w:rsid w:val="000C75E1"/>
    <w:rsid w:val="000D07F1"/>
    <w:rsid w:val="000D0AC4"/>
    <w:rsid w:val="000D3250"/>
    <w:rsid w:val="000D3C69"/>
    <w:rsid w:val="000D5E28"/>
    <w:rsid w:val="000D7A64"/>
    <w:rsid w:val="000E12FA"/>
    <w:rsid w:val="000E524A"/>
    <w:rsid w:val="000F3B18"/>
    <w:rsid w:val="000F6EA7"/>
    <w:rsid w:val="00100006"/>
    <w:rsid w:val="00101EC5"/>
    <w:rsid w:val="001033CC"/>
    <w:rsid w:val="001140FD"/>
    <w:rsid w:val="00121C72"/>
    <w:rsid w:val="00125C07"/>
    <w:rsid w:val="00133A51"/>
    <w:rsid w:val="001344BA"/>
    <w:rsid w:val="0013740D"/>
    <w:rsid w:val="0014047E"/>
    <w:rsid w:val="00140683"/>
    <w:rsid w:val="00143136"/>
    <w:rsid w:val="00143818"/>
    <w:rsid w:val="00144DAA"/>
    <w:rsid w:val="00145C92"/>
    <w:rsid w:val="00145D28"/>
    <w:rsid w:val="0014603C"/>
    <w:rsid w:val="00146054"/>
    <w:rsid w:val="0015063E"/>
    <w:rsid w:val="00155327"/>
    <w:rsid w:val="00155A8E"/>
    <w:rsid w:val="0015650D"/>
    <w:rsid w:val="0016054E"/>
    <w:rsid w:val="00161957"/>
    <w:rsid w:val="00161B6C"/>
    <w:rsid w:val="00161CA2"/>
    <w:rsid w:val="00162996"/>
    <w:rsid w:val="001716EF"/>
    <w:rsid w:val="0018061B"/>
    <w:rsid w:val="00182C1F"/>
    <w:rsid w:val="00186E37"/>
    <w:rsid w:val="001913C5"/>
    <w:rsid w:val="00194089"/>
    <w:rsid w:val="00194A80"/>
    <w:rsid w:val="00197CA4"/>
    <w:rsid w:val="00197E14"/>
    <w:rsid w:val="001A22B3"/>
    <w:rsid w:val="001A5036"/>
    <w:rsid w:val="001A5B39"/>
    <w:rsid w:val="001A667F"/>
    <w:rsid w:val="001A7651"/>
    <w:rsid w:val="001B2E88"/>
    <w:rsid w:val="001B3484"/>
    <w:rsid w:val="001B4283"/>
    <w:rsid w:val="001B6000"/>
    <w:rsid w:val="001B7E2C"/>
    <w:rsid w:val="001C116C"/>
    <w:rsid w:val="001C24D1"/>
    <w:rsid w:val="001C2F4B"/>
    <w:rsid w:val="001C355D"/>
    <w:rsid w:val="001C57E2"/>
    <w:rsid w:val="001D22B9"/>
    <w:rsid w:val="001D5B61"/>
    <w:rsid w:val="001E0318"/>
    <w:rsid w:val="001E03FA"/>
    <w:rsid w:val="001E1418"/>
    <w:rsid w:val="001F71F4"/>
    <w:rsid w:val="00207367"/>
    <w:rsid w:val="00216DCF"/>
    <w:rsid w:val="00217758"/>
    <w:rsid w:val="00217E88"/>
    <w:rsid w:val="002218C5"/>
    <w:rsid w:val="00222544"/>
    <w:rsid w:val="00223382"/>
    <w:rsid w:val="0022666D"/>
    <w:rsid w:val="0023426A"/>
    <w:rsid w:val="00234B7B"/>
    <w:rsid w:val="002361DF"/>
    <w:rsid w:val="00241A4E"/>
    <w:rsid w:val="00245746"/>
    <w:rsid w:val="00247F50"/>
    <w:rsid w:val="00252C8D"/>
    <w:rsid w:val="002572C2"/>
    <w:rsid w:val="0026005D"/>
    <w:rsid w:val="00265BF9"/>
    <w:rsid w:val="00271B59"/>
    <w:rsid w:val="00275A5A"/>
    <w:rsid w:val="0027652F"/>
    <w:rsid w:val="00277B7B"/>
    <w:rsid w:val="002812ED"/>
    <w:rsid w:val="0028130B"/>
    <w:rsid w:val="002818A4"/>
    <w:rsid w:val="00281E4F"/>
    <w:rsid w:val="002837A9"/>
    <w:rsid w:val="00283C48"/>
    <w:rsid w:val="00294341"/>
    <w:rsid w:val="002A7BFE"/>
    <w:rsid w:val="002B43DF"/>
    <w:rsid w:val="002B465A"/>
    <w:rsid w:val="002C1134"/>
    <w:rsid w:val="002C56E8"/>
    <w:rsid w:val="002D0AB0"/>
    <w:rsid w:val="002D0FD3"/>
    <w:rsid w:val="002D23D8"/>
    <w:rsid w:val="002D6E79"/>
    <w:rsid w:val="002E0F6B"/>
    <w:rsid w:val="002E59BF"/>
    <w:rsid w:val="002E6B43"/>
    <w:rsid w:val="002E7FD2"/>
    <w:rsid w:val="002F4D7F"/>
    <w:rsid w:val="00300F4B"/>
    <w:rsid w:val="00302981"/>
    <w:rsid w:val="0030352D"/>
    <w:rsid w:val="00305761"/>
    <w:rsid w:val="00307B60"/>
    <w:rsid w:val="00310655"/>
    <w:rsid w:val="00310A32"/>
    <w:rsid w:val="00311051"/>
    <w:rsid w:val="0031222C"/>
    <w:rsid w:val="003166D1"/>
    <w:rsid w:val="00316FF2"/>
    <w:rsid w:val="00321C75"/>
    <w:rsid w:val="0032286C"/>
    <w:rsid w:val="003316D6"/>
    <w:rsid w:val="00334DD3"/>
    <w:rsid w:val="00340257"/>
    <w:rsid w:val="0034260E"/>
    <w:rsid w:val="003437EB"/>
    <w:rsid w:val="00350055"/>
    <w:rsid w:val="003500B9"/>
    <w:rsid w:val="003508E0"/>
    <w:rsid w:val="00353E4C"/>
    <w:rsid w:val="00356593"/>
    <w:rsid w:val="00356969"/>
    <w:rsid w:val="00357A0D"/>
    <w:rsid w:val="003615E5"/>
    <w:rsid w:val="003639B5"/>
    <w:rsid w:val="00365D0E"/>
    <w:rsid w:val="00367AD0"/>
    <w:rsid w:val="00377999"/>
    <w:rsid w:val="003817CD"/>
    <w:rsid w:val="00381991"/>
    <w:rsid w:val="00381FDA"/>
    <w:rsid w:val="00386C9F"/>
    <w:rsid w:val="00387DB3"/>
    <w:rsid w:val="00391CA0"/>
    <w:rsid w:val="003945D8"/>
    <w:rsid w:val="00396EF2"/>
    <w:rsid w:val="00397AAE"/>
    <w:rsid w:val="003A737F"/>
    <w:rsid w:val="003A7A5A"/>
    <w:rsid w:val="003A7E6C"/>
    <w:rsid w:val="003B7248"/>
    <w:rsid w:val="003C07C2"/>
    <w:rsid w:val="003C0D39"/>
    <w:rsid w:val="003C343E"/>
    <w:rsid w:val="003C384D"/>
    <w:rsid w:val="003C5C64"/>
    <w:rsid w:val="003C62F1"/>
    <w:rsid w:val="003D0662"/>
    <w:rsid w:val="003D0A67"/>
    <w:rsid w:val="003D672F"/>
    <w:rsid w:val="003E1661"/>
    <w:rsid w:val="003E4C44"/>
    <w:rsid w:val="003E538B"/>
    <w:rsid w:val="003E6152"/>
    <w:rsid w:val="003E66CF"/>
    <w:rsid w:val="003F0D9C"/>
    <w:rsid w:val="00400990"/>
    <w:rsid w:val="00400B2E"/>
    <w:rsid w:val="0040410A"/>
    <w:rsid w:val="00404CB0"/>
    <w:rsid w:val="00414B77"/>
    <w:rsid w:val="00414EBA"/>
    <w:rsid w:val="0041695E"/>
    <w:rsid w:val="0042138B"/>
    <w:rsid w:val="00434BEE"/>
    <w:rsid w:val="004361F0"/>
    <w:rsid w:val="00441431"/>
    <w:rsid w:val="004450A6"/>
    <w:rsid w:val="00447BE8"/>
    <w:rsid w:val="00451E61"/>
    <w:rsid w:val="00454495"/>
    <w:rsid w:val="00454BEC"/>
    <w:rsid w:val="00455D46"/>
    <w:rsid w:val="00461361"/>
    <w:rsid w:val="004625E2"/>
    <w:rsid w:val="0046389D"/>
    <w:rsid w:val="00465282"/>
    <w:rsid w:val="00471414"/>
    <w:rsid w:val="00474F94"/>
    <w:rsid w:val="00482EBE"/>
    <w:rsid w:val="00483F1E"/>
    <w:rsid w:val="004912F2"/>
    <w:rsid w:val="00492363"/>
    <w:rsid w:val="00494220"/>
    <w:rsid w:val="004946BD"/>
    <w:rsid w:val="0049669C"/>
    <w:rsid w:val="00496F08"/>
    <w:rsid w:val="00497308"/>
    <w:rsid w:val="004A69E0"/>
    <w:rsid w:val="004B1AC7"/>
    <w:rsid w:val="004B2A72"/>
    <w:rsid w:val="004B4458"/>
    <w:rsid w:val="004B5756"/>
    <w:rsid w:val="004B6E9A"/>
    <w:rsid w:val="004C1FFA"/>
    <w:rsid w:val="004C29B1"/>
    <w:rsid w:val="004C7C35"/>
    <w:rsid w:val="004D07F1"/>
    <w:rsid w:val="004D0DD3"/>
    <w:rsid w:val="004D1112"/>
    <w:rsid w:val="004D2141"/>
    <w:rsid w:val="004E07C3"/>
    <w:rsid w:val="004E1038"/>
    <w:rsid w:val="004E1052"/>
    <w:rsid w:val="004E10CA"/>
    <w:rsid w:val="004E1CD7"/>
    <w:rsid w:val="004E284B"/>
    <w:rsid w:val="004F14A1"/>
    <w:rsid w:val="004F26CF"/>
    <w:rsid w:val="004F4CE9"/>
    <w:rsid w:val="004F61E8"/>
    <w:rsid w:val="004F7E81"/>
    <w:rsid w:val="0050429E"/>
    <w:rsid w:val="00506B52"/>
    <w:rsid w:val="00512025"/>
    <w:rsid w:val="005123B0"/>
    <w:rsid w:val="005158D2"/>
    <w:rsid w:val="0051722C"/>
    <w:rsid w:val="005173D2"/>
    <w:rsid w:val="00525B9D"/>
    <w:rsid w:val="005278A1"/>
    <w:rsid w:val="00540E14"/>
    <w:rsid w:val="00541EAB"/>
    <w:rsid w:val="00541F76"/>
    <w:rsid w:val="00547600"/>
    <w:rsid w:val="005500B1"/>
    <w:rsid w:val="00550871"/>
    <w:rsid w:val="005534A5"/>
    <w:rsid w:val="00553534"/>
    <w:rsid w:val="00554A65"/>
    <w:rsid w:val="0055503D"/>
    <w:rsid w:val="00561105"/>
    <w:rsid w:val="00562447"/>
    <w:rsid w:val="0056389E"/>
    <w:rsid w:val="00565153"/>
    <w:rsid w:val="00565B62"/>
    <w:rsid w:val="00571E15"/>
    <w:rsid w:val="005734DA"/>
    <w:rsid w:val="00575849"/>
    <w:rsid w:val="005771D5"/>
    <w:rsid w:val="005825BE"/>
    <w:rsid w:val="00582DAF"/>
    <w:rsid w:val="00593530"/>
    <w:rsid w:val="00594C2A"/>
    <w:rsid w:val="005953D9"/>
    <w:rsid w:val="005A291A"/>
    <w:rsid w:val="005A386C"/>
    <w:rsid w:val="005A4134"/>
    <w:rsid w:val="005A4991"/>
    <w:rsid w:val="005A59BA"/>
    <w:rsid w:val="005A68BF"/>
    <w:rsid w:val="005A6984"/>
    <w:rsid w:val="005A6B62"/>
    <w:rsid w:val="005A7E3F"/>
    <w:rsid w:val="005B3FF4"/>
    <w:rsid w:val="005B499F"/>
    <w:rsid w:val="005B5CFE"/>
    <w:rsid w:val="005B7E00"/>
    <w:rsid w:val="005C542A"/>
    <w:rsid w:val="005C7F57"/>
    <w:rsid w:val="005D3383"/>
    <w:rsid w:val="005E0365"/>
    <w:rsid w:val="005E04B4"/>
    <w:rsid w:val="005E3BB5"/>
    <w:rsid w:val="005E5273"/>
    <w:rsid w:val="005E704A"/>
    <w:rsid w:val="005F02B1"/>
    <w:rsid w:val="005F067C"/>
    <w:rsid w:val="005F12FE"/>
    <w:rsid w:val="005F52B1"/>
    <w:rsid w:val="00606FC8"/>
    <w:rsid w:val="00607B05"/>
    <w:rsid w:val="006124C3"/>
    <w:rsid w:val="00612D04"/>
    <w:rsid w:val="006135A6"/>
    <w:rsid w:val="00613FA8"/>
    <w:rsid w:val="00620D68"/>
    <w:rsid w:val="00625C50"/>
    <w:rsid w:val="0062755D"/>
    <w:rsid w:val="00634832"/>
    <w:rsid w:val="00635413"/>
    <w:rsid w:val="00636D64"/>
    <w:rsid w:val="00637201"/>
    <w:rsid w:val="00637EE8"/>
    <w:rsid w:val="0064057F"/>
    <w:rsid w:val="0064143C"/>
    <w:rsid w:val="00641C0A"/>
    <w:rsid w:val="006513DD"/>
    <w:rsid w:val="00653E68"/>
    <w:rsid w:val="00655347"/>
    <w:rsid w:val="006613C4"/>
    <w:rsid w:val="006662A6"/>
    <w:rsid w:val="00666E4A"/>
    <w:rsid w:val="00666F54"/>
    <w:rsid w:val="006676CA"/>
    <w:rsid w:val="006710C3"/>
    <w:rsid w:val="00672CA5"/>
    <w:rsid w:val="006763E3"/>
    <w:rsid w:val="00676B57"/>
    <w:rsid w:val="00676CE9"/>
    <w:rsid w:val="0067716A"/>
    <w:rsid w:val="006776AF"/>
    <w:rsid w:val="0068364B"/>
    <w:rsid w:val="00686402"/>
    <w:rsid w:val="0069029C"/>
    <w:rsid w:val="00691BC6"/>
    <w:rsid w:val="006921D0"/>
    <w:rsid w:val="00695864"/>
    <w:rsid w:val="00697D70"/>
    <w:rsid w:val="006A29AF"/>
    <w:rsid w:val="006A34BA"/>
    <w:rsid w:val="006A386D"/>
    <w:rsid w:val="006A4CCD"/>
    <w:rsid w:val="006A5DA3"/>
    <w:rsid w:val="006A74CE"/>
    <w:rsid w:val="006A76BB"/>
    <w:rsid w:val="006B633E"/>
    <w:rsid w:val="006B6D97"/>
    <w:rsid w:val="006C2A7E"/>
    <w:rsid w:val="006C550C"/>
    <w:rsid w:val="006C55DA"/>
    <w:rsid w:val="006C5A54"/>
    <w:rsid w:val="006C71CD"/>
    <w:rsid w:val="006D0F84"/>
    <w:rsid w:val="006D1C78"/>
    <w:rsid w:val="006E6E2F"/>
    <w:rsid w:val="006E7E0B"/>
    <w:rsid w:val="006F0255"/>
    <w:rsid w:val="006F0430"/>
    <w:rsid w:val="006F2DF9"/>
    <w:rsid w:val="006F3E76"/>
    <w:rsid w:val="006F3FAF"/>
    <w:rsid w:val="006F5F1C"/>
    <w:rsid w:val="006F60CF"/>
    <w:rsid w:val="006F6748"/>
    <w:rsid w:val="00702F63"/>
    <w:rsid w:val="00704897"/>
    <w:rsid w:val="007068FC"/>
    <w:rsid w:val="007107C6"/>
    <w:rsid w:val="007109D8"/>
    <w:rsid w:val="007128B7"/>
    <w:rsid w:val="00715F27"/>
    <w:rsid w:val="0071797E"/>
    <w:rsid w:val="00720BE1"/>
    <w:rsid w:val="007220CE"/>
    <w:rsid w:val="00722648"/>
    <w:rsid w:val="00730BC6"/>
    <w:rsid w:val="00733A34"/>
    <w:rsid w:val="0073711F"/>
    <w:rsid w:val="00737442"/>
    <w:rsid w:val="00740368"/>
    <w:rsid w:val="00741D9B"/>
    <w:rsid w:val="007453B3"/>
    <w:rsid w:val="00746CB2"/>
    <w:rsid w:val="0074724C"/>
    <w:rsid w:val="00747764"/>
    <w:rsid w:val="00750389"/>
    <w:rsid w:val="007513AE"/>
    <w:rsid w:val="0075230A"/>
    <w:rsid w:val="00752628"/>
    <w:rsid w:val="00755325"/>
    <w:rsid w:val="00755C0A"/>
    <w:rsid w:val="00756FE4"/>
    <w:rsid w:val="007602AF"/>
    <w:rsid w:val="007656EA"/>
    <w:rsid w:val="00767B98"/>
    <w:rsid w:val="00767E01"/>
    <w:rsid w:val="00771C95"/>
    <w:rsid w:val="00775612"/>
    <w:rsid w:val="00777F6B"/>
    <w:rsid w:val="00780A47"/>
    <w:rsid w:val="00780F23"/>
    <w:rsid w:val="00784717"/>
    <w:rsid w:val="007917BE"/>
    <w:rsid w:val="007931D1"/>
    <w:rsid w:val="007951CA"/>
    <w:rsid w:val="00796E2E"/>
    <w:rsid w:val="007A0780"/>
    <w:rsid w:val="007A1449"/>
    <w:rsid w:val="007A1D8C"/>
    <w:rsid w:val="007A5F45"/>
    <w:rsid w:val="007A687C"/>
    <w:rsid w:val="007B1869"/>
    <w:rsid w:val="007B3902"/>
    <w:rsid w:val="007B58AF"/>
    <w:rsid w:val="007C0A8F"/>
    <w:rsid w:val="007C58EA"/>
    <w:rsid w:val="007C6118"/>
    <w:rsid w:val="007C66C1"/>
    <w:rsid w:val="007D0506"/>
    <w:rsid w:val="007D1D95"/>
    <w:rsid w:val="007D42ED"/>
    <w:rsid w:val="007D44BF"/>
    <w:rsid w:val="007D61BC"/>
    <w:rsid w:val="007E24CA"/>
    <w:rsid w:val="007E2608"/>
    <w:rsid w:val="007E5564"/>
    <w:rsid w:val="007F1253"/>
    <w:rsid w:val="007F3710"/>
    <w:rsid w:val="007F7938"/>
    <w:rsid w:val="007F7C28"/>
    <w:rsid w:val="007F7F97"/>
    <w:rsid w:val="00802FC4"/>
    <w:rsid w:val="00804B57"/>
    <w:rsid w:val="00807D47"/>
    <w:rsid w:val="008119D2"/>
    <w:rsid w:val="008127B0"/>
    <w:rsid w:val="00814F7E"/>
    <w:rsid w:val="00816A50"/>
    <w:rsid w:val="00816AD6"/>
    <w:rsid w:val="00823AB4"/>
    <w:rsid w:val="0082465E"/>
    <w:rsid w:val="0082476F"/>
    <w:rsid w:val="00831D0F"/>
    <w:rsid w:val="00834079"/>
    <w:rsid w:val="00835C7C"/>
    <w:rsid w:val="00836099"/>
    <w:rsid w:val="008368BD"/>
    <w:rsid w:val="008429C5"/>
    <w:rsid w:val="008434C3"/>
    <w:rsid w:val="00843503"/>
    <w:rsid w:val="008445D3"/>
    <w:rsid w:val="00845023"/>
    <w:rsid w:val="00850A46"/>
    <w:rsid w:val="00850F93"/>
    <w:rsid w:val="008515EE"/>
    <w:rsid w:val="00854FD4"/>
    <w:rsid w:val="0086055D"/>
    <w:rsid w:val="00872BAD"/>
    <w:rsid w:val="00873BFD"/>
    <w:rsid w:val="00875777"/>
    <w:rsid w:val="00880069"/>
    <w:rsid w:val="0088136E"/>
    <w:rsid w:val="008846D6"/>
    <w:rsid w:val="00892D21"/>
    <w:rsid w:val="00892FF7"/>
    <w:rsid w:val="008942F1"/>
    <w:rsid w:val="008958A5"/>
    <w:rsid w:val="008A4768"/>
    <w:rsid w:val="008A5DFC"/>
    <w:rsid w:val="008A636D"/>
    <w:rsid w:val="008B0124"/>
    <w:rsid w:val="008B0EC2"/>
    <w:rsid w:val="008B1575"/>
    <w:rsid w:val="008B3490"/>
    <w:rsid w:val="008B47EA"/>
    <w:rsid w:val="008C027C"/>
    <w:rsid w:val="008C41FA"/>
    <w:rsid w:val="008D3626"/>
    <w:rsid w:val="008D6EBF"/>
    <w:rsid w:val="008E2932"/>
    <w:rsid w:val="008E2F41"/>
    <w:rsid w:val="00906109"/>
    <w:rsid w:val="0091164B"/>
    <w:rsid w:val="00916516"/>
    <w:rsid w:val="0092369B"/>
    <w:rsid w:val="009251C5"/>
    <w:rsid w:val="00932CBC"/>
    <w:rsid w:val="009345B6"/>
    <w:rsid w:val="00934959"/>
    <w:rsid w:val="00940734"/>
    <w:rsid w:val="00940989"/>
    <w:rsid w:val="00940F44"/>
    <w:rsid w:val="00941002"/>
    <w:rsid w:val="00942E64"/>
    <w:rsid w:val="00945F3C"/>
    <w:rsid w:val="00947689"/>
    <w:rsid w:val="0095180B"/>
    <w:rsid w:val="0095377B"/>
    <w:rsid w:val="00953FC7"/>
    <w:rsid w:val="00955CBF"/>
    <w:rsid w:val="00956D8D"/>
    <w:rsid w:val="00956EC0"/>
    <w:rsid w:val="009579B5"/>
    <w:rsid w:val="0096128D"/>
    <w:rsid w:val="009639BF"/>
    <w:rsid w:val="00963A32"/>
    <w:rsid w:val="00970632"/>
    <w:rsid w:val="00971150"/>
    <w:rsid w:val="00975561"/>
    <w:rsid w:val="00976F4B"/>
    <w:rsid w:val="0098076E"/>
    <w:rsid w:val="009809E5"/>
    <w:rsid w:val="00984A84"/>
    <w:rsid w:val="00984EF6"/>
    <w:rsid w:val="00987FD8"/>
    <w:rsid w:val="00990805"/>
    <w:rsid w:val="00990B3C"/>
    <w:rsid w:val="00993CAF"/>
    <w:rsid w:val="00993D8D"/>
    <w:rsid w:val="009956C6"/>
    <w:rsid w:val="00996F81"/>
    <w:rsid w:val="009A12DC"/>
    <w:rsid w:val="009A16DD"/>
    <w:rsid w:val="009A43AC"/>
    <w:rsid w:val="009A45B0"/>
    <w:rsid w:val="009B1B66"/>
    <w:rsid w:val="009B22CA"/>
    <w:rsid w:val="009B3159"/>
    <w:rsid w:val="009B7708"/>
    <w:rsid w:val="009C3906"/>
    <w:rsid w:val="009C393F"/>
    <w:rsid w:val="009C6B44"/>
    <w:rsid w:val="009C7B01"/>
    <w:rsid w:val="009D1753"/>
    <w:rsid w:val="009D2B5F"/>
    <w:rsid w:val="009E400F"/>
    <w:rsid w:val="009E420D"/>
    <w:rsid w:val="009E4C0D"/>
    <w:rsid w:val="009E5E09"/>
    <w:rsid w:val="009E714C"/>
    <w:rsid w:val="009F27F0"/>
    <w:rsid w:val="009F587A"/>
    <w:rsid w:val="009F7728"/>
    <w:rsid w:val="009F7C7A"/>
    <w:rsid w:val="00A02D5F"/>
    <w:rsid w:val="00A03CC1"/>
    <w:rsid w:val="00A04BF1"/>
    <w:rsid w:val="00A12BE6"/>
    <w:rsid w:val="00A13D3C"/>
    <w:rsid w:val="00A16095"/>
    <w:rsid w:val="00A1734D"/>
    <w:rsid w:val="00A222B3"/>
    <w:rsid w:val="00A336A2"/>
    <w:rsid w:val="00A3779B"/>
    <w:rsid w:val="00A50A22"/>
    <w:rsid w:val="00A56CF4"/>
    <w:rsid w:val="00A6250F"/>
    <w:rsid w:val="00A64AC5"/>
    <w:rsid w:val="00A64EE1"/>
    <w:rsid w:val="00A67FC3"/>
    <w:rsid w:val="00A715A8"/>
    <w:rsid w:val="00A716FA"/>
    <w:rsid w:val="00A7773B"/>
    <w:rsid w:val="00A7779A"/>
    <w:rsid w:val="00A86757"/>
    <w:rsid w:val="00A9278B"/>
    <w:rsid w:val="00A937DF"/>
    <w:rsid w:val="00AA0705"/>
    <w:rsid w:val="00AA1164"/>
    <w:rsid w:val="00AA1568"/>
    <w:rsid w:val="00AA15CC"/>
    <w:rsid w:val="00AA1BA4"/>
    <w:rsid w:val="00AA5A1E"/>
    <w:rsid w:val="00AB0464"/>
    <w:rsid w:val="00AB3FFA"/>
    <w:rsid w:val="00AB61BD"/>
    <w:rsid w:val="00AB6B2D"/>
    <w:rsid w:val="00AB6B88"/>
    <w:rsid w:val="00AC0AD0"/>
    <w:rsid w:val="00AC2F4D"/>
    <w:rsid w:val="00AC5DB9"/>
    <w:rsid w:val="00AD32C4"/>
    <w:rsid w:val="00AD6C5C"/>
    <w:rsid w:val="00AE3228"/>
    <w:rsid w:val="00AE3513"/>
    <w:rsid w:val="00AE3CE5"/>
    <w:rsid w:val="00AE5B1A"/>
    <w:rsid w:val="00AF29CC"/>
    <w:rsid w:val="00AF541C"/>
    <w:rsid w:val="00AF72F1"/>
    <w:rsid w:val="00AF7BEA"/>
    <w:rsid w:val="00B0217A"/>
    <w:rsid w:val="00B03FB3"/>
    <w:rsid w:val="00B0439C"/>
    <w:rsid w:val="00B04A81"/>
    <w:rsid w:val="00B068C4"/>
    <w:rsid w:val="00B120B9"/>
    <w:rsid w:val="00B14A18"/>
    <w:rsid w:val="00B16018"/>
    <w:rsid w:val="00B16A26"/>
    <w:rsid w:val="00B210B9"/>
    <w:rsid w:val="00B2159B"/>
    <w:rsid w:val="00B2533E"/>
    <w:rsid w:val="00B26EE9"/>
    <w:rsid w:val="00B27212"/>
    <w:rsid w:val="00B31D34"/>
    <w:rsid w:val="00B323E2"/>
    <w:rsid w:val="00B32D79"/>
    <w:rsid w:val="00B366E1"/>
    <w:rsid w:val="00B37F5F"/>
    <w:rsid w:val="00B40971"/>
    <w:rsid w:val="00B41CB2"/>
    <w:rsid w:val="00B43CA5"/>
    <w:rsid w:val="00B445A4"/>
    <w:rsid w:val="00B50C4E"/>
    <w:rsid w:val="00B53468"/>
    <w:rsid w:val="00B53F56"/>
    <w:rsid w:val="00B54563"/>
    <w:rsid w:val="00B54D68"/>
    <w:rsid w:val="00B55DDD"/>
    <w:rsid w:val="00B57556"/>
    <w:rsid w:val="00B6220E"/>
    <w:rsid w:val="00B65F05"/>
    <w:rsid w:val="00B72C47"/>
    <w:rsid w:val="00B7688F"/>
    <w:rsid w:val="00B84551"/>
    <w:rsid w:val="00B84FD2"/>
    <w:rsid w:val="00B86CFD"/>
    <w:rsid w:val="00B86E13"/>
    <w:rsid w:val="00B91665"/>
    <w:rsid w:val="00B92511"/>
    <w:rsid w:val="00B951D2"/>
    <w:rsid w:val="00B97019"/>
    <w:rsid w:val="00BA467D"/>
    <w:rsid w:val="00BA4AA3"/>
    <w:rsid w:val="00BA536E"/>
    <w:rsid w:val="00BB025F"/>
    <w:rsid w:val="00BB1CFE"/>
    <w:rsid w:val="00BB3539"/>
    <w:rsid w:val="00BB44DE"/>
    <w:rsid w:val="00BB6A06"/>
    <w:rsid w:val="00BC00FB"/>
    <w:rsid w:val="00BC63FD"/>
    <w:rsid w:val="00BC7826"/>
    <w:rsid w:val="00BD0D77"/>
    <w:rsid w:val="00BD3814"/>
    <w:rsid w:val="00BD4E3C"/>
    <w:rsid w:val="00BD53FE"/>
    <w:rsid w:val="00BE1071"/>
    <w:rsid w:val="00BE2836"/>
    <w:rsid w:val="00BE5BB7"/>
    <w:rsid w:val="00BE5E45"/>
    <w:rsid w:val="00BE6133"/>
    <w:rsid w:val="00BF054A"/>
    <w:rsid w:val="00BF2411"/>
    <w:rsid w:val="00BF5F87"/>
    <w:rsid w:val="00BF6492"/>
    <w:rsid w:val="00BF6922"/>
    <w:rsid w:val="00BF764E"/>
    <w:rsid w:val="00BF7EB5"/>
    <w:rsid w:val="00C006B1"/>
    <w:rsid w:val="00C02583"/>
    <w:rsid w:val="00C02EEF"/>
    <w:rsid w:val="00C02F5C"/>
    <w:rsid w:val="00C03C6C"/>
    <w:rsid w:val="00C10391"/>
    <w:rsid w:val="00C11C91"/>
    <w:rsid w:val="00C16227"/>
    <w:rsid w:val="00C16789"/>
    <w:rsid w:val="00C25E34"/>
    <w:rsid w:val="00C27E6B"/>
    <w:rsid w:val="00C310B9"/>
    <w:rsid w:val="00C342D5"/>
    <w:rsid w:val="00C401CD"/>
    <w:rsid w:val="00C4035A"/>
    <w:rsid w:val="00C41045"/>
    <w:rsid w:val="00C41952"/>
    <w:rsid w:val="00C42B04"/>
    <w:rsid w:val="00C5118C"/>
    <w:rsid w:val="00C51CD1"/>
    <w:rsid w:val="00C53183"/>
    <w:rsid w:val="00C55128"/>
    <w:rsid w:val="00C56DF5"/>
    <w:rsid w:val="00C570CC"/>
    <w:rsid w:val="00C60BB4"/>
    <w:rsid w:val="00C6315E"/>
    <w:rsid w:val="00C65F24"/>
    <w:rsid w:val="00C719FC"/>
    <w:rsid w:val="00C72259"/>
    <w:rsid w:val="00C826D2"/>
    <w:rsid w:val="00C92881"/>
    <w:rsid w:val="00C95730"/>
    <w:rsid w:val="00C96FB5"/>
    <w:rsid w:val="00C979D7"/>
    <w:rsid w:val="00CA3ABF"/>
    <w:rsid w:val="00CB2437"/>
    <w:rsid w:val="00CB2EDD"/>
    <w:rsid w:val="00CC2810"/>
    <w:rsid w:val="00CC6705"/>
    <w:rsid w:val="00CD0331"/>
    <w:rsid w:val="00CD4B75"/>
    <w:rsid w:val="00CD50DA"/>
    <w:rsid w:val="00CD791D"/>
    <w:rsid w:val="00CE0037"/>
    <w:rsid w:val="00CE4442"/>
    <w:rsid w:val="00CE46FB"/>
    <w:rsid w:val="00CE520C"/>
    <w:rsid w:val="00CE6FE4"/>
    <w:rsid w:val="00CF07B3"/>
    <w:rsid w:val="00CF18F8"/>
    <w:rsid w:val="00CF2FB4"/>
    <w:rsid w:val="00CF3637"/>
    <w:rsid w:val="00CF4BEC"/>
    <w:rsid w:val="00CF5F3A"/>
    <w:rsid w:val="00CF6054"/>
    <w:rsid w:val="00CF6947"/>
    <w:rsid w:val="00D005FF"/>
    <w:rsid w:val="00D00948"/>
    <w:rsid w:val="00D00C1F"/>
    <w:rsid w:val="00D00C42"/>
    <w:rsid w:val="00D0482D"/>
    <w:rsid w:val="00D16016"/>
    <w:rsid w:val="00D1679C"/>
    <w:rsid w:val="00D218A6"/>
    <w:rsid w:val="00D23722"/>
    <w:rsid w:val="00D23C64"/>
    <w:rsid w:val="00D244E3"/>
    <w:rsid w:val="00D25933"/>
    <w:rsid w:val="00D26B29"/>
    <w:rsid w:val="00D3340C"/>
    <w:rsid w:val="00D37B73"/>
    <w:rsid w:val="00D44645"/>
    <w:rsid w:val="00D45CCB"/>
    <w:rsid w:val="00D52843"/>
    <w:rsid w:val="00D54B74"/>
    <w:rsid w:val="00D62946"/>
    <w:rsid w:val="00D62C14"/>
    <w:rsid w:val="00D636CD"/>
    <w:rsid w:val="00D66FF2"/>
    <w:rsid w:val="00D70950"/>
    <w:rsid w:val="00D71E39"/>
    <w:rsid w:val="00D77286"/>
    <w:rsid w:val="00D77D53"/>
    <w:rsid w:val="00D809E3"/>
    <w:rsid w:val="00D80FEA"/>
    <w:rsid w:val="00D85336"/>
    <w:rsid w:val="00D86A6A"/>
    <w:rsid w:val="00D90F79"/>
    <w:rsid w:val="00D961E3"/>
    <w:rsid w:val="00D97628"/>
    <w:rsid w:val="00DA0491"/>
    <w:rsid w:val="00DA1E21"/>
    <w:rsid w:val="00DA284A"/>
    <w:rsid w:val="00DA56E9"/>
    <w:rsid w:val="00DB304D"/>
    <w:rsid w:val="00DB6F51"/>
    <w:rsid w:val="00DB7EBE"/>
    <w:rsid w:val="00DC0370"/>
    <w:rsid w:val="00DC0ABE"/>
    <w:rsid w:val="00DC1D8A"/>
    <w:rsid w:val="00DC2067"/>
    <w:rsid w:val="00DC24A7"/>
    <w:rsid w:val="00DC3601"/>
    <w:rsid w:val="00DC4B95"/>
    <w:rsid w:val="00DC5BE7"/>
    <w:rsid w:val="00DC66BB"/>
    <w:rsid w:val="00DC7B6F"/>
    <w:rsid w:val="00DD1823"/>
    <w:rsid w:val="00DE2909"/>
    <w:rsid w:val="00DE5100"/>
    <w:rsid w:val="00DE6424"/>
    <w:rsid w:val="00DE6CBB"/>
    <w:rsid w:val="00DF032B"/>
    <w:rsid w:val="00DF1893"/>
    <w:rsid w:val="00DF1F28"/>
    <w:rsid w:val="00DF4878"/>
    <w:rsid w:val="00DF52D4"/>
    <w:rsid w:val="00E05506"/>
    <w:rsid w:val="00E0551B"/>
    <w:rsid w:val="00E11319"/>
    <w:rsid w:val="00E15CF5"/>
    <w:rsid w:val="00E16169"/>
    <w:rsid w:val="00E20381"/>
    <w:rsid w:val="00E2055A"/>
    <w:rsid w:val="00E23A7E"/>
    <w:rsid w:val="00E25646"/>
    <w:rsid w:val="00E27289"/>
    <w:rsid w:val="00E2776C"/>
    <w:rsid w:val="00E27982"/>
    <w:rsid w:val="00E37DAA"/>
    <w:rsid w:val="00E4463F"/>
    <w:rsid w:val="00E52DA7"/>
    <w:rsid w:val="00E52E8C"/>
    <w:rsid w:val="00E54AD4"/>
    <w:rsid w:val="00E61AA5"/>
    <w:rsid w:val="00E62BC4"/>
    <w:rsid w:val="00E66EDC"/>
    <w:rsid w:val="00E67493"/>
    <w:rsid w:val="00E707D6"/>
    <w:rsid w:val="00E70A29"/>
    <w:rsid w:val="00E73017"/>
    <w:rsid w:val="00E74D52"/>
    <w:rsid w:val="00E81517"/>
    <w:rsid w:val="00E852C6"/>
    <w:rsid w:val="00E90334"/>
    <w:rsid w:val="00EA0DB8"/>
    <w:rsid w:val="00EA141C"/>
    <w:rsid w:val="00EA2EB9"/>
    <w:rsid w:val="00EA6CDF"/>
    <w:rsid w:val="00EB1838"/>
    <w:rsid w:val="00EB4C25"/>
    <w:rsid w:val="00EC0977"/>
    <w:rsid w:val="00EC4A6A"/>
    <w:rsid w:val="00EC6B3A"/>
    <w:rsid w:val="00ED25C1"/>
    <w:rsid w:val="00ED61FE"/>
    <w:rsid w:val="00EE23EB"/>
    <w:rsid w:val="00EE6009"/>
    <w:rsid w:val="00EE72C0"/>
    <w:rsid w:val="00EF154D"/>
    <w:rsid w:val="00EF1683"/>
    <w:rsid w:val="00EF2F58"/>
    <w:rsid w:val="00EF5C7D"/>
    <w:rsid w:val="00F0009F"/>
    <w:rsid w:val="00F02AA0"/>
    <w:rsid w:val="00F0621A"/>
    <w:rsid w:val="00F07C59"/>
    <w:rsid w:val="00F1005B"/>
    <w:rsid w:val="00F24E6E"/>
    <w:rsid w:val="00F25EF5"/>
    <w:rsid w:val="00F32FA8"/>
    <w:rsid w:val="00F33797"/>
    <w:rsid w:val="00F352F3"/>
    <w:rsid w:val="00F43EC5"/>
    <w:rsid w:val="00F521A3"/>
    <w:rsid w:val="00F52A10"/>
    <w:rsid w:val="00F630C6"/>
    <w:rsid w:val="00F66463"/>
    <w:rsid w:val="00F67325"/>
    <w:rsid w:val="00F80F7B"/>
    <w:rsid w:val="00F85CC5"/>
    <w:rsid w:val="00F91689"/>
    <w:rsid w:val="00FA51CA"/>
    <w:rsid w:val="00FA7259"/>
    <w:rsid w:val="00FA726D"/>
    <w:rsid w:val="00FA7381"/>
    <w:rsid w:val="00FA7B26"/>
    <w:rsid w:val="00FB60BC"/>
    <w:rsid w:val="00FB6150"/>
    <w:rsid w:val="00FB6C0E"/>
    <w:rsid w:val="00FC0EA9"/>
    <w:rsid w:val="00FC350B"/>
    <w:rsid w:val="00FC4A80"/>
    <w:rsid w:val="00FC697E"/>
    <w:rsid w:val="00FC7E16"/>
    <w:rsid w:val="00FD0B7E"/>
    <w:rsid w:val="00FD2962"/>
    <w:rsid w:val="00FD2DBF"/>
    <w:rsid w:val="00FD41F1"/>
    <w:rsid w:val="00FD4655"/>
    <w:rsid w:val="00FD4B3F"/>
    <w:rsid w:val="00FD6D10"/>
    <w:rsid w:val="00FD72DE"/>
    <w:rsid w:val="00FE13F6"/>
    <w:rsid w:val="00FE1A89"/>
    <w:rsid w:val="00FE2DE4"/>
    <w:rsid w:val="00FE3DB0"/>
    <w:rsid w:val="00FE3E47"/>
    <w:rsid w:val="00FE744B"/>
    <w:rsid w:val="00FF1DE7"/>
    <w:rsid w:val="00FF32AD"/>
    <w:rsid w:val="00FF5440"/>
    <w:rsid w:val="01DE1DA1"/>
    <w:rsid w:val="04BEB689"/>
    <w:rsid w:val="063990D6"/>
    <w:rsid w:val="063BB052"/>
    <w:rsid w:val="182F9501"/>
    <w:rsid w:val="1C8B00C0"/>
    <w:rsid w:val="1E950071"/>
    <w:rsid w:val="31BFC4CD"/>
    <w:rsid w:val="32C11173"/>
    <w:rsid w:val="4189C6E7"/>
    <w:rsid w:val="4EB32E86"/>
    <w:rsid w:val="62BA3EE8"/>
    <w:rsid w:val="7F0EAD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FD1D7F"/>
  <w15:docId w15:val="{5E7EE645-11A9-4774-8A38-ED2118F4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A50A22"/>
    <w:pPr>
      <w:keepNext/>
      <w:numPr>
        <w:numId w:val="1"/>
      </w:numPr>
      <w:spacing w:before="240" w:after="60"/>
      <w:outlineLvl w:val="0"/>
    </w:pPr>
    <w:rPr>
      <w:bCs/>
      <w:kern w:val="32"/>
      <w:szCs w:val="32"/>
    </w:rPr>
  </w:style>
  <w:style w:type="paragraph" w:styleId="Heading3">
    <w:name w:val="heading 3"/>
    <w:basedOn w:val="Normal"/>
    <w:link w:val="Heading3Char"/>
    <w:uiPriority w:val="9"/>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A50A22"/>
    <w:rPr>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6A4CCD"/>
    <w:pPr>
      <w:ind w:left="720"/>
      <w:contextualSpacing/>
    </w:pPr>
    <w:rPr>
      <w:sz w:val="20"/>
      <w:szCs w:val="20"/>
    </w:rPr>
  </w:style>
  <w:style w:type="character" w:customStyle="1" w:styleId="normaltextrun">
    <w:name w:val="normaltextrun"/>
    <w:basedOn w:val="DefaultParagraphFont"/>
    <w:rsid w:val="00281E4F"/>
  </w:style>
  <w:style w:type="paragraph" w:customStyle="1" w:styleId="Num3">
    <w:name w:val="Num 3"/>
    <w:rsid w:val="00162996"/>
    <w:pPr>
      <w:tabs>
        <w:tab w:val="left" w:pos="1701"/>
        <w:tab w:val="num" w:pos="2007"/>
        <w:tab w:val="num" w:pos="2160"/>
      </w:tabs>
      <w:spacing w:before="120" w:after="120" w:line="360" w:lineRule="auto"/>
      <w:ind w:left="1701" w:hanging="567"/>
    </w:pPr>
    <w:rPr>
      <w:rFonts w:ascii="Book Antiqua" w:hAnsi="Book Antiqua" w:cs="Arial"/>
      <w:sz w:val="24"/>
      <w:lang w:val="en-AU" w:eastAsia="en-US"/>
    </w:rPr>
  </w:style>
  <w:style w:type="character" w:styleId="FollowedHyperlink">
    <w:name w:val="FollowedHyperlink"/>
    <w:basedOn w:val="DefaultParagraphFont"/>
    <w:semiHidden/>
    <w:unhideWhenUsed/>
    <w:rsid w:val="00C11C91"/>
    <w:rPr>
      <w:color w:val="954F72" w:themeColor="followedHyperlink"/>
      <w:u w:val="single"/>
    </w:rPr>
  </w:style>
  <w:style w:type="paragraph" w:styleId="Revision">
    <w:name w:val="Revision"/>
    <w:hidden/>
    <w:uiPriority w:val="99"/>
    <w:semiHidden/>
    <w:rsid w:val="00DC2067"/>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supremecourt.vic.gov.au" TargetMode="External"/><Relationship Id="rId2" Type="http://schemas.openxmlformats.org/officeDocument/2006/relationships/customXml" Target="../customXml/item2.xml"/><Relationship Id="rId16" Type="http://schemas.openxmlformats.org/officeDocument/2006/relationships/hyperlink" Target="https://www.supremecourt.vic.gov.au/law-and-practice/specialist-areas-of-law/professional-liability-lis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upremecourt.vic.gov.au/law-and-practice/specialist-areas-of-law/professional-liability-list"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upremecourt.vic.gov.au/law-and-practice/specialist-areas-of-law/professional-liability-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11" ma:contentTypeDescription="Create a new document." ma:contentTypeScope="" ma:versionID="226897e7c8e3fef5b8750d73f00d967e">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482114006d0d341a8d0544933ea487b9"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2.xml><?xml version="1.0" encoding="utf-8"?>
<ds:datastoreItem xmlns:ds="http://schemas.openxmlformats.org/officeDocument/2006/customXml" ds:itemID="{F53C5FFA-8516-4FEC-A1E4-38241312D513}">
  <ds:schemaRefs>
    <ds:schemaRef ds:uri="http://schemas.microsoft.com/office/2006/documentManagement/types"/>
    <ds:schemaRef ds:uri="bdde84cb-4b1f-4b74-b4a5-14e1a433eee1"/>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263eaefd-0475-4860-b86f-622cd66f4e0c"/>
    <ds:schemaRef ds:uri="http://www.w3.org/XML/1998/namespace"/>
    <ds:schemaRef ds:uri="http://purl.org/dc/dcmitype/"/>
  </ds:schemaRefs>
</ds:datastoreItem>
</file>

<file path=customXml/itemProps3.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4.xml><?xml version="1.0" encoding="utf-8"?>
<ds:datastoreItem xmlns:ds="http://schemas.openxmlformats.org/officeDocument/2006/customXml" ds:itemID="{99C0185E-2DCD-411C-AB18-8F91F9104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0F4B65-72D3-496E-AEEC-C0E0DB7DFEBB}">
  <ds:schemaRefs>
    <ds:schemaRef ds:uri="http://schemas.openxmlformats.org/officeDocument/2006/bibliography"/>
  </ds:schemaRefs>
</ds:datastoreItem>
</file>

<file path=customXml/itemProps6.xml><?xml version="1.0" encoding="utf-8"?>
<ds:datastoreItem xmlns:ds="http://schemas.openxmlformats.org/officeDocument/2006/customXml" ds:itemID="{25BC6E83-7B85-4090-B1E5-0E504D67A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2661</Words>
  <Characters>13745</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Practice Note SC CL 5 Professional Liability List</vt:lpstr>
    </vt:vector>
  </TitlesOfParts>
  <Company>Supreme Court of Victoria</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SC CL 5 Professional Liability List</dc:title>
  <dc:subject/>
  <dc:creator>Supreme Court of Victoria</dc:creator>
  <cp:keywords/>
  <dc:description/>
  <cp:lastModifiedBy>Andrew Wicking</cp:lastModifiedBy>
  <cp:revision>2</cp:revision>
  <cp:lastPrinted>2018-09-05T05:19:00Z</cp:lastPrinted>
  <dcterms:created xsi:type="dcterms:W3CDTF">2018-09-18T03:46:00Z</dcterms:created>
  <dcterms:modified xsi:type="dcterms:W3CDTF">2018-09-18T03:46:00Z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0x010100FC344B925675ED46837EB14F9BF5688C</vt:lpwstr>
  </property>
</Properties>
</file>