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AD938" w14:textId="77777777" w:rsidR="00D85336" w:rsidRPr="00771C95" w:rsidRDefault="00CD0331" w:rsidP="00A82B6F">
      <w:pPr>
        <w:autoSpaceDE w:val="0"/>
        <w:autoSpaceDN w:val="0"/>
        <w:adjustRightInd w:val="0"/>
        <w:spacing w:before="120" w:after="120"/>
        <w:jc w:val="center"/>
        <w:rPr>
          <w:b/>
          <w:bCs/>
          <w:color w:val="000000"/>
        </w:rPr>
      </w:pPr>
      <w:bookmarkStart w:id="0" w:name="_GoBack"/>
      <w:bookmarkEnd w:id="0"/>
      <w:r w:rsidRPr="00771C95">
        <w:rPr>
          <w:b/>
          <w:bCs/>
          <w:noProof/>
          <w:color w:val="000000"/>
          <w:sz w:val="44"/>
          <w:szCs w:val="44"/>
        </w:rPr>
        <w:drawing>
          <wp:anchor distT="0" distB="0" distL="114300" distR="114300" simplePos="0" relativeHeight="251657728" behindDoc="0" locked="0" layoutInCell="1" allowOverlap="0" wp14:anchorId="297FDB5F" wp14:editId="290F850F">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C19A0" w14:textId="77777777" w:rsidR="00D85336" w:rsidRPr="00771C95" w:rsidRDefault="00D85336" w:rsidP="00A82B6F">
      <w:pPr>
        <w:autoSpaceDE w:val="0"/>
        <w:autoSpaceDN w:val="0"/>
        <w:adjustRightInd w:val="0"/>
        <w:spacing w:before="120" w:after="120"/>
        <w:jc w:val="center"/>
        <w:rPr>
          <w:b/>
          <w:bCs/>
          <w:color w:val="000000"/>
        </w:rPr>
      </w:pPr>
    </w:p>
    <w:p w14:paraId="7DDFF89F" w14:textId="77777777" w:rsidR="00D85336" w:rsidRPr="00771C95" w:rsidRDefault="00D85336" w:rsidP="00A82B6F">
      <w:pPr>
        <w:autoSpaceDE w:val="0"/>
        <w:autoSpaceDN w:val="0"/>
        <w:adjustRightInd w:val="0"/>
        <w:spacing w:before="120" w:after="120"/>
        <w:jc w:val="center"/>
        <w:rPr>
          <w:b/>
          <w:bCs/>
          <w:color w:val="000000"/>
        </w:rPr>
      </w:pPr>
    </w:p>
    <w:p w14:paraId="1451E260" w14:textId="77777777" w:rsidR="003817CD" w:rsidRDefault="003817CD" w:rsidP="00A82B6F">
      <w:pPr>
        <w:autoSpaceDE w:val="0"/>
        <w:autoSpaceDN w:val="0"/>
        <w:adjustRightInd w:val="0"/>
        <w:spacing w:before="120" w:after="120"/>
        <w:jc w:val="center"/>
        <w:rPr>
          <w:rFonts w:ascii="Book Antiqua" w:hAnsi="Book Antiqua"/>
          <w:b/>
          <w:bCs/>
          <w:color w:val="000000"/>
          <w:sz w:val="44"/>
          <w:szCs w:val="44"/>
        </w:rPr>
      </w:pPr>
    </w:p>
    <w:p w14:paraId="24664508" w14:textId="77777777" w:rsidR="00271B59" w:rsidRPr="007917BE" w:rsidRDefault="003817CD" w:rsidP="00A82B6F">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02731AAD" w14:textId="77777777" w:rsidR="00271B59" w:rsidRPr="007917BE" w:rsidRDefault="00271B59" w:rsidP="00A82B6F">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 xml:space="preserve">SC </w:t>
      </w:r>
      <w:r w:rsidR="000117C7">
        <w:rPr>
          <w:rFonts w:ascii="Book Antiqua" w:hAnsi="Book Antiqua"/>
          <w:b/>
          <w:color w:val="000000"/>
          <w:sz w:val="28"/>
        </w:rPr>
        <w:t xml:space="preserve">CL </w:t>
      </w:r>
      <w:r w:rsidR="00594C2A">
        <w:rPr>
          <w:rFonts w:ascii="Book Antiqua" w:hAnsi="Book Antiqua"/>
          <w:b/>
          <w:color w:val="000000"/>
          <w:sz w:val="28"/>
        </w:rPr>
        <w:t>6</w:t>
      </w:r>
    </w:p>
    <w:p w14:paraId="14D31F5D" w14:textId="77777777" w:rsidR="00271B59" w:rsidRDefault="00594C2A" w:rsidP="00A82B6F">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 xml:space="preserve">Trusts, Equity and Probate </w:t>
      </w:r>
      <w:r w:rsidR="000117C7">
        <w:rPr>
          <w:rFonts w:ascii="Book Antiqua" w:hAnsi="Book Antiqua"/>
          <w:b/>
          <w:color w:val="000000"/>
          <w:sz w:val="28"/>
        </w:rPr>
        <w:t>List</w:t>
      </w:r>
    </w:p>
    <w:p w14:paraId="0266F554" w14:textId="77777777" w:rsidR="00CD0331" w:rsidRDefault="00CD0331" w:rsidP="00A82B6F">
      <w:pPr>
        <w:autoSpaceDE w:val="0"/>
        <w:autoSpaceDN w:val="0"/>
        <w:adjustRightInd w:val="0"/>
        <w:spacing w:before="120" w:after="120"/>
        <w:jc w:val="center"/>
        <w:rPr>
          <w:rFonts w:ascii="Book Antiqua" w:hAnsi="Book Antiqua"/>
          <w:b/>
          <w:color w:val="000000"/>
          <w:sz w:val="28"/>
        </w:rPr>
      </w:pPr>
    </w:p>
    <w:p w14:paraId="64576ACD" w14:textId="77777777" w:rsidR="00A50A22" w:rsidRPr="00A50A22" w:rsidRDefault="00A50A22" w:rsidP="00A82B6F">
      <w:pPr>
        <w:pStyle w:val="ListParagraph"/>
        <w:keepNext/>
        <w:numPr>
          <w:ilvl w:val="0"/>
          <w:numId w:val="30"/>
        </w:numPr>
        <w:autoSpaceDE w:val="0"/>
        <w:autoSpaceDN w:val="0"/>
        <w:adjustRightInd w:val="0"/>
        <w:spacing w:before="120" w:after="120"/>
        <w:contextualSpacing w:val="0"/>
        <w:rPr>
          <w:rFonts w:ascii="Book Antiqua" w:hAnsi="Book Antiqua"/>
          <w:b/>
          <w:color w:val="000000"/>
          <w:sz w:val="36"/>
        </w:rPr>
      </w:pPr>
      <w:r w:rsidRPr="00A50A22">
        <w:rPr>
          <w:rFonts w:ascii="Book Antiqua" w:hAnsi="Book Antiqua"/>
          <w:b/>
          <w:sz w:val="24"/>
        </w:rPr>
        <w:t>INTRODUCTION</w:t>
      </w:r>
    </w:p>
    <w:p w14:paraId="08A91F1B" w14:textId="77777777" w:rsidR="00A50A22" w:rsidRPr="007917BE" w:rsidRDefault="00A50A22" w:rsidP="00A82B6F">
      <w:pPr>
        <w:pStyle w:val="ListParagraph"/>
        <w:numPr>
          <w:ilvl w:val="1"/>
          <w:numId w:val="30"/>
        </w:numPr>
        <w:spacing w:before="120" w:after="120"/>
        <w:contextualSpacing w:val="0"/>
        <w:jc w:val="both"/>
        <w:rPr>
          <w:rFonts w:ascii="Book Antiqua" w:hAnsi="Book Antiqua"/>
          <w:sz w:val="24"/>
          <w:szCs w:val="24"/>
        </w:rPr>
      </w:pPr>
      <w:r w:rsidRPr="007917BE">
        <w:rPr>
          <w:rFonts w:ascii="Book Antiqua" w:hAnsi="Book Antiqua"/>
          <w:sz w:val="24"/>
          <w:szCs w:val="24"/>
        </w:rPr>
        <w:t xml:space="preserve">The Chief Justice has </w:t>
      </w:r>
      <w:r>
        <w:rPr>
          <w:rFonts w:ascii="Book Antiqua" w:hAnsi="Book Antiqua"/>
          <w:sz w:val="24"/>
          <w:szCs w:val="24"/>
        </w:rPr>
        <w:t>authorised</w:t>
      </w:r>
      <w:r w:rsidRPr="007917BE">
        <w:rPr>
          <w:rFonts w:ascii="Book Antiqua" w:hAnsi="Book Antiqua"/>
          <w:sz w:val="24"/>
          <w:szCs w:val="24"/>
        </w:rPr>
        <w:t xml:space="preserve"> the </w:t>
      </w:r>
      <w:r>
        <w:rPr>
          <w:rFonts w:ascii="Book Antiqua" w:hAnsi="Book Antiqua"/>
          <w:sz w:val="24"/>
          <w:szCs w:val="24"/>
        </w:rPr>
        <w:t>issue</w:t>
      </w:r>
      <w:r w:rsidRPr="007917BE">
        <w:rPr>
          <w:rFonts w:ascii="Book Antiqua" w:hAnsi="Book Antiqua"/>
          <w:sz w:val="24"/>
          <w:szCs w:val="24"/>
        </w:rPr>
        <w:t xml:space="preserve"> of the following Practice Note.</w:t>
      </w:r>
    </w:p>
    <w:p w14:paraId="5B1B001C" w14:textId="38CE6181" w:rsidR="00A50A22" w:rsidRDefault="00A50A22" w:rsidP="00A82B6F">
      <w:pPr>
        <w:pStyle w:val="ListParagraph"/>
        <w:numPr>
          <w:ilvl w:val="1"/>
          <w:numId w:val="30"/>
        </w:numPr>
        <w:spacing w:before="120" w:after="120"/>
        <w:contextualSpacing w:val="0"/>
        <w:jc w:val="both"/>
        <w:rPr>
          <w:rFonts w:ascii="Book Antiqua" w:hAnsi="Book Antiqua"/>
          <w:sz w:val="24"/>
          <w:szCs w:val="24"/>
        </w:rPr>
      </w:pPr>
      <w:r w:rsidRPr="007917BE">
        <w:rPr>
          <w:rFonts w:ascii="Book Antiqua" w:hAnsi="Book Antiqua"/>
          <w:sz w:val="24"/>
          <w:szCs w:val="24"/>
        </w:rPr>
        <w:t>The purpose of this Practice Note is t</w:t>
      </w:r>
      <w:r>
        <w:rPr>
          <w:rFonts w:ascii="Book Antiqua" w:hAnsi="Book Antiqua"/>
          <w:sz w:val="24"/>
          <w:szCs w:val="24"/>
        </w:rPr>
        <w:t>o describe the procedures to be followed in</w:t>
      </w:r>
      <w:r w:rsidR="00641C0A">
        <w:rPr>
          <w:rFonts w:ascii="Book Antiqua" w:hAnsi="Book Antiqua"/>
          <w:sz w:val="24"/>
          <w:szCs w:val="24"/>
        </w:rPr>
        <w:t xml:space="preserve"> the</w:t>
      </w:r>
      <w:r>
        <w:rPr>
          <w:rFonts w:ascii="Book Antiqua" w:hAnsi="Book Antiqua"/>
          <w:sz w:val="24"/>
          <w:szCs w:val="24"/>
        </w:rPr>
        <w:t xml:space="preserve"> </w:t>
      </w:r>
      <w:r w:rsidR="0095180B">
        <w:rPr>
          <w:rFonts w:ascii="Book Antiqua" w:hAnsi="Book Antiqua"/>
          <w:sz w:val="24"/>
          <w:szCs w:val="24"/>
        </w:rPr>
        <w:t xml:space="preserve">Trusts, Equity and Probate </w:t>
      </w:r>
      <w:r>
        <w:rPr>
          <w:rFonts w:ascii="Book Antiqua" w:hAnsi="Book Antiqua"/>
          <w:sz w:val="24"/>
          <w:szCs w:val="24"/>
        </w:rPr>
        <w:t xml:space="preserve">List. </w:t>
      </w:r>
      <w:r w:rsidR="00A93437">
        <w:rPr>
          <w:rFonts w:ascii="Book Antiqua" w:hAnsi="Book Antiqua"/>
          <w:sz w:val="24"/>
          <w:szCs w:val="24"/>
        </w:rPr>
        <w:t xml:space="preserve"> </w:t>
      </w:r>
      <w:r>
        <w:rPr>
          <w:rFonts w:ascii="Book Antiqua" w:hAnsi="Book Antiqua"/>
          <w:sz w:val="24"/>
          <w:szCs w:val="24"/>
        </w:rPr>
        <w:t>The List is a case management list within the Common Law Division of the Court.</w:t>
      </w:r>
    </w:p>
    <w:p w14:paraId="72363E5C" w14:textId="77777777" w:rsidR="00A50A22" w:rsidRPr="00A50A22" w:rsidRDefault="00A50A22" w:rsidP="00A82B6F">
      <w:pPr>
        <w:spacing w:before="120" w:after="120"/>
        <w:jc w:val="both"/>
        <w:rPr>
          <w:rFonts w:ascii="Book Antiqua" w:hAnsi="Book Antiqua"/>
        </w:rPr>
      </w:pPr>
    </w:p>
    <w:p w14:paraId="26033926" w14:textId="77777777" w:rsidR="00A50A22" w:rsidRPr="00FD4B3F" w:rsidRDefault="00A50A22" w:rsidP="00A82B6F">
      <w:pPr>
        <w:pStyle w:val="ListParagraph"/>
        <w:keepNext/>
        <w:numPr>
          <w:ilvl w:val="0"/>
          <w:numId w:val="30"/>
        </w:numPr>
        <w:autoSpaceDE w:val="0"/>
        <w:autoSpaceDN w:val="0"/>
        <w:adjustRightInd w:val="0"/>
        <w:spacing w:before="120" w:after="120"/>
        <w:contextualSpacing w:val="0"/>
        <w:rPr>
          <w:rFonts w:ascii="Book Antiqua" w:hAnsi="Book Antiqua"/>
          <w:sz w:val="24"/>
          <w:szCs w:val="24"/>
        </w:rPr>
      </w:pPr>
      <w:r w:rsidRPr="00FD4B3F">
        <w:rPr>
          <w:rFonts w:ascii="Book Antiqua" w:hAnsi="Book Antiqua"/>
          <w:b/>
          <w:sz w:val="24"/>
        </w:rPr>
        <w:t>DEFINITIONS</w:t>
      </w:r>
    </w:p>
    <w:p w14:paraId="64B425AB" w14:textId="77777777" w:rsidR="00A50A22" w:rsidRDefault="00A50A22" w:rsidP="00A82B6F">
      <w:pPr>
        <w:pStyle w:val="ListParagraph"/>
        <w:numPr>
          <w:ilvl w:val="1"/>
          <w:numId w:val="30"/>
        </w:numPr>
        <w:spacing w:before="120" w:after="120"/>
        <w:contextualSpacing w:val="0"/>
        <w:jc w:val="both"/>
        <w:rPr>
          <w:rFonts w:ascii="Book Antiqua" w:hAnsi="Book Antiqua"/>
          <w:sz w:val="24"/>
          <w:szCs w:val="24"/>
        </w:rPr>
      </w:pPr>
      <w:r>
        <w:rPr>
          <w:rFonts w:ascii="Book Antiqua" w:hAnsi="Book Antiqua"/>
          <w:sz w:val="24"/>
          <w:szCs w:val="24"/>
        </w:rPr>
        <w:t>In this Practice Note:</w:t>
      </w:r>
    </w:p>
    <w:p w14:paraId="6E15FA2B" w14:textId="77777777" w:rsidR="00956EC0" w:rsidRDefault="00956EC0" w:rsidP="00A82B6F">
      <w:pPr>
        <w:pStyle w:val="ListParagraph"/>
        <w:spacing w:before="120" w:after="120"/>
        <w:ind w:left="360" w:firstLine="360"/>
        <w:contextualSpacing w:val="0"/>
        <w:jc w:val="both"/>
        <w:rPr>
          <w:rFonts w:ascii="Book Antiqua" w:hAnsi="Book Antiqua"/>
          <w:b/>
          <w:i/>
          <w:sz w:val="24"/>
          <w:szCs w:val="24"/>
        </w:rPr>
      </w:pPr>
      <w:r>
        <w:rPr>
          <w:rFonts w:ascii="Book Antiqua" w:hAnsi="Book Antiqua"/>
          <w:b/>
          <w:i/>
          <w:sz w:val="24"/>
          <w:szCs w:val="24"/>
        </w:rPr>
        <w:t>Act</w:t>
      </w:r>
      <w:r>
        <w:rPr>
          <w:rFonts w:ascii="Book Antiqua" w:hAnsi="Book Antiqua"/>
          <w:sz w:val="24"/>
          <w:szCs w:val="24"/>
        </w:rPr>
        <w:t xml:space="preserve"> means </w:t>
      </w:r>
      <w:r w:rsidRPr="00956EC0">
        <w:rPr>
          <w:rFonts w:ascii="Book Antiqua" w:hAnsi="Book Antiqua"/>
          <w:sz w:val="24"/>
          <w:szCs w:val="24"/>
        </w:rPr>
        <w:t xml:space="preserve">the </w:t>
      </w:r>
      <w:r w:rsidRPr="00956EC0">
        <w:rPr>
          <w:rFonts w:ascii="Book Antiqua" w:hAnsi="Book Antiqua"/>
          <w:i/>
          <w:sz w:val="24"/>
          <w:szCs w:val="24"/>
        </w:rPr>
        <w:t>Administration and Probate Act 1958</w:t>
      </w:r>
      <w:r>
        <w:rPr>
          <w:rFonts w:ascii="Book Antiqua" w:hAnsi="Book Antiqua"/>
          <w:sz w:val="24"/>
          <w:szCs w:val="24"/>
        </w:rPr>
        <w:t xml:space="preserve">; </w:t>
      </w:r>
    </w:p>
    <w:p w14:paraId="00E19DE8" w14:textId="77777777" w:rsidR="00956EC0" w:rsidRPr="00956EC0" w:rsidRDefault="00956EC0" w:rsidP="00A82B6F">
      <w:pPr>
        <w:pStyle w:val="ListParagraph"/>
        <w:spacing w:before="120" w:after="120"/>
        <w:ind w:left="360" w:firstLine="360"/>
        <w:contextualSpacing w:val="0"/>
        <w:jc w:val="both"/>
        <w:rPr>
          <w:rFonts w:ascii="Book Antiqua" w:hAnsi="Book Antiqua"/>
          <w:sz w:val="24"/>
          <w:szCs w:val="24"/>
        </w:rPr>
      </w:pPr>
      <w:r w:rsidRPr="00956EC0">
        <w:rPr>
          <w:rFonts w:ascii="Book Antiqua" w:hAnsi="Book Antiqua"/>
          <w:b/>
          <w:i/>
          <w:sz w:val="24"/>
          <w:szCs w:val="24"/>
        </w:rPr>
        <w:t>Judge</w:t>
      </w:r>
      <w:r w:rsidRPr="00956EC0">
        <w:rPr>
          <w:rFonts w:ascii="Book Antiqua" w:hAnsi="Book Antiqua"/>
          <w:sz w:val="24"/>
          <w:szCs w:val="24"/>
        </w:rPr>
        <w:t xml:space="preserve"> means the Judge in Charge of the List;</w:t>
      </w:r>
    </w:p>
    <w:p w14:paraId="6A737B6F" w14:textId="77777777" w:rsidR="00A50A22" w:rsidRDefault="00A50A22" w:rsidP="00A82B6F">
      <w:pPr>
        <w:pStyle w:val="ListParagraph"/>
        <w:spacing w:before="120" w:after="120"/>
        <w:ind w:left="360" w:firstLine="360"/>
        <w:contextualSpacing w:val="0"/>
        <w:jc w:val="both"/>
        <w:rPr>
          <w:rFonts w:ascii="Book Antiqua" w:hAnsi="Book Antiqua"/>
          <w:sz w:val="24"/>
          <w:szCs w:val="24"/>
        </w:rPr>
      </w:pPr>
      <w:r w:rsidRPr="00956EC0">
        <w:rPr>
          <w:rFonts w:ascii="Book Antiqua" w:hAnsi="Book Antiqua"/>
          <w:b/>
          <w:i/>
          <w:sz w:val="24"/>
          <w:szCs w:val="24"/>
        </w:rPr>
        <w:t>List</w:t>
      </w:r>
      <w:r w:rsidRPr="00956EC0">
        <w:rPr>
          <w:rFonts w:ascii="Book Antiqua" w:hAnsi="Book Antiqua"/>
          <w:sz w:val="24"/>
          <w:szCs w:val="24"/>
        </w:rPr>
        <w:t xml:space="preserve"> means the </w:t>
      </w:r>
      <w:r w:rsidR="00850F93" w:rsidRPr="00956EC0">
        <w:rPr>
          <w:rFonts w:ascii="Book Antiqua" w:hAnsi="Book Antiqua"/>
          <w:sz w:val="24"/>
          <w:szCs w:val="24"/>
        </w:rPr>
        <w:t>Trusts, Equity and Probate List</w:t>
      </w:r>
      <w:r w:rsidRPr="00956EC0">
        <w:rPr>
          <w:rFonts w:ascii="Book Antiqua" w:hAnsi="Book Antiqua"/>
          <w:sz w:val="24"/>
          <w:szCs w:val="24"/>
        </w:rPr>
        <w:t>;</w:t>
      </w:r>
    </w:p>
    <w:p w14:paraId="6B534D54" w14:textId="350C4264" w:rsidR="007548CE" w:rsidRPr="00956EC0" w:rsidRDefault="007548CE" w:rsidP="00A82B6F">
      <w:pPr>
        <w:pStyle w:val="ListParagraph"/>
        <w:spacing w:before="120" w:after="120"/>
        <w:ind w:left="1440" w:hanging="720"/>
        <w:contextualSpacing w:val="0"/>
        <w:jc w:val="both"/>
        <w:rPr>
          <w:rFonts w:ascii="Book Antiqua" w:hAnsi="Book Antiqua"/>
          <w:sz w:val="24"/>
          <w:szCs w:val="24"/>
        </w:rPr>
      </w:pPr>
      <w:r>
        <w:rPr>
          <w:rFonts w:ascii="Book Antiqua" w:hAnsi="Book Antiqua"/>
          <w:b/>
          <w:i/>
          <w:sz w:val="24"/>
          <w:szCs w:val="24"/>
        </w:rPr>
        <w:t>List directions day</w:t>
      </w:r>
      <w:r>
        <w:rPr>
          <w:rFonts w:ascii="Book Antiqua" w:hAnsi="Book Antiqua"/>
          <w:sz w:val="24"/>
          <w:szCs w:val="24"/>
        </w:rPr>
        <w:t xml:space="preserve"> means one of the regular days (generally, each Friday in the Court sitting terms) on which the Judge sits to give directions and hear applications in the List;</w:t>
      </w:r>
    </w:p>
    <w:p w14:paraId="75CA8C6B" w14:textId="77777777" w:rsidR="00F02AA0" w:rsidRDefault="00F02AA0" w:rsidP="00A82B6F">
      <w:pPr>
        <w:pStyle w:val="ListParagraph"/>
        <w:spacing w:before="120" w:after="120"/>
        <w:ind w:left="360" w:firstLine="360"/>
        <w:contextualSpacing w:val="0"/>
        <w:jc w:val="both"/>
        <w:rPr>
          <w:rFonts w:ascii="Book Antiqua" w:hAnsi="Book Antiqua"/>
          <w:sz w:val="24"/>
          <w:szCs w:val="24"/>
        </w:rPr>
      </w:pPr>
      <w:r>
        <w:rPr>
          <w:rFonts w:ascii="Book Antiqua" w:hAnsi="Book Antiqua"/>
          <w:b/>
          <w:i/>
          <w:sz w:val="24"/>
          <w:szCs w:val="24"/>
        </w:rPr>
        <w:t>Registrar</w:t>
      </w:r>
      <w:r>
        <w:rPr>
          <w:rFonts w:ascii="Book Antiqua" w:hAnsi="Book Antiqua"/>
          <w:sz w:val="24"/>
          <w:szCs w:val="24"/>
        </w:rPr>
        <w:t xml:space="preserve"> means the Registrar of Probates;</w:t>
      </w:r>
    </w:p>
    <w:p w14:paraId="7679DD47" w14:textId="77777777" w:rsidR="0077610C" w:rsidRPr="0099682C" w:rsidRDefault="0077610C" w:rsidP="00A82B6F">
      <w:pPr>
        <w:pStyle w:val="ListParagraph"/>
        <w:spacing w:before="120" w:after="120"/>
        <w:ind w:left="360" w:firstLine="360"/>
        <w:contextualSpacing w:val="0"/>
        <w:jc w:val="both"/>
        <w:rPr>
          <w:rFonts w:ascii="Book Antiqua" w:hAnsi="Book Antiqua"/>
          <w:sz w:val="24"/>
          <w:szCs w:val="24"/>
        </w:rPr>
      </w:pPr>
      <w:r>
        <w:rPr>
          <w:rFonts w:ascii="Book Antiqua" w:hAnsi="Book Antiqua"/>
          <w:b/>
          <w:i/>
          <w:sz w:val="24"/>
          <w:szCs w:val="24"/>
        </w:rPr>
        <w:t xml:space="preserve">Registry lawyer </w:t>
      </w:r>
      <w:r>
        <w:rPr>
          <w:rFonts w:ascii="Book Antiqua" w:hAnsi="Book Antiqua"/>
          <w:sz w:val="24"/>
          <w:szCs w:val="24"/>
        </w:rPr>
        <w:t>means the registry lawyer assisting with the List;</w:t>
      </w:r>
    </w:p>
    <w:p w14:paraId="3C2AE919" w14:textId="77777777" w:rsidR="006E7E0B" w:rsidRPr="00956EC0" w:rsidRDefault="006E7E0B" w:rsidP="00A82B6F">
      <w:pPr>
        <w:pStyle w:val="ListParagraph"/>
        <w:spacing w:before="120" w:after="120"/>
        <w:ind w:left="360" w:firstLine="360"/>
        <w:contextualSpacing w:val="0"/>
        <w:jc w:val="both"/>
        <w:rPr>
          <w:rFonts w:ascii="Book Antiqua" w:hAnsi="Book Antiqua"/>
          <w:sz w:val="24"/>
          <w:szCs w:val="24"/>
        </w:rPr>
      </w:pPr>
      <w:r w:rsidRPr="00956EC0">
        <w:rPr>
          <w:rFonts w:ascii="Book Antiqua" w:hAnsi="Book Antiqua"/>
          <w:b/>
          <w:i/>
          <w:sz w:val="24"/>
          <w:szCs w:val="24"/>
        </w:rPr>
        <w:t>Rules</w:t>
      </w:r>
      <w:r w:rsidRPr="00956EC0">
        <w:rPr>
          <w:rFonts w:ascii="Book Antiqua" w:hAnsi="Book Antiqua"/>
          <w:sz w:val="24"/>
          <w:szCs w:val="24"/>
        </w:rPr>
        <w:t xml:space="preserve"> means the </w:t>
      </w:r>
      <w:r w:rsidRPr="00956EC0">
        <w:rPr>
          <w:rFonts w:ascii="Book Antiqua" w:hAnsi="Book Antiqua"/>
          <w:i/>
          <w:sz w:val="24"/>
          <w:szCs w:val="24"/>
        </w:rPr>
        <w:t>Supreme Court (Administration and Probate) Rules 2014</w:t>
      </w:r>
      <w:r w:rsidR="00956EC0">
        <w:rPr>
          <w:rFonts w:ascii="Book Antiqua" w:hAnsi="Book Antiqua"/>
          <w:i/>
          <w:sz w:val="24"/>
          <w:szCs w:val="24"/>
        </w:rPr>
        <w:t>.</w:t>
      </w:r>
    </w:p>
    <w:p w14:paraId="553D4B1C" w14:textId="77777777" w:rsidR="00FD4B3F" w:rsidRPr="00956EC0" w:rsidRDefault="00FD4B3F" w:rsidP="00A82B6F">
      <w:pPr>
        <w:spacing w:before="120" w:after="120"/>
        <w:jc w:val="both"/>
        <w:rPr>
          <w:rFonts w:ascii="Book Antiqua" w:hAnsi="Book Antiqua"/>
        </w:rPr>
      </w:pPr>
    </w:p>
    <w:p w14:paraId="2B7741A5" w14:textId="77777777" w:rsidR="00FD4B3F" w:rsidRPr="00FD4B3F" w:rsidRDefault="00FD4B3F" w:rsidP="00A82B6F">
      <w:pPr>
        <w:pStyle w:val="ListParagraph"/>
        <w:keepNext/>
        <w:numPr>
          <w:ilvl w:val="0"/>
          <w:numId w:val="30"/>
        </w:numPr>
        <w:autoSpaceDE w:val="0"/>
        <w:autoSpaceDN w:val="0"/>
        <w:adjustRightInd w:val="0"/>
        <w:spacing w:before="120" w:after="120"/>
        <w:contextualSpacing w:val="0"/>
        <w:rPr>
          <w:rFonts w:ascii="Book Antiqua" w:hAnsi="Book Antiqua"/>
          <w:b/>
          <w:sz w:val="24"/>
        </w:rPr>
      </w:pPr>
      <w:r w:rsidRPr="00FD4B3F">
        <w:rPr>
          <w:rFonts w:ascii="Book Antiqua" w:hAnsi="Book Antiqua"/>
          <w:b/>
          <w:sz w:val="24"/>
        </w:rPr>
        <w:t>COMMENCEMENT</w:t>
      </w:r>
    </w:p>
    <w:p w14:paraId="191E33EE" w14:textId="69CCA8A9" w:rsidR="00FD4B3F" w:rsidRPr="00C5118C" w:rsidRDefault="00FD4B3F" w:rsidP="00A82B6F">
      <w:pPr>
        <w:pStyle w:val="ListParagraph"/>
        <w:numPr>
          <w:ilvl w:val="1"/>
          <w:numId w:val="30"/>
        </w:numPr>
        <w:autoSpaceDE w:val="0"/>
        <w:autoSpaceDN w:val="0"/>
        <w:adjustRightInd w:val="0"/>
        <w:spacing w:before="120" w:after="120"/>
        <w:contextualSpacing w:val="0"/>
        <w:rPr>
          <w:rFonts w:ascii="Book Antiqua" w:hAnsi="Book Antiqua"/>
        </w:rPr>
      </w:pPr>
      <w:r w:rsidRPr="00C5118C">
        <w:rPr>
          <w:rFonts w:ascii="Book Antiqua" w:hAnsi="Book Antiqua"/>
          <w:sz w:val="24"/>
          <w:szCs w:val="24"/>
        </w:rPr>
        <w:t>This Practice No</w:t>
      </w:r>
      <w:r w:rsidR="00991A3F">
        <w:rPr>
          <w:rFonts w:ascii="Book Antiqua" w:hAnsi="Book Antiqua"/>
          <w:sz w:val="24"/>
          <w:szCs w:val="24"/>
        </w:rPr>
        <w:t>te was issued and commence</w:t>
      </w:r>
      <w:r w:rsidR="0013250F">
        <w:rPr>
          <w:rFonts w:ascii="Book Antiqua" w:hAnsi="Book Antiqua"/>
          <w:sz w:val="24"/>
          <w:szCs w:val="24"/>
        </w:rPr>
        <w:t>d</w:t>
      </w:r>
      <w:r w:rsidR="00991A3F">
        <w:rPr>
          <w:rFonts w:ascii="Book Antiqua" w:hAnsi="Book Antiqua"/>
          <w:sz w:val="24"/>
          <w:szCs w:val="24"/>
        </w:rPr>
        <w:t xml:space="preserve"> on </w:t>
      </w:r>
      <w:r w:rsidR="00A82B6F">
        <w:rPr>
          <w:rFonts w:ascii="Book Antiqua" w:hAnsi="Book Antiqua"/>
          <w:sz w:val="24"/>
          <w:szCs w:val="24"/>
        </w:rPr>
        <w:t>12 September 2018</w:t>
      </w:r>
      <w:r w:rsidR="00CD0DF1">
        <w:rPr>
          <w:rFonts w:ascii="Book Antiqua" w:hAnsi="Book Antiqua"/>
          <w:sz w:val="24"/>
          <w:szCs w:val="24"/>
        </w:rPr>
        <w:t xml:space="preserve"> </w:t>
      </w:r>
      <w:r w:rsidRPr="00C5118C">
        <w:rPr>
          <w:rFonts w:ascii="Book Antiqua" w:hAnsi="Book Antiqua"/>
          <w:sz w:val="24"/>
          <w:szCs w:val="24"/>
        </w:rPr>
        <w:t xml:space="preserve">and </w:t>
      </w:r>
      <w:r w:rsidR="003720CC">
        <w:rPr>
          <w:rFonts w:ascii="Book Antiqua" w:hAnsi="Book Antiqua"/>
          <w:sz w:val="24"/>
          <w:szCs w:val="24"/>
        </w:rPr>
        <w:t xml:space="preserve">applies </w:t>
      </w:r>
      <w:r w:rsidRPr="00C5118C">
        <w:rPr>
          <w:rFonts w:ascii="Book Antiqua" w:hAnsi="Book Antiqua"/>
          <w:sz w:val="24"/>
          <w:szCs w:val="24"/>
        </w:rPr>
        <w:t>to all proceedings in the List whenever commenced.</w:t>
      </w:r>
    </w:p>
    <w:p w14:paraId="36BAF4E6" w14:textId="77777777" w:rsidR="00C5118C" w:rsidRPr="00A82B6F" w:rsidRDefault="00C5118C" w:rsidP="00A82B6F">
      <w:pPr>
        <w:spacing w:before="120" w:after="120"/>
        <w:jc w:val="both"/>
        <w:rPr>
          <w:rFonts w:ascii="Book Antiqua" w:hAnsi="Book Antiqua"/>
        </w:rPr>
      </w:pPr>
    </w:p>
    <w:p w14:paraId="3D51E150" w14:textId="77777777" w:rsidR="006E7E0B" w:rsidRPr="006E7E0B" w:rsidRDefault="00C5118C" w:rsidP="00A82B6F">
      <w:pPr>
        <w:pStyle w:val="ListParagraph"/>
        <w:keepNext/>
        <w:numPr>
          <w:ilvl w:val="0"/>
          <w:numId w:val="30"/>
        </w:numPr>
        <w:autoSpaceDE w:val="0"/>
        <w:autoSpaceDN w:val="0"/>
        <w:adjustRightInd w:val="0"/>
        <w:spacing w:before="120" w:after="120"/>
        <w:contextualSpacing w:val="0"/>
        <w:rPr>
          <w:rFonts w:ascii="Book Antiqua" w:hAnsi="Book Antiqua"/>
          <w:b/>
          <w:sz w:val="24"/>
        </w:rPr>
      </w:pPr>
      <w:r w:rsidRPr="00C5118C">
        <w:rPr>
          <w:rFonts w:ascii="Book Antiqua" w:hAnsi="Book Antiqua"/>
          <w:b/>
          <w:sz w:val="24"/>
        </w:rPr>
        <w:t>PROCEEDINGS SUITABLE FOR INCLUSION IN THE LIST</w:t>
      </w:r>
    </w:p>
    <w:p w14:paraId="093D9807" w14:textId="77777777" w:rsidR="006E7E0B" w:rsidRPr="00956EC0" w:rsidRDefault="006E7E0B" w:rsidP="00A82B6F">
      <w:pPr>
        <w:numPr>
          <w:ilvl w:val="1"/>
          <w:numId w:val="30"/>
        </w:numPr>
        <w:spacing w:before="120" w:after="120"/>
        <w:jc w:val="both"/>
        <w:rPr>
          <w:rFonts w:ascii="Book Antiqua" w:hAnsi="Book Antiqua"/>
        </w:rPr>
      </w:pPr>
      <w:r w:rsidRPr="00956EC0">
        <w:rPr>
          <w:rFonts w:ascii="Book Antiqua" w:hAnsi="Book Antiqua"/>
        </w:rPr>
        <w:t>The following types of proceedings should be initiated or included in the List:</w:t>
      </w:r>
    </w:p>
    <w:p w14:paraId="1AFDEF7B" w14:textId="77777777" w:rsidR="006E7E0B" w:rsidRPr="00956EC0" w:rsidRDefault="006E7E0B" w:rsidP="00A82B6F">
      <w:pPr>
        <w:pStyle w:val="ListParagraph"/>
        <w:numPr>
          <w:ilvl w:val="0"/>
          <w:numId w:val="35"/>
        </w:numPr>
        <w:spacing w:before="120" w:after="120"/>
        <w:ind w:left="1440" w:hanging="720"/>
        <w:contextualSpacing w:val="0"/>
        <w:jc w:val="both"/>
        <w:rPr>
          <w:rFonts w:ascii="Book Antiqua" w:hAnsi="Book Antiqua"/>
          <w:sz w:val="24"/>
          <w:szCs w:val="24"/>
        </w:rPr>
      </w:pPr>
      <w:r w:rsidRPr="00956EC0">
        <w:rPr>
          <w:rFonts w:ascii="Book Antiqua" w:hAnsi="Book Antiqua"/>
          <w:sz w:val="24"/>
          <w:szCs w:val="24"/>
        </w:rPr>
        <w:lastRenderedPageBreak/>
        <w:t>Applications for grants of representation that are referred by the Registrar;</w:t>
      </w:r>
    </w:p>
    <w:p w14:paraId="1AD8F83C" w14:textId="77777777" w:rsidR="006E7E0B" w:rsidRPr="00956EC0" w:rsidRDefault="006E7E0B" w:rsidP="00A82B6F">
      <w:pPr>
        <w:pStyle w:val="ListParagraph"/>
        <w:numPr>
          <w:ilvl w:val="0"/>
          <w:numId w:val="35"/>
        </w:numPr>
        <w:spacing w:before="120" w:after="120"/>
        <w:ind w:left="1440" w:hanging="720"/>
        <w:contextualSpacing w:val="0"/>
        <w:jc w:val="both"/>
        <w:rPr>
          <w:rFonts w:ascii="Book Antiqua" w:hAnsi="Book Antiqua"/>
          <w:sz w:val="24"/>
          <w:szCs w:val="24"/>
        </w:rPr>
      </w:pPr>
      <w:r w:rsidRPr="00956EC0">
        <w:rPr>
          <w:rFonts w:ascii="Book Antiqua" w:hAnsi="Book Antiqua"/>
          <w:sz w:val="24"/>
          <w:szCs w:val="24"/>
        </w:rPr>
        <w:t>Caveat proceedings where a summons for directions has been filed pursuant to rule 8.07</w:t>
      </w:r>
      <w:r w:rsidR="00956EC0" w:rsidRPr="00956EC0">
        <w:rPr>
          <w:rFonts w:ascii="Book Antiqua" w:hAnsi="Book Antiqua"/>
          <w:sz w:val="24"/>
          <w:szCs w:val="24"/>
        </w:rPr>
        <w:t xml:space="preserve"> of the Rules;</w:t>
      </w:r>
    </w:p>
    <w:p w14:paraId="10B7D244" w14:textId="77777777" w:rsidR="006E7E0B" w:rsidRPr="00956EC0" w:rsidRDefault="006E7E0B" w:rsidP="00A82B6F">
      <w:pPr>
        <w:pStyle w:val="ListParagraph"/>
        <w:numPr>
          <w:ilvl w:val="0"/>
          <w:numId w:val="35"/>
        </w:numPr>
        <w:spacing w:before="120" w:after="120"/>
        <w:ind w:left="1440" w:hanging="720"/>
        <w:contextualSpacing w:val="0"/>
        <w:jc w:val="both"/>
        <w:rPr>
          <w:rFonts w:ascii="Book Antiqua" w:hAnsi="Book Antiqua"/>
          <w:sz w:val="24"/>
          <w:szCs w:val="24"/>
        </w:rPr>
      </w:pPr>
      <w:r w:rsidRPr="00956EC0">
        <w:rPr>
          <w:rFonts w:ascii="Book Antiqua" w:hAnsi="Book Antiqua"/>
          <w:sz w:val="24"/>
          <w:szCs w:val="24"/>
        </w:rPr>
        <w:t xml:space="preserve">Applications for limited grants, including grants of letters of administration, </w:t>
      </w:r>
      <w:r w:rsidRPr="00956EC0">
        <w:rPr>
          <w:rFonts w:ascii="Book Antiqua" w:hAnsi="Book Antiqua"/>
          <w:i/>
          <w:sz w:val="24"/>
          <w:szCs w:val="24"/>
        </w:rPr>
        <w:t>ad colligendum bona</w:t>
      </w:r>
      <w:r w:rsidRPr="00956EC0">
        <w:rPr>
          <w:rFonts w:ascii="Book Antiqua" w:hAnsi="Book Antiqua"/>
          <w:sz w:val="24"/>
          <w:szCs w:val="24"/>
        </w:rPr>
        <w:t xml:space="preserve">, </w:t>
      </w:r>
      <w:r w:rsidRPr="00956EC0">
        <w:rPr>
          <w:rFonts w:ascii="Book Antiqua" w:hAnsi="Book Antiqua"/>
          <w:i/>
          <w:sz w:val="24"/>
          <w:szCs w:val="24"/>
        </w:rPr>
        <w:t>ad litem,</w:t>
      </w:r>
      <w:r w:rsidRPr="00956EC0">
        <w:rPr>
          <w:rFonts w:ascii="Book Antiqua" w:hAnsi="Book Antiqua"/>
          <w:sz w:val="24"/>
          <w:szCs w:val="24"/>
        </w:rPr>
        <w:t xml:space="preserve"> </w:t>
      </w:r>
      <w:r w:rsidRPr="00956EC0">
        <w:rPr>
          <w:rFonts w:ascii="Book Antiqua" w:hAnsi="Book Antiqua"/>
          <w:i/>
          <w:sz w:val="24"/>
          <w:szCs w:val="24"/>
        </w:rPr>
        <w:t>pendente lite</w:t>
      </w:r>
      <w:r w:rsidRPr="00956EC0">
        <w:rPr>
          <w:rFonts w:ascii="Book Antiqua" w:hAnsi="Book Antiqua"/>
          <w:sz w:val="24"/>
          <w:szCs w:val="24"/>
        </w:rPr>
        <w:t xml:space="preserve">, </w:t>
      </w:r>
      <w:r w:rsidRPr="00956EC0">
        <w:rPr>
          <w:rFonts w:ascii="Book Antiqua" w:hAnsi="Book Antiqua"/>
          <w:i/>
          <w:sz w:val="24"/>
          <w:szCs w:val="24"/>
        </w:rPr>
        <w:t xml:space="preserve">durante dementia </w:t>
      </w:r>
      <w:r w:rsidRPr="00956EC0">
        <w:rPr>
          <w:rFonts w:ascii="Book Antiqua" w:hAnsi="Book Antiqua"/>
          <w:sz w:val="24"/>
          <w:szCs w:val="24"/>
        </w:rPr>
        <w:t xml:space="preserve">or </w:t>
      </w:r>
      <w:r w:rsidRPr="00956EC0">
        <w:rPr>
          <w:rFonts w:ascii="Book Antiqua" w:hAnsi="Book Antiqua"/>
          <w:i/>
          <w:sz w:val="24"/>
          <w:szCs w:val="24"/>
        </w:rPr>
        <w:t>durante minore aetate</w:t>
      </w:r>
      <w:r w:rsidRPr="00956EC0">
        <w:rPr>
          <w:rFonts w:ascii="Book Antiqua" w:hAnsi="Book Antiqua"/>
          <w:sz w:val="24"/>
          <w:szCs w:val="24"/>
        </w:rPr>
        <w:t>;</w:t>
      </w:r>
    </w:p>
    <w:p w14:paraId="770A4494" w14:textId="77777777" w:rsidR="006E7E0B" w:rsidRPr="00956EC0" w:rsidRDefault="006E7E0B" w:rsidP="00A82B6F">
      <w:pPr>
        <w:pStyle w:val="ListParagraph"/>
        <w:numPr>
          <w:ilvl w:val="0"/>
          <w:numId w:val="35"/>
        </w:numPr>
        <w:spacing w:before="120" w:after="120"/>
        <w:ind w:left="1440" w:hanging="720"/>
        <w:contextualSpacing w:val="0"/>
        <w:jc w:val="both"/>
        <w:rPr>
          <w:rFonts w:ascii="Book Antiqua" w:hAnsi="Book Antiqua"/>
          <w:sz w:val="24"/>
          <w:szCs w:val="24"/>
        </w:rPr>
      </w:pPr>
      <w:r w:rsidRPr="00956EC0">
        <w:rPr>
          <w:rFonts w:ascii="Book Antiqua" w:hAnsi="Book Antiqua"/>
          <w:sz w:val="24"/>
          <w:szCs w:val="24"/>
        </w:rPr>
        <w:t xml:space="preserve">Applications for revocation of grants of representation, rectification of a will, construction of a will and other proceedings pursuant to the </w:t>
      </w:r>
      <w:r w:rsidRPr="00956EC0">
        <w:rPr>
          <w:rFonts w:ascii="Book Antiqua" w:hAnsi="Book Antiqua"/>
          <w:i/>
          <w:sz w:val="24"/>
          <w:szCs w:val="24"/>
        </w:rPr>
        <w:t>Wills Act 1997</w:t>
      </w:r>
      <w:r w:rsidRPr="00956EC0">
        <w:rPr>
          <w:rFonts w:ascii="Book Antiqua" w:hAnsi="Book Antiqua"/>
          <w:sz w:val="24"/>
          <w:szCs w:val="24"/>
        </w:rPr>
        <w:t>;</w:t>
      </w:r>
    </w:p>
    <w:p w14:paraId="5FF5E5B6" w14:textId="77777777" w:rsidR="006E7E0B" w:rsidRPr="00956EC0" w:rsidRDefault="006E7E0B" w:rsidP="00A82B6F">
      <w:pPr>
        <w:pStyle w:val="ListParagraph"/>
        <w:numPr>
          <w:ilvl w:val="0"/>
          <w:numId w:val="35"/>
        </w:numPr>
        <w:spacing w:before="120" w:after="120"/>
        <w:ind w:left="1440" w:hanging="720"/>
        <w:contextualSpacing w:val="0"/>
        <w:jc w:val="both"/>
        <w:rPr>
          <w:rFonts w:ascii="Book Antiqua" w:hAnsi="Book Antiqua"/>
          <w:sz w:val="24"/>
          <w:szCs w:val="24"/>
        </w:rPr>
      </w:pPr>
      <w:r w:rsidRPr="00956EC0">
        <w:rPr>
          <w:rFonts w:ascii="Book Antiqua" w:hAnsi="Book Antiqua"/>
          <w:sz w:val="24"/>
          <w:szCs w:val="24"/>
        </w:rPr>
        <w:t xml:space="preserve">Applications pursuant to  the </w:t>
      </w:r>
      <w:r w:rsidRPr="00956EC0">
        <w:rPr>
          <w:rFonts w:ascii="Book Antiqua" w:hAnsi="Book Antiqua"/>
          <w:i/>
          <w:sz w:val="24"/>
          <w:szCs w:val="24"/>
        </w:rPr>
        <w:t>Trustee Act 1958</w:t>
      </w:r>
      <w:r w:rsidRPr="00956EC0">
        <w:rPr>
          <w:rFonts w:ascii="Book Antiqua" w:hAnsi="Book Antiqua"/>
          <w:sz w:val="24"/>
          <w:szCs w:val="24"/>
        </w:rPr>
        <w:t xml:space="preserve"> that are not appropriate for the Commercial Court;</w:t>
      </w:r>
    </w:p>
    <w:p w14:paraId="777A725F" w14:textId="77777777" w:rsidR="006E7E0B" w:rsidRPr="00956EC0" w:rsidRDefault="006E7E0B" w:rsidP="00A82B6F">
      <w:pPr>
        <w:pStyle w:val="ListParagraph"/>
        <w:numPr>
          <w:ilvl w:val="0"/>
          <w:numId w:val="35"/>
        </w:numPr>
        <w:spacing w:before="120" w:after="120"/>
        <w:ind w:left="1440" w:hanging="720"/>
        <w:contextualSpacing w:val="0"/>
        <w:jc w:val="both"/>
        <w:rPr>
          <w:rFonts w:ascii="Book Antiqua" w:hAnsi="Book Antiqua"/>
          <w:sz w:val="24"/>
          <w:szCs w:val="24"/>
        </w:rPr>
      </w:pPr>
      <w:r w:rsidRPr="00956EC0">
        <w:rPr>
          <w:rFonts w:ascii="Book Antiqua" w:hAnsi="Book Antiqua"/>
          <w:sz w:val="24"/>
          <w:szCs w:val="24"/>
        </w:rPr>
        <w:t xml:space="preserve">Applications for judicial advice pursuant to rule 54.02 of the </w:t>
      </w:r>
      <w:r w:rsidRPr="00956EC0">
        <w:rPr>
          <w:rFonts w:ascii="Book Antiqua" w:hAnsi="Book Antiqua"/>
          <w:i/>
          <w:sz w:val="24"/>
          <w:szCs w:val="24"/>
        </w:rPr>
        <w:t>Supreme Court (General Civil Procedure) Rules 2015</w:t>
      </w:r>
      <w:r w:rsidRPr="00956EC0">
        <w:rPr>
          <w:rFonts w:ascii="Book Antiqua" w:hAnsi="Book Antiqua"/>
          <w:sz w:val="24"/>
          <w:szCs w:val="24"/>
        </w:rPr>
        <w:t xml:space="preserve"> that are not appropriate for the Commercial Court;</w:t>
      </w:r>
    </w:p>
    <w:p w14:paraId="2F829EFF" w14:textId="77777777" w:rsidR="006E7E0B" w:rsidRPr="00956EC0" w:rsidRDefault="006E7E0B" w:rsidP="00A82B6F">
      <w:pPr>
        <w:pStyle w:val="ListParagraph"/>
        <w:numPr>
          <w:ilvl w:val="0"/>
          <w:numId w:val="35"/>
        </w:numPr>
        <w:spacing w:before="120" w:after="120"/>
        <w:ind w:left="1440" w:hanging="720"/>
        <w:contextualSpacing w:val="0"/>
        <w:jc w:val="both"/>
        <w:rPr>
          <w:rFonts w:ascii="Book Antiqua" w:hAnsi="Book Antiqua"/>
          <w:sz w:val="24"/>
          <w:szCs w:val="24"/>
        </w:rPr>
      </w:pPr>
      <w:r w:rsidRPr="00956EC0">
        <w:rPr>
          <w:rFonts w:ascii="Book Antiqua" w:hAnsi="Book Antiqua"/>
          <w:sz w:val="24"/>
          <w:szCs w:val="24"/>
        </w:rPr>
        <w:t xml:space="preserve">Applications pursuant to the </w:t>
      </w:r>
      <w:r w:rsidRPr="00956EC0">
        <w:rPr>
          <w:rFonts w:ascii="Book Antiqua" w:hAnsi="Book Antiqua"/>
          <w:i/>
          <w:sz w:val="24"/>
          <w:szCs w:val="24"/>
        </w:rPr>
        <w:t>Charities Act 1978</w:t>
      </w:r>
      <w:r w:rsidRPr="00956EC0">
        <w:rPr>
          <w:rFonts w:ascii="Book Antiqua" w:hAnsi="Book Antiqua"/>
          <w:sz w:val="24"/>
          <w:szCs w:val="24"/>
        </w:rPr>
        <w:t xml:space="preserve">; </w:t>
      </w:r>
    </w:p>
    <w:p w14:paraId="411A7979" w14:textId="77777777" w:rsidR="006E7E0B" w:rsidRPr="00956EC0" w:rsidRDefault="006E7E0B" w:rsidP="00A82B6F">
      <w:pPr>
        <w:pStyle w:val="ListParagraph"/>
        <w:numPr>
          <w:ilvl w:val="0"/>
          <w:numId w:val="35"/>
        </w:numPr>
        <w:spacing w:before="120" w:after="120"/>
        <w:ind w:left="1440" w:hanging="720"/>
        <w:contextualSpacing w:val="0"/>
        <w:jc w:val="both"/>
        <w:rPr>
          <w:rFonts w:ascii="Book Antiqua" w:hAnsi="Book Antiqua"/>
          <w:sz w:val="24"/>
          <w:szCs w:val="24"/>
        </w:rPr>
      </w:pPr>
      <w:r w:rsidRPr="00956EC0">
        <w:rPr>
          <w:rFonts w:ascii="Book Antiqua" w:hAnsi="Book Antiqua"/>
          <w:sz w:val="24"/>
          <w:szCs w:val="24"/>
        </w:rPr>
        <w:t>Applications for equitable remedies, including the declaration of equitable interests in property, that are not appropriate for the Commercial Court; and</w:t>
      </w:r>
    </w:p>
    <w:p w14:paraId="2FB2F2D2" w14:textId="77777777" w:rsidR="009F7728" w:rsidRDefault="006E7E0B" w:rsidP="00A82B6F">
      <w:pPr>
        <w:pStyle w:val="ListParagraph"/>
        <w:numPr>
          <w:ilvl w:val="0"/>
          <w:numId w:val="35"/>
        </w:numPr>
        <w:autoSpaceDE w:val="0"/>
        <w:autoSpaceDN w:val="0"/>
        <w:adjustRightInd w:val="0"/>
        <w:spacing w:before="120" w:after="120"/>
        <w:ind w:left="1440" w:hanging="720"/>
        <w:contextualSpacing w:val="0"/>
        <w:jc w:val="both"/>
        <w:rPr>
          <w:rFonts w:ascii="Book Antiqua" w:hAnsi="Book Antiqua"/>
          <w:sz w:val="24"/>
          <w:szCs w:val="24"/>
        </w:rPr>
      </w:pPr>
      <w:r w:rsidRPr="00956EC0">
        <w:rPr>
          <w:rFonts w:ascii="Book Antiqua" w:hAnsi="Book Antiqua"/>
          <w:sz w:val="24"/>
          <w:szCs w:val="24"/>
        </w:rPr>
        <w:t>Proceedings arising under</w:t>
      </w:r>
      <w:r w:rsidR="00956EC0">
        <w:rPr>
          <w:rFonts w:ascii="Book Antiqua" w:hAnsi="Book Antiqua"/>
          <w:sz w:val="24"/>
          <w:szCs w:val="24"/>
        </w:rPr>
        <w:t xml:space="preserve"> the Act, </w:t>
      </w:r>
      <w:r w:rsidRPr="00956EC0">
        <w:rPr>
          <w:rFonts w:ascii="Book Antiqua" w:hAnsi="Book Antiqua"/>
          <w:sz w:val="24"/>
          <w:szCs w:val="24"/>
        </w:rPr>
        <w:t>excluding proceedings arising under Part IV of the Act</w:t>
      </w:r>
      <w:r w:rsidR="00C5118C" w:rsidRPr="00956EC0">
        <w:rPr>
          <w:rFonts w:ascii="Book Antiqua" w:hAnsi="Book Antiqua"/>
          <w:sz w:val="24"/>
          <w:szCs w:val="24"/>
        </w:rPr>
        <w:t>.</w:t>
      </w:r>
    </w:p>
    <w:p w14:paraId="7F1A3049" w14:textId="77777777" w:rsidR="00283C48" w:rsidRPr="00283C48" w:rsidRDefault="00283C48" w:rsidP="00A82B6F">
      <w:pPr>
        <w:numPr>
          <w:ilvl w:val="1"/>
          <w:numId w:val="30"/>
        </w:numPr>
        <w:spacing w:before="120" w:after="120"/>
        <w:jc w:val="both"/>
        <w:rPr>
          <w:rFonts w:ascii="Book Antiqua" w:hAnsi="Book Antiqua"/>
        </w:rPr>
      </w:pPr>
      <w:r w:rsidRPr="00283C48">
        <w:rPr>
          <w:rFonts w:ascii="Book Antiqua" w:hAnsi="Book Antiqua"/>
        </w:rPr>
        <w:t>The following proceedings should not be initiated in the List:</w:t>
      </w:r>
    </w:p>
    <w:p w14:paraId="2ABB6418" w14:textId="062D2637" w:rsidR="00283C48" w:rsidRPr="00283C48" w:rsidRDefault="00283C48" w:rsidP="00A82B6F">
      <w:pPr>
        <w:numPr>
          <w:ilvl w:val="1"/>
          <w:numId w:val="37"/>
        </w:numPr>
        <w:spacing w:before="120" w:after="120"/>
        <w:ind w:left="1440"/>
        <w:jc w:val="both"/>
        <w:rPr>
          <w:rFonts w:ascii="Book Antiqua" w:hAnsi="Book Antiqua"/>
        </w:rPr>
      </w:pPr>
      <w:r w:rsidRPr="00283C48">
        <w:rPr>
          <w:rFonts w:ascii="Book Antiqua" w:hAnsi="Book Antiqua"/>
        </w:rPr>
        <w:t xml:space="preserve">Applications arising under Part IV of the Act. </w:t>
      </w:r>
      <w:r w:rsidR="00A93437">
        <w:rPr>
          <w:rFonts w:ascii="Book Antiqua" w:hAnsi="Book Antiqua"/>
        </w:rPr>
        <w:t xml:space="preserve"> </w:t>
      </w:r>
      <w:r w:rsidRPr="00283C48">
        <w:rPr>
          <w:rFonts w:ascii="Book Antiqua" w:hAnsi="Book Antiqua"/>
        </w:rPr>
        <w:t>These applications are managed in the Testators Family Maintenance List; and</w:t>
      </w:r>
    </w:p>
    <w:p w14:paraId="71FBC50E" w14:textId="40F42AAA" w:rsidR="00283C48" w:rsidRDefault="00283C48" w:rsidP="00A82B6F">
      <w:pPr>
        <w:numPr>
          <w:ilvl w:val="1"/>
          <w:numId w:val="37"/>
        </w:numPr>
        <w:spacing w:before="120" w:after="120"/>
        <w:ind w:left="1440"/>
        <w:jc w:val="both"/>
        <w:rPr>
          <w:rFonts w:ascii="Book Antiqua" w:hAnsi="Book Antiqua"/>
        </w:rPr>
      </w:pPr>
      <w:r w:rsidRPr="00283C48">
        <w:rPr>
          <w:rFonts w:ascii="Book Antiqua" w:hAnsi="Book Antiqua"/>
        </w:rPr>
        <w:t>Applications relating to commission under Order 10 of the Rules.</w:t>
      </w:r>
      <w:r w:rsidR="00A93437">
        <w:rPr>
          <w:rFonts w:ascii="Book Antiqua" w:hAnsi="Book Antiqua"/>
        </w:rPr>
        <w:t xml:space="preserve"> </w:t>
      </w:r>
      <w:r w:rsidRPr="00283C48">
        <w:rPr>
          <w:rFonts w:ascii="Book Antiqua" w:hAnsi="Book Antiqua"/>
        </w:rPr>
        <w:t xml:space="preserve"> These applications </w:t>
      </w:r>
      <w:r w:rsidR="00A93437">
        <w:rPr>
          <w:rFonts w:ascii="Book Antiqua" w:hAnsi="Book Antiqua"/>
        </w:rPr>
        <w:t>are heard and determined by an Associate J</w:t>
      </w:r>
      <w:r w:rsidRPr="00283C48">
        <w:rPr>
          <w:rFonts w:ascii="Book Antiqua" w:hAnsi="Book Antiqua"/>
        </w:rPr>
        <w:t>udge in accordance with the procedures set out in the Rules</w:t>
      </w:r>
      <w:r>
        <w:rPr>
          <w:rFonts w:ascii="Book Antiqua" w:hAnsi="Book Antiqua"/>
        </w:rPr>
        <w:t>.</w:t>
      </w:r>
    </w:p>
    <w:p w14:paraId="62C3B035" w14:textId="77777777" w:rsidR="00CD50DA" w:rsidRPr="00BD3814" w:rsidRDefault="00CD50DA" w:rsidP="00A82B6F">
      <w:pPr>
        <w:numPr>
          <w:ilvl w:val="1"/>
          <w:numId w:val="30"/>
        </w:numPr>
        <w:spacing w:before="120" w:after="120"/>
        <w:jc w:val="both"/>
        <w:rPr>
          <w:rFonts w:ascii="Book Antiqua" w:hAnsi="Book Antiqua"/>
        </w:rPr>
      </w:pPr>
      <w:r w:rsidRPr="00BD3814">
        <w:rPr>
          <w:rFonts w:ascii="Book Antiqua" w:hAnsi="Book Antiqua"/>
        </w:rPr>
        <w:t>For the avoidance of doubt, proceedings of the nature set out in paragraph</w:t>
      </w:r>
      <w:r w:rsidR="00BD3814" w:rsidRPr="00BD3814">
        <w:rPr>
          <w:rFonts w:ascii="Book Antiqua" w:hAnsi="Book Antiqua"/>
        </w:rPr>
        <w:t xml:space="preserve"> </w:t>
      </w:r>
      <w:r w:rsidRPr="00BD3814">
        <w:rPr>
          <w:rFonts w:ascii="Book Antiqua" w:hAnsi="Book Antiqua"/>
        </w:rPr>
        <w:t xml:space="preserve">4.1 will only be heard in the Practice Court (Common Law) in the circumstances set out in </w:t>
      </w:r>
      <w:r w:rsidRPr="00AF541C">
        <w:rPr>
          <w:rFonts w:ascii="Book Antiqua" w:hAnsi="Book Antiqua"/>
        </w:rPr>
        <w:t xml:space="preserve">Part </w:t>
      </w:r>
      <w:r w:rsidR="00AF541C">
        <w:rPr>
          <w:rFonts w:ascii="Book Antiqua" w:hAnsi="Book Antiqua"/>
        </w:rPr>
        <w:t>7</w:t>
      </w:r>
      <w:r w:rsidRPr="00BD3814">
        <w:rPr>
          <w:rFonts w:ascii="Book Antiqua" w:hAnsi="Book Antiqua"/>
        </w:rPr>
        <w:t xml:space="preserve"> of this Practice Note</w:t>
      </w:r>
      <w:r w:rsidR="00BD3814">
        <w:rPr>
          <w:rFonts w:ascii="Book Antiqua" w:hAnsi="Book Antiqua"/>
        </w:rPr>
        <w:t>.</w:t>
      </w:r>
      <w:r w:rsidRPr="00BD3814">
        <w:rPr>
          <w:rFonts w:ascii="Book Antiqua" w:hAnsi="Book Antiqua"/>
        </w:rPr>
        <w:t xml:space="preserve"> </w:t>
      </w:r>
    </w:p>
    <w:p w14:paraId="084BC07E" w14:textId="77777777" w:rsidR="00283C48" w:rsidRPr="00283C48" w:rsidRDefault="00283C48" w:rsidP="00A82B6F">
      <w:pPr>
        <w:spacing w:before="120" w:after="120"/>
        <w:jc w:val="both"/>
        <w:rPr>
          <w:rFonts w:ascii="Book Antiqua" w:hAnsi="Book Antiqua"/>
        </w:rPr>
      </w:pPr>
    </w:p>
    <w:p w14:paraId="5D245014" w14:textId="77777777" w:rsidR="00182C1F" w:rsidRDefault="00182C1F" w:rsidP="00A82B6F">
      <w:pPr>
        <w:pStyle w:val="ListParagraph"/>
        <w:keepNext/>
        <w:numPr>
          <w:ilvl w:val="0"/>
          <w:numId w:val="30"/>
        </w:numPr>
        <w:autoSpaceDE w:val="0"/>
        <w:autoSpaceDN w:val="0"/>
        <w:adjustRightInd w:val="0"/>
        <w:spacing w:before="120" w:after="120"/>
        <w:contextualSpacing w:val="0"/>
        <w:rPr>
          <w:rFonts w:ascii="Book Antiqua" w:hAnsi="Book Antiqua"/>
          <w:b/>
          <w:sz w:val="24"/>
        </w:rPr>
      </w:pPr>
      <w:r w:rsidRPr="00182C1F">
        <w:rPr>
          <w:rFonts w:ascii="Book Antiqua" w:hAnsi="Book Antiqua"/>
          <w:b/>
          <w:sz w:val="24"/>
        </w:rPr>
        <w:t>PROCEDURE FOR ENTRY INTO THE LIST</w:t>
      </w:r>
    </w:p>
    <w:p w14:paraId="5520F2D8" w14:textId="7215954B" w:rsidR="00182C1F" w:rsidRPr="00B32D79" w:rsidRDefault="007C66C1" w:rsidP="00A82B6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B32D79">
        <w:rPr>
          <w:rFonts w:ascii="Book Antiqua" w:hAnsi="Book Antiqua"/>
          <w:sz w:val="24"/>
          <w:szCs w:val="24"/>
        </w:rPr>
        <w:t xml:space="preserve">Proceedings of the nature set out in paragraph </w:t>
      </w:r>
      <w:r w:rsidR="00FC7E84">
        <w:rPr>
          <w:rFonts w:ascii="Book Antiqua" w:hAnsi="Book Antiqua"/>
          <w:sz w:val="24"/>
          <w:szCs w:val="24"/>
        </w:rPr>
        <w:t>4</w:t>
      </w:r>
      <w:r w:rsidRPr="00B32D79">
        <w:rPr>
          <w:rFonts w:ascii="Book Antiqua" w:hAnsi="Book Antiqua"/>
          <w:sz w:val="24"/>
          <w:szCs w:val="24"/>
        </w:rPr>
        <w:t xml:space="preserve">.1 should be initiated in the List by </w:t>
      </w:r>
      <w:r w:rsidR="00197D01">
        <w:rPr>
          <w:rFonts w:ascii="Book Antiqua" w:hAnsi="Book Antiqua"/>
          <w:sz w:val="24"/>
          <w:szCs w:val="24"/>
        </w:rPr>
        <w:t>i</w:t>
      </w:r>
      <w:r w:rsidRPr="00B32D79">
        <w:rPr>
          <w:rFonts w:ascii="Book Antiqua" w:hAnsi="Book Antiqua"/>
          <w:sz w:val="24"/>
          <w:szCs w:val="24"/>
        </w:rPr>
        <w:t xml:space="preserve">ndorsing the heading of the originating process “Trusts, Equity and Probate List”. </w:t>
      </w:r>
      <w:r w:rsidR="00A93437">
        <w:rPr>
          <w:rFonts w:ascii="Book Antiqua" w:hAnsi="Book Antiqua"/>
          <w:sz w:val="24"/>
          <w:szCs w:val="24"/>
        </w:rPr>
        <w:t xml:space="preserve"> </w:t>
      </w:r>
      <w:r w:rsidRPr="00B32D79">
        <w:rPr>
          <w:rFonts w:ascii="Book Antiqua" w:hAnsi="Book Antiqua"/>
          <w:sz w:val="24"/>
          <w:szCs w:val="24"/>
        </w:rPr>
        <w:t xml:space="preserve">The heading of all subsequent documents filed in the proceeding should also be </w:t>
      </w:r>
      <w:r w:rsidR="00197D01">
        <w:rPr>
          <w:rFonts w:ascii="Book Antiqua" w:hAnsi="Book Antiqua"/>
          <w:sz w:val="24"/>
          <w:szCs w:val="24"/>
        </w:rPr>
        <w:t>i</w:t>
      </w:r>
      <w:r w:rsidRPr="00B32D79">
        <w:rPr>
          <w:rFonts w:ascii="Book Antiqua" w:hAnsi="Book Antiqua"/>
          <w:sz w:val="24"/>
          <w:szCs w:val="24"/>
        </w:rPr>
        <w:t>ndorsed “Trusts, Equity and Probate List”</w:t>
      </w:r>
      <w:r w:rsidR="00B86E13" w:rsidRPr="00B32D79">
        <w:rPr>
          <w:rFonts w:ascii="Book Antiqua" w:hAnsi="Book Antiqua"/>
          <w:sz w:val="24"/>
          <w:szCs w:val="24"/>
        </w:rPr>
        <w:t xml:space="preserve">. </w:t>
      </w:r>
      <w:r w:rsidR="000A5456">
        <w:rPr>
          <w:rFonts w:ascii="Book Antiqua" w:hAnsi="Book Antiqua"/>
          <w:sz w:val="24"/>
          <w:szCs w:val="24"/>
        </w:rPr>
        <w:t xml:space="preserve">   </w:t>
      </w:r>
    </w:p>
    <w:p w14:paraId="6C1131AA" w14:textId="1B520C56" w:rsidR="007C66C1" w:rsidRPr="00B32D79" w:rsidRDefault="007C66C1" w:rsidP="00A82B6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B32D79">
        <w:rPr>
          <w:rFonts w:ascii="Book Antiqua" w:hAnsi="Book Antiqua"/>
          <w:sz w:val="24"/>
          <w:szCs w:val="24"/>
        </w:rPr>
        <w:t xml:space="preserve">Parties may apply to the Judge in Charge (by contacting the </w:t>
      </w:r>
      <w:r w:rsidR="00197D01">
        <w:rPr>
          <w:rFonts w:ascii="Book Antiqua" w:hAnsi="Book Antiqua"/>
          <w:sz w:val="24"/>
          <w:szCs w:val="24"/>
        </w:rPr>
        <w:t>registry lawyer</w:t>
      </w:r>
      <w:r w:rsidRPr="00B32D79">
        <w:rPr>
          <w:rFonts w:ascii="Book Antiqua" w:hAnsi="Book Antiqua"/>
          <w:sz w:val="24"/>
          <w:szCs w:val="24"/>
        </w:rPr>
        <w:t xml:space="preserve">) if they wish to have a proceeding included in the List, notwithstanding that it is not a proceeding of a type referred to in paragraph </w:t>
      </w:r>
      <w:r w:rsidR="00BD3F61">
        <w:rPr>
          <w:rFonts w:ascii="Book Antiqua" w:hAnsi="Book Antiqua"/>
          <w:sz w:val="24"/>
          <w:szCs w:val="24"/>
        </w:rPr>
        <w:t>4</w:t>
      </w:r>
      <w:r w:rsidRPr="00B32D79">
        <w:rPr>
          <w:rFonts w:ascii="Book Antiqua" w:hAnsi="Book Antiqua"/>
          <w:sz w:val="24"/>
          <w:szCs w:val="24"/>
        </w:rPr>
        <w:t>.1</w:t>
      </w:r>
      <w:r w:rsidR="00A93437">
        <w:rPr>
          <w:rFonts w:ascii="Book Antiqua" w:hAnsi="Book Antiqua"/>
          <w:sz w:val="24"/>
          <w:szCs w:val="24"/>
        </w:rPr>
        <w:t>.</w:t>
      </w:r>
    </w:p>
    <w:p w14:paraId="6AAB47DB" w14:textId="77777777" w:rsidR="00182C1F" w:rsidRPr="002361DF" w:rsidRDefault="00182C1F" w:rsidP="00A82B6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2361DF">
        <w:rPr>
          <w:rFonts w:ascii="Book Antiqua" w:hAnsi="Book Antiqua"/>
          <w:sz w:val="24"/>
          <w:szCs w:val="24"/>
        </w:rPr>
        <w:lastRenderedPageBreak/>
        <w:t xml:space="preserve">If at any time after the initiation of a proceeding it appears to the Court that it is appropriate to have the </w:t>
      </w:r>
      <w:r w:rsidR="007C66C1">
        <w:rPr>
          <w:rFonts w:ascii="Book Antiqua" w:hAnsi="Book Antiqua"/>
          <w:sz w:val="24"/>
          <w:szCs w:val="24"/>
        </w:rPr>
        <w:t>proceeding managed in the List</w:t>
      </w:r>
      <w:r w:rsidRPr="002361DF">
        <w:rPr>
          <w:rFonts w:ascii="Book Antiqua" w:hAnsi="Book Antiqua"/>
          <w:sz w:val="24"/>
          <w:szCs w:val="24"/>
        </w:rPr>
        <w:t>, the proceeding may be transferred into the List on the Court’s own motion</w:t>
      </w:r>
      <w:r w:rsidR="00984EF6">
        <w:rPr>
          <w:rFonts w:ascii="Book Antiqua" w:hAnsi="Book Antiqua"/>
          <w:sz w:val="24"/>
          <w:szCs w:val="24"/>
        </w:rPr>
        <w:t>.</w:t>
      </w:r>
    </w:p>
    <w:p w14:paraId="47F09B90" w14:textId="77777777" w:rsidR="00182C1F" w:rsidRPr="002361DF" w:rsidRDefault="00182C1F" w:rsidP="00A82B6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2361DF">
        <w:rPr>
          <w:rFonts w:ascii="Book Antiqua" w:hAnsi="Book Antiqua"/>
          <w:sz w:val="24"/>
          <w:szCs w:val="24"/>
        </w:rPr>
        <w:t xml:space="preserve">Conversely, a proceeding initiated in the List may be transferred out of the List on the Court’s own motion if it appears to the Court that it is appropriate to have the </w:t>
      </w:r>
      <w:r w:rsidR="007C66C1">
        <w:rPr>
          <w:rFonts w:ascii="Book Antiqua" w:hAnsi="Book Antiqua"/>
          <w:sz w:val="24"/>
          <w:szCs w:val="24"/>
        </w:rPr>
        <w:t>proceeding managed in a different list</w:t>
      </w:r>
      <w:r w:rsidR="00984EF6">
        <w:rPr>
          <w:rFonts w:ascii="Book Antiqua" w:hAnsi="Book Antiqua"/>
          <w:sz w:val="24"/>
          <w:szCs w:val="24"/>
        </w:rPr>
        <w:t>.</w:t>
      </w:r>
    </w:p>
    <w:p w14:paraId="748CB894" w14:textId="77777777" w:rsidR="00182C1F" w:rsidRPr="002361DF" w:rsidRDefault="00182C1F" w:rsidP="00A82B6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2361DF">
        <w:rPr>
          <w:rFonts w:ascii="Book Antiqua" w:hAnsi="Book Antiqua"/>
          <w:sz w:val="24"/>
          <w:szCs w:val="24"/>
        </w:rPr>
        <w:t>No additional fees will be payable for the inclusion of a proceeding in the List</w:t>
      </w:r>
      <w:r w:rsidR="00984EF6">
        <w:rPr>
          <w:rFonts w:ascii="Book Antiqua" w:hAnsi="Book Antiqua"/>
          <w:sz w:val="24"/>
          <w:szCs w:val="24"/>
        </w:rPr>
        <w:t>.</w:t>
      </w:r>
    </w:p>
    <w:p w14:paraId="5591FABA" w14:textId="77777777" w:rsidR="00182C1F" w:rsidRPr="002361DF" w:rsidRDefault="00182C1F" w:rsidP="00A82B6F">
      <w:pPr>
        <w:spacing w:before="120" w:after="120"/>
        <w:jc w:val="both"/>
        <w:rPr>
          <w:rFonts w:ascii="Book Antiqua" w:hAnsi="Book Antiqua"/>
          <w:b/>
        </w:rPr>
      </w:pPr>
    </w:p>
    <w:p w14:paraId="14F55D89" w14:textId="4A54BFD0" w:rsidR="00FB2E72" w:rsidRDefault="00C95730" w:rsidP="00A82B6F">
      <w:pPr>
        <w:pStyle w:val="ListParagraph"/>
        <w:keepNext/>
        <w:numPr>
          <w:ilvl w:val="0"/>
          <w:numId w:val="30"/>
        </w:numPr>
        <w:autoSpaceDE w:val="0"/>
        <w:autoSpaceDN w:val="0"/>
        <w:adjustRightInd w:val="0"/>
        <w:spacing w:before="120" w:after="120" w:line="360" w:lineRule="auto"/>
        <w:contextualSpacing w:val="0"/>
        <w:rPr>
          <w:rFonts w:ascii="Book Antiqua" w:hAnsi="Book Antiqua"/>
          <w:b/>
          <w:sz w:val="24"/>
          <w:szCs w:val="24"/>
        </w:rPr>
      </w:pPr>
      <w:r>
        <w:rPr>
          <w:rFonts w:ascii="Book Antiqua" w:hAnsi="Book Antiqua"/>
          <w:b/>
          <w:sz w:val="24"/>
          <w:szCs w:val="24"/>
        </w:rPr>
        <w:t>PRE-TRIAL MANAGEMENT</w:t>
      </w:r>
    </w:p>
    <w:p w14:paraId="304F72BE" w14:textId="7B16B46B" w:rsidR="00FB2E72" w:rsidRPr="00A82B6F" w:rsidRDefault="00625EFF" w:rsidP="00A82B6F">
      <w:pPr>
        <w:autoSpaceDE w:val="0"/>
        <w:autoSpaceDN w:val="0"/>
        <w:adjustRightInd w:val="0"/>
        <w:spacing w:before="120" w:after="120"/>
        <w:ind w:firstLine="720"/>
        <w:jc w:val="both"/>
        <w:rPr>
          <w:i/>
        </w:rPr>
      </w:pPr>
      <w:r w:rsidRPr="00A82B6F">
        <w:rPr>
          <w:i/>
        </w:rPr>
        <w:t>Obtaining a return date for first hearing</w:t>
      </w:r>
    </w:p>
    <w:p w14:paraId="1F82520F" w14:textId="4D11576C" w:rsidR="00FB2E72" w:rsidRPr="00FB2E72" w:rsidRDefault="00FB2E72" w:rsidP="00A82B6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sidRPr="003A0C01">
        <w:rPr>
          <w:rFonts w:ascii="Book Antiqua" w:hAnsi="Book Antiqua"/>
          <w:sz w:val="24"/>
          <w:szCs w:val="24"/>
        </w:rPr>
        <w:t xml:space="preserve">In </w:t>
      </w:r>
      <w:r>
        <w:rPr>
          <w:rFonts w:ascii="Book Antiqua" w:hAnsi="Book Antiqua"/>
          <w:sz w:val="24"/>
          <w:szCs w:val="24"/>
        </w:rPr>
        <w:t xml:space="preserve">a </w:t>
      </w:r>
      <w:r w:rsidRPr="00FB2E72">
        <w:rPr>
          <w:rFonts w:ascii="Book Antiqua" w:hAnsi="Book Antiqua"/>
          <w:sz w:val="24"/>
          <w:szCs w:val="24"/>
        </w:rPr>
        <w:t>proceeding</w:t>
      </w:r>
      <w:r w:rsidRPr="003A0C01">
        <w:rPr>
          <w:rFonts w:ascii="Book Antiqua" w:hAnsi="Book Antiqua"/>
          <w:sz w:val="24"/>
          <w:szCs w:val="24"/>
        </w:rPr>
        <w:t xml:space="preserve"> commenced by writ</w:t>
      </w:r>
      <w:r>
        <w:rPr>
          <w:rFonts w:ascii="Book Antiqua" w:hAnsi="Book Antiqua"/>
          <w:sz w:val="24"/>
          <w:szCs w:val="24"/>
        </w:rPr>
        <w:t xml:space="preserve">, a first directions hearing will be listed on the Court’s own motion.  The Court will generally notify the parties of the date and time of the first directions hearing within 14 days of the filing of the first defence. </w:t>
      </w:r>
    </w:p>
    <w:p w14:paraId="4115AE10" w14:textId="0E3ED8E6" w:rsidR="00FB2E72" w:rsidRPr="003A0C01" w:rsidRDefault="00FB2E72" w:rsidP="00A82B6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In a proceeding commenced by originating motion, p</w:t>
      </w:r>
      <w:r w:rsidR="00C95730" w:rsidRPr="00C95730">
        <w:rPr>
          <w:rFonts w:ascii="Book Antiqua" w:hAnsi="Book Antiqua"/>
          <w:sz w:val="24"/>
          <w:szCs w:val="24"/>
        </w:rPr>
        <w:t>arties seeking a directions hearing must issue a summons (or, in uncontested proceedings, a notice to produce</w:t>
      </w:r>
      <w:r w:rsidR="00F97DB0">
        <w:rPr>
          <w:rFonts w:ascii="Book Antiqua" w:hAnsi="Book Antiqua"/>
          <w:sz w:val="24"/>
          <w:szCs w:val="24"/>
        </w:rPr>
        <w:t xml:space="preserve"> pursuant to r 28.06 of the </w:t>
      </w:r>
      <w:r w:rsidR="00F97DB0">
        <w:rPr>
          <w:rFonts w:ascii="Book Antiqua" w:hAnsi="Book Antiqua"/>
          <w:i/>
          <w:sz w:val="24"/>
          <w:szCs w:val="24"/>
        </w:rPr>
        <w:t xml:space="preserve">Supreme Court (General Civil Procedure) Rules </w:t>
      </w:r>
      <w:r w:rsidR="00F97DB0" w:rsidRPr="0099682C">
        <w:rPr>
          <w:rFonts w:ascii="Book Antiqua" w:hAnsi="Book Antiqua"/>
          <w:i/>
          <w:sz w:val="24"/>
          <w:szCs w:val="24"/>
        </w:rPr>
        <w:t>2015</w:t>
      </w:r>
      <w:r w:rsidR="00C95730" w:rsidRPr="00C95730">
        <w:rPr>
          <w:rFonts w:ascii="Book Antiqua" w:hAnsi="Book Antiqua"/>
          <w:sz w:val="24"/>
          <w:szCs w:val="24"/>
        </w:rPr>
        <w:t>)</w:t>
      </w:r>
      <w:r>
        <w:rPr>
          <w:rFonts w:ascii="Book Antiqua" w:hAnsi="Book Antiqua"/>
          <w:sz w:val="24"/>
          <w:szCs w:val="24"/>
        </w:rPr>
        <w:t>.</w:t>
      </w:r>
      <w:r w:rsidR="002F406D">
        <w:rPr>
          <w:rFonts w:ascii="Book Antiqua" w:hAnsi="Book Antiqua"/>
          <w:sz w:val="24"/>
          <w:szCs w:val="24"/>
        </w:rPr>
        <w:t xml:space="preserve">  In order to obtain a hearing date, the applicant must forward a completed “Trusts, Equity and Probate List Hearing Date Information Form” (available on the List page on the Court’s website) via email to </w:t>
      </w:r>
      <w:hyperlink r:id="rId14" w:history="1">
        <w:r w:rsidR="002F406D" w:rsidRPr="000B5A14">
          <w:rPr>
            <w:rStyle w:val="Hyperlink"/>
            <w:rFonts w:ascii="Book Antiqua" w:hAnsi="Book Antiqua"/>
            <w:sz w:val="24"/>
            <w:szCs w:val="24"/>
          </w:rPr>
          <w:t>tep@supcourt.vic.gv.au</w:t>
        </w:r>
      </w:hyperlink>
      <w:r w:rsidR="002F406D">
        <w:rPr>
          <w:rFonts w:ascii="Book Antiqua" w:hAnsi="Book Antiqua"/>
          <w:sz w:val="24"/>
          <w:szCs w:val="24"/>
        </w:rPr>
        <w:t xml:space="preserve">.  </w:t>
      </w:r>
    </w:p>
    <w:p w14:paraId="21D5E685" w14:textId="77777777" w:rsidR="00625EFF" w:rsidRPr="00C95730" w:rsidRDefault="00625EFF" w:rsidP="00A82B6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C95730">
        <w:rPr>
          <w:rFonts w:ascii="Book Antiqua" w:hAnsi="Book Antiqua"/>
          <w:sz w:val="24"/>
          <w:szCs w:val="24"/>
        </w:rPr>
        <w:t xml:space="preserve">Where the Registrar refers a proceeding to the Judge, the proceeding will be heard during List directions. </w:t>
      </w:r>
      <w:r>
        <w:rPr>
          <w:rFonts w:ascii="Book Antiqua" w:hAnsi="Book Antiqua"/>
          <w:sz w:val="24"/>
          <w:szCs w:val="24"/>
        </w:rPr>
        <w:t xml:space="preserve"> </w:t>
      </w:r>
      <w:r w:rsidRPr="00C95730">
        <w:rPr>
          <w:rFonts w:ascii="Book Antiqua" w:hAnsi="Book Antiqua"/>
          <w:sz w:val="24"/>
          <w:szCs w:val="24"/>
        </w:rPr>
        <w:t>The Registrar will notify the parties of the specific date and time of the hearing</w:t>
      </w:r>
      <w:r>
        <w:rPr>
          <w:rFonts w:ascii="Book Antiqua" w:hAnsi="Book Antiqua"/>
          <w:sz w:val="24"/>
          <w:szCs w:val="24"/>
        </w:rPr>
        <w:t xml:space="preserve"> at the time the applicant files a notice to produce</w:t>
      </w:r>
      <w:r w:rsidRPr="00C95730">
        <w:rPr>
          <w:rFonts w:ascii="Book Antiqua" w:hAnsi="Book Antiqua"/>
          <w:sz w:val="24"/>
          <w:szCs w:val="24"/>
        </w:rPr>
        <w:t>.</w:t>
      </w:r>
    </w:p>
    <w:p w14:paraId="59BCCA10" w14:textId="7E4D9B82" w:rsidR="00625EFF" w:rsidRPr="003A0C01" w:rsidRDefault="00625EFF" w:rsidP="00A82B6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 xml:space="preserve">The first hearing in a proceeding in the List will generally be for directions only and it is unlikely substantive applications will be entertained.  </w:t>
      </w:r>
    </w:p>
    <w:p w14:paraId="1F32A007" w14:textId="1F095DA5" w:rsidR="00625EFF" w:rsidRPr="003A0C01" w:rsidRDefault="00625EFF" w:rsidP="00A82B6F">
      <w:pPr>
        <w:autoSpaceDE w:val="0"/>
        <w:autoSpaceDN w:val="0"/>
        <w:adjustRightInd w:val="0"/>
        <w:spacing w:before="120" w:after="120"/>
        <w:ind w:firstLine="720"/>
        <w:jc w:val="both"/>
        <w:rPr>
          <w:rFonts w:ascii="Book Antiqua" w:hAnsi="Book Antiqua"/>
          <w:b/>
        </w:rPr>
      </w:pPr>
      <w:r>
        <w:rPr>
          <w:i/>
        </w:rPr>
        <w:t>Consent minutes</w:t>
      </w:r>
    </w:p>
    <w:p w14:paraId="27937711" w14:textId="77777777" w:rsidR="00625EFF" w:rsidRPr="00C95730" w:rsidRDefault="00625EFF" w:rsidP="00A82B6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C95730">
        <w:rPr>
          <w:rFonts w:ascii="Book Antiqua" w:hAnsi="Book Antiqua"/>
          <w:sz w:val="24"/>
          <w:szCs w:val="24"/>
        </w:rPr>
        <w:t>It is expected that standard directions will be dealt with by consent on the papers, and unnecessary attendance at Court may result in orders depriving parties of costs, or costs orders against parties.</w:t>
      </w:r>
    </w:p>
    <w:p w14:paraId="59001505" w14:textId="65FC16FE" w:rsidR="00182C1F" w:rsidRPr="00C95730" w:rsidRDefault="00C95730" w:rsidP="00A82B6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C95730">
        <w:rPr>
          <w:rFonts w:ascii="Book Antiqua" w:hAnsi="Book Antiqua"/>
          <w:sz w:val="24"/>
          <w:szCs w:val="24"/>
        </w:rPr>
        <w:t xml:space="preserve">The plaintiff’s solicitors are encouraged to deliver proposed consent orders to all other parties in advance of any directions hearing, with a view to obtaining orders by consent without the need for a hearing. </w:t>
      </w:r>
      <w:r w:rsidR="00A93437">
        <w:rPr>
          <w:rFonts w:ascii="Book Antiqua" w:hAnsi="Book Antiqua"/>
          <w:sz w:val="24"/>
          <w:szCs w:val="24"/>
        </w:rPr>
        <w:t xml:space="preserve"> </w:t>
      </w:r>
      <w:r w:rsidRPr="00C95730">
        <w:rPr>
          <w:rFonts w:ascii="Book Antiqua" w:hAnsi="Book Antiqua"/>
          <w:sz w:val="24"/>
          <w:szCs w:val="24"/>
        </w:rPr>
        <w:t xml:space="preserve">The parties should email minutes of consent in both Word and signed PDF format to </w:t>
      </w:r>
      <w:hyperlink r:id="rId15" w:history="1">
        <w:r w:rsidR="00763F55" w:rsidRPr="00A571CF">
          <w:rPr>
            <w:rStyle w:val="Hyperlink"/>
            <w:rFonts w:ascii="Book Antiqua" w:hAnsi="Book Antiqua"/>
            <w:sz w:val="24"/>
            <w:szCs w:val="24"/>
          </w:rPr>
          <w:t>tep@supcourt.vic.gov.au</w:t>
        </w:r>
      </w:hyperlink>
      <w:r w:rsidR="00763F55">
        <w:rPr>
          <w:rFonts w:ascii="Book Antiqua" w:hAnsi="Book Antiqua"/>
          <w:sz w:val="24"/>
          <w:szCs w:val="24"/>
        </w:rPr>
        <w:t xml:space="preserve"> </w:t>
      </w:r>
      <w:r w:rsidR="00A93437">
        <w:rPr>
          <w:rFonts w:ascii="Book Antiqua" w:hAnsi="Book Antiqua"/>
          <w:sz w:val="24"/>
          <w:szCs w:val="24"/>
        </w:rPr>
        <w:t>(cc:</w:t>
      </w:r>
      <w:r w:rsidR="00F731A1">
        <w:rPr>
          <w:rFonts w:ascii="Book Antiqua" w:hAnsi="Book Antiqua"/>
          <w:sz w:val="24"/>
          <w:szCs w:val="24"/>
        </w:rPr>
        <w:t xml:space="preserve"> </w:t>
      </w:r>
      <w:hyperlink r:id="rId16" w:history="1">
        <w:r w:rsidR="00F731A1" w:rsidRPr="00F91A08">
          <w:rPr>
            <w:rStyle w:val="Hyperlink"/>
            <w:rFonts w:ascii="Book Antiqua" w:hAnsi="Book Antiqua"/>
            <w:sz w:val="24"/>
            <w:szCs w:val="24"/>
          </w:rPr>
          <w:t>orders@supremecourt.vic.gov.au</w:t>
        </w:r>
      </w:hyperlink>
      <w:r w:rsidR="00F731A1">
        <w:rPr>
          <w:rFonts w:ascii="Book Antiqua" w:hAnsi="Book Antiqua"/>
          <w:sz w:val="24"/>
          <w:szCs w:val="24"/>
        </w:rPr>
        <w:t xml:space="preserve">) </w:t>
      </w:r>
      <w:r w:rsidRPr="00C95730">
        <w:rPr>
          <w:rFonts w:ascii="Book Antiqua" w:hAnsi="Book Antiqua"/>
          <w:sz w:val="24"/>
          <w:szCs w:val="24"/>
        </w:rPr>
        <w:t xml:space="preserve">by </w:t>
      </w:r>
      <w:r w:rsidR="00F97DB0">
        <w:rPr>
          <w:rFonts w:ascii="Book Antiqua" w:hAnsi="Book Antiqua"/>
          <w:sz w:val="24"/>
          <w:szCs w:val="24"/>
        </w:rPr>
        <w:t>12.00</w:t>
      </w:r>
      <w:r w:rsidRPr="00C95730">
        <w:rPr>
          <w:rFonts w:ascii="Book Antiqua" w:hAnsi="Book Antiqua"/>
          <w:sz w:val="24"/>
          <w:szCs w:val="24"/>
        </w:rPr>
        <w:t xml:space="preserve">pm </w:t>
      </w:r>
      <w:r w:rsidR="00FB2E72">
        <w:rPr>
          <w:rFonts w:ascii="Book Antiqua" w:hAnsi="Book Antiqua"/>
          <w:sz w:val="24"/>
          <w:szCs w:val="24"/>
        </w:rPr>
        <w:t>three</w:t>
      </w:r>
      <w:r w:rsidR="00FB2E72" w:rsidRPr="00C95730">
        <w:rPr>
          <w:rFonts w:ascii="Book Antiqua" w:hAnsi="Book Antiqua"/>
          <w:sz w:val="24"/>
          <w:szCs w:val="24"/>
        </w:rPr>
        <w:t xml:space="preserve"> </w:t>
      </w:r>
      <w:r w:rsidRPr="00C95730">
        <w:rPr>
          <w:rFonts w:ascii="Book Antiqua" w:hAnsi="Book Antiqua"/>
          <w:sz w:val="24"/>
          <w:szCs w:val="24"/>
        </w:rPr>
        <w:t>days prior to the directions hearing</w:t>
      </w:r>
      <w:r w:rsidR="00182C1F" w:rsidRPr="00C95730">
        <w:rPr>
          <w:rFonts w:ascii="Book Antiqua" w:hAnsi="Book Antiqua"/>
          <w:sz w:val="24"/>
          <w:szCs w:val="24"/>
        </w:rPr>
        <w:t>.</w:t>
      </w:r>
    </w:p>
    <w:p w14:paraId="73335600" w14:textId="3CAE70AC" w:rsidR="00C95730" w:rsidRPr="00C95730" w:rsidRDefault="00C95730" w:rsidP="00A82B6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C95730">
        <w:rPr>
          <w:rFonts w:ascii="Book Antiqua" w:hAnsi="Book Antiqua"/>
          <w:sz w:val="24"/>
          <w:szCs w:val="24"/>
        </w:rPr>
        <w:t xml:space="preserve">The Judge will determine whether orders will be made on the papers, or whether parties will be required to attend the directions hearing. </w:t>
      </w:r>
      <w:r w:rsidR="00A93437">
        <w:rPr>
          <w:rFonts w:ascii="Book Antiqua" w:hAnsi="Book Antiqua"/>
          <w:sz w:val="24"/>
          <w:szCs w:val="24"/>
        </w:rPr>
        <w:t xml:space="preserve"> </w:t>
      </w:r>
      <w:r w:rsidRPr="00C95730">
        <w:rPr>
          <w:rFonts w:ascii="Book Antiqua" w:hAnsi="Book Antiqua"/>
          <w:sz w:val="24"/>
          <w:szCs w:val="24"/>
        </w:rPr>
        <w:t xml:space="preserve">Parties are required to appear at the directions hearing unless otherwise advised by the </w:t>
      </w:r>
      <w:r w:rsidR="00763F55">
        <w:rPr>
          <w:rFonts w:ascii="Book Antiqua" w:hAnsi="Book Antiqua"/>
          <w:sz w:val="24"/>
          <w:szCs w:val="24"/>
        </w:rPr>
        <w:t>Court</w:t>
      </w:r>
      <w:r w:rsidRPr="00C95730">
        <w:rPr>
          <w:rFonts w:ascii="Book Antiqua" w:hAnsi="Book Antiqua"/>
          <w:sz w:val="24"/>
          <w:szCs w:val="24"/>
        </w:rPr>
        <w:t>.</w:t>
      </w:r>
    </w:p>
    <w:p w14:paraId="13774181" w14:textId="130AE977" w:rsidR="00C95730" w:rsidRPr="003A0C01" w:rsidRDefault="00C95730" w:rsidP="00A82B6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C95730">
        <w:rPr>
          <w:rFonts w:ascii="Book Antiqua" w:hAnsi="Book Antiqua"/>
          <w:sz w:val="24"/>
          <w:szCs w:val="24"/>
        </w:rPr>
        <w:lastRenderedPageBreak/>
        <w:t>Where the parties do not agree on proposed consent orders, attendance at the directions hearing is required by all parties.</w:t>
      </w:r>
      <w:r w:rsidR="00A93437">
        <w:rPr>
          <w:rFonts w:ascii="Book Antiqua" w:hAnsi="Book Antiqua"/>
          <w:sz w:val="24"/>
          <w:szCs w:val="24"/>
        </w:rPr>
        <w:t xml:space="preserve"> </w:t>
      </w:r>
      <w:r w:rsidRPr="00C95730">
        <w:rPr>
          <w:rFonts w:ascii="Book Antiqua" w:hAnsi="Book Antiqua"/>
          <w:sz w:val="24"/>
          <w:szCs w:val="24"/>
        </w:rPr>
        <w:t xml:space="preserve"> The parties should each email draft orders to </w:t>
      </w:r>
      <w:hyperlink r:id="rId17" w:history="1">
        <w:r w:rsidR="00F731A1" w:rsidRPr="00F91A08">
          <w:rPr>
            <w:rStyle w:val="Hyperlink"/>
            <w:rFonts w:ascii="Book Antiqua" w:hAnsi="Book Antiqua"/>
            <w:sz w:val="24"/>
            <w:szCs w:val="24"/>
          </w:rPr>
          <w:t>tep@supcourt.vic.gov.au</w:t>
        </w:r>
      </w:hyperlink>
      <w:r w:rsidR="00F731A1">
        <w:rPr>
          <w:rFonts w:ascii="Book Antiqua" w:hAnsi="Book Antiqua"/>
          <w:sz w:val="24"/>
          <w:szCs w:val="24"/>
        </w:rPr>
        <w:t xml:space="preserve"> </w:t>
      </w:r>
      <w:r w:rsidRPr="00C95730">
        <w:rPr>
          <w:rFonts w:ascii="Book Antiqua" w:hAnsi="Book Antiqua"/>
          <w:sz w:val="24"/>
          <w:szCs w:val="24"/>
        </w:rPr>
        <w:t xml:space="preserve">by 12.00pm </w:t>
      </w:r>
      <w:r w:rsidR="002F406D">
        <w:rPr>
          <w:rFonts w:ascii="Book Antiqua" w:hAnsi="Book Antiqua"/>
          <w:sz w:val="24"/>
          <w:szCs w:val="24"/>
        </w:rPr>
        <w:t>two days</w:t>
      </w:r>
      <w:r w:rsidRPr="00C95730">
        <w:rPr>
          <w:rFonts w:ascii="Book Antiqua" w:hAnsi="Book Antiqua"/>
          <w:sz w:val="24"/>
          <w:szCs w:val="24"/>
        </w:rPr>
        <w:t xml:space="preserve"> prior to the directions hearing.</w:t>
      </w:r>
    </w:p>
    <w:p w14:paraId="1907D6F8" w14:textId="60A5276D" w:rsidR="002F406D" w:rsidRPr="003A0C01" w:rsidRDefault="002F406D" w:rsidP="00A82B6F">
      <w:pPr>
        <w:autoSpaceDE w:val="0"/>
        <w:autoSpaceDN w:val="0"/>
        <w:adjustRightInd w:val="0"/>
        <w:spacing w:before="120" w:after="120"/>
        <w:ind w:firstLine="720"/>
        <w:jc w:val="both"/>
        <w:rPr>
          <w:rFonts w:ascii="Book Antiqua" w:hAnsi="Book Antiqua"/>
          <w:b/>
        </w:rPr>
      </w:pPr>
      <w:r>
        <w:rPr>
          <w:rFonts w:ascii="Book Antiqua" w:hAnsi="Book Antiqua"/>
          <w:i/>
        </w:rPr>
        <w:t>Interlocutory applications</w:t>
      </w:r>
    </w:p>
    <w:p w14:paraId="61189CF2" w14:textId="518AA416" w:rsidR="00C95730" w:rsidRPr="00C95730" w:rsidRDefault="00C26ECD" w:rsidP="00A82B6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 xml:space="preserve">For any interlocutory application in the List, the applicant must forward a completed “Trusts, Equity and Probate List Hearing Date Information Form” (available on the List page on the Court’s website) via email to </w:t>
      </w:r>
      <w:hyperlink r:id="rId18" w:history="1">
        <w:r w:rsidRPr="000B5A14">
          <w:rPr>
            <w:rStyle w:val="Hyperlink"/>
            <w:rFonts w:ascii="Book Antiqua" w:hAnsi="Book Antiqua"/>
            <w:sz w:val="24"/>
            <w:szCs w:val="24"/>
          </w:rPr>
          <w:t>tep@supcourt.vic.gv.au</w:t>
        </w:r>
      </w:hyperlink>
      <w:r>
        <w:rPr>
          <w:rFonts w:ascii="Book Antiqua" w:hAnsi="Book Antiqua"/>
          <w:sz w:val="24"/>
          <w:szCs w:val="24"/>
        </w:rPr>
        <w:t>.</w:t>
      </w:r>
      <w:r w:rsidR="0000566C">
        <w:rPr>
          <w:rFonts w:ascii="Book Antiqua" w:hAnsi="Book Antiqua"/>
          <w:sz w:val="24"/>
          <w:szCs w:val="24"/>
        </w:rPr>
        <w:t xml:space="preserve">  The applicant will be advised by email of the return date for their application.  The application should be filed within 48 hours of the email from the Court or the return date may not be guaranteed.  A copy of the confirmation email must be provided when filing.  </w:t>
      </w:r>
    </w:p>
    <w:p w14:paraId="66265796" w14:textId="4089AA5C" w:rsidR="00400B2E" w:rsidRPr="00400B2E" w:rsidRDefault="00400B2E" w:rsidP="00A82B6F">
      <w:pPr>
        <w:spacing w:before="120" w:after="120"/>
        <w:jc w:val="both"/>
        <w:rPr>
          <w:rFonts w:ascii="Book Antiqua" w:hAnsi="Book Antiqua"/>
          <w:b/>
        </w:rPr>
      </w:pPr>
    </w:p>
    <w:p w14:paraId="67FB1265" w14:textId="77777777" w:rsidR="00400B2E" w:rsidRDefault="00AF541C" w:rsidP="00A82B6F">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Pr>
          <w:rFonts w:ascii="Book Antiqua" w:hAnsi="Book Antiqua"/>
          <w:b/>
          <w:sz w:val="24"/>
          <w:szCs w:val="24"/>
        </w:rPr>
        <w:t>URGENT APPLICATIONS</w:t>
      </w:r>
    </w:p>
    <w:p w14:paraId="25FDA507" w14:textId="6B3CAFF2" w:rsidR="00400B2E" w:rsidRPr="00AF541C" w:rsidRDefault="00AF541C" w:rsidP="00A82B6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AF541C">
        <w:rPr>
          <w:rFonts w:ascii="Book Antiqua" w:hAnsi="Book Antiqua"/>
          <w:sz w:val="24"/>
          <w:szCs w:val="24"/>
        </w:rPr>
        <w:t xml:space="preserve">Parties bringing an urgent application should </w:t>
      </w:r>
      <w:r w:rsidR="00C26ECD">
        <w:rPr>
          <w:rFonts w:ascii="Book Antiqua" w:hAnsi="Book Antiqua"/>
          <w:sz w:val="24"/>
          <w:szCs w:val="24"/>
        </w:rPr>
        <w:t xml:space="preserve">complete the “Trusts, Equity and Probate List Hearing Date Information Form” (available on the List page of the Court’s website) and </w:t>
      </w:r>
      <w:r w:rsidRPr="00AF541C">
        <w:rPr>
          <w:rFonts w:ascii="Book Antiqua" w:hAnsi="Book Antiqua"/>
          <w:sz w:val="24"/>
          <w:szCs w:val="24"/>
        </w:rPr>
        <w:t xml:space="preserve">contact the </w:t>
      </w:r>
      <w:r w:rsidR="00C85F72">
        <w:rPr>
          <w:rFonts w:ascii="Book Antiqua" w:hAnsi="Book Antiqua"/>
          <w:sz w:val="24"/>
          <w:szCs w:val="24"/>
        </w:rPr>
        <w:t xml:space="preserve">registry lawyer </w:t>
      </w:r>
      <w:r w:rsidRPr="00AF541C">
        <w:rPr>
          <w:rFonts w:ascii="Book Antiqua" w:hAnsi="Book Antiqua"/>
          <w:sz w:val="24"/>
          <w:szCs w:val="24"/>
        </w:rPr>
        <w:t xml:space="preserve">in the first instance. </w:t>
      </w:r>
      <w:r w:rsidR="00A93437">
        <w:rPr>
          <w:rFonts w:ascii="Book Antiqua" w:hAnsi="Book Antiqua"/>
          <w:sz w:val="24"/>
          <w:szCs w:val="24"/>
        </w:rPr>
        <w:t xml:space="preserve"> </w:t>
      </w:r>
      <w:r w:rsidRPr="00AF541C">
        <w:rPr>
          <w:rFonts w:ascii="Book Antiqua" w:hAnsi="Book Antiqua"/>
          <w:sz w:val="24"/>
          <w:szCs w:val="24"/>
        </w:rPr>
        <w:t xml:space="preserve">The </w:t>
      </w:r>
      <w:r w:rsidR="006D422D">
        <w:rPr>
          <w:rFonts w:ascii="Book Antiqua" w:hAnsi="Book Antiqua"/>
          <w:sz w:val="24"/>
          <w:szCs w:val="24"/>
        </w:rPr>
        <w:t xml:space="preserve">registry lawyer </w:t>
      </w:r>
      <w:r w:rsidRPr="00AF541C">
        <w:rPr>
          <w:rFonts w:ascii="Book Antiqua" w:hAnsi="Book Antiqua"/>
          <w:sz w:val="24"/>
          <w:szCs w:val="24"/>
        </w:rPr>
        <w:t>will endeavour to allocate a hearing date before the Judge</w:t>
      </w:r>
      <w:r w:rsidR="00400B2E" w:rsidRPr="00AF541C">
        <w:rPr>
          <w:rFonts w:ascii="Book Antiqua" w:hAnsi="Book Antiqua"/>
          <w:sz w:val="24"/>
          <w:szCs w:val="24"/>
        </w:rPr>
        <w:t>.</w:t>
      </w:r>
    </w:p>
    <w:p w14:paraId="0EB0CC72" w14:textId="0B44DEBC" w:rsidR="00AF541C" w:rsidRPr="00AF541C" w:rsidRDefault="00AF541C" w:rsidP="00A82B6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AF541C">
        <w:rPr>
          <w:rFonts w:ascii="Book Antiqua" w:hAnsi="Book Antiqua"/>
          <w:sz w:val="24"/>
          <w:szCs w:val="24"/>
        </w:rPr>
        <w:t>Alternatively, if the application cannot be heard by the Judge within an appropriate timeframe, parties will be directed to arrange for the application to be heard in the Practice Court (Common Law)</w:t>
      </w:r>
      <w:r>
        <w:rPr>
          <w:rFonts w:ascii="Book Antiqua" w:hAnsi="Book Antiqua"/>
          <w:sz w:val="24"/>
          <w:szCs w:val="24"/>
        </w:rPr>
        <w:t xml:space="preserve">. </w:t>
      </w:r>
      <w:r w:rsidR="00A93437">
        <w:rPr>
          <w:rFonts w:ascii="Book Antiqua" w:hAnsi="Book Antiqua"/>
          <w:sz w:val="24"/>
          <w:szCs w:val="24"/>
        </w:rPr>
        <w:t xml:space="preserve"> </w:t>
      </w:r>
      <w:r w:rsidR="00E3694A">
        <w:rPr>
          <w:rFonts w:ascii="Book Antiqua" w:hAnsi="Book Antiqua"/>
          <w:sz w:val="24"/>
          <w:szCs w:val="24"/>
        </w:rPr>
        <w:t>See Practice Note SC CL 10</w:t>
      </w:r>
      <w:r w:rsidR="00F731A1">
        <w:rPr>
          <w:rFonts w:ascii="Book Antiqua" w:hAnsi="Book Antiqua"/>
          <w:sz w:val="24"/>
          <w:szCs w:val="24"/>
        </w:rPr>
        <w:t xml:space="preserve"> for further information about the operation of the Practice Court (Common Law).</w:t>
      </w:r>
    </w:p>
    <w:p w14:paraId="2F9FEF28" w14:textId="77777777" w:rsidR="00182C1F" w:rsidRPr="002361DF" w:rsidRDefault="00182C1F" w:rsidP="00A82B6F">
      <w:pPr>
        <w:spacing w:before="120" w:after="120"/>
        <w:jc w:val="both"/>
        <w:rPr>
          <w:rFonts w:ascii="Book Antiqua" w:hAnsi="Book Antiqua"/>
          <w:b/>
        </w:rPr>
      </w:pPr>
    </w:p>
    <w:p w14:paraId="25A69EC9" w14:textId="77777777" w:rsidR="00182C1F" w:rsidRPr="00AF541C" w:rsidRDefault="00AF541C" w:rsidP="00A82B6F">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AF541C">
        <w:rPr>
          <w:rFonts w:ascii="Book Antiqua" w:hAnsi="Book Antiqua"/>
          <w:b/>
          <w:sz w:val="24"/>
          <w:szCs w:val="24"/>
        </w:rPr>
        <w:t>CIVIL PROCEDURE ACT CERTIFICATES</w:t>
      </w:r>
    </w:p>
    <w:p w14:paraId="4AE1BFD5" w14:textId="6219892D" w:rsidR="00182C1F" w:rsidRDefault="003C296B" w:rsidP="00A82B6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sidRPr="003C296B">
        <w:rPr>
          <w:rFonts w:ascii="Book Antiqua" w:hAnsi="Book Antiqua"/>
          <w:sz w:val="24"/>
          <w:szCs w:val="24"/>
        </w:rPr>
        <w:t xml:space="preserve">The filing of grounds of objection in support of a caveat constitute a substantive document for the purposes of </w:t>
      </w:r>
      <w:r w:rsidRPr="00BD2C1E">
        <w:rPr>
          <w:rFonts w:ascii="Book Antiqua" w:hAnsi="Book Antiqua"/>
          <w:sz w:val="24"/>
          <w:szCs w:val="24"/>
        </w:rPr>
        <w:t xml:space="preserve">the </w:t>
      </w:r>
      <w:r w:rsidRPr="00BD2C1E">
        <w:rPr>
          <w:rFonts w:ascii="Book Antiqua" w:hAnsi="Book Antiqua"/>
          <w:i/>
          <w:sz w:val="24"/>
          <w:szCs w:val="24"/>
        </w:rPr>
        <w:t xml:space="preserve">Civil Procedure Act 2010 </w:t>
      </w:r>
      <w:r w:rsidRPr="00BD2C1E">
        <w:rPr>
          <w:rFonts w:ascii="Book Antiqua" w:hAnsi="Book Antiqua"/>
          <w:sz w:val="24"/>
          <w:szCs w:val="24"/>
        </w:rPr>
        <w:t>and the</w:t>
      </w:r>
      <w:r w:rsidRPr="003C296B">
        <w:rPr>
          <w:rFonts w:ascii="Book Antiqua" w:hAnsi="Book Antiqua"/>
          <w:sz w:val="24"/>
          <w:szCs w:val="24"/>
        </w:rPr>
        <w:t xml:space="preserve"> certification requirements in Part 4.1 </w:t>
      </w:r>
      <w:r w:rsidR="00BD2C1E">
        <w:rPr>
          <w:rFonts w:ascii="Book Antiqua" w:hAnsi="Book Antiqua"/>
          <w:sz w:val="24"/>
          <w:szCs w:val="24"/>
        </w:rPr>
        <w:t xml:space="preserve">of that Act </w:t>
      </w:r>
      <w:r w:rsidRPr="003C296B">
        <w:rPr>
          <w:rFonts w:ascii="Book Antiqua" w:hAnsi="Book Antiqua"/>
          <w:sz w:val="24"/>
          <w:szCs w:val="24"/>
        </w:rPr>
        <w:t>should be complied with when filing the same</w:t>
      </w:r>
      <w:r>
        <w:rPr>
          <w:rFonts w:ascii="Book Antiqua" w:hAnsi="Book Antiqua"/>
          <w:sz w:val="24"/>
          <w:szCs w:val="24"/>
        </w:rPr>
        <w:t>.</w:t>
      </w:r>
    </w:p>
    <w:p w14:paraId="45F4F9A2" w14:textId="77777777" w:rsidR="00BD2C1E" w:rsidRPr="00BD2C1E" w:rsidRDefault="00BD2C1E" w:rsidP="00A82B6F">
      <w:pPr>
        <w:spacing w:before="120" w:after="120"/>
        <w:jc w:val="both"/>
        <w:rPr>
          <w:rFonts w:ascii="Book Antiqua" w:hAnsi="Book Antiqua"/>
        </w:rPr>
      </w:pPr>
    </w:p>
    <w:p w14:paraId="51892A64" w14:textId="77777777" w:rsidR="00472502" w:rsidRDefault="00472502" w:rsidP="00A82B6F">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Pr>
          <w:rFonts w:ascii="Book Antiqua" w:hAnsi="Book Antiqua"/>
          <w:b/>
          <w:sz w:val="24"/>
          <w:szCs w:val="24"/>
        </w:rPr>
        <w:t>USE OF TECHNOLOGY</w:t>
      </w:r>
    </w:p>
    <w:p w14:paraId="162C1A45" w14:textId="77777777" w:rsidR="00472502" w:rsidRDefault="00472502" w:rsidP="00A82B6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The provisions of Practice Note SC Gen 5 “Technology in Civil Litigation” apply to proceedings in the List.</w:t>
      </w:r>
    </w:p>
    <w:p w14:paraId="34F877AC" w14:textId="41ABDFA0" w:rsidR="00472502" w:rsidRDefault="00472502" w:rsidP="00A82B6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For the purposes of para</w:t>
      </w:r>
      <w:r w:rsidR="00BD2C1E">
        <w:rPr>
          <w:rFonts w:ascii="Book Antiqua" w:hAnsi="Book Antiqua"/>
          <w:sz w:val="24"/>
          <w:szCs w:val="24"/>
        </w:rPr>
        <w:t>graph</w:t>
      </w:r>
      <w:r>
        <w:rPr>
          <w:rFonts w:ascii="Book Antiqua" w:hAnsi="Book Antiqua"/>
          <w:sz w:val="24"/>
          <w:szCs w:val="24"/>
        </w:rPr>
        <w:t xml:space="preserve"> </w:t>
      </w:r>
      <w:r w:rsidRPr="00E3694A">
        <w:rPr>
          <w:rFonts w:ascii="Book Antiqua" w:hAnsi="Book Antiqua"/>
          <w:sz w:val="24"/>
          <w:szCs w:val="24"/>
        </w:rPr>
        <w:t>9.11</w:t>
      </w:r>
      <w:r>
        <w:rPr>
          <w:rFonts w:ascii="Book Antiqua" w:hAnsi="Book Antiqua"/>
          <w:sz w:val="24"/>
          <w:szCs w:val="24"/>
        </w:rPr>
        <w:t xml:space="preserve"> of that Practice Note, documentary evidence in excess of 1500 pages is to be considered a large amount of documentary evidence.  </w:t>
      </w:r>
    </w:p>
    <w:p w14:paraId="0571E6C5" w14:textId="32A06482" w:rsidR="003204ED" w:rsidRPr="003204ED" w:rsidRDefault="003204ED" w:rsidP="00A82B6F">
      <w:pPr>
        <w:spacing w:before="120" w:after="120"/>
        <w:jc w:val="both"/>
      </w:pPr>
    </w:p>
    <w:p w14:paraId="25C10A81" w14:textId="77777777" w:rsidR="00F86501" w:rsidRDefault="00F86501" w:rsidP="00A82B6F">
      <w:pPr>
        <w:pStyle w:val="ListParagraph"/>
        <w:keepNext/>
        <w:numPr>
          <w:ilvl w:val="0"/>
          <w:numId w:val="30"/>
        </w:numPr>
        <w:autoSpaceDE w:val="0"/>
        <w:autoSpaceDN w:val="0"/>
        <w:spacing w:before="120" w:after="120"/>
        <w:contextualSpacing w:val="0"/>
        <w:jc w:val="both"/>
        <w:rPr>
          <w:rFonts w:ascii="Book Antiqua" w:hAnsi="Book Antiqua"/>
          <w:b/>
          <w:bCs/>
          <w:sz w:val="24"/>
          <w:szCs w:val="24"/>
        </w:rPr>
      </w:pPr>
      <w:r>
        <w:rPr>
          <w:rFonts w:ascii="Book Antiqua" w:hAnsi="Book Antiqua"/>
          <w:b/>
          <w:bCs/>
          <w:sz w:val="24"/>
          <w:szCs w:val="24"/>
        </w:rPr>
        <w:t>TRANSCRIPT</w:t>
      </w:r>
    </w:p>
    <w:p w14:paraId="79BCCC81" w14:textId="3DD05E34" w:rsidR="00F86501" w:rsidRDefault="00F86501" w:rsidP="00A82B6F">
      <w:pPr>
        <w:pStyle w:val="ListParagraph"/>
        <w:numPr>
          <w:ilvl w:val="1"/>
          <w:numId w:val="30"/>
        </w:numPr>
        <w:spacing w:before="120" w:after="120"/>
        <w:contextualSpacing w:val="0"/>
        <w:jc w:val="both"/>
        <w:rPr>
          <w:rFonts w:ascii="Book Antiqua" w:hAnsi="Book Antiqua"/>
          <w:sz w:val="24"/>
          <w:szCs w:val="24"/>
        </w:rPr>
      </w:pPr>
      <w:r>
        <w:rPr>
          <w:rFonts w:ascii="Book Antiqua" w:hAnsi="Book Antiqua"/>
          <w:sz w:val="24"/>
          <w:szCs w:val="24"/>
        </w:rPr>
        <w:t>The provisions of Practice Note SC Gen 7 “Transcript in Civil Proceedings” apply to proceedings in the List.</w:t>
      </w:r>
    </w:p>
    <w:p w14:paraId="5AFE624E" w14:textId="77777777" w:rsidR="00F86501" w:rsidRDefault="00F86501" w:rsidP="00A82B6F">
      <w:pPr>
        <w:pStyle w:val="ListParagraph"/>
        <w:numPr>
          <w:ilvl w:val="1"/>
          <w:numId w:val="30"/>
        </w:numPr>
        <w:spacing w:before="120" w:after="120"/>
        <w:contextualSpacing w:val="0"/>
        <w:jc w:val="both"/>
        <w:rPr>
          <w:rFonts w:ascii="Book Antiqua" w:hAnsi="Book Antiqua"/>
          <w:sz w:val="24"/>
          <w:szCs w:val="24"/>
        </w:rPr>
      </w:pPr>
      <w:r>
        <w:rPr>
          <w:rFonts w:ascii="Book Antiqua" w:hAnsi="Book Antiqua"/>
          <w:sz w:val="24"/>
          <w:szCs w:val="24"/>
        </w:rPr>
        <w:lastRenderedPageBreak/>
        <w:t>For the purposes of Practice Note SC Gen 7, unless in a particular case parties are advised otherwise:</w:t>
      </w:r>
    </w:p>
    <w:p w14:paraId="6C0E2479" w14:textId="77777777" w:rsidR="00F86501" w:rsidRDefault="00F86501" w:rsidP="00A82B6F">
      <w:pPr>
        <w:pStyle w:val="ListParagraph"/>
        <w:numPr>
          <w:ilvl w:val="0"/>
          <w:numId w:val="39"/>
        </w:numPr>
        <w:spacing w:before="120" w:after="120"/>
        <w:contextualSpacing w:val="0"/>
        <w:jc w:val="both"/>
        <w:rPr>
          <w:rFonts w:ascii="Book Antiqua" w:hAnsi="Book Antiqua"/>
          <w:sz w:val="24"/>
          <w:szCs w:val="24"/>
        </w:rPr>
      </w:pPr>
      <w:r>
        <w:rPr>
          <w:rFonts w:ascii="Book Antiqua" w:hAnsi="Book Antiqua"/>
          <w:sz w:val="24"/>
          <w:szCs w:val="24"/>
        </w:rPr>
        <w:t>‘Real-Time’ transcript is not required for any proceeding in the List;</w:t>
      </w:r>
    </w:p>
    <w:p w14:paraId="759A2380" w14:textId="77777777" w:rsidR="00F86501" w:rsidRDefault="00F86501" w:rsidP="00A82B6F">
      <w:pPr>
        <w:pStyle w:val="ListParagraph"/>
        <w:numPr>
          <w:ilvl w:val="0"/>
          <w:numId w:val="39"/>
        </w:numPr>
        <w:spacing w:before="120" w:after="120"/>
        <w:contextualSpacing w:val="0"/>
        <w:jc w:val="both"/>
        <w:rPr>
          <w:rFonts w:ascii="Book Antiqua" w:hAnsi="Book Antiqua"/>
          <w:sz w:val="24"/>
          <w:szCs w:val="24"/>
        </w:rPr>
      </w:pPr>
      <w:r>
        <w:rPr>
          <w:rFonts w:ascii="Book Antiqua" w:hAnsi="Book Antiqua"/>
          <w:sz w:val="24"/>
          <w:szCs w:val="24"/>
        </w:rPr>
        <w:t>‘Running’ transcript  (as distinct from ‘Real-Time’ transcript and from ‘Deferred’ transcript) is required for all trials in the List; and</w:t>
      </w:r>
    </w:p>
    <w:p w14:paraId="3550D4EB" w14:textId="737808B9" w:rsidR="00F86501" w:rsidRDefault="00F86501" w:rsidP="00A82B6F">
      <w:pPr>
        <w:pStyle w:val="ListParagraph"/>
        <w:numPr>
          <w:ilvl w:val="0"/>
          <w:numId w:val="39"/>
        </w:numPr>
        <w:spacing w:before="120" w:after="120"/>
        <w:contextualSpacing w:val="0"/>
        <w:jc w:val="both"/>
        <w:rPr>
          <w:rFonts w:ascii="Book Antiqua" w:hAnsi="Book Antiqua"/>
          <w:sz w:val="24"/>
          <w:szCs w:val="24"/>
        </w:rPr>
      </w:pPr>
      <w:r>
        <w:rPr>
          <w:rFonts w:ascii="Book Antiqua" w:hAnsi="Book Antiqua"/>
          <w:sz w:val="24"/>
          <w:szCs w:val="24"/>
        </w:rPr>
        <w:t>transcript is not required at all for directions hearings or interlocutory applications.</w:t>
      </w:r>
    </w:p>
    <w:p w14:paraId="5EF3A501" w14:textId="77777777" w:rsidR="00F86501" w:rsidRPr="003A0C01" w:rsidRDefault="00F86501" w:rsidP="00A82B6F">
      <w:pPr>
        <w:spacing w:before="120" w:after="120"/>
        <w:jc w:val="both"/>
        <w:rPr>
          <w:rFonts w:ascii="Book Antiqua" w:hAnsi="Book Antiqua"/>
        </w:rPr>
      </w:pPr>
    </w:p>
    <w:p w14:paraId="03B5121F" w14:textId="338EC75E" w:rsidR="002361DF" w:rsidRPr="00BD2C1E" w:rsidRDefault="002361DF" w:rsidP="00A82B6F">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BD2C1E">
        <w:rPr>
          <w:rFonts w:ascii="Book Antiqua" w:hAnsi="Book Antiqua"/>
          <w:b/>
          <w:sz w:val="24"/>
          <w:szCs w:val="24"/>
        </w:rPr>
        <w:t>COMMUNICATIONS WITH THE COURT</w:t>
      </w:r>
    </w:p>
    <w:p w14:paraId="5484E522" w14:textId="7C490963" w:rsidR="002361DF" w:rsidRPr="00525B9D" w:rsidRDefault="002361DF" w:rsidP="00A82B6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2361DF">
        <w:rPr>
          <w:rFonts w:ascii="Book Antiqua" w:hAnsi="Book Antiqua"/>
          <w:sz w:val="24"/>
          <w:szCs w:val="24"/>
        </w:rPr>
        <w:t xml:space="preserve">At all stages of the proceeding, communications with the Court should be by email </w:t>
      </w:r>
      <w:r w:rsidR="00472502">
        <w:rPr>
          <w:rFonts w:ascii="Book Antiqua" w:hAnsi="Book Antiqua"/>
          <w:sz w:val="24"/>
          <w:szCs w:val="24"/>
        </w:rPr>
        <w:t xml:space="preserve">to </w:t>
      </w:r>
      <w:hyperlink r:id="rId19" w:history="1">
        <w:r w:rsidR="00472502" w:rsidRPr="00A571CF">
          <w:rPr>
            <w:rStyle w:val="Hyperlink"/>
            <w:rFonts w:ascii="Book Antiqua" w:hAnsi="Book Antiqua"/>
            <w:sz w:val="24"/>
            <w:szCs w:val="24"/>
          </w:rPr>
          <w:t>tep@supcourt.vic.gov.au</w:t>
        </w:r>
      </w:hyperlink>
      <w:r w:rsidR="00472502">
        <w:rPr>
          <w:rFonts w:ascii="Book Antiqua" w:hAnsi="Book Antiqua"/>
          <w:sz w:val="24"/>
          <w:szCs w:val="24"/>
        </w:rPr>
        <w:t xml:space="preserve"> </w:t>
      </w:r>
      <w:r w:rsidRPr="002361DF">
        <w:rPr>
          <w:rFonts w:ascii="Book Antiqua" w:hAnsi="Book Antiqua"/>
          <w:sz w:val="24"/>
          <w:szCs w:val="24"/>
        </w:rPr>
        <w:t>with a copy to all other parties, and should be confined to uncontroversial matters.</w:t>
      </w:r>
      <w:r w:rsidR="003615E5">
        <w:rPr>
          <w:rFonts w:ascii="Book Antiqua" w:hAnsi="Book Antiqua"/>
          <w:sz w:val="24"/>
          <w:szCs w:val="24"/>
        </w:rPr>
        <w:t xml:space="preserve"> </w:t>
      </w:r>
      <w:r w:rsidR="000A5456">
        <w:rPr>
          <w:rFonts w:ascii="Book Antiqua" w:hAnsi="Book Antiqua"/>
          <w:sz w:val="24"/>
          <w:szCs w:val="24"/>
        </w:rPr>
        <w:t xml:space="preserve"> </w:t>
      </w:r>
    </w:p>
    <w:p w14:paraId="09573A32" w14:textId="0F64D9A8" w:rsidR="00525B9D" w:rsidRPr="00BD2C1E" w:rsidRDefault="00525B9D" w:rsidP="00A82B6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2361DF">
        <w:rPr>
          <w:rFonts w:ascii="Book Antiqua" w:hAnsi="Book Antiqua"/>
          <w:sz w:val="24"/>
          <w:szCs w:val="24"/>
        </w:rPr>
        <w:t xml:space="preserve">Parties are reminded that pursuant to rule 27.03(11)(b) of the </w:t>
      </w:r>
      <w:r w:rsidRPr="002361DF">
        <w:rPr>
          <w:rFonts w:ascii="Book Antiqua" w:hAnsi="Book Antiqua"/>
          <w:i/>
          <w:sz w:val="24"/>
          <w:szCs w:val="24"/>
        </w:rPr>
        <w:t xml:space="preserve">Supreme Court (General Civil Procedure) Rules </w:t>
      </w:r>
      <w:r>
        <w:rPr>
          <w:rFonts w:ascii="Book Antiqua" w:hAnsi="Book Antiqua"/>
          <w:i/>
          <w:sz w:val="24"/>
          <w:szCs w:val="24"/>
        </w:rPr>
        <w:t>2015</w:t>
      </w:r>
      <w:r w:rsidRPr="002361DF">
        <w:rPr>
          <w:rFonts w:ascii="Book Antiqua" w:hAnsi="Book Antiqua"/>
          <w:sz w:val="24"/>
          <w:szCs w:val="24"/>
        </w:rPr>
        <w:t>, all court documents must include the name and email address of an individual to whom reference can be made in respect of the proceeding.</w:t>
      </w:r>
      <w:r w:rsidR="007E2FEA">
        <w:rPr>
          <w:rFonts w:ascii="Book Antiqua" w:hAnsi="Book Antiqua"/>
          <w:sz w:val="24"/>
          <w:szCs w:val="24"/>
        </w:rPr>
        <w:t xml:space="preserve">  In particular, case management of the List may require the </w:t>
      </w:r>
      <w:r w:rsidR="00BD2C1E">
        <w:rPr>
          <w:rFonts w:ascii="Book Antiqua" w:hAnsi="Book Antiqua"/>
          <w:sz w:val="24"/>
          <w:szCs w:val="24"/>
        </w:rPr>
        <w:t>r</w:t>
      </w:r>
      <w:r w:rsidR="007E2FEA">
        <w:rPr>
          <w:rFonts w:ascii="Book Antiqua" w:hAnsi="Book Antiqua"/>
          <w:sz w:val="24"/>
          <w:szCs w:val="24"/>
        </w:rPr>
        <w:t xml:space="preserve">egistry </w:t>
      </w:r>
      <w:r w:rsidR="00BD2C1E">
        <w:rPr>
          <w:rFonts w:ascii="Book Antiqua" w:hAnsi="Book Antiqua"/>
          <w:sz w:val="24"/>
          <w:szCs w:val="24"/>
        </w:rPr>
        <w:t xml:space="preserve">lawyer </w:t>
      </w:r>
      <w:r w:rsidR="007E2FEA">
        <w:rPr>
          <w:rFonts w:ascii="Book Antiqua" w:hAnsi="Book Antiqua"/>
          <w:sz w:val="24"/>
          <w:szCs w:val="24"/>
        </w:rPr>
        <w:t>to contact parties by email prior to a List directions day.  Accordingly, a valid email address is required for all parties or their legal representatives.</w:t>
      </w:r>
    </w:p>
    <w:p w14:paraId="726058C4" w14:textId="77777777" w:rsidR="00472502" w:rsidRPr="00BD2C1E" w:rsidRDefault="00472502" w:rsidP="00A82B6F">
      <w:pPr>
        <w:spacing w:before="120" w:after="120"/>
        <w:jc w:val="both"/>
        <w:rPr>
          <w:rFonts w:ascii="Book Antiqua" w:hAnsi="Book Antiqua"/>
          <w:b/>
        </w:rPr>
      </w:pPr>
    </w:p>
    <w:p w14:paraId="753A57C7" w14:textId="77777777" w:rsidR="00472502" w:rsidRPr="000B55F5" w:rsidRDefault="00472502" w:rsidP="00A82B6F">
      <w:pPr>
        <w:pStyle w:val="ListParagraph"/>
        <w:keepNext/>
        <w:numPr>
          <w:ilvl w:val="0"/>
          <w:numId w:val="30"/>
        </w:numPr>
        <w:autoSpaceDE w:val="0"/>
        <w:autoSpaceDN w:val="0"/>
        <w:adjustRightInd w:val="0"/>
        <w:spacing w:before="120" w:after="120"/>
        <w:contextualSpacing w:val="0"/>
        <w:rPr>
          <w:rFonts w:ascii="Book Antiqua" w:hAnsi="Book Antiqua"/>
          <w:b/>
        </w:rPr>
      </w:pPr>
      <w:r w:rsidRPr="000B55F5">
        <w:rPr>
          <w:rFonts w:ascii="Book Antiqua" w:hAnsi="Book Antiqua"/>
          <w:b/>
          <w:sz w:val="24"/>
          <w:szCs w:val="24"/>
        </w:rPr>
        <w:t xml:space="preserve">FURTHER INFORMATION </w:t>
      </w:r>
    </w:p>
    <w:p w14:paraId="5A4661CE" w14:textId="58164333" w:rsidR="00472502" w:rsidRPr="00F45790" w:rsidRDefault="00472502" w:rsidP="00A82B6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sidRPr="00F45790">
        <w:rPr>
          <w:rFonts w:ascii="Book Antiqua" w:hAnsi="Book Antiqua"/>
          <w:sz w:val="24"/>
          <w:szCs w:val="24"/>
        </w:rPr>
        <w:t>The Court’s website (</w:t>
      </w:r>
      <w:hyperlink r:id="rId20" w:history="1">
        <w:r w:rsidRPr="00E3694A">
          <w:rPr>
            <w:rStyle w:val="Hyperlink"/>
            <w:rFonts w:ascii="Book Antiqua" w:hAnsi="Book Antiqua"/>
            <w:sz w:val="24"/>
            <w:szCs w:val="24"/>
          </w:rPr>
          <w:t>www.supremecourt.vic.gov.au</w:t>
        </w:r>
      </w:hyperlink>
      <w:r w:rsidRPr="00F45790">
        <w:rPr>
          <w:rFonts w:ascii="Book Antiqua" w:hAnsi="Book Antiqua"/>
          <w:sz w:val="24"/>
          <w:szCs w:val="24"/>
        </w:rPr>
        <w:t xml:space="preserve">) includes a </w:t>
      </w:r>
      <w:hyperlink r:id="rId21" w:history="1">
        <w:r w:rsidRPr="00E3694A">
          <w:rPr>
            <w:rStyle w:val="Hyperlink"/>
            <w:rFonts w:ascii="Book Antiqua" w:hAnsi="Book Antiqua"/>
            <w:sz w:val="24"/>
            <w:szCs w:val="24"/>
          </w:rPr>
          <w:t>page dedicated to the List</w:t>
        </w:r>
      </w:hyperlink>
      <w:r w:rsidRPr="00F45790">
        <w:rPr>
          <w:rFonts w:ascii="Book Antiqua" w:hAnsi="Book Antiqua"/>
          <w:sz w:val="24"/>
          <w:szCs w:val="24"/>
        </w:rPr>
        <w:t xml:space="preserve"> with up to date information about the operation of the List </w:t>
      </w:r>
      <w:r w:rsidR="00E570EC">
        <w:rPr>
          <w:rFonts w:ascii="Book Antiqua" w:hAnsi="Book Antiqua"/>
          <w:sz w:val="24"/>
          <w:szCs w:val="24"/>
        </w:rPr>
        <w:t>including</w:t>
      </w:r>
      <w:r w:rsidRPr="00F45790">
        <w:rPr>
          <w:rFonts w:ascii="Book Antiqua" w:hAnsi="Book Antiqua"/>
          <w:sz w:val="24"/>
          <w:szCs w:val="24"/>
        </w:rPr>
        <w:t xml:space="preserve">: </w:t>
      </w:r>
    </w:p>
    <w:p w14:paraId="67C37B23" w14:textId="218F3938" w:rsidR="00E570EC" w:rsidRDefault="00472502" w:rsidP="00A82B6F">
      <w:pPr>
        <w:spacing w:before="120" w:after="120"/>
        <w:ind w:firstLine="720"/>
        <w:rPr>
          <w:rFonts w:ascii="Book Antiqua" w:hAnsi="Book Antiqua"/>
        </w:rPr>
      </w:pPr>
      <w:r w:rsidRPr="000B55F5">
        <w:rPr>
          <w:rFonts w:ascii="Book Antiqua" w:hAnsi="Book Antiqua"/>
        </w:rPr>
        <w:t>a)</w:t>
      </w:r>
      <w:r w:rsidR="00E570EC">
        <w:rPr>
          <w:rFonts w:ascii="Book Antiqua" w:hAnsi="Book Antiqua"/>
        </w:rPr>
        <w:t xml:space="preserve"> Judicial officers managing the List;</w:t>
      </w:r>
      <w:r w:rsidRPr="000B55F5">
        <w:rPr>
          <w:rFonts w:ascii="Book Antiqua" w:hAnsi="Book Antiqua"/>
        </w:rPr>
        <w:t xml:space="preserve"> </w:t>
      </w:r>
    </w:p>
    <w:p w14:paraId="59D483D6" w14:textId="49F29E63" w:rsidR="00C26ECD" w:rsidRPr="000B55F5" w:rsidRDefault="00E570EC" w:rsidP="00A82B6F">
      <w:pPr>
        <w:spacing w:before="120" w:after="120"/>
        <w:ind w:firstLine="720"/>
        <w:rPr>
          <w:rFonts w:ascii="Book Antiqua" w:hAnsi="Book Antiqua"/>
        </w:rPr>
      </w:pPr>
      <w:r>
        <w:rPr>
          <w:rFonts w:ascii="Book Antiqua" w:hAnsi="Book Antiqua"/>
        </w:rPr>
        <w:t>b) t</w:t>
      </w:r>
      <w:r w:rsidR="00472502" w:rsidRPr="000B55F5">
        <w:rPr>
          <w:rFonts w:ascii="Book Antiqua" w:hAnsi="Book Antiqua"/>
        </w:rPr>
        <w:t xml:space="preserve">his Practice Note in </w:t>
      </w:r>
      <w:r>
        <w:rPr>
          <w:rFonts w:ascii="Book Antiqua" w:hAnsi="Book Antiqua"/>
        </w:rPr>
        <w:t xml:space="preserve">Word </w:t>
      </w:r>
      <w:r w:rsidR="00472502" w:rsidRPr="000B55F5">
        <w:rPr>
          <w:rFonts w:ascii="Book Antiqua" w:hAnsi="Book Antiqua"/>
        </w:rPr>
        <w:t xml:space="preserve">and </w:t>
      </w:r>
      <w:r>
        <w:rPr>
          <w:rFonts w:ascii="Book Antiqua" w:hAnsi="Book Antiqua"/>
        </w:rPr>
        <w:t xml:space="preserve">PDF </w:t>
      </w:r>
      <w:r w:rsidR="00472502" w:rsidRPr="000B55F5">
        <w:rPr>
          <w:rFonts w:ascii="Book Antiqua" w:hAnsi="Book Antiqua"/>
        </w:rPr>
        <w:t xml:space="preserve">formats; </w:t>
      </w:r>
    </w:p>
    <w:p w14:paraId="609746E8" w14:textId="691CE613" w:rsidR="00C26ECD" w:rsidRDefault="00E570EC" w:rsidP="00A82B6F">
      <w:pPr>
        <w:spacing w:before="120" w:after="120"/>
        <w:ind w:left="720"/>
        <w:rPr>
          <w:rFonts w:ascii="Book Antiqua" w:hAnsi="Book Antiqua"/>
        </w:rPr>
      </w:pPr>
      <w:r>
        <w:rPr>
          <w:rFonts w:ascii="Book Antiqua" w:hAnsi="Book Antiqua"/>
        </w:rPr>
        <w:t>c</w:t>
      </w:r>
      <w:r w:rsidR="00472502" w:rsidRPr="000B55F5">
        <w:rPr>
          <w:rFonts w:ascii="Book Antiqua" w:hAnsi="Book Antiqua"/>
        </w:rPr>
        <w:t xml:space="preserve">) </w:t>
      </w:r>
      <w:r w:rsidR="00C26ECD">
        <w:rPr>
          <w:rFonts w:ascii="Book Antiqua" w:hAnsi="Book Antiqua"/>
        </w:rPr>
        <w:t>g</w:t>
      </w:r>
      <w:r w:rsidR="00CA7753">
        <w:rPr>
          <w:rFonts w:ascii="Book Antiqua" w:hAnsi="Book Antiqua"/>
        </w:rPr>
        <w:t>uidelines for standard orders made in proceedings in the List</w:t>
      </w:r>
      <w:r w:rsidR="00C26ECD">
        <w:rPr>
          <w:rFonts w:ascii="Book Antiqua" w:hAnsi="Book Antiqua"/>
        </w:rPr>
        <w:t>; and</w:t>
      </w:r>
    </w:p>
    <w:p w14:paraId="2FD2A184" w14:textId="14B34BFC" w:rsidR="00472502" w:rsidRDefault="00C26ECD" w:rsidP="00A82B6F">
      <w:pPr>
        <w:spacing w:before="120" w:after="120"/>
        <w:ind w:left="720"/>
        <w:rPr>
          <w:rFonts w:ascii="Book Antiqua" w:hAnsi="Book Antiqua"/>
        </w:rPr>
      </w:pPr>
      <w:r>
        <w:rPr>
          <w:rFonts w:ascii="Book Antiqua" w:hAnsi="Book Antiqua"/>
        </w:rPr>
        <w:t>d) the Trusts, Equity and Probate List Hearing Date Information Form.</w:t>
      </w:r>
    </w:p>
    <w:p w14:paraId="7A8ADF05" w14:textId="77777777" w:rsidR="00525B9D" w:rsidRPr="00525B9D" w:rsidRDefault="00525B9D" w:rsidP="00A82B6F">
      <w:pPr>
        <w:spacing w:before="120" w:after="120"/>
        <w:jc w:val="both"/>
        <w:rPr>
          <w:rFonts w:ascii="Book Antiqua" w:hAnsi="Book Antiqua"/>
          <w:b/>
        </w:rPr>
      </w:pPr>
    </w:p>
    <w:p w14:paraId="518B99D8" w14:textId="77777777" w:rsidR="003817CD" w:rsidRPr="001F71F4" w:rsidRDefault="00277B7B" w:rsidP="00A82B6F">
      <w:pPr>
        <w:autoSpaceDE w:val="0"/>
        <w:autoSpaceDN w:val="0"/>
        <w:adjustRightInd w:val="0"/>
        <w:spacing w:before="120" w:after="120"/>
        <w:jc w:val="both"/>
        <w:rPr>
          <w:rFonts w:ascii="Book Antiqua" w:hAnsi="Book Antiqua"/>
          <w:b/>
        </w:rPr>
      </w:pPr>
      <w:r w:rsidRPr="001F71F4">
        <w:rPr>
          <w:rFonts w:ascii="Book Antiqua" w:hAnsi="Book Antiqua"/>
          <w:b/>
        </w:rPr>
        <w:t>AMENDMENT HISTORY</w:t>
      </w:r>
    </w:p>
    <w:p w14:paraId="32AEE249" w14:textId="3D76B74C" w:rsidR="00C26ECD" w:rsidRPr="00277B7B" w:rsidRDefault="00991A3F" w:rsidP="00A82B6F">
      <w:pPr>
        <w:spacing w:before="120" w:after="120"/>
        <w:jc w:val="both"/>
        <w:rPr>
          <w:rFonts w:ascii="Book Antiqua" w:hAnsi="Book Antiqua"/>
        </w:rPr>
      </w:pPr>
      <w:r>
        <w:rPr>
          <w:rFonts w:ascii="Book Antiqua" w:hAnsi="Book Antiqua"/>
        </w:rPr>
        <w:t>30</w:t>
      </w:r>
      <w:r w:rsidR="00277B7B" w:rsidRPr="00277B7B">
        <w:rPr>
          <w:rFonts w:ascii="Book Antiqua" w:hAnsi="Book Antiqua"/>
        </w:rPr>
        <w:t xml:space="preserve"> </w:t>
      </w:r>
      <w:r w:rsidR="00472502">
        <w:rPr>
          <w:rFonts w:ascii="Book Antiqua" w:hAnsi="Book Antiqua"/>
        </w:rPr>
        <w:t>January</w:t>
      </w:r>
      <w:r w:rsidR="00472502" w:rsidRPr="00277B7B">
        <w:rPr>
          <w:rFonts w:ascii="Book Antiqua" w:hAnsi="Book Antiqua"/>
        </w:rPr>
        <w:t xml:space="preserve"> 201</w:t>
      </w:r>
      <w:r w:rsidR="00472502">
        <w:rPr>
          <w:rFonts w:ascii="Book Antiqua" w:hAnsi="Book Antiqua"/>
        </w:rPr>
        <w:t>7</w:t>
      </w:r>
      <w:r w:rsidR="00277B7B" w:rsidRPr="00277B7B">
        <w:rPr>
          <w:rFonts w:ascii="Book Antiqua" w:hAnsi="Book Antiqua"/>
        </w:rPr>
        <w:t xml:space="preserve">: </w:t>
      </w:r>
      <w:r w:rsidR="00174C12">
        <w:rPr>
          <w:rFonts w:ascii="Book Antiqua" w:hAnsi="Book Antiqua"/>
        </w:rPr>
        <w:t>Practice Note CL 6</w:t>
      </w:r>
      <w:r>
        <w:rPr>
          <w:rFonts w:ascii="Book Antiqua" w:hAnsi="Book Antiqua"/>
        </w:rPr>
        <w:t xml:space="preserve"> was issued on 30</w:t>
      </w:r>
      <w:r w:rsidR="00277B7B">
        <w:rPr>
          <w:rFonts w:ascii="Book Antiqua" w:hAnsi="Book Antiqua"/>
        </w:rPr>
        <w:t xml:space="preserve"> </w:t>
      </w:r>
      <w:r w:rsidR="00472502">
        <w:rPr>
          <w:rFonts w:ascii="Book Antiqua" w:hAnsi="Book Antiqua"/>
        </w:rPr>
        <w:t xml:space="preserve">January 2017 </w:t>
      </w:r>
      <w:r w:rsidR="00277B7B">
        <w:rPr>
          <w:rFonts w:ascii="Book Antiqua" w:hAnsi="Book Antiqua"/>
        </w:rPr>
        <w:t xml:space="preserve">and </w:t>
      </w:r>
      <w:r w:rsidR="00277B7B" w:rsidRPr="00277B7B">
        <w:rPr>
          <w:rFonts w:ascii="Book Antiqua" w:hAnsi="Book Antiqua"/>
        </w:rPr>
        <w:t>replace</w:t>
      </w:r>
      <w:r w:rsidR="00277B7B">
        <w:rPr>
          <w:rFonts w:ascii="Book Antiqua" w:hAnsi="Book Antiqua"/>
        </w:rPr>
        <w:t>d</w:t>
      </w:r>
      <w:r w:rsidR="00277B7B" w:rsidRPr="00277B7B">
        <w:rPr>
          <w:rFonts w:ascii="Book Antiqua" w:hAnsi="Book Antiqua"/>
        </w:rPr>
        <w:t xml:space="preserve"> Practice Note</w:t>
      </w:r>
      <w:r w:rsidR="00D00C42">
        <w:rPr>
          <w:rFonts w:ascii="Book Antiqua" w:hAnsi="Book Antiqua"/>
        </w:rPr>
        <w:t xml:space="preserve"> No </w:t>
      </w:r>
      <w:r w:rsidR="007F3710">
        <w:rPr>
          <w:rFonts w:ascii="Book Antiqua" w:hAnsi="Book Antiqua"/>
        </w:rPr>
        <w:t>6</w:t>
      </w:r>
      <w:r w:rsidR="00D00C42">
        <w:rPr>
          <w:rFonts w:ascii="Book Antiqua" w:hAnsi="Book Antiqua"/>
        </w:rPr>
        <w:t xml:space="preserve"> of 201</w:t>
      </w:r>
      <w:r w:rsidR="007F3710">
        <w:rPr>
          <w:rFonts w:ascii="Book Antiqua" w:hAnsi="Book Antiqua"/>
        </w:rPr>
        <w:t>6</w:t>
      </w:r>
      <w:r w:rsidR="00D00C42">
        <w:rPr>
          <w:rFonts w:ascii="Book Antiqua" w:hAnsi="Book Antiqua"/>
        </w:rPr>
        <w:t>.</w:t>
      </w:r>
    </w:p>
    <w:p w14:paraId="511027D0" w14:textId="482E9288" w:rsidR="00AB3FFA" w:rsidRDefault="00174C12" w:rsidP="00A82B6F">
      <w:pPr>
        <w:spacing w:before="120" w:after="120"/>
        <w:jc w:val="both"/>
        <w:rPr>
          <w:rFonts w:ascii="Book Antiqua" w:hAnsi="Book Antiqua"/>
        </w:rPr>
      </w:pPr>
      <w:r>
        <w:rPr>
          <w:rFonts w:ascii="Book Antiqua" w:hAnsi="Book Antiqua"/>
        </w:rPr>
        <w:t>12</w:t>
      </w:r>
      <w:r w:rsidR="00F86501">
        <w:rPr>
          <w:rFonts w:ascii="Book Antiqua" w:hAnsi="Book Antiqua"/>
        </w:rPr>
        <w:t xml:space="preserve"> September </w:t>
      </w:r>
      <w:r>
        <w:rPr>
          <w:rFonts w:ascii="Book Antiqua" w:hAnsi="Book Antiqua"/>
        </w:rPr>
        <w:t>2018: Practice Note CL 6 was reissued with amendments to paragraphs 2, 5, 6, 7, 10 and 12 replacing the version issued on 30 January 2017.</w:t>
      </w:r>
    </w:p>
    <w:p w14:paraId="1755267B" w14:textId="1DFC9A6A" w:rsidR="00A82B6F" w:rsidRPr="007917BE" w:rsidRDefault="00A82B6F" w:rsidP="00A82B6F">
      <w:pPr>
        <w:spacing w:before="120" w:after="120"/>
        <w:jc w:val="both"/>
        <w:rPr>
          <w:rFonts w:ascii="Book Antiqua" w:hAnsi="Book Antiqua"/>
        </w:rPr>
      </w:pPr>
    </w:p>
    <w:p w14:paraId="73D43232" w14:textId="4F663FD5" w:rsidR="00AB3FFA" w:rsidRPr="007917BE" w:rsidRDefault="00E570EC" w:rsidP="00A82B6F">
      <w:pPr>
        <w:spacing w:before="120" w:after="120"/>
        <w:ind w:left="720" w:hanging="720"/>
        <w:jc w:val="right"/>
        <w:rPr>
          <w:rFonts w:ascii="Book Antiqua" w:hAnsi="Book Antiqua"/>
        </w:rPr>
      </w:pPr>
      <w:r>
        <w:rPr>
          <w:rFonts w:ascii="Book Antiqua" w:hAnsi="Book Antiqua"/>
        </w:rPr>
        <w:t>Vivienne Macgillivray</w:t>
      </w:r>
    </w:p>
    <w:p w14:paraId="2E96ADFD" w14:textId="77777777" w:rsidR="00AB3FFA" w:rsidRPr="007917BE" w:rsidRDefault="00AB3FFA" w:rsidP="00A82B6F">
      <w:pPr>
        <w:spacing w:before="120" w:after="120"/>
        <w:ind w:left="720" w:hanging="720"/>
        <w:jc w:val="right"/>
        <w:rPr>
          <w:rFonts w:ascii="Book Antiqua" w:hAnsi="Book Antiqua"/>
        </w:rPr>
      </w:pPr>
      <w:r w:rsidRPr="007917BE">
        <w:rPr>
          <w:rFonts w:ascii="Book Antiqua" w:hAnsi="Book Antiqua"/>
        </w:rPr>
        <w:t>Executive Associate to the Chief Justice</w:t>
      </w:r>
    </w:p>
    <w:p w14:paraId="5229D291" w14:textId="7B92EDB9" w:rsidR="003639B5" w:rsidRPr="00A5717F" w:rsidRDefault="00174C12" w:rsidP="00A82B6F">
      <w:pPr>
        <w:spacing w:before="120" w:after="120"/>
        <w:ind w:left="720" w:hanging="720"/>
        <w:jc w:val="right"/>
      </w:pPr>
      <w:r>
        <w:rPr>
          <w:rFonts w:ascii="Book Antiqua" w:hAnsi="Book Antiqua"/>
        </w:rPr>
        <w:t>12 September 2018</w:t>
      </w:r>
    </w:p>
    <w:sectPr w:rsidR="003639B5" w:rsidRPr="00A5717F" w:rsidSect="003817CD">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63B21" w14:textId="77777777" w:rsidR="00F96530" w:rsidRDefault="00F96530">
      <w:r>
        <w:separator/>
      </w:r>
    </w:p>
  </w:endnote>
  <w:endnote w:type="continuationSeparator" w:id="0">
    <w:p w14:paraId="43BF39EE" w14:textId="77777777" w:rsidR="00F96530" w:rsidRDefault="00F96530">
      <w:r>
        <w:continuationSeparator/>
      </w:r>
    </w:p>
  </w:endnote>
  <w:endnote w:type="continuationNotice" w:id="1">
    <w:p w14:paraId="1210AD19" w14:textId="77777777" w:rsidR="00F96530" w:rsidRDefault="00F96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66365" w14:textId="77777777" w:rsidR="00B95240" w:rsidRDefault="00B95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1E8C3" w14:textId="36E64066" w:rsidR="002D6E79" w:rsidRDefault="002D6E79">
    <w:pPr>
      <w:pStyle w:val="Footer"/>
      <w:jc w:val="right"/>
    </w:pPr>
    <w:r>
      <w:fldChar w:fldCharType="begin"/>
    </w:r>
    <w:r>
      <w:instrText xml:space="preserve"> PAGE   \* MERGEFORMAT </w:instrText>
    </w:r>
    <w:r>
      <w:fldChar w:fldCharType="separate"/>
    </w:r>
    <w:r w:rsidR="00C47AD1">
      <w:rPr>
        <w:noProof/>
      </w:rPr>
      <w:t>1</w:t>
    </w:r>
    <w:r>
      <w:rPr>
        <w:noProof/>
      </w:rPr>
      <w:fldChar w:fldCharType="end"/>
    </w:r>
  </w:p>
  <w:p w14:paraId="491B2960" w14:textId="77777777" w:rsidR="002D6E79" w:rsidRDefault="002D6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FC428" w14:textId="77777777" w:rsidR="00B95240" w:rsidRDefault="00B95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04858" w14:textId="77777777" w:rsidR="00F96530" w:rsidRDefault="00F96530">
      <w:r>
        <w:separator/>
      </w:r>
    </w:p>
  </w:footnote>
  <w:footnote w:type="continuationSeparator" w:id="0">
    <w:p w14:paraId="56E933F7" w14:textId="77777777" w:rsidR="00F96530" w:rsidRDefault="00F96530">
      <w:r>
        <w:continuationSeparator/>
      </w:r>
    </w:p>
  </w:footnote>
  <w:footnote w:type="continuationNotice" w:id="1">
    <w:p w14:paraId="56837595" w14:textId="77777777" w:rsidR="00F96530" w:rsidRDefault="00F965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AEF6" w14:textId="77777777" w:rsidR="00B95240" w:rsidRDefault="00B95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18F53" w14:textId="305DEA60" w:rsidR="00B95240" w:rsidRDefault="00B952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EF6C" w14:textId="77777777" w:rsidR="00B95240" w:rsidRDefault="00B95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DE8A0A68"/>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8F96B8F"/>
    <w:multiLevelType w:val="hybridMultilevel"/>
    <w:tmpl w:val="20E4415E"/>
    <w:lvl w:ilvl="0" w:tplc="38A8D8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02627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FD39CB"/>
    <w:multiLevelType w:val="hybridMultilevel"/>
    <w:tmpl w:val="85C8D9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8A54FA0"/>
    <w:multiLevelType w:val="hybridMultilevel"/>
    <w:tmpl w:val="CBA894F6"/>
    <w:lvl w:ilvl="0" w:tplc="7EAAC6A2">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6"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7"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251DF9"/>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1AD4F49"/>
    <w:multiLevelType w:val="multilevel"/>
    <w:tmpl w:val="BA0AB852"/>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AD511D"/>
    <w:multiLevelType w:val="hybridMultilevel"/>
    <w:tmpl w:val="3F143572"/>
    <w:lvl w:ilvl="0" w:tplc="38A8D84E">
      <w:start w:val="1"/>
      <w:numFmt w:val="lowerLetter"/>
      <w:lvlText w:val="(%1)"/>
      <w:lvlJc w:val="left"/>
      <w:pPr>
        <w:ind w:left="720" w:hanging="360"/>
      </w:pPr>
      <w:rPr>
        <w:rFonts w:hint="default"/>
      </w:rPr>
    </w:lvl>
    <w:lvl w:ilvl="1" w:tplc="38A8D84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936F5E"/>
    <w:multiLevelType w:val="multilevel"/>
    <w:tmpl w:val="88CEB18E"/>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EA34E3C"/>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0E66BFC"/>
    <w:multiLevelType w:val="multilevel"/>
    <w:tmpl w:val="86BC648C"/>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B24A30"/>
    <w:multiLevelType w:val="multilevel"/>
    <w:tmpl w:val="AD96E62A"/>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9631B2"/>
    <w:multiLevelType w:val="multilevel"/>
    <w:tmpl w:val="FF748DE8"/>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F06B8F"/>
    <w:multiLevelType w:val="hybridMultilevel"/>
    <w:tmpl w:val="E01E5D62"/>
    <w:lvl w:ilvl="0" w:tplc="0C090001">
      <w:start w:val="1"/>
      <w:numFmt w:val="bullet"/>
      <w:lvlText w:val=""/>
      <w:lvlJc w:val="left"/>
      <w:pPr>
        <w:ind w:left="720" w:hanging="360"/>
      </w:pPr>
      <w:rPr>
        <w:rFonts w:ascii="Symbol" w:hAnsi="Symbol" w:hint="default"/>
      </w:rPr>
    </w:lvl>
    <w:lvl w:ilvl="1" w:tplc="38A8D84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31"/>
  </w:num>
  <w:num w:numId="2">
    <w:abstractNumId w:val="11"/>
  </w:num>
  <w:num w:numId="3">
    <w:abstractNumId w:val="26"/>
  </w:num>
  <w:num w:numId="4">
    <w:abstractNumId w:val="36"/>
  </w:num>
  <w:num w:numId="5">
    <w:abstractNumId w:val="9"/>
  </w:num>
  <w:num w:numId="6">
    <w:abstractNumId w:val="28"/>
  </w:num>
  <w:num w:numId="7">
    <w:abstractNumId w:val="30"/>
  </w:num>
  <w:num w:numId="8">
    <w:abstractNumId w:val="20"/>
  </w:num>
  <w:num w:numId="9">
    <w:abstractNumId w:val="2"/>
  </w:num>
  <w:num w:numId="10">
    <w:abstractNumId w:val="17"/>
  </w:num>
  <w:num w:numId="11">
    <w:abstractNumId w:val="24"/>
  </w:num>
  <w:num w:numId="12">
    <w:abstractNumId w:val="27"/>
  </w:num>
  <w:num w:numId="13">
    <w:abstractNumId w:val="4"/>
  </w:num>
  <w:num w:numId="14">
    <w:abstractNumId w:val="3"/>
  </w:num>
  <w:num w:numId="15">
    <w:abstractNumId w:val="12"/>
  </w:num>
  <w:num w:numId="16">
    <w:abstractNumId w:val="0"/>
  </w:num>
  <w:num w:numId="17">
    <w:abstractNumId w:val="10"/>
  </w:num>
  <w:num w:numId="18">
    <w:abstractNumId w:val="29"/>
  </w:num>
  <w:num w:numId="19">
    <w:abstractNumId w:val="7"/>
  </w:num>
  <w:num w:numId="20">
    <w:abstractNumId w:val="6"/>
  </w:num>
  <w:num w:numId="21">
    <w:abstractNumId w:val="16"/>
  </w:num>
  <w:num w:numId="22">
    <w:abstractNumId w:val="14"/>
  </w:num>
  <w:num w:numId="23">
    <w:abstractNumId w:val="18"/>
  </w:num>
  <w:num w:numId="24">
    <w:abstractNumId w:val="1"/>
  </w:num>
  <w:num w:numId="25">
    <w:abstractNumId w:val="25"/>
  </w:num>
  <w:num w:numId="26">
    <w:abstractNumId w:val="32"/>
  </w:num>
  <w:num w:numId="27">
    <w:abstractNumId w:val="8"/>
  </w:num>
  <w:num w:numId="28">
    <w:abstractNumId w:val="18"/>
    <w:lvlOverride w:ilvl="0">
      <w:lvl w:ilvl="0">
        <w:start w:val="1"/>
        <w:numFmt w:val="decimal"/>
        <w:lvlText w:val="%1"/>
        <w:lvlJc w:val="left"/>
        <w:pPr>
          <w:ind w:left="720" w:hanging="720"/>
        </w:pPr>
        <w:rPr>
          <w:rFonts w:hint="default"/>
        </w:rPr>
      </w:lvl>
    </w:lvlOverride>
    <w:lvlOverride w:ilvl="1">
      <w:lvl w:ilvl="1">
        <w:start w:val="1"/>
        <w:numFmt w:val="none"/>
        <w:lvlText w:val="4.1"/>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9">
    <w:abstractNumId w:val="19"/>
  </w:num>
  <w:num w:numId="30">
    <w:abstractNumId w:val="34"/>
  </w:num>
  <w:num w:numId="31">
    <w:abstractNumId w:val="33"/>
  </w:num>
  <w:num w:numId="32">
    <w:abstractNumId w:val="21"/>
  </w:num>
  <w:num w:numId="33">
    <w:abstractNumId w:val="35"/>
  </w:num>
  <w:num w:numId="34">
    <w:abstractNumId w:val="13"/>
  </w:num>
  <w:num w:numId="35">
    <w:abstractNumId w:val="5"/>
  </w:num>
  <w:num w:numId="36">
    <w:abstractNumId w:val="22"/>
  </w:num>
  <w:num w:numId="37">
    <w:abstractNumId w:val="23"/>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3CA3"/>
    <w:rsid w:val="0000566C"/>
    <w:rsid w:val="00007DBA"/>
    <w:rsid w:val="00011020"/>
    <w:rsid w:val="000117C7"/>
    <w:rsid w:val="000118DD"/>
    <w:rsid w:val="0001288E"/>
    <w:rsid w:val="000128D0"/>
    <w:rsid w:val="00013D3B"/>
    <w:rsid w:val="00014B10"/>
    <w:rsid w:val="00020BEC"/>
    <w:rsid w:val="0003306E"/>
    <w:rsid w:val="00034D85"/>
    <w:rsid w:val="00035057"/>
    <w:rsid w:val="00036894"/>
    <w:rsid w:val="00037D26"/>
    <w:rsid w:val="00043448"/>
    <w:rsid w:val="00055F43"/>
    <w:rsid w:val="000566C3"/>
    <w:rsid w:val="00070CA2"/>
    <w:rsid w:val="00070D66"/>
    <w:rsid w:val="00071A96"/>
    <w:rsid w:val="00073139"/>
    <w:rsid w:val="00073769"/>
    <w:rsid w:val="00077863"/>
    <w:rsid w:val="00081A41"/>
    <w:rsid w:val="00095BA5"/>
    <w:rsid w:val="000A1DE7"/>
    <w:rsid w:val="000A4517"/>
    <w:rsid w:val="000A4F62"/>
    <w:rsid w:val="000A5456"/>
    <w:rsid w:val="000A553C"/>
    <w:rsid w:val="000A6B76"/>
    <w:rsid w:val="000B2E54"/>
    <w:rsid w:val="000B5F50"/>
    <w:rsid w:val="000C0998"/>
    <w:rsid w:val="000C1777"/>
    <w:rsid w:val="000C2CE1"/>
    <w:rsid w:val="000C54A9"/>
    <w:rsid w:val="000C5F4B"/>
    <w:rsid w:val="000C75E1"/>
    <w:rsid w:val="000D07F1"/>
    <w:rsid w:val="000D0AC4"/>
    <w:rsid w:val="000D3250"/>
    <w:rsid w:val="000D5E28"/>
    <w:rsid w:val="000D7A64"/>
    <w:rsid w:val="000E12FA"/>
    <w:rsid w:val="000E524A"/>
    <w:rsid w:val="000F3B18"/>
    <w:rsid w:val="000F6EA7"/>
    <w:rsid w:val="00100006"/>
    <w:rsid w:val="00101EC5"/>
    <w:rsid w:val="001033CC"/>
    <w:rsid w:val="0011781F"/>
    <w:rsid w:val="00121C72"/>
    <w:rsid w:val="00125C07"/>
    <w:rsid w:val="0013250F"/>
    <w:rsid w:val="00133A51"/>
    <w:rsid w:val="001344BA"/>
    <w:rsid w:val="00140683"/>
    <w:rsid w:val="00143136"/>
    <w:rsid w:val="00143818"/>
    <w:rsid w:val="00144DAA"/>
    <w:rsid w:val="00145C92"/>
    <w:rsid w:val="00145D28"/>
    <w:rsid w:val="0014603C"/>
    <w:rsid w:val="00146054"/>
    <w:rsid w:val="0015063E"/>
    <w:rsid w:val="00155A8E"/>
    <w:rsid w:val="0015650D"/>
    <w:rsid w:val="0016054E"/>
    <w:rsid w:val="00161B6C"/>
    <w:rsid w:val="00161CA2"/>
    <w:rsid w:val="001716EF"/>
    <w:rsid w:val="00174C12"/>
    <w:rsid w:val="0018061B"/>
    <w:rsid w:val="00182C1F"/>
    <w:rsid w:val="00186E37"/>
    <w:rsid w:val="001913C5"/>
    <w:rsid w:val="00194089"/>
    <w:rsid w:val="00194A80"/>
    <w:rsid w:val="00197CA4"/>
    <w:rsid w:val="00197D01"/>
    <w:rsid w:val="001A22B3"/>
    <w:rsid w:val="001A5036"/>
    <w:rsid w:val="001A5B39"/>
    <w:rsid w:val="001A667F"/>
    <w:rsid w:val="001A7651"/>
    <w:rsid w:val="001B2E88"/>
    <w:rsid w:val="001B3484"/>
    <w:rsid w:val="001B4283"/>
    <w:rsid w:val="001B7E2C"/>
    <w:rsid w:val="001C116C"/>
    <w:rsid w:val="001C2F4B"/>
    <w:rsid w:val="001E0318"/>
    <w:rsid w:val="001E1418"/>
    <w:rsid w:val="001F41DF"/>
    <w:rsid w:val="001F71F4"/>
    <w:rsid w:val="00207367"/>
    <w:rsid w:val="002161B3"/>
    <w:rsid w:val="00216DCF"/>
    <w:rsid w:val="00217758"/>
    <w:rsid w:val="00217E88"/>
    <w:rsid w:val="002218C5"/>
    <w:rsid w:val="00222544"/>
    <w:rsid w:val="0022666D"/>
    <w:rsid w:val="0023426A"/>
    <w:rsid w:val="00234B7B"/>
    <w:rsid w:val="002361DF"/>
    <w:rsid w:val="00240BF5"/>
    <w:rsid w:val="00241A4E"/>
    <w:rsid w:val="00245746"/>
    <w:rsid w:val="00247F50"/>
    <w:rsid w:val="002572C2"/>
    <w:rsid w:val="00257589"/>
    <w:rsid w:val="0026005D"/>
    <w:rsid w:val="00265BF9"/>
    <w:rsid w:val="00271B59"/>
    <w:rsid w:val="00275A5A"/>
    <w:rsid w:val="00277B7B"/>
    <w:rsid w:val="002812ED"/>
    <w:rsid w:val="0028130B"/>
    <w:rsid w:val="00281E4F"/>
    <w:rsid w:val="002837A9"/>
    <w:rsid w:val="00283C48"/>
    <w:rsid w:val="00294341"/>
    <w:rsid w:val="002B465A"/>
    <w:rsid w:val="002C1134"/>
    <w:rsid w:val="002C13C7"/>
    <w:rsid w:val="002C56E8"/>
    <w:rsid w:val="002D0AB0"/>
    <w:rsid w:val="002D0FD3"/>
    <w:rsid w:val="002D23D8"/>
    <w:rsid w:val="002D6E79"/>
    <w:rsid w:val="002E0F6B"/>
    <w:rsid w:val="002E166C"/>
    <w:rsid w:val="002E5252"/>
    <w:rsid w:val="002E6B43"/>
    <w:rsid w:val="002E7FD2"/>
    <w:rsid w:val="002F406D"/>
    <w:rsid w:val="002F4D7F"/>
    <w:rsid w:val="00300F4B"/>
    <w:rsid w:val="00302981"/>
    <w:rsid w:val="0030352D"/>
    <w:rsid w:val="00305761"/>
    <w:rsid w:val="00307B60"/>
    <w:rsid w:val="00310655"/>
    <w:rsid w:val="00310A32"/>
    <w:rsid w:val="00311051"/>
    <w:rsid w:val="0031222C"/>
    <w:rsid w:val="003166D1"/>
    <w:rsid w:val="003204ED"/>
    <w:rsid w:val="00321C75"/>
    <w:rsid w:val="0032286C"/>
    <w:rsid w:val="00334DD3"/>
    <w:rsid w:val="00340257"/>
    <w:rsid w:val="0034260E"/>
    <w:rsid w:val="00350055"/>
    <w:rsid w:val="003500B9"/>
    <w:rsid w:val="003508E0"/>
    <w:rsid w:val="00353E4C"/>
    <w:rsid w:val="00356593"/>
    <w:rsid w:val="00356969"/>
    <w:rsid w:val="00357A0D"/>
    <w:rsid w:val="003615E5"/>
    <w:rsid w:val="003639B5"/>
    <w:rsid w:val="00365D0E"/>
    <w:rsid w:val="00367AD0"/>
    <w:rsid w:val="003720CC"/>
    <w:rsid w:val="00377999"/>
    <w:rsid w:val="003817CD"/>
    <w:rsid w:val="00381991"/>
    <w:rsid w:val="00381FDA"/>
    <w:rsid w:val="00386C9F"/>
    <w:rsid w:val="00387DB3"/>
    <w:rsid w:val="00391CA0"/>
    <w:rsid w:val="0039260E"/>
    <w:rsid w:val="003945D8"/>
    <w:rsid w:val="00396EF2"/>
    <w:rsid w:val="00397AAE"/>
    <w:rsid w:val="003A0C01"/>
    <w:rsid w:val="003A7A5A"/>
    <w:rsid w:val="003A7E6C"/>
    <w:rsid w:val="003B7248"/>
    <w:rsid w:val="003C07C2"/>
    <w:rsid w:val="003C296B"/>
    <w:rsid w:val="003C343E"/>
    <w:rsid w:val="003C5C64"/>
    <w:rsid w:val="003C62F1"/>
    <w:rsid w:val="003D0A67"/>
    <w:rsid w:val="003D672F"/>
    <w:rsid w:val="003E4C44"/>
    <w:rsid w:val="003E6152"/>
    <w:rsid w:val="003E66CF"/>
    <w:rsid w:val="003F0D9C"/>
    <w:rsid w:val="00400B2E"/>
    <w:rsid w:val="0040410A"/>
    <w:rsid w:val="00404CB0"/>
    <w:rsid w:val="00414B77"/>
    <w:rsid w:val="0042138B"/>
    <w:rsid w:val="00434BEE"/>
    <w:rsid w:val="004361F0"/>
    <w:rsid w:val="00441431"/>
    <w:rsid w:val="004450A6"/>
    <w:rsid w:val="00454495"/>
    <w:rsid w:val="00455D46"/>
    <w:rsid w:val="00461361"/>
    <w:rsid w:val="00471414"/>
    <w:rsid w:val="00472502"/>
    <w:rsid w:val="00474F94"/>
    <w:rsid w:val="00482EBE"/>
    <w:rsid w:val="00483F1E"/>
    <w:rsid w:val="004912F2"/>
    <w:rsid w:val="00492363"/>
    <w:rsid w:val="00494220"/>
    <w:rsid w:val="004946BD"/>
    <w:rsid w:val="0049669C"/>
    <w:rsid w:val="00496F08"/>
    <w:rsid w:val="004B1AC7"/>
    <w:rsid w:val="004B2A72"/>
    <w:rsid w:val="004B3D41"/>
    <w:rsid w:val="004B4458"/>
    <w:rsid w:val="004B5756"/>
    <w:rsid w:val="004B6E9A"/>
    <w:rsid w:val="004C1FFA"/>
    <w:rsid w:val="004C29B1"/>
    <w:rsid w:val="004D07F1"/>
    <w:rsid w:val="004D1112"/>
    <w:rsid w:val="004D2141"/>
    <w:rsid w:val="004E07C3"/>
    <w:rsid w:val="004E1038"/>
    <w:rsid w:val="004E1052"/>
    <w:rsid w:val="004E10CA"/>
    <w:rsid w:val="004E284B"/>
    <w:rsid w:val="004F61E8"/>
    <w:rsid w:val="004F7E81"/>
    <w:rsid w:val="0050429E"/>
    <w:rsid w:val="00506B52"/>
    <w:rsid w:val="00512025"/>
    <w:rsid w:val="005123B0"/>
    <w:rsid w:val="005158D2"/>
    <w:rsid w:val="005173D2"/>
    <w:rsid w:val="00525B9D"/>
    <w:rsid w:val="005278A1"/>
    <w:rsid w:val="00540E14"/>
    <w:rsid w:val="00541EAB"/>
    <w:rsid w:val="00547600"/>
    <w:rsid w:val="00550871"/>
    <w:rsid w:val="005534A5"/>
    <w:rsid w:val="00553534"/>
    <w:rsid w:val="00554A65"/>
    <w:rsid w:val="0055503D"/>
    <w:rsid w:val="00561105"/>
    <w:rsid w:val="0056386C"/>
    <w:rsid w:val="0056389E"/>
    <w:rsid w:val="00565153"/>
    <w:rsid w:val="00565B62"/>
    <w:rsid w:val="00571E15"/>
    <w:rsid w:val="005734DA"/>
    <w:rsid w:val="00575849"/>
    <w:rsid w:val="005825BE"/>
    <w:rsid w:val="00582DAF"/>
    <w:rsid w:val="00584D2C"/>
    <w:rsid w:val="00593530"/>
    <w:rsid w:val="00594C2A"/>
    <w:rsid w:val="005A291A"/>
    <w:rsid w:val="005A386C"/>
    <w:rsid w:val="005A4134"/>
    <w:rsid w:val="005A59BA"/>
    <w:rsid w:val="005A68BF"/>
    <w:rsid w:val="005A6984"/>
    <w:rsid w:val="005B3FF4"/>
    <w:rsid w:val="005B499F"/>
    <w:rsid w:val="005B5CFE"/>
    <w:rsid w:val="005B7E00"/>
    <w:rsid w:val="005C542A"/>
    <w:rsid w:val="005C7F57"/>
    <w:rsid w:val="005D3383"/>
    <w:rsid w:val="005D3478"/>
    <w:rsid w:val="005E04B4"/>
    <w:rsid w:val="005E3BB5"/>
    <w:rsid w:val="005E5273"/>
    <w:rsid w:val="005E704A"/>
    <w:rsid w:val="005F02B1"/>
    <w:rsid w:val="005F067C"/>
    <w:rsid w:val="00607B05"/>
    <w:rsid w:val="006124C3"/>
    <w:rsid w:val="006135A6"/>
    <w:rsid w:val="00613FA8"/>
    <w:rsid w:val="00620D68"/>
    <w:rsid w:val="00625C50"/>
    <w:rsid w:val="00625EFF"/>
    <w:rsid w:val="0062755D"/>
    <w:rsid w:val="00634832"/>
    <w:rsid w:val="00635413"/>
    <w:rsid w:val="00636D64"/>
    <w:rsid w:val="00637EE8"/>
    <w:rsid w:val="0064057F"/>
    <w:rsid w:val="0064143C"/>
    <w:rsid w:val="00641C0A"/>
    <w:rsid w:val="006513DD"/>
    <w:rsid w:val="00655347"/>
    <w:rsid w:val="006613C4"/>
    <w:rsid w:val="00666E4A"/>
    <w:rsid w:val="00666F54"/>
    <w:rsid w:val="006676CA"/>
    <w:rsid w:val="006710C3"/>
    <w:rsid w:val="006763E3"/>
    <w:rsid w:val="00676B57"/>
    <w:rsid w:val="00676CE9"/>
    <w:rsid w:val="0067716A"/>
    <w:rsid w:val="0068364B"/>
    <w:rsid w:val="00686402"/>
    <w:rsid w:val="0069029C"/>
    <w:rsid w:val="00691BC6"/>
    <w:rsid w:val="006921D0"/>
    <w:rsid w:val="00695864"/>
    <w:rsid w:val="006A29AF"/>
    <w:rsid w:val="006A34BA"/>
    <w:rsid w:val="006A386D"/>
    <w:rsid w:val="006A4CCD"/>
    <w:rsid w:val="006A5DA3"/>
    <w:rsid w:val="006A74CE"/>
    <w:rsid w:val="006B0604"/>
    <w:rsid w:val="006B6D97"/>
    <w:rsid w:val="006C03B5"/>
    <w:rsid w:val="006C550C"/>
    <w:rsid w:val="006C55DA"/>
    <w:rsid w:val="006D0F84"/>
    <w:rsid w:val="006D422D"/>
    <w:rsid w:val="006E6E2F"/>
    <w:rsid w:val="006E7E0B"/>
    <w:rsid w:val="006F0255"/>
    <w:rsid w:val="006F0430"/>
    <w:rsid w:val="006F3E76"/>
    <w:rsid w:val="006F3FAF"/>
    <w:rsid w:val="006F5F1C"/>
    <w:rsid w:val="006F60CF"/>
    <w:rsid w:val="006F6748"/>
    <w:rsid w:val="00702F63"/>
    <w:rsid w:val="00704897"/>
    <w:rsid w:val="007068FC"/>
    <w:rsid w:val="007107C6"/>
    <w:rsid w:val="007109D8"/>
    <w:rsid w:val="00715F27"/>
    <w:rsid w:val="0071797E"/>
    <w:rsid w:val="00720BE1"/>
    <w:rsid w:val="00722648"/>
    <w:rsid w:val="00737442"/>
    <w:rsid w:val="00741D9B"/>
    <w:rsid w:val="007453B3"/>
    <w:rsid w:val="00746CB2"/>
    <w:rsid w:val="0074724C"/>
    <w:rsid w:val="007513AE"/>
    <w:rsid w:val="0075230A"/>
    <w:rsid w:val="00752628"/>
    <w:rsid w:val="007548CE"/>
    <w:rsid w:val="00755325"/>
    <w:rsid w:val="00756FE4"/>
    <w:rsid w:val="007602AF"/>
    <w:rsid w:val="00763F55"/>
    <w:rsid w:val="007674B8"/>
    <w:rsid w:val="00767B98"/>
    <w:rsid w:val="00767E01"/>
    <w:rsid w:val="00771C95"/>
    <w:rsid w:val="0077610C"/>
    <w:rsid w:val="00780A47"/>
    <w:rsid w:val="00780F23"/>
    <w:rsid w:val="00784717"/>
    <w:rsid w:val="007917BE"/>
    <w:rsid w:val="007931D1"/>
    <w:rsid w:val="007951CA"/>
    <w:rsid w:val="00796E2E"/>
    <w:rsid w:val="007A0780"/>
    <w:rsid w:val="007A1449"/>
    <w:rsid w:val="007A1D8C"/>
    <w:rsid w:val="007B1869"/>
    <w:rsid w:val="007B3902"/>
    <w:rsid w:val="007C0A8F"/>
    <w:rsid w:val="007C6118"/>
    <w:rsid w:val="007C66C1"/>
    <w:rsid w:val="007D0506"/>
    <w:rsid w:val="007D1D95"/>
    <w:rsid w:val="007D2346"/>
    <w:rsid w:val="007D42ED"/>
    <w:rsid w:val="007E24CA"/>
    <w:rsid w:val="007E2608"/>
    <w:rsid w:val="007E2FEA"/>
    <w:rsid w:val="007E5564"/>
    <w:rsid w:val="007F1253"/>
    <w:rsid w:val="007F3710"/>
    <w:rsid w:val="007F7938"/>
    <w:rsid w:val="007F7C28"/>
    <w:rsid w:val="007F7F97"/>
    <w:rsid w:val="00802FC4"/>
    <w:rsid w:val="00804B57"/>
    <w:rsid w:val="008119D2"/>
    <w:rsid w:val="008127B0"/>
    <w:rsid w:val="00823AB4"/>
    <w:rsid w:val="0082465E"/>
    <w:rsid w:val="0082476F"/>
    <w:rsid w:val="00831D0F"/>
    <w:rsid w:val="00834079"/>
    <w:rsid w:val="00835C7C"/>
    <w:rsid w:val="00836099"/>
    <w:rsid w:val="008429C5"/>
    <w:rsid w:val="008434C3"/>
    <w:rsid w:val="00843503"/>
    <w:rsid w:val="008445D3"/>
    <w:rsid w:val="00845023"/>
    <w:rsid w:val="00845F4B"/>
    <w:rsid w:val="00850A46"/>
    <w:rsid w:val="00850F93"/>
    <w:rsid w:val="008515EE"/>
    <w:rsid w:val="00854FD4"/>
    <w:rsid w:val="0086055D"/>
    <w:rsid w:val="00872BAD"/>
    <w:rsid w:val="00880069"/>
    <w:rsid w:val="0088136E"/>
    <w:rsid w:val="008846D6"/>
    <w:rsid w:val="00892D21"/>
    <w:rsid w:val="00892FF7"/>
    <w:rsid w:val="008942F1"/>
    <w:rsid w:val="008A4768"/>
    <w:rsid w:val="008A636D"/>
    <w:rsid w:val="008B0EC2"/>
    <w:rsid w:val="008B1575"/>
    <w:rsid w:val="008B3490"/>
    <w:rsid w:val="008B47EA"/>
    <w:rsid w:val="008C027C"/>
    <w:rsid w:val="008C41FA"/>
    <w:rsid w:val="008D6EBF"/>
    <w:rsid w:val="008E2F41"/>
    <w:rsid w:val="0091164B"/>
    <w:rsid w:val="00916516"/>
    <w:rsid w:val="0092369B"/>
    <w:rsid w:val="009251C5"/>
    <w:rsid w:val="00934959"/>
    <w:rsid w:val="00940734"/>
    <w:rsid w:val="00940F44"/>
    <w:rsid w:val="00941002"/>
    <w:rsid w:val="009473C0"/>
    <w:rsid w:val="00947689"/>
    <w:rsid w:val="0095180B"/>
    <w:rsid w:val="0095377B"/>
    <w:rsid w:val="00955CBF"/>
    <w:rsid w:val="00956EC0"/>
    <w:rsid w:val="009579B5"/>
    <w:rsid w:val="0096128D"/>
    <w:rsid w:val="00963A32"/>
    <w:rsid w:val="00970632"/>
    <w:rsid w:val="00971150"/>
    <w:rsid w:val="00975561"/>
    <w:rsid w:val="0098076E"/>
    <w:rsid w:val="00984A84"/>
    <w:rsid w:val="00984EF6"/>
    <w:rsid w:val="00987FD8"/>
    <w:rsid w:val="00990B3C"/>
    <w:rsid w:val="00991A3F"/>
    <w:rsid w:val="00993D8D"/>
    <w:rsid w:val="009956C6"/>
    <w:rsid w:val="009960AE"/>
    <w:rsid w:val="0099682C"/>
    <w:rsid w:val="00996F81"/>
    <w:rsid w:val="009A16DD"/>
    <w:rsid w:val="009A45B0"/>
    <w:rsid w:val="009B1B66"/>
    <w:rsid w:val="009B22CA"/>
    <w:rsid w:val="009B3159"/>
    <w:rsid w:val="009B7708"/>
    <w:rsid w:val="009C1309"/>
    <w:rsid w:val="009C3906"/>
    <w:rsid w:val="009C393F"/>
    <w:rsid w:val="009C6B44"/>
    <w:rsid w:val="009D1753"/>
    <w:rsid w:val="009E4C0D"/>
    <w:rsid w:val="009E5E09"/>
    <w:rsid w:val="009E714C"/>
    <w:rsid w:val="009F27F0"/>
    <w:rsid w:val="009F587A"/>
    <w:rsid w:val="009F7728"/>
    <w:rsid w:val="009F7C7A"/>
    <w:rsid w:val="00A02D5F"/>
    <w:rsid w:val="00A03CC1"/>
    <w:rsid w:val="00A04BF1"/>
    <w:rsid w:val="00A13D3C"/>
    <w:rsid w:val="00A16095"/>
    <w:rsid w:val="00A1734D"/>
    <w:rsid w:val="00A222B3"/>
    <w:rsid w:val="00A336A2"/>
    <w:rsid w:val="00A50A22"/>
    <w:rsid w:val="00A5717F"/>
    <w:rsid w:val="00A64EE1"/>
    <w:rsid w:val="00A67FC3"/>
    <w:rsid w:val="00A715A8"/>
    <w:rsid w:val="00A7773B"/>
    <w:rsid w:val="00A7779A"/>
    <w:rsid w:val="00A82B6F"/>
    <w:rsid w:val="00A86757"/>
    <w:rsid w:val="00A9278B"/>
    <w:rsid w:val="00A93437"/>
    <w:rsid w:val="00A937DF"/>
    <w:rsid w:val="00AA0705"/>
    <w:rsid w:val="00AA1164"/>
    <w:rsid w:val="00AA1568"/>
    <w:rsid w:val="00AA1BA4"/>
    <w:rsid w:val="00AA5A1E"/>
    <w:rsid w:val="00AB0464"/>
    <w:rsid w:val="00AB3B4F"/>
    <w:rsid w:val="00AB3FFA"/>
    <w:rsid w:val="00AB61BD"/>
    <w:rsid w:val="00AB6B2D"/>
    <w:rsid w:val="00AB6B88"/>
    <w:rsid w:val="00AC2F4D"/>
    <w:rsid w:val="00AD32C4"/>
    <w:rsid w:val="00AE3228"/>
    <w:rsid w:val="00AE3CE5"/>
    <w:rsid w:val="00AF29CC"/>
    <w:rsid w:val="00AF541C"/>
    <w:rsid w:val="00AF72F1"/>
    <w:rsid w:val="00AF7BEA"/>
    <w:rsid w:val="00B0217A"/>
    <w:rsid w:val="00B03FB3"/>
    <w:rsid w:val="00B120B9"/>
    <w:rsid w:val="00B210B9"/>
    <w:rsid w:val="00B2533E"/>
    <w:rsid w:val="00B26EE9"/>
    <w:rsid w:val="00B27212"/>
    <w:rsid w:val="00B31D34"/>
    <w:rsid w:val="00B323E2"/>
    <w:rsid w:val="00B32D79"/>
    <w:rsid w:val="00B366E1"/>
    <w:rsid w:val="00B37F5F"/>
    <w:rsid w:val="00B40971"/>
    <w:rsid w:val="00B41CB2"/>
    <w:rsid w:val="00B43CA5"/>
    <w:rsid w:val="00B445A4"/>
    <w:rsid w:val="00B50C4E"/>
    <w:rsid w:val="00B53468"/>
    <w:rsid w:val="00B54563"/>
    <w:rsid w:val="00B54D68"/>
    <w:rsid w:val="00B55DDD"/>
    <w:rsid w:val="00B57556"/>
    <w:rsid w:val="00B6220E"/>
    <w:rsid w:val="00B65F05"/>
    <w:rsid w:val="00B72C47"/>
    <w:rsid w:val="00B84551"/>
    <w:rsid w:val="00B86CFD"/>
    <w:rsid w:val="00B86E13"/>
    <w:rsid w:val="00B91665"/>
    <w:rsid w:val="00B92511"/>
    <w:rsid w:val="00B95240"/>
    <w:rsid w:val="00B97019"/>
    <w:rsid w:val="00BA467D"/>
    <w:rsid w:val="00BA4AA3"/>
    <w:rsid w:val="00BA536E"/>
    <w:rsid w:val="00BB025F"/>
    <w:rsid w:val="00BB1CFE"/>
    <w:rsid w:val="00BB3539"/>
    <w:rsid w:val="00BB44DE"/>
    <w:rsid w:val="00BB6A06"/>
    <w:rsid w:val="00BC00FB"/>
    <w:rsid w:val="00BC5012"/>
    <w:rsid w:val="00BC63FD"/>
    <w:rsid w:val="00BC7826"/>
    <w:rsid w:val="00BD0D77"/>
    <w:rsid w:val="00BD2C1E"/>
    <w:rsid w:val="00BD3814"/>
    <w:rsid w:val="00BD3F61"/>
    <w:rsid w:val="00BD4E3C"/>
    <w:rsid w:val="00BD53FE"/>
    <w:rsid w:val="00BE1071"/>
    <w:rsid w:val="00BE5E45"/>
    <w:rsid w:val="00BE6133"/>
    <w:rsid w:val="00BF054A"/>
    <w:rsid w:val="00BF20FF"/>
    <w:rsid w:val="00BF2411"/>
    <w:rsid w:val="00BF5F87"/>
    <w:rsid w:val="00BF6922"/>
    <w:rsid w:val="00BF764E"/>
    <w:rsid w:val="00BF7EB5"/>
    <w:rsid w:val="00C02583"/>
    <w:rsid w:val="00C02EEF"/>
    <w:rsid w:val="00C02F5C"/>
    <w:rsid w:val="00C03C6C"/>
    <w:rsid w:val="00C10391"/>
    <w:rsid w:val="00C16227"/>
    <w:rsid w:val="00C16789"/>
    <w:rsid w:val="00C178FB"/>
    <w:rsid w:val="00C25E34"/>
    <w:rsid w:val="00C26ECD"/>
    <w:rsid w:val="00C27E6B"/>
    <w:rsid w:val="00C310B9"/>
    <w:rsid w:val="00C342D5"/>
    <w:rsid w:val="00C401CD"/>
    <w:rsid w:val="00C4035A"/>
    <w:rsid w:val="00C41952"/>
    <w:rsid w:val="00C42B04"/>
    <w:rsid w:val="00C47AD1"/>
    <w:rsid w:val="00C5118C"/>
    <w:rsid w:val="00C53183"/>
    <w:rsid w:val="00C55128"/>
    <w:rsid w:val="00C56DF5"/>
    <w:rsid w:val="00C570CC"/>
    <w:rsid w:val="00C60BB4"/>
    <w:rsid w:val="00C65F24"/>
    <w:rsid w:val="00C719FC"/>
    <w:rsid w:val="00C85F72"/>
    <w:rsid w:val="00C92881"/>
    <w:rsid w:val="00C95730"/>
    <w:rsid w:val="00C96FB5"/>
    <w:rsid w:val="00C979D7"/>
    <w:rsid w:val="00CA7753"/>
    <w:rsid w:val="00CB2437"/>
    <w:rsid w:val="00CB2EDD"/>
    <w:rsid w:val="00CC2810"/>
    <w:rsid w:val="00CC6705"/>
    <w:rsid w:val="00CD0331"/>
    <w:rsid w:val="00CD0DF1"/>
    <w:rsid w:val="00CD4B75"/>
    <w:rsid w:val="00CD50DA"/>
    <w:rsid w:val="00CD791D"/>
    <w:rsid w:val="00CE0037"/>
    <w:rsid w:val="00CE4442"/>
    <w:rsid w:val="00CE46FB"/>
    <w:rsid w:val="00CE520C"/>
    <w:rsid w:val="00CF07B3"/>
    <w:rsid w:val="00CF18F8"/>
    <w:rsid w:val="00CF4BEC"/>
    <w:rsid w:val="00CF5F3A"/>
    <w:rsid w:val="00CF6054"/>
    <w:rsid w:val="00CF6947"/>
    <w:rsid w:val="00D005FF"/>
    <w:rsid w:val="00D00948"/>
    <w:rsid w:val="00D00C1F"/>
    <w:rsid w:val="00D00C42"/>
    <w:rsid w:val="00D16016"/>
    <w:rsid w:val="00D1679C"/>
    <w:rsid w:val="00D218A6"/>
    <w:rsid w:val="00D23722"/>
    <w:rsid w:val="00D23C64"/>
    <w:rsid w:val="00D244E3"/>
    <w:rsid w:val="00D25933"/>
    <w:rsid w:val="00D26B29"/>
    <w:rsid w:val="00D3340C"/>
    <w:rsid w:val="00D37B73"/>
    <w:rsid w:val="00D44645"/>
    <w:rsid w:val="00D54B74"/>
    <w:rsid w:val="00D62946"/>
    <w:rsid w:val="00D62C14"/>
    <w:rsid w:val="00D636CD"/>
    <w:rsid w:val="00D66FF2"/>
    <w:rsid w:val="00D71E39"/>
    <w:rsid w:val="00D77286"/>
    <w:rsid w:val="00D77D53"/>
    <w:rsid w:val="00D809E3"/>
    <w:rsid w:val="00D80FEA"/>
    <w:rsid w:val="00D829B5"/>
    <w:rsid w:val="00D85336"/>
    <w:rsid w:val="00D86A6A"/>
    <w:rsid w:val="00D961E3"/>
    <w:rsid w:val="00D97628"/>
    <w:rsid w:val="00DA0491"/>
    <w:rsid w:val="00DA1E21"/>
    <w:rsid w:val="00DA284A"/>
    <w:rsid w:val="00DA56E9"/>
    <w:rsid w:val="00DB304D"/>
    <w:rsid w:val="00DB6F51"/>
    <w:rsid w:val="00DB7EBE"/>
    <w:rsid w:val="00DC0370"/>
    <w:rsid w:val="00DC0ABE"/>
    <w:rsid w:val="00DC1D8A"/>
    <w:rsid w:val="00DC24A7"/>
    <w:rsid w:val="00DC3601"/>
    <w:rsid w:val="00DC5BE7"/>
    <w:rsid w:val="00DC66BB"/>
    <w:rsid w:val="00DD1823"/>
    <w:rsid w:val="00DE2909"/>
    <w:rsid w:val="00DE6424"/>
    <w:rsid w:val="00DE6CBB"/>
    <w:rsid w:val="00DF032B"/>
    <w:rsid w:val="00DF1F28"/>
    <w:rsid w:val="00DF4878"/>
    <w:rsid w:val="00DF52D4"/>
    <w:rsid w:val="00E05506"/>
    <w:rsid w:val="00E0551B"/>
    <w:rsid w:val="00E11319"/>
    <w:rsid w:val="00E15CF5"/>
    <w:rsid w:val="00E16169"/>
    <w:rsid w:val="00E20381"/>
    <w:rsid w:val="00E2055A"/>
    <w:rsid w:val="00E23A7E"/>
    <w:rsid w:val="00E25646"/>
    <w:rsid w:val="00E27289"/>
    <w:rsid w:val="00E2776C"/>
    <w:rsid w:val="00E27982"/>
    <w:rsid w:val="00E34D2F"/>
    <w:rsid w:val="00E3694A"/>
    <w:rsid w:val="00E52E8C"/>
    <w:rsid w:val="00E54AD4"/>
    <w:rsid w:val="00E570EC"/>
    <w:rsid w:val="00E61AA5"/>
    <w:rsid w:val="00E62BC4"/>
    <w:rsid w:val="00E66EDC"/>
    <w:rsid w:val="00E74D52"/>
    <w:rsid w:val="00E90334"/>
    <w:rsid w:val="00EA0DB8"/>
    <w:rsid w:val="00EA141C"/>
    <w:rsid w:val="00EA2EB9"/>
    <w:rsid w:val="00EA6CDF"/>
    <w:rsid w:val="00EC0977"/>
    <w:rsid w:val="00EC451C"/>
    <w:rsid w:val="00EC4A6A"/>
    <w:rsid w:val="00EC6B3A"/>
    <w:rsid w:val="00ED25C1"/>
    <w:rsid w:val="00ED61FE"/>
    <w:rsid w:val="00EE053B"/>
    <w:rsid w:val="00EE6009"/>
    <w:rsid w:val="00EF154D"/>
    <w:rsid w:val="00EF1683"/>
    <w:rsid w:val="00EF2F58"/>
    <w:rsid w:val="00EF5C7D"/>
    <w:rsid w:val="00F0009F"/>
    <w:rsid w:val="00F02AA0"/>
    <w:rsid w:val="00F0621A"/>
    <w:rsid w:val="00F07C59"/>
    <w:rsid w:val="00F24E6E"/>
    <w:rsid w:val="00F25EF5"/>
    <w:rsid w:val="00F33797"/>
    <w:rsid w:val="00F43EC5"/>
    <w:rsid w:val="00F521A3"/>
    <w:rsid w:val="00F52A10"/>
    <w:rsid w:val="00F5697B"/>
    <w:rsid w:val="00F57DFC"/>
    <w:rsid w:val="00F630C6"/>
    <w:rsid w:val="00F66463"/>
    <w:rsid w:val="00F731A1"/>
    <w:rsid w:val="00F80F7B"/>
    <w:rsid w:val="00F85CC5"/>
    <w:rsid w:val="00F86501"/>
    <w:rsid w:val="00F91689"/>
    <w:rsid w:val="00F96530"/>
    <w:rsid w:val="00F97DB0"/>
    <w:rsid w:val="00FA51CA"/>
    <w:rsid w:val="00FA7259"/>
    <w:rsid w:val="00FA726D"/>
    <w:rsid w:val="00FA7381"/>
    <w:rsid w:val="00FA7B26"/>
    <w:rsid w:val="00FB2E72"/>
    <w:rsid w:val="00FB60BC"/>
    <w:rsid w:val="00FC0EA9"/>
    <w:rsid w:val="00FC350B"/>
    <w:rsid w:val="00FC4A80"/>
    <w:rsid w:val="00FC697E"/>
    <w:rsid w:val="00FC7E16"/>
    <w:rsid w:val="00FC7E84"/>
    <w:rsid w:val="00FD0B7E"/>
    <w:rsid w:val="00FD2962"/>
    <w:rsid w:val="00FD2DBF"/>
    <w:rsid w:val="00FD41F1"/>
    <w:rsid w:val="00FD4655"/>
    <w:rsid w:val="00FD4B3F"/>
    <w:rsid w:val="00FD6D10"/>
    <w:rsid w:val="00FD72DE"/>
    <w:rsid w:val="00FE13F6"/>
    <w:rsid w:val="00FE2DE4"/>
    <w:rsid w:val="00FE3DB0"/>
    <w:rsid w:val="00FE3E47"/>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7BC7F4"/>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A50A22"/>
    <w:pPr>
      <w:keepNext/>
      <w:numPr>
        <w:numId w:val="24"/>
      </w:numPr>
      <w:spacing w:before="240" w:after="60"/>
      <w:outlineLvl w:val="0"/>
    </w:pPr>
    <w:rPr>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A50A22"/>
    <w:rPr>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normaltextrun">
    <w:name w:val="normaltextrun"/>
    <w:basedOn w:val="DefaultParagraphFont"/>
    <w:rsid w:val="00281E4F"/>
  </w:style>
  <w:style w:type="character" w:styleId="FollowedHyperlink">
    <w:name w:val="FollowedHyperlink"/>
    <w:basedOn w:val="DefaultParagraphFont"/>
    <w:semiHidden/>
    <w:unhideWhenUsed/>
    <w:rsid w:val="00C26E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7140140">
      <w:bodyDiv w:val="1"/>
      <w:marLeft w:val="0"/>
      <w:marRight w:val="0"/>
      <w:marTop w:val="0"/>
      <w:marBottom w:val="0"/>
      <w:divBdr>
        <w:top w:val="none" w:sz="0" w:space="0" w:color="auto"/>
        <w:left w:val="none" w:sz="0" w:space="0" w:color="auto"/>
        <w:bottom w:val="none" w:sz="0" w:space="0" w:color="auto"/>
        <w:right w:val="none" w:sz="0" w:space="0" w:color="auto"/>
      </w:divBdr>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tep@supcourt.vic.g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supremecourt.vic.gov.au/law-and-practice/specialist-areas-of-law/trusts-equity-and-probate-lis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ep@supcourt.vic.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orders@supremecourt.vic.gov.au" TargetMode="External"/><Relationship Id="rId20" Type="http://schemas.openxmlformats.org/officeDocument/2006/relationships/hyperlink" Target="file:///C:/Users/stuart.moran/AppData/Local/Microsoft/Windows/INetCache/Content.Outlook/QNW1S37G/www.supremecourt.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tep@supcourt.vic.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tep@supcourt.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ep@supcourt.vic.gv.a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bdde84cb-4b1f-4b74-b4a5-14e1a433eee1">
      <UserInfo>
        <DisplayName>Kim Woronczak</DisplayName>
        <AccountId>535</AccountId>
        <AccountType/>
      </UserInfo>
      <UserInfo>
        <DisplayName>Kate Clark</DisplayName>
        <AccountId>29</AccountId>
        <AccountType/>
      </UserInfo>
      <UserInfo>
        <DisplayName>Kate Price</DisplayName>
        <AccountId>187</AccountId>
        <AccountType/>
      </UserInfo>
      <UserInfo>
        <DisplayName>Belinda Harvey</DisplayName>
        <AccountId>584</AccountId>
        <AccountType/>
      </UserInfo>
      <UserInfo>
        <DisplayName>Hannah Wetsteyn</DisplayName>
        <AccountId>582</AccountId>
        <AccountType/>
      </UserInfo>
    </SharedWithUsers>
    <FileShareCreatedBy xmlns="263eaefd-0475-4860-b86f-622cd66f4e0c" xsi:nil="true"/>
    <FileShareModifiedBy xmlns="263eaefd-0475-4860-b86f-622cd66f4e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1" ma:contentTypeDescription="Create a new document." ma:contentTypeScope="" ma:versionID="226897e7c8e3fef5b8750d73f00d967e">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482114006d0d341a8d0544933ea487b9"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2.xml><?xml version="1.0" encoding="utf-8"?>
<ds:datastoreItem xmlns:ds="http://schemas.openxmlformats.org/officeDocument/2006/customXml" ds:itemID="{F53C5FFA-8516-4FEC-A1E4-38241312D513}">
  <ds:schemaRefs>
    <ds:schemaRef ds:uri="263eaefd-0475-4860-b86f-622cd66f4e0c"/>
    <ds:schemaRef ds:uri="bdde84cb-4b1f-4b74-b4a5-14e1a433eee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4.xml><?xml version="1.0" encoding="utf-8"?>
<ds:datastoreItem xmlns:ds="http://schemas.openxmlformats.org/officeDocument/2006/customXml" ds:itemID="{77FD07E1-D223-426B-89F8-8B4D4753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B4FCE5-6958-470E-81D5-627C53FE6947}">
  <ds:schemaRefs>
    <ds:schemaRef ds:uri="http://schemas.openxmlformats.org/officeDocument/2006/bibliography"/>
  </ds:schemaRefs>
</ds:datastoreItem>
</file>

<file path=customXml/itemProps6.xml><?xml version="1.0" encoding="utf-8"?>
<ds:datastoreItem xmlns:ds="http://schemas.openxmlformats.org/officeDocument/2006/customXml" ds:itemID="{B04C8D21-A150-4BE8-A9FE-4A66F51F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1645</Words>
  <Characters>8836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Practice Note SC CL 6 Trusts Equity and Probate List</vt:lpstr>
    </vt:vector>
  </TitlesOfParts>
  <Company>Supreme Court of Victoria</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SC CL 6 Trusts Equity and Probate List</dc:title>
  <dc:subject/>
  <dc:creator>Supreme Court of Victoria</dc:creator>
  <cp:keywords/>
  <dc:description/>
  <cp:lastModifiedBy>Andrew Wicking</cp:lastModifiedBy>
  <cp:revision>2</cp:revision>
  <cp:lastPrinted>2016-10-31T05:37:00Z</cp:lastPrinted>
  <dcterms:created xsi:type="dcterms:W3CDTF">2018-09-18T20:53:00Z</dcterms:created>
  <dcterms:modified xsi:type="dcterms:W3CDTF">2018-09-18T20:53:00Z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0x010100FC344B925675ED46837EB14F9BF5688C</vt:lpwstr>
  </property>
</Properties>
</file>