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6AB4D" w14:textId="77777777" w:rsidR="00D85336" w:rsidRPr="00771C95" w:rsidRDefault="00CD0331" w:rsidP="007E0B49">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669C9" w14:textId="77777777" w:rsidR="00D85336" w:rsidRPr="00771C95" w:rsidRDefault="00D85336" w:rsidP="007E0B49">
      <w:pPr>
        <w:autoSpaceDE w:val="0"/>
        <w:autoSpaceDN w:val="0"/>
        <w:adjustRightInd w:val="0"/>
        <w:spacing w:before="120" w:after="120"/>
        <w:jc w:val="center"/>
        <w:rPr>
          <w:b/>
          <w:bCs/>
          <w:color w:val="000000"/>
        </w:rPr>
      </w:pPr>
    </w:p>
    <w:p w14:paraId="41A5226E" w14:textId="77777777" w:rsidR="00D85336" w:rsidRPr="00771C95" w:rsidRDefault="00D85336" w:rsidP="007E0B49">
      <w:pPr>
        <w:autoSpaceDE w:val="0"/>
        <w:autoSpaceDN w:val="0"/>
        <w:adjustRightInd w:val="0"/>
        <w:spacing w:before="120" w:after="120"/>
        <w:jc w:val="center"/>
        <w:rPr>
          <w:b/>
          <w:bCs/>
          <w:color w:val="000000"/>
        </w:rPr>
      </w:pPr>
    </w:p>
    <w:p w14:paraId="7726AAB4" w14:textId="77777777" w:rsidR="003817CD" w:rsidRDefault="003817CD" w:rsidP="007E0B49">
      <w:pPr>
        <w:autoSpaceDE w:val="0"/>
        <w:autoSpaceDN w:val="0"/>
        <w:adjustRightInd w:val="0"/>
        <w:spacing w:before="120" w:after="120"/>
        <w:jc w:val="center"/>
        <w:rPr>
          <w:rFonts w:ascii="Book Antiqua" w:hAnsi="Book Antiqua"/>
          <w:b/>
          <w:bCs/>
          <w:color w:val="000000"/>
          <w:sz w:val="44"/>
          <w:szCs w:val="44"/>
        </w:rPr>
      </w:pPr>
    </w:p>
    <w:p w14:paraId="216FA5F1" w14:textId="77777777" w:rsidR="00271B59" w:rsidRPr="007917BE" w:rsidRDefault="003817CD" w:rsidP="007E0B49">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533DCD6A" w14:textId="77777777" w:rsidR="00271B59" w:rsidRPr="007917BE" w:rsidRDefault="00271B59" w:rsidP="007E0B49">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 xml:space="preserve">CL </w:t>
      </w:r>
      <w:r w:rsidR="00320CDC">
        <w:rPr>
          <w:rFonts w:ascii="Book Antiqua" w:hAnsi="Book Antiqua"/>
          <w:b/>
          <w:color w:val="000000"/>
          <w:sz w:val="28"/>
        </w:rPr>
        <w:t>8</w:t>
      </w:r>
    </w:p>
    <w:p w14:paraId="04FE4490" w14:textId="77777777" w:rsidR="00271B59" w:rsidRDefault="00320CDC" w:rsidP="007E0B49">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 xml:space="preserve">Valuation, Compensation and Planning </w:t>
      </w:r>
      <w:r w:rsidR="000117C7">
        <w:rPr>
          <w:rFonts w:ascii="Book Antiqua" w:hAnsi="Book Antiqua"/>
          <w:b/>
          <w:color w:val="000000"/>
          <w:sz w:val="28"/>
        </w:rPr>
        <w:t>List</w:t>
      </w:r>
    </w:p>
    <w:p w14:paraId="2998EEC1" w14:textId="77777777" w:rsidR="00CD0331" w:rsidRDefault="00CD0331" w:rsidP="007E0B49">
      <w:pPr>
        <w:autoSpaceDE w:val="0"/>
        <w:autoSpaceDN w:val="0"/>
        <w:adjustRightInd w:val="0"/>
        <w:spacing w:before="120" w:after="120"/>
        <w:jc w:val="center"/>
        <w:rPr>
          <w:rFonts w:ascii="Book Antiqua" w:hAnsi="Book Antiqua"/>
          <w:b/>
          <w:color w:val="000000"/>
          <w:sz w:val="28"/>
        </w:rPr>
      </w:pPr>
    </w:p>
    <w:p w14:paraId="6B0C1C8E" w14:textId="77777777" w:rsidR="00A50A22" w:rsidRPr="000611B8" w:rsidRDefault="00A50A22" w:rsidP="007E0B49">
      <w:pPr>
        <w:autoSpaceDE w:val="0"/>
        <w:autoSpaceDN w:val="0"/>
        <w:adjustRightInd w:val="0"/>
        <w:spacing w:before="120" w:after="120"/>
        <w:jc w:val="center"/>
        <w:rPr>
          <w:rFonts w:ascii="Book Antiqua" w:hAnsi="Book Antiqua"/>
          <w:b/>
          <w:color w:val="000000"/>
        </w:rPr>
      </w:pPr>
    </w:p>
    <w:p w14:paraId="4AB06780" w14:textId="77777777" w:rsidR="00A50A22" w:rsidRPr="000611B8" w:rsidRDefault="00A50A22" w:rsidP="007E0B49">
      <w:pPr>
        <w:pStyle w:val="ListParagraph"/>
        <w:keepNext/>
        <w:numPr>
          <w:ilvl w:val="0"/>
          <w:numId w:val="2"/>
        </w:numPr>
        <w:autoSpaceDE w:val="0"/>
        <w:autoSpaceDN w:val="0"/>
        <w:adjustRightInd w:val="0"/>
        <w:spacing w:before="120" w:after="120"/>
        <w:contextualSpacing w:val="0"/>
        <w:rPr>
          <w:rFonts w:ascii="Book Antiqua" w:hAnsi="Book Antiqua"/>
          <w:b/>
          <w:color w:val="000000"/>
          <w:sz w:val="24"/>
          <w:szCs w:val="24"/>
        </w:rPr>
      </w:pPr>
      <w:r w:rsidRPr="000611B8">
        <w:rPr>
          <w:rFonts w:ascii="Book Antiqua" w:hAnsi="Book Antiqua"/>
          <w:b/>
          <w:sz w:val="24"/>
          <w:szCs w:val="24"/>
        </w:rPr>
        <w:t>INTRODUCTION</w:t>
      </w:r>
    </w:p>
    <w:p w14:paraId="6C7F7356" w14:textId="77777777" w:rsidR="00A50A22" w:rsidRPr="000611B8" w:rsidRDefault="00A50A22" w:rsidP="007E0B49">
      <w:pPr>
        <w:pStyle w:val="ListParagraph"/>
        <w:numPr>
          <w:ilvl w:val="1"/>
          <w:numId w:val="2"/>
        </w:numPr>
        <w:spacing w:before="120" w:after="120"/>
        <w:contextualSpacing w:val="0"/>
        <w:jc w:val="both"/>
        <w:rPr>
          <w:rFonts w:ascii="Book Antiqua" w:hAnsi="Book Antiqua"/>
          <w:sz w:val="24"/>
          <w:szCs w:val="24"/>
        </w:rPr>
      </w:pPr>
      <w:r w:rsidRPr="000611B8">
        <w:rPr>
          <w:rFonts w:ascii="Book Antiqua" w:hAnsi="Book Antiqua"/>
          <w:sz w:val="24"/>
          <w:szCs w:val="24"/>
        </w:rPr>
        <w:t>The Chief Justice has authorised the issue of the following Practice Note.</w:t>
      </w:r>
    </w:p>
    <w:p w14:paraId="5EF65755" w14:textId="575BD856" w:rsidR="00A50A22" w:rsidRPr="00E85338" w:rsidRDefault="00A50A22" w:rsidP="007E0B49">
      <w:pPr>
        <w:pStyle w:val="ListParagraph"/>
        <w:numPr>
          <w:ilvl w:val="1"/>
          <w:numId w:val="2"/>
        </w:numPr>
        <w:spacing w:before="120" w:after="120"/>
        <w:contextualSpacing w:val="0"/>
        <w:jc w:val="both"/>
        <w:rPr>
          <w:rFonts w:ascii="Book Antiqua" w:hAnsi="Book Antiqua"/>
          <w:sz w:val="24"/>
          <w:szCs w:val="24"/>
        </w:rPr>
      </w:pPr>
      <w:r w:rsidRPr="000611B8">
        <w:rPr>
          <w:rFonts w:ascii="Book Antiqua" w:hAnsi="Book Antiqua"/>
          <w:sz w:val="24"/>
          <w:szCs w:val="24"/>
        </w:rPr>
        <w:t>The purpose of this Practice Note is to describe the procedures to be followed in</w:t>
      </w:r>
      <w:r w:rsidR="00641C0A" w:rsidRPr="000611B8">
        <w:rPr>
          <w:rFonts w:ascii="Book Antiqua" w:hAnsi="Book Antiqua"/>
          <w:sz w:val="24"/>
          <w:szCs w:val="24"/>
        </w:rPr>
        <w:t xml:space="preserve"> the</w:t>
      </w:r>
      <w:r w:rsidRPr="000611B8">
        <w:rPr>
          <w:rFonts w:ascii="Book Antiqua" w:hAnsi="Book Antiqua"/>
          <w:sz w:val="24"/>
          <w:szCs w:val="24"/>
        </w:rPr>
        <w:t xml:space="preserve"> </w:t>
      </w:r>
      <w:r w:rsidR="0035248D" w:rsidRPr="000611B8">
        <w:rPr>
          <w:rFonts w:ascii="Book Antiqua" w:hAnsi="Book Antiqua"/>
          <w:sz w:val="24"/>
          <w:szCs w:val="24"/>
        </w:rPr>
        <w:t xml:space="preserve">Valuation, Compensation and Planning </w:t>
      </w:r>
      <w:r w:rsidR="004126C2" w:rsidRPr="000611B8">
        <w:rPr>
          <w:rFonts w:ascii="Book Antiqua" w:hAnsi="Book Antiqua"/>
          <w:sz w:val="24"/>
          <w:szCs w:val="24"/>
        </w:rPr>
        <w:t>List</w:t>
      </w:r>
      <w:r w:rsidRPr="000611B8">
        <w:rPr>
          <w:rFonts w:ascii="Book Antiqua" w:hAnsi="Book Antiqua"/>
          <w:sz w:val="24"/>
          <w:szCs w:val="24"/>
        </w:rPr>
        <w:t xml:space="preserve">. </w:t>
      </w:r>
      <w:r w:rsidR="007801F6">
        <w:rPr>
          <w:rFonts w:ascii="Book Antiqua" w:hAnsi="Book Antiqua"/>
          <w:sz w:val="24"/>
          <w:szCs w:val="24"/>
        </w:rPr>
        <w:t xml:space="preserve"> </w:t>
      </w:r>
      <w:r w:rsidRPr="000611B8">
        <w:rPr>
          <w:rFonts w:ascii="Book Antiqua" w:hAnsi="Book Antiqua"/>
          <w:sz w:val="24"/>
          <w:szCs w:val="24"/>
        </w:rPr>
        <w:t>The List is a case management list within the Common Law Division of the Court.</w:t>
      </w:r>
      <w:r w:rsidR="00A531FE" w:rsidRPr="000611B8">
        <w:rPr>
          <w:rFonts w:ascii="Book Antiqua" w:hAnsi="Book Antiqua"/>
          <w:sz w:val="24"/>
          <w:szCs w:val="24"/>
        </w:rPr>
        <w:t xml:space="preserve"> </w:t>
      </w:r>
    </w:p>
    <w:p w14:paraId="2B81341E" w14:textId="77777777" w:rsidR="004126C2" w:rsidRPr="000611B8" w:rsidRDefault="004126C2" w:rsidP="007E0B49">
      <w:pPr>
        <w:spacing w:before="120" w:after="120"/>
        <w:jc w:val="both"/>
        <w:rPr>
          <w:rFonts w:ascii="Book Antiqua" w:hAnsi="Book Antiqua"/>
        </w:rPr>
      </w:pPr>
    </w:p>
    <w:p w14:paraId="16B92D61" w14:textId="77777777" w:rsidR="00A50A22" w:rsidRPr="000611B8" w:rsidRDefault="00A50A22" w:rsidP="007E0B49">
      <w:pPr>
        <w:pStyle w:val="ListParagraph"/>
        <w:keepNext/>
        <w:numPr>
          <w:ilvl w:val="0"/>
          <w:numId w:val="2"/>
        </w:numPr>
        <w:autoSpaceDE w:val="0"/>
        <w:autoSpaceDN w:val="0"/>
        <w:adjustRightInd w:val="0"/>
        <w:spacing w:before="120" w:after="120"/>
        <w:contextualSpacing w:val="0"/>
        <w:rPr>
          <w:rFonts w:ascii="Book Antiqua" w:hAnsi="Book Antiqua"/>
          <w:sz w:val="24"/>
          <w:szCs w:val="24"/>
        </w:rPr>
      </w:pPr>
      <w:r w:rsidRPr="000611B8">
        <w:rPr>
          <w:rFonts w:ascii="Book Antiqua" w:hAnsi="Book Antiqua"/>
          <w:b/>
          <w:sz w:val="24"/>
          <w:szCs w:val="24"/>
        </w:rPr>
        <w:t>DEFINITIONS</w:t>
      </w:r>
    </w:p>
    <w:p w14:paraId="590EAAD8" w14:textId="77777777" w:rsidR="00A50A22" w:rsidRPr="000611B8" w:rsidRDefault="00A50A22" w:rsidP="007E0B49">
      <w:pPr>
        <w:pStyle w:val="ListParagraph"/>
        <w:numPr>
          <w:ilvl w:val="1"/>
          <w:numId w:val="2"/>
        </w:numPr>
        <w:spacing w:before="120" w:after="120"/>
        <w:contextualSpacing w:val="0"/>
        <w:jc w:val="both"/>
        <w:rPr>
          <w:rFonts w:ascii="Book Antiqua" w:hAnsi="Book Antiqua"/>
          <w:sz w:val="24"/>
          <w:szCs w:val="24"/>
        </w:rPr>
      </w:pPr>
      <w:r w:rsidRPr="000611B8">
        <w:rPr>
          <w:rFonts w:ascii="Book Antiqua" w:hAnsi="Book Antiqua"/>
          <w:sz w:val="24"/>
          <w:szCs w:val="24"/>
        </w:rPr>
        <w:t>In this Practice Note:</w:t>
      </w:r>
    </w:p>
    <w:p w14:paraId="46E9D9B9" w14:textId="77777777" w:rsidR="004126C2" w:rsidRPr="000611B8" w:rsidRDefault="004126C2" w:rsidP="007E0B49">
      <w:pPr>
        <w:pStyle w:val="ListParagraph"/>
        <w:spacing w:before="120" w:after="120"/>
        <w:ind w:left="360" w:firstLine="360"/>
        <w:contextualSpacing w:val="0"/>
        <w:jc w:val="both"/>
        <w:rPr>
          <w:rFonts w:ascii="Book Antiqua" w:hAnsi="Book Antiqua"/>
          <w:sz w:val="24"/>
          <w:szCs w:val="24"/>
        </w:rPr>
      </w:pPr>
      <w:r w:rsidRPr="000611B8">
        <w:rPr>
          <w:rFonts w:ascii="Book Antiqua" w:hAnsi="Book Antiqua"/>
          <w:b/>
          <w:i/>
          <w:sz w:val="24"/>
          <w:szCs w:val="24"/>
        </w:rPr>
        <w:t>Judge</w:t>
      </w:r>
      <w:r w:rsidRPr="000611B8">
        <w:rPr>
          <w:rFonts w:ascii="Book Antiqua" w:hAnsi="Book Antiqua"/>
          <w:sz w:val="24"/>
          <w:szCs w:val="24"/>
        </w:rPr>
        <w:t xml:space="preserve"> means the Judge in Charge of the List; </w:t>
      </w:r>
    </w:p>
    <w:p w14:paraId="768C699C" w14:textId="4E39C05F" w:rsidR="00D73E82" w:rsidRPr="00936D85" w:rsidRDefault="00D73E82" w:rsidP="007E0B49">
      <w:pPr>
        <w:pStyle w:val="ListParagraph"/>
        <w:spacing w:before="120" w:after="120"/>
        <w:ind w:left="360" w:firstLine="360"/>
        <w:contextualSpacing w:val="0"/>
        <w:jc w:val="both"/>
        <w:rPr>
          <w:rFonts w:ascii="Book Antiqua" w:hAnsi="Book Antiqua"/>
          <w:b/>
          <w:sz w:val="24"/>
          <w:szCs w:val="24"/>
        </w:rPr>
      </w:pPr>
      <w:r>
        <w:rPr>
          <w:rFonts w:ascii="Book Antiqua" w:hAnsi="Book Antiqua"/>
          <w:b/>
          <w:i/>
          <w:sz w:val="24"/>
          <w:szCs w:val="24"/>
        </w:rPr>
        <w:t xml:space="preserve">Judicial Registrar </w:t>
      </w:r>
      <w:r w:rsidRPr="00E85338">
        <w:rPr>
          <w:rFonts w:ascii="Book Antiqua" w:hAnsi="Book Antiqua"/>
          <w:sz w:val="24"/>
          <w:szCs w:val="24"/>
        </w:rPr>
        <w:t>means the judicial registrar assisting in the List;</w:t>
      </w:r>
    </w:p>
    <w:p w14:paraId="1452795C" w14:textId="7CC9DE6D" w:rsidR="00A50A22" w:rsidRDefault="00A50A22" w:rsidP="007E0B49">
      <w:pPr>
        <w:pStyle w:val="ListParagraph"/>
        <w:spacing w:before="120" w:after="120"/>
        <w:ind w:left="360" w:firstLine="360"/>
        <w:contextualSpacing w:val="0"/>
        <w:jc w:val="both"/>
        <w:rPr>
          <w:rFonts w:ascii="Book Antiqua" w:hAnsi="Book Antiqua"/>
          <w:sz w:val="24"/>
          <w:szCs w:val="24"/>
        </w:rPr>
      </w:pPr>
      <w:r w:rsidRPr="000611B8">
        <w:rPr>
          <w:rFonts w:ascii="Book Antiqua" w:hAnsi="Book Antiqua"/>
          <w:b/>
          <w:i/>
          <w:sz w:val="24"/>
          <w:szCs w:val="24"/>
        </w:rPr>
        <w:t>List</w:t>
      </w:r>
      <w:r w:rsidRPr="000611B8">
        <w:rPr>
          <w:rFonts w:ascii="Book Antiqua" w:hAnsi="Book Antiqua"/>
          <w:sz w:val="24"/>
          <w:szCs w:val="24"/>
        </w:rPr>
        <w:t xml:space="preserve"> means </w:t>
      </w:r>
      <w:r w:rsidR="0015159D" w:rsidRPr="000611B8">
        <w:rPr>
          <w:rFonts w:ascii="Book Antiqua" w:hAnsi="Book Antiqua"/>
          <w:sz w:val="24"/>
          <w:szCs w:val="24"/>
        </w:rPr>
        <w:t>the Valuation,</w:t>
      </w:r>
      <w:r w:rsidR="00046498">
        <w:rPr>
          <w:rFonts w:ascii="Book Antiqua" w:hAnsi="Book Antiqua"/>
          <w:sz w:val="24"/>
          <w:szCs w:val="24"/>
        </w:rPr>
        <w:t xml:space="preserve"> Compensation and Planning List;</w:t>
      </w:r>
    </w:p>
    <w:p w14:paraId="67670397" w14:textId="6A82EF2A" w:rsidR="00936D85" w:rsidRDefault="00936D85" w:rsidP="007E0B49">
      <w:pPr>
        <w:pStyle w:val="ListParagraph"/>
        <w:spacing w:before="120" w:after="120"/>
        <w:contextualSpacing w:val="0"/>
        <w:jc w:val="both"/>
        <w:rPr>
          <w:rFonts w:ascii="Book Antiqua" w:hAnsi="Book Antiqua"/>
          <w:sz w:val="24"/>
          <w:szCs w:val="24"/>
        </w:rPr>
      </w:pPr>
      <w:r>
        <w:rPr>
          <w:rFonts w:ascii="Book Antiqua" w:hAnsi="Book Antiqua"/>
          <w:b/>
          <w:i/>
          <w:sz w:val="24"/>
          <w:szCs w:val="24"/>
        </w:rPr>
        <w:t>List directions day</w:t>
      </w:r>
      <w:r>
        <w:rPr>
          <w:rFonts w:ascii="Book Antiqua" w:hAnsi="Book Antiqua"/>
          <w:b/>
          <w:sz w:val="24"/>
          <w:szCs w:val="24"/>
        </w:rPr>
        <w:t xml:space="preserve"> </w:t>
      </w:r>
      <w:r>
        <w:rPr>
          <w:rFonts w:ascii="Book Antiqua" w:hAnsi="Book Antiqua"/>
          <w:sz w:val="24"/>
          <w:szCs w:val="24"/>
        </w:rPr>
        <w:t>means the regular day on which the Court sits to give directions in the List as published on the List page on the Court’s website;</w:t>
      </w:r>
    </w:p>
    <w:p w14:paraId="3F71426D" w14:textId="512D3875" w:rsidR="00333107" w:rsidRDefault="00333107" w:rsidP="007E0B49">
      <w:pPr>
        <w:pStyle w:val="ListParagraph"/>
        <w:spacing w:before="120" w:after="120"/>
        <w:ind w:left="360" w:firstLine="360"/>
        <w:contextualSpacing w:val="0"/>
        <w:jc w:val="both"/>
        <w:rPr>
          <w:rFonts w:ascii="Book Antiqua" w:hAnsi="Book Antiqua"/>
          <w:sz w:val="24"/>
          <w:szCs w:val="24"/>
        </w:rPr>
      </w:pPr>
      <w:r>
        <w:rPr>
          <w:rFonts w:ascii="Book Antiqua" w:hAnsi="Book Antiqua"/>
          <w:b/>
          <w:i/>
          <w:sz w:val="24"/>
          <w:szCs w:val="24"/>
        </w:rPr>
        <w:t xml:space="preserve">Registry Lawyer </w:t>
      </w:r>
      <w:r w:rsidRPr="00936D85">
        <w:rPr>
          <w:rFonts w:ascii="Book Antiqua" w:hAnsi="Book Antiqua"/>
          <w:sz w:val="24"/>
          <w:szCs w:val="24"/>
        </w:rPr>
        <w:t xml:space="preserve">means the </w:t>
      </w:r>
      <w:r>
        <w:rPr>
          <w:rFonts w:ascii="Book Antiqua" w:hAnsi="Book Antiqua"/>
          <w:sz w:val="24"/>
          <w:szCs w:val="24"/>
        </w:rPr>
        <w:t>Registry Lawyer who manages cases in the List;</w:t>
      </w:r>
    </w:p>
    <w:p w14:paraId="3B066828" w14:textId="77777777" w:rsidR="00046498" w:rsidRPr="000611B8" w:rsidRDefault="00046498" w:rsidP="007E0B49">
      <w:pPr>
        <w:pStyle w:val="ListParagraph"/>
        <w:spacing w:before="120" w:after="120"/>
        <w:ind w:left="360" w:firstLine="360"/>
        <w:contextualSpacing w:val="0"/>
        <w:jc w:val="both"/>
        <w:rPr>
          <w:rFonts w:ascii="Book Antiqua" w:hAnsi="Book Antiqua"/>
          <w:sz w:val="24"/>
          <w:szCs w:val="24"/>
        </w:rPr>
      </w:pPr>
      <w:r w:rsidRPr="00046498">
        <w:rPr>
          <w:rFonts w:ascii="Book Antiqua" w:hAnsi="Book Antiqua"/>
          <w:b/>
          <w:i/>
          <w:sz w:val="24"/>
          <w:szCs w:val="24"/>
        </w:rPr>
        <w:t>VCAT</w:t>
      </w:r>
      <w:r>
        <w:rPr>
          <w:rFonts w:ascii="Book Antiqua" w:hAnsi="Book Antiqua"/>
          <w:sz w:val="24"/>
          <w:szCs w:val="24"/>
        </w:rPr>
        <w:t xml:space="preserve"> means the Victorian Civil and Administrative Tribunal.</w:t>
      </w:r>
    </w:p>
    <w:p w14:paraId="7FD6A709" w14:textId="77777777" w:rsidR="00FD4B3F" w:rsidRPr="000611B8" w:rsidRDefault="00FD4B3F" w:rsidP="007E0B49">
      <w:pPr>
        <w:spacing w:before="120" w:after="120"/>
        <w:jc w:val="both"/>
        <w:rPr>
          <w:rFonts w:ascii="Book Antiqua" w:hAnsi="Book Antiqua"/>
        </w:rPr>
      </w:pPr>
    </w:p>
    <w:p w14:paraId="68D302AC" w14:textId="77777777" w:rsidR="00FD4B3F" w:rsidRPr="000611B8" w:rsidRDefault="00FD4B3F"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COMMENCEMENT</w:t>
      </w:r>
    </w:p>
    <w:p w14:paraId="021A6AD0" w14:textId="1E6E51C6" w:rsidR="00FD4B3F" w:rsidRPr="000611B8" w:rsidRDefault="00FD4B3F" w:rsidP="007E0B49">
      <w:pPr>
        <w:pStyle w:val="ListParagraph"/>
        <w:numPr>
          <w:ilvl w:val="1"/>
          <w:numId w:val="2"/>
        </w:numPr>
        <w:autoSpaceDE w:val="0"/>
        <w:autoSpaceDN w:val="0"/>
        <w:adjustRightInd w:val="0"/>
        <w:spacing w:before="120" w:after="120"/>
        <w:contextualSpacing w:val="0"/>
        <w:rPr>
          <w:rFonts w:ascii="Book Antiqua" w:hAnsi="Book Antiqua"/>
          <w:sz w:val="24"/>
          <w:szCs w:val="24"/>
        </w:rPr>
      </w:pPr>
      <w:r w:rsidRPr="000611B8">
        <w:rPr>
          <w:rFonts w:ascii="Book Antiqua" w:hAnsi="Book Antiqua"/>
          <w:sz w:val="24"/>
          <w:szCs w:val="24"/>
        </w:rPr>
        <w:t>This Practice No</w:t>
      </w:r>
      <w:r w:rsidR="00E469BE">
        <w:rPr>
          <w:rFonts w:ascii="Book Antiqua" w:hAnsi="Book Antiqua"/>
          <w:sz w:val="24"/>
          <w:szCs w:val="24"/>
        </w:rPr>
        <w:t>te was issued and commence</w:t>
      </w:r>
      <w:r w:rsidR="007E0B49">
        <w:rPr>
          <w:rFonts w:ascii="Book Antiqua" w:hAnsi="Book Antiqua"/>
          <w:sz w:val="24"/>
          <w:szCs w:val="24"/>
        </w:rPr>
        <w:t>d</w:t>
      </w:r>
      <w:r w:rsidR="00E469BE">
        <w:rPr>
          <w:rFonts w:ascii="Book Antiqua" w:hAnsi="Book Antiqua"/>
          <w:sz w:val="24"/>
          <w:szCs w:val="24"/>
        </w:rPr>
        <w:t xml:space="preserve"> on </w:t>
      </w:r>
      <w:r w:rsidR="00E85338">
        <w:rPr>
          <w:rFonts w:ascii="Book Antiqua" w:hAnsi="Book Antiqua"/>
          <w:sz w:val="24"/>
          <w:szCs w:val="24"/>
        </w:rPr>
        <w:t>1 October 2018</w:t>
      </w:r>
      <w:r w:rsidR="00936D85">
        <w:rPr>
          <w:rFonts w:ascii="Book Antiqua" w:hAnsi="Book Antiqua"/>
          <w:sz w:val="24"/>
          <w:szCs w:val="24"/>
        </w:rPr>
        <w:t xml:space="preserve">, as revised, </w:t>
      </w:r>
      <w:r w:rsidRPr="000611B8">
        <w:rPr>
          <w:rFonts w:ascii="Book Antiqua" w:hAnsi="Book Antiqua"/>
          <w:sz w:val="24"/>
          <w:szCs w:val="24"/>
        </w:rPr>
        <w:t>and will apply to all proceedings in the List whenever commenced.</w:t>
      </w:r>
    </w:p>
    <w:p w14:paraId="4A80575F" w14:textId="77777777" w:rsidR="00C5118C" w:rsidRPr="000611B8" w:rsidRDefault="00C5118C" w:rsidP="007E0B49">
      <w:pPr>
        <w:spacing w:before="120" w:after="120"/>
        <w:jc w:val="both"/>
        <w:rPr>
          <w:rFonts w:ascii="Book Antiqua" w:hAnsi="Book Antiqua"/>
        </w:rPr>
      </w:pPr>
    </w:p>
    <w:p w14:paraId="38A4BEFE" w14:textId="77777777" w:rsidR="006E7E0B" w:rsidRPr="000611B8" w:rsidRDefault="00C5118C"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PROCEEDINGS SUITABLE FOR INCLUSION IN THE LIST</w:t>
      </w:r>
    </w:p>
    <w:p w14:paraId="233FDAD6" w14:textId="77777777" w:rsidR="005C3FF5" w:rsidRPr="000611B8" w:rsidRDefault="005C3FF5" w:rsidP="007E0B49">
      <w:pPr>
        <w:pStyle w:val="ListParagraph"/>
        <w:numPr>
          <w:ilvl w:val="1"/>
          <w:numId w:val="2"/>
        </w:numPr>
        <w:autoSpaceDE w:val="0"/>
        <w:autoSpaceDN w:val="0"/>
        <w:adjustRightInd w:val="0"/>
        <w:spacing w:before="120" w:after="120"/>
        <w:contextualSpacing w:val="0"/>
        <w:rPr>
          <w:rFonts w:ascii="Book Antiqua" w:hAnsi="Book Antiqua"/>
          <w:sz w:val="24"/>
          <w:szCs w:val="24"/>
        </w:rPr>
      </w:pPr>
      <w:r w:rsidRPr="000611B8">
        <w:rPr>
          <w:rFonts w:ascii="Book Antiqua" w:hAnsi="Book Antiqua"/>
          <w:sz w:val="24"/>
          <w:szCs w:val="24"/>
        </w:rPr>
        <w:t>The following types of proceedings should be initiated in the List:</w:t>
      </w:r>
    </w:p>
    <w:p w14:paraId="63BAFEEF"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 xml:space="preserve">Valuation of land under the </w:t>
      </w:r>
      <w:r w:rsidRPr="000611B8">
        <w:rPr>
          <w:rFonts w:ascii="Book Antiqua" w:hAnsi="Book Antiqua"/>
          <w:i/>
        </w:rPr>
        <w:t xml:space="preserve">Valuation of Land Act 1960 </w:t>
      </w:r>
      <w:r w:rsidRPr="000611B8">
        <w:rPr>
          <w:rFonts w:ascii="Book Antiqua" w:hAnsi="Book Antiqua"/>
        </w:rPr>
        <w:t>(Vic);</w:t>
      </w:r>
    </w:p>
    <w:p w14:paraId="17D303B3"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lastRenderedPageBreak/>
        <w:t xml:space="preserve">Compensation for resumption of land under the </w:t>
      </w:r>
      <w:r w:rsidRPr="000611B8">
        <w:rPr>
          <w:rFonts w:ascii="Book Antiqua" w:hAnsi="Book Antiqua"/>
          <w:i/>
        </w:rPr>
        <w:t xml:space="preserve">Land Acquisition and Compensation Act 1986 </w:t>
      </w:r>
      <w:r w:rsidRPr="000611B8">
        <w:rPr>
          <w:rFonts w:ascii="Book Antiqua" w:hAnsi="Book Antiqua"/>
        </w:rPr>
        <w:t>(Vic);</w:t>
      </w:r>
    </w:p>
    <w:p w14:paraId="15419A95"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Appeals (including applications for leave to appeal) from an order of the Planning and Environment List of the</w:t>
      </w:r>
      <w:r w:rsidR="009C551E">
        <w:rPr>
          <w:rFonts w:ascii="Book Antiqua" w:hAnsi="Book Antiqua"/>
        </w:rPr>
        <w:t xml:space="preserve"> Administrative Division of </w:t>
      </w:r>
      <w:r w:rsidRPr="009C551E">
        <w:rPr>
          <w:rFonts w:ascii="Book Antiqua" w:hAnsi="Book Antiqua"/>
        </w:rPr>
        <w:t>VCAT</w:t>
      </w:r>
      <w:r w:rsidRPr="000611B8">
        <w:rPr>
          <w:rFonts w:ascii="Book Antiqua" w:hAnsi="Book Antiqua"/>
        </w:rPr>
        <w:t xml:space="preserve">; </w:t>
      </w:r>
    </w:p>
    <w:p w14:paraId="10D41495"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 xml:space="preserve">Referrals on a question of law from the Planning and Environment List of the Administrative Division of VCAT; </w:t>
      </w:r>
    </w:p>
    <w:p w14:paraId="3326526D"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 xml:space="preserve">Proceedings relating to compensation payable pursuant to Part 5 of the </w:t>
      </w:r>
      <w:r w:rsidRPr="000611B8">
        <w:rPr>
          <w:rFonts w:ascii="Book Antiqua" w:hAnsi="Book Antiqua"/>
          <w:i/>
        </w:rPr>
        <w:t xml:space="preserve">Planning and Environment Act 1987 </w:t>
      </w:r>
      <w:r w:rsidRPr="000611B8">
        <w:rPr>
          <w:rFonts w:ascii="Book Antiqua" w:hAnsi="Book Antiqua"/>
        </w:rPr>
        <w:t>(Vic)</w:t>
      </w:r>
      <w:r w:rsidRPr="000611B8">
        <w:rPr>
          <w:rFonts w:ascii="Book Antiqua" w:hAnsi="Book Antiqua"/>
          <w:i/>
        </w:rPr>
        <w:t xml:space="preserve">; </w:t>
      </w:r>
      <w:r w:rsidRPr="000611B8">
        <w:rPr>
          <w:rFonts w:ascii="Book Antiqua" w:hAnsi="Book Antiqua"/>
        </w:rPr>
        <w:t>and</w:t>
      </w:r>
    </w:p>
    <w:p w14:paraId="6034DF36"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Judicial review of ministerial and other decisions in respect of issues of land use and development;</w:t>
      </w:r>
    </w:p>
    <w:p w14:paraId="6763FC9F"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Proceedings involving challenges to government acting with respect to protection of the environment and/or endangered species;</w:t>
      </w:r>
    </w:p>
    <w:p w14:paraId="01DF5015"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Nuisance claims involving allegations of damage to the environment such as land contamination; and</w:t>
      </w:r>
    </w:p>
    <w:p w14:paraId="52098FFD" w14:textId="6C0ABA58" w:rsidR="005C3FF5" w:rsidRPr="007E0B49" w:rsidRDefault="005C3FF5" w:rsidP="007E0B49">
      <w:pPr>
        <w:numPr>
          <w:ilvl w:val="0"/>
          <w:numId w:val="14"/>
        </w:numPr>
        <w:spacing w:before="240"/>
        <w:jc w:val="both"/>
        <w:rPr>
          <w:rFonts w:ascii="Book Antiqua" w:hAnsi="Book Antiqua"/>
        </w:rPr>
      </w:pPr>
      <w:r w:rsidRPr="000611B8">
        <w:rPr>
          <w:rFonts w:ascii="Book Antiqua" w:hAnsi="Book Antiqua"/>
        </w:rPr>
        <w:t>Proceedings with respect to the management of public land.</w:t>
      </w:r>
    </w:p>
    <w:p w14:paraId="53E5BF71" w14:textId="31710A25" w:rsidR="005C3FF5" w:rsidRPr="000611B8" w:rsidRDefault="005C3FF5" w:rsidP="007E0B49">
      <w:pPr>
        <w:pStyle w:val="ListParagraph"/>
        <w:numPr>
          <w:ilvl w:val="1"/>
          <w:numId w:val="2"/>
        </w:numPr>
        <w:autoSpaceDE w:val="0"/>
        <w:autoSpaceDN w:val="0"/>
        <w:adjustRightInd w:val="0"/>
        <w:spacing w:before="120" w:after="120"/>
        <w:contextualSpacing w:val="0"/>
        <w:rPr>
          <w:rFonts w:ascii="Book Antiqua" w:hAnsi="Book Antiqua"/>
          <w:sz w:val="24"/>
          <w:szCs w:val="24"/>
        </w:rPr>
      </w:pPr>
      <w:r w:rsidRPr="000611B8">
        <w:rPr>
          <w:rFonts w:ascii="Book Antiqua" w:hAnsi="Book Antiqua"/>
          <w:sz w:val="24"/>
          <w:szCs w:val="24"/>
        </w:rPr>
        <w:t xml:space="preserve">If uncertain about whether a proceeding should be initiated in the List, practitioners are encouraged to make inquiry of the </w:t>
      </w:r>
      <w:r w:rsidR="00D521B5">
        <w:rPr>
          <w:rFonts w:ascii="Book Antiqua" w:hAnsi="Book Antiqua"/>
          <w:sz w:val="24"/>
          <w:szCs w:val="24"/>
        </w:rPr>
        <w:t>Registry Lawyer</w:t>
      </w:r>
      <w:r w:rsidRPr="000611B8">
        <w:rPr>
          <w:rFonts w:ascii="Book Antiqua" w:hAnsi="Book Antiqua"/>
          <w:sz w:val="24"/>
          <w:szCs w:val="24"/>
        </w:rPr>
        <w:t>.</w:t>
      </w:r>
    </w:p>
    <w:p w14:paraId="2FEE266C" w14:textId="77777777" w:rsidR="00344A8C" w:rsidRPr="000611B8" w:rsidRDefault="00344A8C" w:rsidP="007E0B49">
      <w:pPr>
        <w:spacing w:before="120" w:after="120"/>
        <w:jc w:val="both"/>
        <w:rPr>
          <w:rFonts w:ascii="Book Antiqua" w:hAnsi="Book Antiqua"/>
          <w:b/>
        </w:rPr>
      </w:pPr>
    </w:p>
    <w:p w14:paraId="5E44C4F0" w14:textId="77777777" w:rsidR="00182C1F" w:rsidRPr="000611B8" w:rsidRDefault="00182C1F"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PROCEDURE FOR ENTRY INTO THE LIST</w:t>
      </w:r>
    </w:p>
    <w:p w14:paraId="0F4424E0" w14:textId="3A2ACC05" w:rsidR="00182C1F" w:rsidRPr="000611B8" w:rsidRDefault="00F800D9"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Proceedings of the nature set out in paragraph 4.1 should be initiated in the List by endorsing the heading of the originating process “Valuation, Compensation &amp; Planning List”. </w:t>
      </w:r>
      <w:r w:rsidR="007801F6">
        <w:rPr>
          <w:rFonts w:ascii="Book Antiqua" w:hAnsi="Book Antiqua"/>
          <w:sz w:val="24"/>
          <w:szCs w:val="24"/>
        </w:rPr>
        <w:t xml:space="preserve"> </w:t>
      </w:r>
      <w:r w:rsidRPr="000611B8">
        <w:rPr>
          <w:rFonts w:ascii="Book Antiqua" w:hAnsi="Book Antiqua"/>
          <w:sz w:val="24"/>
          <w:szCs w:val="24"/>
        </w:rPr>
        <w:t>The heading of all subsequent documents filed in the proceeding should also be endorsed “Valuation, Compensation &amp; Planning List”</w:t>
      </w:r>
      <w:r w:rsidR="00B86E13" w:rsidRPr="000611B8">
        <w:rPr>
          <w:rFonts w:ascii="Book Antiqua" w:hAnsi="Book Antiqua"/>
          <w:sz w:val="24"/>
          <w:szCs w:val="24"/>
        </w:rPr>
        <w:t xml:space="preserve">. </w:t>
      </w:r>
    </w:p>
    <w:p w14:paraId="44475840" w14:textId="77777777" w:rsidR="00182C1F" w:rsidRPr="000611B8" w:rsidRDefault="00182C1F"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If at any time after the initiation of a proceeding it appears to the Court that it is appropriate to have the </w:t>
      </w:r>
      <w:r w:rsidR="007C66C1" w:rsidRPr="000611B8">
        <w:rPr>
          <w:rFonts w:ascii="Book Antiqua" w:hAnsi="Book Antiqua"/>
          <w:sz w:val="24"/>
          <w:szCs w:val="24"/>
        </w:rPr>
        <w:t>proceeding managed in the List</w:t>
      </w:r>
      <w:r w:rsidRPr="000611B8">
        <w:rPr>
          <w:rFonts w:ascii="Book Antiqua" w:hAnsi="Book Antiqua"/>
          <w:sz w:val="24"/>
          <w:szCs w:val="24"/>
        </w:rPr>
        <w:t>, the proceeding may be transferred into the List on the Court’s own motion</w:t>
      </w:r>
      <w:r w:rsidR="00984EF6" w:rsidRPr="000611B8">
        <w:rPr>
          <w:rFonts w:ascii="Book Antiqua" w:hAnsi="Book Antiqua"/>
          <w:sz w:val="24"/>
          <w:szCs w:val="24"/>
        </w:rPr>
        <w:t>.</w:t>
      </w:r>
    </w:p>
    <w:p w14:paraId="001175E8" w14:textId="77777777" w:rsidR="00182C1F" w:rsidRPr="000611B8" w:rsidRDefault="00182C1F"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Conversely, a proceeding initiated in the List may be transferred out of the List on the Court’s own motion if it appears to the Court that it is appropriate to have the </w:t>
      </w:r>
      <w:r w:rsidR="007C66C1" w:rsidRPr="000611B8">
        <w:rPr>
          <w:rFonts w:ascii="Book Antiqua" w:hAnsi="Book Antiqua"/>
          <w:sz w:val="24"/>
          <w:szCs w:val="24"/>
        </w:rPr>
        <w:t>proceeding managed in a different list</w:t>
      </w:r>
      <w:r w:rsidR="00984EF6" w:rsidRPr="000611B8">
        <w:rPr>
          <w:rFonts w:ascii="Book Antiqua" w:hAnsi="Book Antiqua"/>
          <w:sz w:val="24"/>
          <w:szCs w:val="24"/>
        </w:rPr>
        <w:t>.</w:t>
      </w:r>
    </w:p>
    <w:p w14:paraId="38E4F2EA" w14:textId="3A665D1F" w:rsidR="00182C1F" w:rsidRPr="00936D85" w:rsidRDefault="00936D85"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 </w:t>
      </w:r>
      <w:r w:rsidRPr="00936D85">
        <w:rPr>
          <w:rFonts w:ascii="Book Antiqua" w:hAnsi="Book Antiqua"/>
          <w:sz w:val="24"/>
          <w:szCs w:val="24"/>
        </w:rPr>
        <w:t>No additional fees will be payable for the inclusion of a proceeding in the List.</w:t>
      </w:r>
    </w:p>
    <w:p w14:paraId="4247C63D" w14:textId="77777777" w:rsidR="00182C1F" w:rsidRPr="000611B8" w:rsidRDefault="00182C1F" w:rsidP="007E0B49">
      <w:pPr>
        <w:spacing w:before="120" w:after="120"/>
        <w:jc w:val="both"/>
        <w:rPr>
          <w:rFonts w:ascii="Book Antiqua" w:hAnsi="Book Antiqua"/>
          <w:b/>
        </w:rPr>
      </w:pPr>
    </w:p>
    <w:p w14:paraId="568CE15C" w14:textId="77777777" w:rsidR="00182C1F" w:rsidRPr="000611B8" w:rsidRDefault="003604CF"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DIRECTIONS HEARINGS</w:t>
      </w:r>
    </w:p>
    <w:p w14:paraId="3DA71C66" w14:textId="6D6DAED0" w:rsidR="003604CF" w:rsidRPr="000611B8"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The Jud</w:t>
      </w:r>
      <w:r w:rsidR="00D521B5">
        <w:rPr>
          <w:rFonts w:ascii="Book Antiqua" w:hAnsi="Book Antiqua"/>
          <w:sz w:val="24"/>
          <w:szCs w:val="24"/>
        </w:rPr>
        <w:t>icial Registrar</w:t>
      </w:r>
      <w:r w:rsidRPr="000611B8">
        <w:rPr>
          <w:rFonts w:ascii="Book Antiqua" w:hAnsi="Book Antiqua"/>
          <w:sz w:val="24"/>
          <w:szCs w:val="24"/>
        </w:rPr>
        <w:t xml:space="preserve"> will give directions for the management of a proceeding at a first directions hearing</w:t>
      </w:r>
      <w:r w:rsidR="008279B6">
        <w:rPr>
          <w:rFonts w:ascii="Book Antiqua" w:hAnsi="Book Antiqua"/>
          <w:sz w:val="24"/>
          <w:szCs w:val="24"/>
        </w:rPr>
        <w:t xml:space="preserve"> on a List directions day</w:t>
      </w:r>
      <w:r w:rsidRPr="000611B8">
        <w:rPr>
          <w:rFonts w:ascii="Book Antiqua" w:hAnsi="Book Antiqua"/>
          <w:sz w:val="24"/>
          <w:szCs w:val="24"/>
        </w:rPr>
        <w:t xml:space="preserve">. </w:t>
      </w:r>
      <w:r w:rsidR="007801F6">
        <w:rPr>
          <w:rFonts w:ascii="Book Antiqua" w:hAnsi="Book Antiqua"/>
          <w:sz w:val="24"/>
          <w:szCs w:val="24"/>
        </w:rPr>
        <w:t xml:space="preserve"> </w:t>
      </w:r>
      <w:r w:rsidR="00D521B5">
        <w:rPr>
          <w:rFonts w:ascii="Book Antiqua" w:hAnsi="Book Antiqua"/>
          <w:sz w:val="24"/>
          <w:szCs w:val="24"/>
        </w:rPr>
        <w:t>Upon contacting the Registry Lawyer, p</w:t>
      </w:r>
      <w:r w:rsidRPr="000611B8">
        <w:rPr>
          <w:rFonts w:ascii="Book Antiqua" w:hAnsi="Book Antiqua"/>
          <w:sz w:val="24"/>
          <w:szCs w:val="24"/>
        </w:rPr>
        <w:t xml:space="preserve">arties will be allocated a specific date </w:t>
      </w:r>
      <w:r w:rsidR="00C10187">
        <w:rPr>
          <w:rFonts w:ascii="Book Antiqua" w:hAnsi="Book Antiqua"/>
          <w:sz w:val="24"/>
          <w:szCs w:val="24"/>
        </w:rPr>
        <w:t xml:space="preserve">for the return of the </w:t>
      </w:r>
      <w:r w:rsidR="00C10187">
        <w:rPr>
          <w:rFonts w:ascii="Book Antiqua" w:hAnsi="Book Antiqua"/>
          <w:sz w:val="24"/>
          <w:szCs w:val="24"/>
        </w:rPr>
        <w:lastRenderedPageBreak/>
        <w:t>summons for directions.  Written confirmation of that date must be included when filing the summons.</w:t>
      </w:r>
    </w:p>
    <w:p w14:paraId="4EF95AE2" w14:textId="20F59FDF" w:rsidR="003604CF" w:rsidRPr="000611B8"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Where possible, any proposed orders should be drawn from the template orders </w:t>
      </w:r>
      <w:r w:rsidR="00C945C7">
        <w:rPr>
          <w:rFonts w:ascii="Book Antiqua" w:hAnsi="Book Antiqua"/>
          <w:sz w:val="24"/>
          <w:szCs w:val="24"/>
        </w:rPr>
        <w:t>published on the Valuation, Compensation and Planning List page of the Court website</w:t>
      </w:r>
      <w:r w:rsidRPr="000611B8">
        <w:rPr>
          <w:rFonts w:ascii="Book Antiqua" w:hAnsi="Book Antiqua"/>
          <w:sz w:val="24"/>
          <w:szCs w:val="24"/>
        </w:rPr>
        <w:t xml:space="preserve">, adapted as appropriate.  Practitioners should note, however, that orders for the filing and service of lists of documents (discovery) in proceedings brought under the </w:t>
      </w:r>
      <w:r w:rsidRPr="000611B8">
        <w:rPr>
          <w:rFonts w:ascii="Book Antiqua" w:hAnsi="Book Antiqua"/>
          <w:i/>
          <w:sz w:val="24"/>
          <w:szCs w:val="24"/>
        </w:rPr>
        <w:t>Land Acquisition and Compensation Act</w:t>
      </w:r>
      <w:r w:rsidRPr="000611B8">
        <w:rPr>
          <w:rFonts w:ascii="Book Antiqua" w:hAnsi="Book Antiqua"/>
          <w:sz w:val="24"/>
          <w:szCs w:val="24"/>
        </w:rPr>
        <w:t xml:space="preserve"> </w:t>
      </w:r>
      <w:r w:rsidRPr="00AD0898">
        <w:rPr>
          <w:rFonts w:ascii="Book Antiqua" w:hAnsi="Book Antiqua"/>
          <w:i/>
          <w:sz w:val="24"/>
          <w:szCs w:val="24"/>
        </w:rPr>
        <w:t>1986</w:t>
      </w:r>
      <w:r w:rsidRPr="000611B8">
        <w:rPr>
          <w:rFonts w:ascii="Book Antiqua" w:hAnsi="Book Antiqua"/>
          <w:sz w:val="24"/>
          <w:szCs w:val="24"/>
        </w:rPr>
        <w:t xml:space="preserve"> (Vic) will be made only in appropriate circumstances.</w:t>
      </w:r>
    </w:p>
    <w:p w14:paraId="4F20642C" w14:textId="6A542764" w:rsidR="003604CF" w:rsidRPr="000611B8"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In addition to having considered whether orders should be made with respect to the matters set out </w:t>
      </w:r>
      <w:r w:rsidR="005619F8">
        <w:rPr>
          <w:rFonts w:ascii="Book Antiqua" w:hAnsi="Book Antiqua"/>
          <w:sz w:val="24"/>
          <w:szCs w:val="24"/>
        </w:rPr>
        <w:t>in the relevant template orders</w:t>
      </w:r>
      <w:r w:rsidRPr="000611B8">
        <w:rPr>
          <w:rFonts w:ascii="Book Antiqua" w:hAnsi="Book Antiqua"/>
          <w:sz w:val="24"/>
          <w:szCs w:val="24"/>
        </w:rPr>
        <w:t>, at the first directions hearing all parties are expected to be ready to explain, by brief oral outline, the nature of the dispute and the substantial questions in controversy.</w:t>
      </w:r>
    </w:p>
    <w:p w14:paraId="28AFBE2F" w14:textId="3978158C" w:rsidR="003604CF" w:rsidRPr="000611B8"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The solicitors of the initiating party are encouraged to deliver proposed orders to all other parties in advance of all directions hearings, with a view to obtaining orders by consent without the need for an appearance. </w:t>
      </w:r>
      <w:r w:rsidR="007801F6">
        <w:rPr>
          <w:rFonts w:ascii="Book Antiqua" w:hAnsi="Book Antiqua"/>
          <w:sz w:val="24"/>
          <w:szCs w:val="24"/>
        </w:rPr>
        <w:t xml:space="preserve"> </w:t>
      </w:r>
      <w:r w:rsidRPr="000611B8">
        <w:rPr>
          <w:rFonts w:ascii="Book Antiqua" w:hAnsi="Book Antiqua"/>
          <w:sz w:val="24"/>
          <w:szCs w:val="24"/>
        </w:rPr>
        <w:t xml:space="preserve">The parties should email minutes of consent in both Word and signed PDF format to the </w:t>
      </w:r>
      <w:r w:rsidR="00C10187">
        <w:rPr>
          <w:rFonts w:ascii="Book Antiqua" w:hAnsi="Book Antiqua"/>
          <w:sz w:val="24"/>
          <w:szCs w:val="24"/>
        </w:rPr>
        <w:t>Registry Lawyer</w:t>
      </w:r>
      <w:r w:rsidR="00C10187" w:rsidRPr="000611B8">
        <w:rPr>
          <w:rFonts w:ascii="Book Antiqua" w:hAnsi="Book Antiqua"/>
          <w:sz w:val="24"/>
          <w:szCs w:val="24"/>
        </w:rPr>
        <w:t xml:space="preserve"> </w:t>
      </w:r>
      <w:r w:rsidRPr="000611B8">
        <w:rPr>
          <w:rFonts w:ascii="Book Antiqua" w:hAnsi="Book Antiqua"/>
          <w:sz w:val="24"/>
          <w:szCs w:val="24"/>
        </w:rPr>
        <w:t>by 1.00pm two days prior to the directions hearing.</w:t>
      </w:r>
    </w:p>
    <w:p w14:paraId="791FCE83" w14:textId="4EDF7D1E" w:rsidR="003604CF" w:rsidRPr="000611B8"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All parties are required to appear at scheduled directions hearings unless otherwise advised by the </w:t>
      </w:r>
      <w:r w:rsidR="00C10187">
        <w:rPr>
          <w:rFonts w:ascii="Book Antiqua" w:hAnsi="Book Antiqua"/>
          <w:sz w:val="24"/>
          <w:szCs w:val="24"/>
        </w:rPr>
        <w:t>Registry Lawyer</w:t>
      </w:r>
      <w:r w:rsidRPr="000611B8">
        <w:rPr>
          <w:rFonts w:ascii="Book Antiqua" w:hAnsi="Book Antiqua"/>
          <w:sz w:val="24"/>
          <w:szCs w:val="24"/>
        </w:rPr>
        <w:t>.</w:t>
      </w:r>
    </w:p>
    <w:p w14:paraId="544275B1" w14:textId="77777777" w:rsidR="0011421F" w:rsidRPr="000611B8" w:rsidRDefault="0011421F" w:rsidP="007E0B49">
      <w:pPr>
        <w:spacing w:before="120" w:after="120"/>
        <w:jc w:val="both"/>
        <w:rPr>
          <w:rFonts w:ascii="Book Antiqua" w:hAnsi="Book Antiqua"/>
        </w:rPr>
      </w:pPr>
    </w:p>
    <w:p w14:paraId="14A9FC1E" w14:textId="77777777" w:rsidR="00182C1F" w:rsidRPr="000611B8" w:rsidRDefault="005C0C06"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INTERLOCUTORY APPLICATIONS</w:t>
      </w:r>
    </w:p>
    <w:p w14:paraId="5839C531" w14:textId="218A642C" w:rsidR="00C95730" w:rsidRPr="000611B8" w:rsidRDefault="005C0C06"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All interlocutory applications are to be made by summons. </w:t>
      </w:r>
      <w:r w:rsidR="007801F6">
        <w:rPr>
          <w:rFonts w:ascii="Book Antiqua" w:hAnsi="Book Antiqua"/>
          <w:sz w:val="24"/>
          <w:szCs w:val="24"/>
        </w:rPr>
        <w:t xml:space="preserve"> </w:t>
      </w:r>
      <w:r w:rsidRPr="000611B8">
        <w:rPr>
          <w:rFonts w:ascii="Book Antiqua" w:hAnsi="Book Antiqua"/>
          <w:sz w:val="24"/>
          <w:szCs w:val="24"/>
        </w:rPr>
        <w:t>This includes applications for leave to appeal on a question of law from an order of the Planning and Environment List of VCAT</w:t>
      </w:r>
      <w:r w:rsidR="00C95730" w:rsidRPr="000611B8">
        <w:rPr>
          <w:rFonts w:ascii="Book Antiqua" w:hAnsi="Book Antiqua"/>
          <w:sz w:val="24"/>
          <w:szCs w:val="24"/>
        </w:rPr>
        <w:t>.</w:t>
      </w:r>
      <w:r w:rsidR="00C10187">
        <w:rPr>
          <w:rFonts w:ascii="Book Antiqua" w:hAnsi="Book Antiqua"/>
          <w:sz w:val="24"/>
          <w:szCs w:val="24"/>
        </w:rPr>
        <w:t xml:space="preserve"> Parties are to contact the Registry Lawyer to obtain a return date for the summons, and should provide a time estimate for the hearing of the application.</w:t>
      </w:r>
    </w:p>
    <w:p w14:paraId="3B4ECEC7" w14:textId="6EE13F74" w:rsidR="005C0C06" w:rsidRPr="000611B8" w:rsidRDefault="005C0C06"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A scanned copy of any material parties intend to rely on (including a copy of any exhibits to affidavits and an outline of submissions) should be emailed to the </w:t>
      </w:r>
      <w:r w:rsidR="00C10187">
        <w:rPr>
          <w:rFonts w:ascii="Book Antiqua" w:hAnsi="Book Antiqua"/>
          <w:sz w:val="24"/>
          <w:szCs w:val="24"/>
        </w:rPr>
        <w:t>Registry Lawyer</w:t>
      </w:r>
      <w:r w:rsidR="00C10187" w:rsidRPr="000611B8">
        <w:rPr>
          <w:rFonts w:ascii="Book Antiqua" w:hAnsi="Book Antiqua"/>
          <w:sz w:val="24"/>
          <w:szCs w:val="24"/>
        </w:rPr>
        <w:t xml:space="preserve"> </w:t>
      </w:r>
      <w:r w:rsidRPr="000611B8">
        <w:rPr>
          <w:rFonts w:ascii="Book Antiqua" w:hAnsi="Book Antiqua"/>
          <w:sz w:val="24"/>
          <w:szCs w:val="24"/>
        </w:rPr>
        <w:t>by 1.00pm two days prior to the hearing.</w:t>
      </w:r>
    </w:p>
    <w:p w14:paraId="595F8A4C" w14:textId="77777777" w:rsidR="005C0C06" w:rsidRPr="000611B8" w:rsidRDefault="005C0C06"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Depending on the complexity and time estimate of the application, it may be adjourned for a special fixture.</w:t>
      </w:r>
    </w:p>
    <w:p w14:paraId="414975ED" w14:textId="77777777" w:rsidR="00400B2E" w:rsidRPr="000611B8" w:rsidRDefault="00400B2E" w:rsidP="007E0B49">
      <w:pPr>
        <w:spacing w:before="120" w:after="120"/>
        <w:jc w:val="both"/>
        <w:rPr>
          <w:rFonts w:ascii="Book Antiqua" w:hAnsi="Book Antiqua"/>
          <w:b/>
        </w:rPr>
      </w:pPr>
    </w:p>
    <w:p w14:paraId="3A3DE9A7" w14:textId="77777777" w:rsidR="00400B2E" w:rsidRPr="000611B8" w:rsidRDefault="00A24E67"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APPEALS FROM VCAT</w:t>
      </w:r>
    </w:p>
    <w:p w14:paraId="74397C5D" w14:textId="5326F17A"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At the first directions hearing, any application for leave to appeal, for an extension of time or for summary determination of the proceeding may be adjourned to be heard at a later date either alone or together with the substantive proceeding.</w:t>
      </w:r>
    </w:p>
    <w:p w14:paraId="5C64EDAD" w14:textId="6D0E2824"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Persons who are named as respondents in an appeal from an order of the Planning and Environment List of VCAT who do not wish to participate in the appeal should send an email to the </w:t>
      </w:r>
      <w:r w:rsidR="00C10187">
        <w:rPr>
          <w:rFonts w:ascii="Book Antiqua" w:hAnsi="Book Antiqua"/>
          <w:sz w:val="24"/>
          <w:szCs w:val="24"/>
        </w:rPr>
        <w:t>Registry Lawyer</w:t>
      </w:r>
      <w:r w:rsidRPr="000611B8">
        <w:rPr>
          <w:rFonts w:ascii="Book Antiqua" w:hAnsi="Book Antiqua"/>
          <w:sz w:val="24"/>
          <w:szCs w:val="24"/>
        </w:rPr>
        <w:t xml:space="preserve">, stating that they do not </w:t>
      </w:r>
      <w:r w:rsidRPr="000611B8">
        <w:rPr>
          <w:rFonts w:ascii="Book Antiqua" w:hAnsi="Book Antiqua"/>
          <w:sz w:val="24"/>
          <w:szCs w:val="24"/>
        </w:rPr>
        <w:lastRenderedPageBreak/>
        <w:t xml:space="preserve">intend to participate in the appeal and that they will abide by any order of the Court. </w:t>
      </w:r>
      <w:r w:rsidR="007801F6">
        <w:rPr>
          <w:rFonts w:ascii="Book Antiqua" w:hAnsi="Book Antiqua"/>
          <w:sz w:val="24"/>
          <w:szCs w:val="24"/>
        </w:rPr>
        <w:t xml:space="preserve"> </w:t>
      </w:r>
      <w:r w:rsidRPr="000611B8">
        <w:rPr>
          <w:rFonts w:ascii="Book Antiqua" w:hAnsi="Book Antiqua"/>
          <w:sz w:val="24"/>
          <w:szCs w:val="24"/>
        </w:rPr>
        <w:t>They will be identified as non-participating parties.</w:t>
      </w:r>
    </w:p>
    <w:p w14:paraId="26FEE349" w14:textId="61367BE0"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In such circumstances, the non-participating parties will be excused from attendance at the hearing of the appeal and orders may be made relieving the participating parties of any obligation to serve documents on the non-participating parties. </w:t>
      </w:r>
      <w:r w:rsidR="007801F6">
        <w:rPr>
          <w:rFonts w:ascii="Book Antiqua" w:hAnsi="Book Antiqua"/>
          <w:sz w:val="24"/>
          <w:szCs w:val="24"/>
        </w:rPr>
        <w:t xml:space="preserve"> </w:t>
      </w:r>
      <w:r w:rsidRPr="000611B8">
        <w:rPr>
          <w:rFonts w:ascii="Book Antiqua" w:hAnsi="Book Antiqua"/>
          <w:sz w:val="24"/>
          <w:szCs w:val="24"/>
        </w:rPr>
        <w:t xml:space="preserve">As a result of their non-participation, non-participating parties will not usually be the subject of any costs orders made at the conclusion of the appeal.    </w:t>
      </w:r>
    </w:p>
    <w:p w14:paraId="1B622E67" w14:textId="214BD4A3" w:rsidR="00A24E67"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Where proposed consent orders would set aside or vary a decision under appeal or would involve the remittal of any matter or would otherwise affect the conduct or the result of a proceeding or matter before VCAT, judicial power is engaged and the Court may need to consider for itself whether the orders should be made. </w:t>
      </w:r>
      <w:r w:rsidR="007801F6">
        <w:rPr>
          <w:rFonts w:ascii="Book Antiqua" w:hAnsi="Book Antiqua"/>
          <w:sz w:val="24"/>
          <w:szCs w:val="24"/>
        </w:rPr>
        <w:t xml:space="preserve"> </w:t>
      </w:r>
      <w:r w:rsidRPr="000611B8">
        <w:rPr>
          <w:rFonts w:ascii="Book Antiqua" w:hAnsi="Book Antiqua"/>
          <w:sz w:val="24"/>
          <w:szCs w:val="24"/>
        </w:rPr>
        <w:t xml:space="preserve">Where orders of such a kind are sought “on the papers”, a joint memorandum explaining the legal justification for the proposed orders must be provided to the Court. </w:t>
      </w:r>
      <w:r w:rsidR="007801F6">
        <w:rPr>
          <w:rFonts w:ascii="Book Antiqua" w:hAnsi="Book Antiqua"/>
          <w:sz w:val="24"/>
          <w:szCs w:val="24"/>
        </w:rPr>
        <w:t xml:space="preserve"> </w:t>
      </w:r>
      <w:r w:rsidRPr="000611B8">
        <w:rPr>
          <w:rFonts w:ascii="Book Antiqua" w:hAnsi="Book Antiqua"/>
          <w:sz w:val="24"/>
          <w:szCs w:val="24"/>
        </w:rPr>
        <w:t xml:space="preserve">The Court may nevertheless require the attendance of practitioners. </w:t>
      </w:r>
      <w:r w:rsidR="007801F6">
        <w:rPr>
          <w:rFonts w:ascii="Book Antiqua" w:hAnsi="Book Antiqua"/>
          <w:sz w:val="24"/>
          <w:szCs w:val="24"/>
        </w:rPr>
        <w:t xml:space="preserve"> </w:t>
      </w:r>
      <w:r w:rsidRPr="000611B8">
        <w:rPr>
          <w:rFonts w:ascii="Book Antiqua" w:hAnsi="Book Antiqua"/>
          <w:sz w:val="24"/>
          <w:szCs w:val="24"/>
        </w:rPr>
        <w:t>Even if satisfied that the proposed consent orders are appropriate, the Court may consider it necessary to publish reasons for the making of the orders or at least to direct that a copy of the joint memorandum be served on VCAT together with a copy of the orders made.</w:t>
      </w:r>
    </w:p>
    <w:p w14:paraId="209AF8D1" w14:textId="77777777" w:rsidR="001D7E2A" w:rsidRPr="003742D5" w:rsidRDefault="001D7E2A"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742D5">
        <w:rPr>
          <w:rFonts w:ascii="Book Antiqua" w:hAnsi="Book Antiqua"/>
          <w:sz w:val="24"/>
          <w:szCs w:val="24"/>
        </w:rPr>
        <w:t xml:space="preserve">If a respondent to an application for leave to appeal or an appeal does not seek to have the subject decision set aside or varied but proposes to contend that it should be affirmed on a ground of law which was not decided or was erroneously decided, it should notify the other parties and the Court as soon as is practicable of this contention and the grounds upon which it will be put. </w:t>
      </w:r>
    </w:p>
    <w:p w14:paraId="744823C4" w14:textId="77777777" w:rsidR="00182C1F" w:rsidRPr="000611B8" w:rsidRDefault="00182C1F" w:rsidP="007E0B49">
      <w:pPr>
        <w:spacing w:before="120" w:after="120"/>
        <w:jc w:val="both"/>
        <w:rPr>
          <w:rFonts w:ascii="Book Antiqua" w:hAnsi="Book Antiqua"/>
          <w:b/>
        </w:rPr>
      </w:pPr>
    </w:p>
    <w:p w14:paraId="0E911F1A" w14:textId="77777777" w:rsidR="00182C1F" w:rsidRPr="000611B8" w:rsidRDefault="00A24E67"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 xml:space="preserve">PROCEEDINGS BROUGHT UNDER the </w:t>
      </w:r>
      <w:r w:rsidRPr="000611B8">
        <w:rPr>
          <w:rFonts w:ascii="Book Antiqua" w:hAnsi="Book Antiqua"/>
          <w:b/>
          <w:i/>
          <w:sz w:val="24"/>
          <w:szCs w:val="24"/>
        </w:rPr>
        <w:t xml:space="preserve">Land Acquisition and Compensation Act 1986 </w:t>
      </w:r>
      <w:r w:rsidRPr="000611B8">
        <w:rPr>
          <w:rFonts w:ascii="Book Antiqua" w:hAnsi="Book Antiqua"/>
          <w:b/>
          <w:sz w:val="24"/>
          <w:szCs w:val="24"/>
        </w:rPr>
        <w:t>(Vic)</w:t>
      </w:r>
    </w:p>
    <w:p w14:paraId="7062D686" w14:textId="5326E5DD"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Where the parties seek to rely upon expert evidence, orders for joint conferences of experts and for the production of joint expert reports will be made unless </w:t>
      </w:r>
      <w:r w:rsidR="00C10187">
        <w:rPr>
          <w:rFonts w:ascii="Book Antiqua" w:hAnsi="Book Antiqua"/>
          <w:sz w:val="24"/>
          <w:szCs w:val="24"/>
        </w:rPr>
        <w:t xml:space="preserve">the Court is </w:t>
      </w:r>
      <w:r w:rsidRPr="000611B8">
        <w:rPr>
          <w:rFonts w:ascii="Book Antiqua" w:hAnsi="Book Antiqua"/>
          <w:sz w:val="24"/>
          <w:szCs w:val="24"/>
        </w:rPr>
        <w:t xml:space="preserve">persuaded that such a course is unnecessary or undesirable in a particular proceeding. </w:t>
      </w:r>
    </w:p>
    <w:p w14:paraId="1ACCC7B8" w14:textId="77777777"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In the normal course, the production of joint reports should be completed before mediation in order to ensure that the areas of dispute are clearly identified prior to mediation.</w:t>
      </w:r>
    </w:p>
    <w:p w14:paraId="3D16AD31" w14:textId="164D21A2"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Parties wishing to depart from this course are encouraged to make submissions to the </w:t>
      </w:r>
      <w:r w:rsidR="00C10187">
        <w:rPr>
          <w:rFonts w:ascii="Book Antiqua" w:hAnsi="Book Antiqua"/>
          <w:sz w:val="24"/>
          <w:szCs w:val="24"/>
        </w:rPr>
        <w:t xml:space="preserve">Judicial Registrar </w:t>
      </w:r>
      <w:r w:rsidRPr="000611B8">
        <w:rPr>
          <w:rFonts w:ascii="Book Antiqua" w:hAnsi="Book Antiqua"/>
          <w:sz w:val="24"/>
          <w:szCs w:val="24"/>
        </w:rPr>
        <w:t>at the first directions hearing.</w:t>
      </w:r>
    </w:p>
    <w:p w14:paraId="29FF185A" w14:textId="77777777"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The order of presentation in a particular proceeding will be determined at the final directions hearing. </w:t>
      </w:r>
    </w:p>
    <w:p w14:paraId="3A560F96" w14:textId="77777777" w:rsidR="007D66AA" w:rsidRPr="000611B8" w:rsidRDefault="007D66AA" w:rsidP="007E0B49">
      <w:pPr>
        <w:pStyle w:val="ListParagraph"/>
        <w:autoSpaceDE w:val="0"/>
        <w:autoSpaceDN w:val="0"/>
        <w:adjustRightInd w:val="0"/>
        <w:spacing w:before="120" w:after="120"/>
        <w:contextualSpacing w:val="0"/>
        <w:jc w:val="both"/>
        <w:rPr>
          <w:rFonts w:ascii="Book Antiqua" w:hAnsi="Book Antiqua"/>
          <w:b/>
          <w:sz w:val="24"/>
          <w:szCs w:val="24"/>
        </w:rPr>
      </w:pPr>
    </w:p>
    <w:p w14:paraId="12A0ADA2" w14:textId="77777777" w:rsidR="007D66AA" w:rsidRPr="000611B8" w:rsidRDefault="007D66AA" w:rsidP="007E0B49">
      <w:pPr>
        <w:autoSpaceDE w:val="0"/>
        <w:autoSpaceDN w:val="0"/>
        <w:adjustRightInd w:val="0"/>
        <w:spacing w:before="120" w:after="120"/>
        <w:jc w:val="both"/>
        <w:rPr>
          <w:rFonts w:ascii="Book Antiqua" w:hAnsi="Book Antiqua"/>
          <w:b/>
        </w:rPr>
      </w:pPr>
    </w:p>
    <w:p w14:paraId="3931E5E9" w14:textId="77777777" w:rsidR="007D66AA" w:rsidRPr="000611B8" w:rsidRDefault="00A24E67"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lastRenderedPageBreak/>
        <w:t>LABELLING OF DOCUMENTS</w:t>
      </w:r>
    </w:p>
    <w:p w14:paraId="4A4DEF1D" w14:textId="77777777"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Before production to the Court in any case in the List:</w:t>
      </w:r>
    </w:p>
    <w:p w14:paraId="2ADB12B7" w14:textId="77777777" w:rsidR="00A24E67" w:rsidRPr="000611B8" w:rsidRDefault="00A24E67" w:rsidP="007E0B49">
      <w:pPr>
        <w:numPr>
          <w:ilvl w:val="0"/>
          <w:numId w:val="15"/>
        </w:numPr>
        <w:jc w:val="both"/>
        <w:rPr>
          <w:rFonts w:ascii="Book Antiqua" w:hAnsi="Book Antiqua"/>
        </w:rPr>
      </w:pPr>
      <w:r w:rsidRPr="000611B8">
        <w:rPr>
          <w:rFonts w:ascii="Book Antiqua" w:hAnsi="Book Antiqua"/>
        </w:rPr>
        <w:t>Any document more than one page in length must have page numbers added legibly;</w:t>
      </w:r>
    </w:p>
    <w:p w14:paraId="3169AE87" w14:textId="77777777" w:rsidR="00A24E67" w:rsidRPr="000611B8" w:rsidRDefault="00A24E67" w:rsidP="007E0B49">
      <w:pPr>
        <w:numPr>
          <w:ilvl w:val="0"/>
          <w:numId w:val="15"/>
        </w:numPr>
        <w:jc w:val="both"/>
        <w:rPr>
          <w:rFonts w:ascii="Book Antiqua" w:hAnsi="Book Antiqua"/>
        </w:rPr>
      </w:pPr>
      <w:r w:rsidRPr="000611B8">
        <w:rPr>
          <w:rFonts w:ascii="Book Antiqua" w:hAnsi="Book Antiqua"/>
        </w:rPr>
        <w:t>Any photograph must be endorsed with a numbered or lettered code, and must be accompanied by a brief description enabling it to be distinguished from other photographs in the proceeding;</w:t>
      </w:r>
    </w:p>
    <w:p w14:paraId="3E5945CA" w14:textId="77777777" w:rsidR="00A24E67" w:rsidRPr="000611B8" w:rsidRDefault="00A24E67" w:rsidP="007E0B49">
      <w:pPr>
        <w:numPr>
          <w:ilvl w:val="0"/>
          <w:numId w:val="15"/>
        </w:numPr>
        <w:jc w:val="both"/>
        <w:rPr>
          <w:rFonts w:ascii="Book Antiqua" w:hAnsi="Book Antiqua"/>
        </w:rPr>
      </w:pPr>
      <w:r w:rsidRPr="000611B8">
        <w:rPr>
          <w:rFonts w:ascii="Book Antiqua" w:hAnsi="Book Antiqua"/>
        </w:rPr>
        <w:t>Any plan on which land is said to be defined by reference to colour must be appropriately coloured; and</w:t>
      </w:r>
    </w:p>
    <w:p w14:paraId="01D71A92" w14:textId="77777777" w:rsidR="00A24E67" w:rsidRPr="000611B8" w:rsidRDefault="00A24E67" w:rsidP="007E0B49">
      <w:pPr>
        <w:numPr>
          <w:ilvl w:val="0"/>
          <w:numId w:val="15"/>
        </w:numPr>
        <w:jc w:val="both"/>
        <w:rPr>
          <w:rFonts w:ascii="Book Antiqua" w:hAnsi="Book Antiqua"/>
        </w:rPr>
      </w:pPr>
      <w:r w:rsidRPr="000611B8">
        <w:rPr>
          <w:rFonts w:ascii="Book Antiqua" w:hAnsi="Book Antiqua"/>
        </w:rPr>
        <w:t>Any map or plan must display:</w:t>
      </w:r>
    </w:p>
    <w:p w14:paraId="342311C1" w14:textId="77777777" w:rsidR="00A24E67" w:rsidRPr="000611B8" w:rsidRDefault="00A24E67" w:rsidP="007E0B49">
      <w:pPr>
        <w:numPr>
          <w:ilvl w:val="1"/>
          <w:numId w:val="15"/>
        </w:numPr>
        <w:jc w:val="both"/>
        <w:rPr>
          <w:rFonts w:ascii="Book Antiqua" w:hAnsi="Book Antiqua"/>
        </w:rPr>
      </w:pPr>
      <w:r w:rsidRPr="000611B8">
        <w:rPr>
          <w:rFonts w:ascii="Book Antiqua" w:hAnsi="Book Antiqua"/>
        </w:rPr>
        <w:t>A north line; and</w:t>
      </w:r>
    </w:p>
    <w:p w14:paraId="406CF43B" w14:textId="77777777" w:rsidR="00A24E67" w:rsidRPr="000611B8" w:rsidRDefault="00A24E67" w:rsidP="007E0B49">
      <w:pPr>
        <w:numPr>
          <w:ilvl w:val="1"/>
          <w:numId w:val="15"/>
        </w:numPr>
        <w:jc w:val="both"/>
        <w:rPr>
          <w:rFonts w:ascii="Book Antiqua" w:hAnsi="Book Antiqua"/>
        </w:rPr>
      </w:pPr>
      <w:r w:rsidRPr="000611B8">
        <w:rPr>
          <w:rFonts w:ascii="Book Antiqua" w:hAnsi="Book Antiqua"/>
        </w:rPr>
        <w:t>Either a scale, or an indication that the map or plan is not to scale.</w:t>
      </w:r>
    </w:p>
    <w:p w14:paraId="2EE2411E" w14:textId="77777777" w:rsidR="00182C1F" w:rsidRDefault="00182C1F" w:rsidP="007E0B49">
      <w:pPr>
        <w:spacing w:before="120" w:after="120"/>
        <w:jc w:val="both"/>
        <w:rPr>
          <w:rFonts w:ascii="Book Antiqua" w:hAnsi="Book Antiqua"/>
        </w:rPr>
      </w:pPr>
    </w:p>
    <w:p w14:paraId="38E8F2E4" w14:textId="77777777" w:rsidR="003824DD" w:rsidRDefault="003824DD"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Pr>
          <w:rFonts w:ascii="Book Antiqua" w:hAnsi="Book Antiqua"/>
          <w:b/>
          <w:sz w:val="24"/>
          <w:szCs w:val="24"/>
        </w:rPr>
        <w:t>TRANSCRIPT</w:t>
      </w:r>
    </w:p>
    <w:p w14:paraId="0D294202" w14:textId="77777777" w:rsidR="00EB0EEB" w:rsidRDefault="00EB0EEB" w:rsidP="007E0B49">
      <w:pPr>
        <w:pStyle w:val="ListParagraph"/>
        <w:numPr>
          <w:ilvl w:val="1"/>
          <w:numId w:val="2"/>
        </w:numPr>
        <w:spacing w:before="120" w:after="120"/>
        <w:contextualSpacing w:val="0"/>
        <w:jc w:val="both"/>
        <w:rPr>
          <w:rFonts w:ascii="Book Antiqua" w:hAnsi="Book Antiqua"/>
          <w:sz w:val="24"/>
          <w:szCs w:val="24"/>
        </w:rPr>
      </w:pPr>
      <w:r>
        <w:rPr>
          <w:rFonts w:ascii="Book Antiqua" w:hAnsi="Book Antiqua"/>
          <w:sz w:val="24"/>
          <w:szCs w:val="24"/>
        </w:rPr>
        <w:t>Practice Note SC Gen 7 is applicable to the requirements for transcript in relation to proceedings in the List.</w:t>
      </w:r>
    </w:p>
    <w:p w14:paraId="6626C690" w14:textId="77777777" w:rsidR="00C22CEF" w:rsidRDefault="00EB0EEB"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22CEF">
        <w:rPr>
          <w:rFonts w:ascii="Book Antiqua" w:hAnsi="Book Antiqua"/>
          <w:sz w:val="24"/>
          <w:szCs w:val="24"/>
        </w:rPr>
        <w:t>To ensure the efficient management of cases in the List, a ‘running’ transcript is required for trials and interlocutory applications, unless the presiding judicial officer directs otherwise.</w:t>
      </w:r>
    </w:p>
    <w:p w14:paraId="7A8F5F83" w14:textId="2EE77CFC" w:rsidR="00C22CEF" w:rsidRPr="00C22CEF" w:rsidRDefault="00706F39"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Subject to any contrary direction by the presiding judicial officer, </w:t>
      </w:r>
      <w:r w:rsidR="00E85338">
        <w:rPr>
          <w:rFonts w:ascii="Book Antiqua" w:hAnsi="Book Antiqua"/>
          <w:sz w:val="24"/>
          <w:szCs w:val="24"/>
        </w:rPr>
        <w:t>deferred</w:t>
      </w:r>
      <w:r w:rsidR="00E27915">
        <w:rPr>
          <w:rFonts w:ascii="Book Antiqua" w:hAnsi="Book Antiqua"/>
          <w:sz w:val="24"/>
          <w:szCs w:val="24"/>
        </w:rPr>
        <w:t xml:space="preserve"> </w:t>
      </w:r>
      <w:r>
        <w:rPr>
          <w:rFonts w:ascii="Book Antiqua" w:hAnsi="Book Antiqua"/>
          <w:sz w:val="24"/>
          <w:szCs w:val="24"/>
        </w:rPr>
        <w:t>t</w:t>
      </w:r>
      <w:r w:rsidR="00C22CEF" w:rsidRPr="00C22CEF">
        <w:rPr>
          <w:rFonts w:ascii="Book Antiqua" w:hAnsi="Book Antiqua"/>
          <w:sz w:val="24"/>
          <w:szCs w:val="24"/>
        </w:rPr>
        <w:t xml:space="preserve">ranscript </w:t>
      </w:r>
      <w:r w:rsidR="00E27915">
        <w:rPr>
          <w:rFonts w:ascii="Book Antiqua" w:hAnsi="Book Antiqua"/>
          <w:sz w:val="24"/>
          <w:szCs w:val="24"/>
        </w:rPr>
        <w:t xml:space="preserve">(2-3 days) is required for </w:t>
      </w:r>
      <w:r w:rsidR="00C22CEF" w:rsidRPr="00C22CEF">
        <w:rPr>
          <w:rFonts w:ascii="Book Antiqua" w:hAnsi="Book Antiqua"/>
          <w:sz w:val="24"/>
          <w:szCs w:val="24"/>
        </w:rPr>
        <w:t xml:space="preserve">directions hearings. </w:t>
      </w:r>
    </w:p>
    <w:p w14:paraId="65C65288" w14:textId="77777777" w:rsidR="003824DD" w:rsidRPr="000611B8" w:rsidRDefault="003824DD" w:rsidP="007E0B49">
      <w:pPr>
        <w:spacing w:before="120" w:after="120"/>
        <w:jc w:val="both"/>
        <w:rPr>
          <w:rFonts w:ascii="Book Antiqua" w:hAnsi="Book Antiqua"/>
        </w:rPr>
      </w:pPr>
    </w:p>
    <w:p w14:paraId="045911D6" w14:textId="77777777" w:rsidR="003E6930" w:rsidRDefault="003E6930"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Pr>
          <w:rFonts w:ascii="Book Antiqua" w:hAnsi="Book Antiqua"/>
          <w:b/>
          <w:sz w:val="24"/>
          <w:szCs w:val="24"/>
        </w:rPr>
        <w:t>USE OF TECHNOLOGY</w:t>
      </w:r>
    </w:p>
    <w:p w14:paraId="680DFDD4" w14:textId="77777777" w:rsidR="003E6930" w:rsidRDefault="003E6930"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provisions of Practice Note SC Gen 5 “</w:t>
      </w:r>
      <w:r w:rsidR="002D692A">
        <w:rPr>
          <w:rFonts w:ascii="Book Antiqua" w:hAnsi="Book Antiqua"/>
          <w:sz w:val="24"/>
          <w:szCs w:val="24"/>
        </w:rPr>
        <w:t>Guidelines for the Use of Technology</w:t>
      </w:r>
      <w:r>
        <w:rPr>
          <w:rFonts w:ascii="Book Antiqua" w:hAnsi="Book Antiqua"/>
          <w:sz w:val="24"/>
          <w:szCs w:val="24"/>
        </w:rPr>
        <w:t>” apply to proceedings in the List.</w:t>
      </w:r>
    </w:p>
    <w:p w14:paraId="7BCFABF7" w14:textId="77777777" w:rsidR="003E6930" w:rsidRDefault="003E6930"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For the purposes of </w:t>
      </w:r>
      <w:r w:rsidRPr="00437CC2">
        <w:rPr>
          <w:rFonts w:ascii="Book Antiqua" w:hAnsi="Book Antiqua"/>
          <w:sz w:val="24"/>
          <w:szCs w:val="24"/>
        </w:rPr>
        <w:t>para 9.11 of that</w:t>
      </w:r>
      <w:r>
        <w:rPr>
          <w:rFonts w:ascii="Book Antiqua" w:hAnsi="Book Antiqua"/>
          <w:sz w:val="24"/>
          <w:szCs w:val="24"/>
        </w:rPr>
        <w:t xml:space="preserve"> Practice Note, documentary evidence in excess of 1500 pages is to be considered a large amount of documentary evidence.  </w:t>
      </w:r>
    </w:p>
    <w:p w14:paraId="69052FE5" w14:textId="77777777" w:rsidR="003E6930" w:rsidRPr="003E6930" w:rsidRDefault="003E6930" w:rsidP="007E0B49">
      <w:pPr>
        <w:spacing w:before="120" w:after="120"/>
        <w:jc w:val="both"/>
        <w:rPr>
          <w:rFonts w:ascii="Book Antiqua" w:hAnsi="Book Antiqua"/>
        </w:rPr>
      </w:pPr>
    </w:p>
    <w:p w14:paraId="070B4620" w14:textId="77777777" w:rsidR="002361DF" w:rsidRPr="000611B8" w:rsidRDefault="002361DF"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COMMUNICATIONS WITH THE COURT</w:t>
      </w:r>
    </w:p>
    <w:p w14:paraId="568DFC9C" w14:textId="436A0BE9" w:rsidR="002361DF" w:rsidRPr="000611B8" w:rsidRDefault="002361DF"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At all stages of the proceeding, communications with the Court should be by email with a copy to all other parties, and should be confined to uncontroversial matters.</w:t>
      </w:r>
      <w:r w:rsidR="003615E5" w:rsidRPr="000611B8">
        <w:rPr>
          <w:rFonts w:ascii="Book Antiqua" w:hAnsi="Book Antiqua"/>
          <w:sz w:val="24"/>
          <w:szCs w:val="24"/>
        </w:rPr>
        <w:t xml:space="preserve"> </w:t>
      </w:r>
      <w:r w:rsidR="007801F6">
        <w:rPr>
          <w:rFonts w:ascii="Book Antiqua" w:hAnsi="Book Antiqua"/>
          <w:sz w:val="24"/>
          <w:szCs w:val="24"/>
        </w:rPr>
        <w:t xml:space="preserve"> </w:t>
      </w:r>
      <w:r w:rsidR="008279B6">
        <w:rPr>
          <w:rFonts w:ascii="Book Antiqua" w:hAnsi="Book Antiqua"/>
          <w:sz w:val="24"/>
          <w:szCs w:val="24"/>
        </w:rPr>
        <w:t>E</w:t>
      </w:r>
      <w:r w:rsidR="00C10187">
        <w:rPr>
          <w:rFonts w:ascii="Book Antiqua" w:hAnsi="Book Antiqua"/>
          <w:sz w:val="24"/>
          <w:szCs w:val="24"/>
        </w:rPr>
        <w:t xml:space="preserve">nquiries relating to the List </w:t>
      </w:r>
      <w:r w:rsidR="008279B6">
        <w:rPr>
          <w:rFonts w:ascii="Book Antiqua" w:hAnsi="Book Antiqua"/>
          <w:sz w:val="24"/>
          <w:szCs w:val="24"/>
        </w:rPr>
        <w:t xml:space="preserve">should be directed to the Registry Lawyer at </w:t>
      </w:r>
      <w:hyperlink r:id="rId14" w:history="1">
        <w:r w:rsidR="008279B6" w:rsidRPr="00BB0DD9">
          <w:rPr>
            <w:rStyle w:val="Hyperlink"/>
            <w:rFonts w:ascii="Book Antiqua" w:hAnsi="Book Antiqua"/>
            <w:sz w:val="24"/>
            <w:szCs w:val="24"/>
          </w:rPr>
          <w:t>vcplist@supcourt.vic.gov.au</w:t>
        </w:r>
      </w:hyperlink>
      <w:r w:rsidR="008E7EFE" w:rsidRPr="000611B8">
        <w:rPr>
          <w:rFonts w:ascii="Book Antiqua" w:hAnsi="Book Antiqua"/>
          <w:sz w:val="24"/>
          <w:szCs w:val="24"/>
        </w:rPr>
        <w:t>.</w:t>
      </w:r>
    </w:p>
    <w:p w14:paraId="2020D559" w14:textId="77777777" w:rsidR="00525B9D" w:rsidRPr="00F45790" w:rsidRDefault="00525B9D"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Parties are reminded that pursuant to rule 27.03(11)(b) of the </w:t>
      </w:r>
      <w:r w:rsidRPr="000611B8">
        <w:rPr>
          <w:rFonts w:ascii="Book Antiqua" w:hAnsi="Book Antiqua"/>
          <w:i/>
          <w:sz w:val="24"/>
          <w:szCs w:val="24"/>
        </w:rPr>
        <w:t>Supreme Court (General Civil Procedure) Rules 2015</w:t>
      </w:r>
      <w:r w:rsidRPr="000611B8">
        <w:rPr>
          <w:rFonts w:ascii="Book Antiqua" w:hAnsi="Book Antiqua"/>
          <w:sz w:val="24"/>
          <w:szCs w:val="24"/>
        </w:rPr>
        <w:t>, all court documents must include the name and email address of an individual to whom reference can be made in respect of the proceeding.</w:t>
      </w:r>
    </w:p>
    <w:p w14:paraId="26A587A8" w14:textId="77777777" w:rsidR="00F45790" w:rsidRPr="00F45790" w:rsidRDefault="00F45790" w:rsidP="007E0B49">
      <w:pPr>
        <w:autoSpaceDE w:val="0"/>
        <w:autoSpaceDN w:val="0"/>
        <w:adjustRightInd w:val="0"/>
        <w:spacing w:before="120" w:after="120"/>
        <w:jc w:val="both"/>
        <w:rPr>
          <w:rFonts w:ascii="Book Antiqua" w:hAnsi="Book Antiqua"/>
          <w:b/>
        </w:rPr>
      </w:pPr>
    </w:p>
    <w:p w14:paraId="37520715" w14:textId="77777777" w:rsidR="00F45790" w:rsidRPr="000B55F5" w:rsidRDefault="00F45790" w:rsidP="007E0B49">
      <w:pPr>
        <w:pStyle w:val="ListParagraph"/>
        <w:keepNext/>
        <w:numPr>
          <w:ilvl w:val="0"/>
          <w:numId w:val="2"/>
        </w:numPr>
        <w:autoSpaceDE w:val="0"/>
        <w:autoSpaceDN w:val="0"/>
        <w:adjustRightInd w:val="0"/>
        <w:spacing w:before="120" w:after="120"/>
        <w:contextualSpacing w:val="0"/>
        <w:jc w:val="both"/>
        <w:rPr>
          <w:rFonts w:ascii="Book Antiqua" w:hAnsi="Book Antiqua"/>
          <w:b/>
        </w:rPr>
      </w:pPr>
      <w:r w:rsidRPr="000B55F5">
        <w:rPr>
          <w:rFonts w:ascii="Book Antiqua" w:hAnsi="Book Antiqua"/>
          <w:b/>
          <w:sz w:val="24"/>
          <w:szCs w:val="24"/>
        </w:rPr>
        <w:lastRenderedPageBreak/>
        <w:t xml:space="preserve">FURTHER INFORMATION </w:t>
      </w:r>
    </w:p>
    <w:p w14:paraId="60E67C4E" w14:textId="13E00A18" w:rsidR="00F45790" w:rsidRPr="00F45790" w:rsidRDefault="00F45790"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F45790">
        <w:rPr>
          <w:rFonts w:ascii="Book Antiqua" w:hAnsi="Book Antiqua"/>
          <w:sz w:val="24"/>
          <w:szCs w:val="24"/>
        </w:rPr>
        <w:t>The Court’s website (</w:t>
      </w:r>
      <w:hyperlink r:id="rId15" w:history="1">
        <w:r w:rsidRPr="00046498">
          <w:rPr>
            <w:rStyle w:val="Hyperlink"/>
            <w:rFonts w:ascii="Book Antiqua" w:hAnsi="Book Antiqua"/>
            <w:sz w:val="24"/>
            <w:szCs w:val="24"/>
          </w:rPr>
          <w:t>www.supremecourt.vic.gov.au</w:t>
        </w:r>
      </w:hyperlink>
      <w:r w:rsidRPr="00F45790">
        <w:rPr>
          <w:rFonts w:ascii="Book Antiqua" w:hAnsi="Book Antiqua"/>
          <w:sz w:val="24"/>
          <w:szCs w:val="24"/>
        </w:rPr>
        <w:t xml:space="preserve">) includes a </w:t>
      </w:r>
      <w:hyperlink r:id="rId16" w:history="1">
        <w:r w:rsidRPr="00046498">
          <w:rPr>
            <w:rStyle w:val="Hyperlink"/>
            <w:rFonts w:ascii="Book Antiqua" w:hAnsi="Book Antiqua"/>
            <w:sz w:val="24"/>
            <w:szCs w:val="24"/>
          </w:rPr>
          <w:t>page dedicated to the List</w:t>
        </w:r>
      </w:hyperlink>
      <w:r w:rsidRPr="00F45790">
        <w:rPr>
          <w:rFonts w:ascii="Book Antiqua" w:hAnsi="Book Antiqua"/>
          <w:sz w:val="24"/>
          <w:szCs w:val="24"/>
        </w:rPr>
        <w:t xml:space="preserve"> with up to date information about the operation of the List </w:t>
      </w:r>
      <w:r w:rsidR="003F380F">
        <w:rPr>
          <w:rFonts w:ascii="Book Antiqua" w:hAnsi="Book Antiqua"/>
          <w:sz w:val="24"/>
          <w:szCs w:val="24"/>
        </w:rPr>
        <w:t>including</w:t>
      </w:r>
      <w:r w:rsidRPr="00F45790">
        <w:rPr>
          <w:rFonts w:ascii="Book Antiqua" w:hAnsi="Book Antiqua"/>
          <w:sz w:val="24"/>
          <w:szCs w:val="24"/>
        </w:rPr>
        <w:t xml:space="preserve">: </w:t>
      </w:r>
    </w:p>
    <w:p w14:paraId="053BA7B6" w14:textId="77777777" w:rsidR="003F380F" w:rsidRDefault="00F45790" w:rsidP="007E0B49">
      <w:pPr>
        <w:spacing w:before="100" w:beforeAutospacing="1" w:after="100" w:afterAutospacing="1"/>
        <w:ind w:firstLine="720"/>
        <w:rPr>
          <w:rFonts w:ascii="Book Antiqua" w:hAnsi="Book Antiqua"/>
        </w:rPr>
      </w:pPr>
      <w:r w:rsidRPr="000B55F5">
        <w:rPr>
          <w:rFonts w:ascii="Book Antiqua" w:hAnsi="Book Antiqua"/>
        </w:rPr>
        <w:t xml:space="preserve">a) </w:t>
      </w:r>
      <w:r w:rsidR="003F380F">
        <w:rPr>
          <w:rFonts w:ascii="Book Antiqua" w:hAnsi="Book Antiqua"/>
        </w:rPr>
        <w:t>Judicial officers managing the List;</w:t>
      </w:r>
    </w:p>
    <w:p w14:paraId="6DA01022" w14:textId="47D1B461" w:rsidR="008279B6" w:rsidRDefault="003F380F" w:rsidP="007E0B49">
      <w:pPr>
        <w:spacing w:before="100" w:beforeAutospacing="1" w:after="100" w:afterAutospacing="1"/>
        <w:ind w:firstLine="720"/>
        <w:rPr>
          <w:rFonts w:ascii="Book Antiqua" w:hAnsi="Book Antiqua"/>
        </w:rPr>
      </w:pPr>
      <w:r>
        <w:rPr>
          <w:rFonts w:ascii="Book Antiqua" w:hAnsi="Book Antiqua"/>
        </w:rPr>
        <w:t>b) t</w:t>
      </w:r>
      <w:r w:rsidR="00F45790" w:rsidRPr="000B55F5">
        <w:rPr>
          <w:rFonts w:ascii="Book Antiqua" w:hAnsi="Book Antiqua"/>
        </w:rPr>
        <w:t>his Pract</w:t>
      </w:r>
      <w:r w:rsidR="00892303">
        <w:rPr>
          <w:rFonts w:ascii="Book Antiqua" w:hAnsi="Book Antiqua"/>
        </w:rPr>
        <w:t xml:space="preserve">ice Note in </w:t>
      </w:r>
      <w:r>
        <w:rPr>
          <w:rFonts w:ascii="Book Antiqua" w:hAnsi="Book Antiqua"/>
        </w:rPr>
        <w:t xml:space="preserve">Word </w:t>
      </w:r>
      <w:r w:rsidR="00892303">
        <w:rPr>
          <w:rFonts w:ascii="Book Antiqua" w:hAnsi="Book Antiqua"/>
        </w:rPr>
        <w:t xml:space="preserve">and </w:t>
      </w:r>
      <w:r>
        <w:rPr>
          <w:rFonts w:ascii="Book Antiqua" w:hAnsi="Book Antiqua"/>
        </w:rPr>
        <w:t xml:space="preserve">PDF </w:t>
      </w:r>
      <w:r w:rsidR="00892303">
        <w:rPr>
          <w:rFonts w:ascii="Book Antiqua" w:hAnsi="Book Antiqua"/>
        </w:rPr>
        <w:t>formats</w:t>
      </w:r>
      <w:r w:rsidR="008279B6">
        <w:rPr>
          <w:rFonts w:ascii="Book Antiqua" w:hAnsi="Book Antiqua"/>
        </w:rPr>
        <w:t>;</w:t>
      </w:r>
    </w:p>
    <w:p w14:paraId="5301CA60" w14:textId="35A12EA9" w:rsidR="00714C1A" w:rsidRDefault="00714C1A" w:rsidP="007E0B49">
      <w:pPr>
        <w:spacing w:before="100" w:beforeAutospacing="1" w:after="100" w:afterAutospacing="1"/>
        <w:ind w:firstLine="720"/>
        <w:rPr>
          <w:rFonts w:ascii="Book Antiqua" w:hAnsi="Book Antiqua"/>
        </w:rPr>
      </w:pPr>
      <w:r>
        <w:rPr>
          <w:rFonts w:ascii="Book Antiqua" w:hAnsi="Book Antiqua"/>
        </w:rPr>
        <w:t>c) template orders for the most common types of proceedings in the List;</w:t>
      </w:r>
    </w:p>
    <w:p w14:paraId="286C799F" w14:textId="58321CA6" w:rsidR="00DC24A7" w:rsidRDefault="00714C1A" w:rsidP="007E0B49">
      <w:pPr>
        <w:spacing w:before="100" w:beforeAutospacing="1" w:after="100" w:afterAutospacing="1"/>
        <w:ind w:firstLine="720"/>
        <w:rPr>
          <w:rFonts w:ascii="Book Antiqua" w:hAnsi="Book Antiqua"/>
        </w:rPr>
      </w:pPr>
      <w:r>
        <w:rPr>
          <w:rFonts w:ascii="Book Antiqua" w:hAnsi="Book Antiqua"/>
        </w:rPr>
        <w:t>d</w:t>
      </w:r>
      <w:r w:rsidR="008279B6">
        <w:rPr>
          <w:rFonts w:ascii="Book Antiqua" w:hAnsi="Book Antiqua"/>
        </w:rPr>
        <w:t>) dates for List directions days.</w:t>
      </w:r>
    </w:p>
    <w:p w14:paraId="6482A1ED" w14:textId="77777777" w:rsidR="00C76BC2" w:rsidRPr="000611B8" w:rsidRDefault="00C76BC2" w:rsidP="007E0B49">
      <w:pPr>
        <w:spacing w:before="120" w:after="120"/>
        <w:ind w:left="720" w:hanging="720"/>
        <w:jc w:val="both"/>
        <w:rPr>
          <w:rFonts w:ascii="Book Antiqua" w:hAnsi="Book Antiqua"/>
        </w:rPr>
      </w:pPr>
    </w:p>
    <w:p w14:paraId="028AE0C9" w14:textId="77777777" w:rsidR="003817CD" w:rsidRPr="000611B8" w:rsidRDefault="00277B7B" w:rsidP="007E0B49">
      <w:pPr>
        <w:autoSpaceDE w:val="0"/>
        <w:autoSpaceDN w:val="0"/>
        <w:adjustRightInd w:val="0"/>
        <w:spacing w:before="120" w:after="120"/>
        <w:jc w:val="both"/>
        <w:rPr>
          <w:rFonts w:ascii="Book Antiqua" w:hAnsi="Book Antiqua"/>
          <w:b/>
        </w:rPr>
      </w:pPr>
      <w:r w:rsidRPr="000611B8">
        <w:rPr>
          <w:rFonts w:ascii="Book Antiqua" w:hAnsi="Book Antiqua"/>
          <w:b/>
        </w:rPr>
        <w:t>AMENDMENT HISTORY</w:t>
      </w:r>
    </w:p>
    <w:p w14:paraId="24DE30C6" w14:textId="50D24679" w:rsidR="00AB3FFA" w:rsidRPr="000611B8" w:rsidRDefault="00E469BE" w:rsidP="007E0B49">
      <w:pPr>
        <w:spacing w:before="120" w:after="120"/>
        <w:jc w:val="both"/>
        <w:rPr>
          <w:rFonts w:ascii="Book Antiqua" w:hAnsi="Book Antiqua"/>
        </w:rPr>
      </w:pPr>
      <w:r>
        <w:rPr>
          <w:rFonts w:ascii="Book Antiqua" w:hAnsi="Book Antiqua"/>
        </w:rPr>
        <w:t>30</w:t>
      </w:r>
      <w:r w:rsidR="00277B7B" w:rsidRPr="000611B8">
        <w:rPr>
          <w:rFonts w:ascii="Book Antiqua" w:hAnsi="Book Antiqua"/>
        </w:rPr>
        <w:t xml:space="preserve"> </w:t>
      </w:r>
      <w:r w:rsidR="003E6930">
        <w:rPr>
          <w:rFonts w:ascii="Book Antiqua" w:hAnsi="Book Antiqua"/>
        </w:rPr>
        <w:t>January 2017</w:t>
      </w:r>
      <w:r w:rsidR="00277B7B" w:rsidRPr="000611B8">
        <w:rPr>
          <w:rFonts w:ascii="Book Antiqua" w:hAnsi="Book Antiqua"/>
        </w:rPr>
        <w:t>: Th</w:t>
      </w:r>
      <w:r>
        <w:rPr>
          <w:rFonts w:ascii="Book Antiqua" w:hAnsi="Book Antiqua"/>
        </w:rPr>
        <w:t>is Practice Note was issued on 30</w:t>
      </w:r>
      <w:r w:rsidR="00277B7B" w:rsidRPr="000611B8">
        <w:rPr>
          <w:rFonts w:ascii="Book Antiqua" w:hAnsi="Book Antiqua"/>
        </w:rPr>
        <w:t xml:space="preserve"> </w:t>
      </w:r>
      <w:r w:rsidR="003E6930">
        <w:rPr>
          <w:rFonts w:ascii="Book Antiqua" w:hAnsi="Book Antiqua"/>
        </w:rPr>
        <w:t xml:space="preserve">January 2017 </w:t>
      </w:r>
      <w:r w:rsidR="00277B7B" w:rsidRPr="000611B8">
        <w:rPr>
          <w:rFonts w:ascii="Book Antiqua" w:hAnsi="Book Antiqua"/>
        </w:rPr>
        <w:t>and replaced Practice Note</w:t>
      </w:r>
      <w:r w:rsidR="00D00C42" w:rsidRPr="000611B8">
        <w:rPr>
          <w:rFonts w:ascii="Book Antiqua" w:hAnsi="Book Antiqua"/>
        </w:rPr>
        <w:t xml:space="preserve"> No </w:t>
      </w:r>
      <w:r w:rsidR="005C5419" w:rsidRPr="000611B8">
        <w:rPr>
          <w:rFonts w:ascii="Book Antiqua" w:hAnsi="Book Antiqua"/>
        </w:rPr>
        <w:t>8</w:t>
      </w:r>
      <w:r w:rsidR="00D00C42" w:rsidRPr="000611B8">
        <w:rPr>
          <w:rFonts w:ascii="Book Antiqua" w:hAnsi="Book Antiqua"/>
        </w:rPr>
        <w:t xml:space="preserve"> of 201</w:t>
      </w:r>
      <w:r w:rsidR="0024636D" w:rsidRPr="000611B8">
        <w:rPr>
          <w:rFonts w:ascii="Book Antiqua" w:hAnsi="Book Antiqua"/>
        </w:rPr>
        <w:t>5</w:t>
      </w:r>
      <w:r w:rsidR="00D00C42" w:rsidRPr="000611B8">
        <w:rPr>
          <w:rFonts w:ascii="Book Antiqua" w:hAnsi="Book Antiqua"/>
        </w:rPr>
        <w:t>.</w:t>
      </w:r>
    </w:p>
    <w:p w14:paraId="7B01E6C8" w14:textId="50E83EB0" w:rsidR="00277B7B" w:rsidRDefault="00277B7B" w:rsidP="007E0B49">
      <w:pPr>
        <w:spacing w:before="120" w:after="120"/>
        <w:ind w:left="720" w:hanging="720"/>
        <w:jc w:val="both"/>
        <w:rPr>
          <w:rFonts w:ascii="Book Antiqua" w:hAnsi="Book Antiqua"/>
        </w:rPr>
      </w:pPr>
    </w:p>
    <w:p w14:paraId="78B9BE80" w14:textId="6AFBB05E" w:rsidR="00C945C7" w:rsidRPr="000611B8" w:rsidRDefault="00E85338" w:rsidP="007E0B49">
      <w:pPr>
        <w:spacing w:before="120" w:after="120"/>
        <w:ind w:left="720" w:hanging="720"/>
        <w:jc w:val="both"/>
        <w:rPr>
          <w:rFonts w:ascii="Book Antiqua" w:hAnsi="Book Antiqua"/>
        </w:rPr>
      </w:pPr>
      <w:r>
        <w:rPr>
          <w:rFonts w:ascii="Book Antiqua" w:hAnsi="Book Antiqua"/>
        </w:rPr>
        <w:t>1 October</w:t>
      </w:r>
      <w:r w:rsidR="00C945C7">
        <w:rPr>
          <w:rFonts w:ascii="Book Antiqua" w:hAnsi="Book Antiqua"/>
        </w:rPr>
        <w:t xml:space="preserve"> 2018: First revision</w:t>
      </w:r>
      <w:r>
        <w:rPr>
          <w:rFonts w:ascii="Book Antiqua" w:hAnsi="Book Antiqua"/>
        </w:rPr>
        <w:t>; amendments to paras 1, 2, 3, 5, 6, 7, 8, 11, 13, 14</w:t>
      </w:r>
      <w:r w:rsidR="00C945C7">
        <w:rPr>
          <w:rFonts w:ascii="Book Antiqua" w:hAnsi="Book Antiqua"/>
        </w:rPr>
        <w:t>.</w:t>
      </w:r>
    </w:p>
    <w:p w14:paraId="12FF891C" w14:textId="3AC413D4" w:rsidR="00AB3FFA" w:rsidRDefault="00AB3FFA" w:rsidP="007E0B49">
      <w:pPr>
        <w:spacing w:before="120" w:after="120"/>
        <w:ind w:left="720" w:hanging="720"/>
        <w:jc w:val="both"/>
        <w:rPr>
          <w:rFonts w:ascii="Book Antiqua" w:hAnsi="Book Antiqua"/>
        </w:rPr>
      </w:pPr>
    </w:p>
    <w:p w14:paraId="0F397825" w14:textId="571FE99D" w:rsidR="00E85338" w:rsidRDefault="00E85338" w:rsidP="007E0B49">
      <w:pPr>
        <w:spacing w:before="120" w:after="120"/>
        <w:ind w:left="720" w:hanging="720"/>
        <w:jc w:val="both"/>
        <w:rPr>
          <w:rFonts w:ascii="Book Antiqua" w:hAnsi="Book Antiqua"/>
        </w:rPr>
      </w:pPr>
    </w:p>
    <w:p w14:paraId="7E520A24" w14:textId="77777777" w:rsidR="007E0B49" w:rsidRPr="000611B8" w:rsidRDefault="007E0B49" w:rsidP="007E0B49">
      <w:pPr>
        <w:spacing w:before="120" w:after="120"/>
        <w:ind w:left="720" w:hanging="720"/>
        <w:jc w:val="both"/>
        <w:rPr>
          <w:rFonts w:ascii="Book Antiqua" w:hAnsi="Book Antiqua"/>
        </w:rPr>
      </w:pPr>
    </w:p>
    <w:p w14:paraId="7DBE8447" w14:textId="6D04C631" w:rsidR="00E85338" w:rsidRDefault="00E85338" w:rsidP="007E0B49">
      <w:pPr>
        <w:spacing w:before="120" w:after="120"/>
        <w:ind w:left="720" w:hanging="720"/>
        <w:jc w:val="right"/>
        <w:rPr>
          <w:rFonts w:ascii="Book Antiqua" w:hAnsi="Book Antiqua"/>
        </w:rPr>
      </w:pPr>
      <w:r>
        <w:rPr>
          <w:rFonts w:ascii="Book Antiqua" w:hAnsi="Book Antiqua"/>
        </w:rPr>
        <w:t>1 October 2018</w:t>
      </w:r>
    </w:p>
    <w:p w14:paraId="703BB3C9" w14:textId="444DF50B" w:rsidR="00AB3FFA" w:rsidRPr="000611B8" w:rsidRDefault="003F380F" w:rsidP="007E0B49">
      <w:pPr>
        <w:spacing w:before="120" w:after="120"/>
        <w:ind w:left="720" w:hanging="720"/>
        <w:jc w:val="right"/>
        <w:rPr>
          <w:rFonts w:ascii="Book Antiqua" w:hAnsi="Book Antiqua"/>
        </w:rPr>
      </w:pPr>
      <w:r>
        <w:rPr>
          <w:rFonts w:ascii="Book Antiqua" w:hAnsi="Book Antiqua"/>
        </w:rPr>
        <w:t>Vivienne Macgillivray</w:t>
      </w:r>
    </w:p>
    <w:p w14:paraId="3D6D2433" w14:textId="77777777" w:rsidR="00AB3FFA" w:rsidRPr="000611B8" w:rsidRDefault="00AB3FFA" w:rsidP="007E0B49">
      <w:pPr>
        <w:spacing w:before="120" w:after="120"/>
        <w:ind w:left="720" w:hanging="720"/>
        <w:jc w:val="right"/>
        <w:rPr>
          <w:rFonts w:ascii="Book Antiqua" w:hAnsi="Book Antiqua"/>
        </w:rPr>
      </w:pPr>
      <w:r w:rsidRPr="000611B8">
        <w:rPr>
          <w:rFonts w:ascii="Book Antiqua" w:hAnsi="Book Antiqua"/>
        </w:rPr>
        <w:t>Executive Associate to the Chief Justice</w:t>
      </w:r>
    </w:p>
    <w:sectPr w:rsidR="00AB3FFA" w:rsidRPr="000611B8" w:rsidSect="003817C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D13A1" w14:textId="77777777" w:rsidR="00B205E5" w:rsidRDefault="00B205E5">
      <w:r>
        <w:separator/>
      </w:r>
    </w:p>
  </w:endnote>
  <w:endnote w:type="continuationSeparator" w:id="0">
    <w:p w14:paraId="78556775" w14:textId="77777777" w:rsidR="00B205E5" w:rsidRDefault="00B205E5">
      <w:r>
        <w:continuationSeparator/>
      </w:r>
    </w:p>
  </w:endnote>
  <w:endnote w:type="continuationNotice" w:id="1">
    <w:p w14:paraId="5B663C82" w14:textId="77777777" w:rsidR="00B205E5" w:rsidRDefault="00B20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F837" w14:textId="7922B9E4" w:rsidR="002D6E79" w:rsidRDefault="002D6E79">
    <w:pPr>
      <w:pStyle w:val="Footer"/>
      <w:jc w:val="right"/>
    </w:pPr>
    <w:r>
      <w:fldChar w:fldCharType="begin"/>
    </w:r>
    <w:r>
      <w:instrText xml:space="preserve"> PAGE   \* MERGEFORMAT </w:instrText>
    </w:r>
    <w:r>
      <w:fldChar w:fldCharType="separate"/>
    </w:r>
    <w:r w:rsidR="000973B5">
      <w:rPr>
        <w:noProof/>
      </w:rPr>
      <w:t>1</w:t>
    </w:r>
    <w:r>
      <w:rPr>
        <w:noProof/>
      </w:rPr>
      <w:fldChar w:fldCharType="end"/>
    </w:r>
  </w:p>
  <w:p w14:paraId="4E7A178B"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A30B3" w14:textId="77777777" w:rsidR="00B205E5" w:rsidRDefault="00B205E5">
      <w:r>
        <w:separator/>
      </w:r>
    </w:p>
  </w:footnote>
  <w:footnote w:type="continuationSeparator" w:id="0">
    <w:p w14:paraId="718489EE" w14:textId="77777777" w:rsidR="00B205E5" w:rsidRDefault="00B205E5">
      <w:r>
        <w:continuationSeparator/>
      </w:r>
    </w:p>
  </w:footnote>
  <w:footnote w:type="continuationNotice" w:id="1">
    <w:p w14:paraId="6724D46A" w14:textId="77777777" w:rsidR="00B205E5" w:rsidRDefault="00B205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7225" w14:textId="7A83FBBE" w:rsidR="002D4BBF" w:rsidRDefault="002D4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183F95"/>
    <w:multiLevelType w:val="hybridMultilevel"/>
    <w:tmpl w:val="F168A34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F793CBC"/>
    <w:multiLevelType w:val="hybridMultilevel"/>
    <w:tmpl w:val="4F2CC6D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5174285"/>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6D1176E"/>
    <w:multiLevelType w:val="hybridMultilevel"/>
    <w:tmpl w:val="FE3CF272"/>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86646ED"/>
    <w:multiLevelType w:val="hybridMultilevel"/>
    <w:tmpl w:val="49A22AE6"/>
    <w:lvl w:ilvl="0" w:tplc="1E4CCC34">
      <w:start w:val="1"/>
      <w:numFmt w:val="decimal"/>
      <w:lvlText w:val="%1."/>
      <w:lvlJc w:val="left"/>
      <w:pPr>
        <w:tabs>
          <w:tab w:val="num" w:pos="360"/>
        </w:tabs>
        <w:ind w:left="360" w:hanging="360"/>
      </w:pPr>
      <w:rPr>
        <w:b/>
      </w:rPr>
    </w:lvl>
    <w:lvl w:ilvl="1" w:tplc="0C090019">
      <w:start w:val="1"/>
      <w:numFmt w:val="lowerLetter"/>
      <w:lvlText w:val="%2."/>
      <w:lvlJc w:val="left"/>
      <w:pPr>
        <w:tabs>
          <w:tab w:val="num" w:pos="540"/>
        </w:tabs>
        <w:ind w:left="540" w:hanging="360"/>
      </w:pPr>
    </w:lvl>
    <w:lvl w:ilvl="2" w:tplc="0C09001B" w:tentative="1">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6" w15:restartNumberingAfterBreak="0">
    <w:nsid w:val="1E6954C1"/>
    <w:multiLevelType w:val="hybridMultilevel"/>
    <w:tmpl w:val="E9840B1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89F147E"/>
    <w:multiLevelType w:val="multilevel"/>
    <w:tmpl w:val="E2DA6160"/>
    <w:lvl w:ilvl="0">
      <w:start w:val="1"/>
      <w:numFmt w:val="decimal"/>
      <w:pStyle w:val="Num1"/>
      <w:lvlText w:val="%1."/>
      <w:lvlJc w:val="left"/>
      <w:pPr>
        <w:tabs>
          <w:tab w:val="num" w:pos="1287"/>
        </w:tabs>
        <w:ind w:left="1287" w:hanging="360"/>
      </w:pPr>
      <w:rPr>
        <w:rFonts w:hint="default"/>
      </w:rPr>
    </w:lvl>
    <w:lvl w:ilvl="1">
      <w:start w:val="1"/>
      <w:numFmt w:val="lowerLetter"/>
      <w:pStyle w:val="Num2"/>
      <w:lvlText w:val="(%2)"/>
      <w:lvlJc w:val="left"/>
      <w:pPr>
        <w:tabs>
          <w:tab w:val="num" w:pos="1647"/>
        </w:tabs>
        <w:ind w:left="1647" w:hanging="360"/>
      </w:pPr>
      <w:rPr>
        <w:rFonts w:hint="default"/>
      </w:rPr>
    </w:lvl>
    <w:lvl w:ilvl="2">
      <w:start w:val="1"/>
      <w:numFmt w:val="lowerRoman"/>
      <w:pStyle w:val="Indent1"/>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8" w15:restartNumberingAfterBreak="0">
    <w:nsid w:val="2C933C13"/>
    <w:multiLevelType w:val="hybridMultilevel"/>
    <w:tmpl w:val="D93C72D4"/>
    <w:lvl w:ilvl="0" w:tplc="30D6E510">
      <w:start w:val="25"/>
      <w:numFmt w:val="decimal"/>
      <w:lvlText w:val="%1."/>
      <w:lvlJc w:val="left"/>
      <w:pPr>
        <w:tabs>
          <w:tab w:val="num" w:pos="705"/>
        </w:tabs>
        <w:ind w:left="705" w:hanging="705"/>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9" w15:restartNumberingAfterBreak="0">
    <w:nsid w:val="31C7632E"/>
    <w:multiLevelType w:val="hybridMultilevel"/>
    <w:tmpl w:val="6BD4244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40A1691"/>
    <w:multiLevelType w:val="hybridMultilevel"/>
    <w:tmpl w:val="D05259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77F4907"/>
    <w:multiLevelType w:val="hybridMultilevel"/>
    <w:tmpl w:val="93E0759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3C6054"/>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8703211"/>
    <w:multiLevelType w:val="hybridMultilevel"/>
    <w:tmpl w:val="646606D6"/>
    <w:lvl w:ilvl="0" w:tplc="646012FE">
      <w:start w:val="1"/>
      <w:numFmt w:val="decimal"/>
      <w:lvlText w:val="%1."/>
      <w:lvlJc w:val="left"/>
      <w:pPr>
        <w:tabs>
          <w:tab w:val="num" w:pos="885"/>
        </w:tabs>
        <w:ind w:left="885" w:hanging="705"/>
      </w:pPr>
      <w:rPr>
        <w:rFonts w:hint="default"/>
      </w:rPr>
    </w:lvl>
    <w:lvl w:ilvl="1" w:tplc="0C090019">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tentative="1">
      <w:start w:val="1"/>
      <w:numFmt w:val="decimal"/>
      <w:lvlText w:val="%4."/>
      <w:lvlJc w:val="left"/>
      <w:pPr>
        <w:tabs>
          <w:tab w:val="num" w:pos="2517"/>
        </w:tabs>
        <w:ind w:left="2517" w:hanging="360"/>
      </w:pPr>
    </w:lvl>
    <w:lvl w:ilvl="4" w:tplc="0C090019" w:tentative="1">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14" w15:restartNumberingAfterBreak="0">
    <w:nsid w:val="48C27B78"/>
    <w:multiLevelType w:val="multilevel"/>
    <w:tmpl w:val="02E2D456"/>
    <w:lvl w:ilvl="0">
      <w:start w:val="1"/>
      <w:numFmt w:val="lowerLetter"/>
      <w:lvlText w:val="(%1)"/>
      <w:lvlJc w:val="left"/>
      <w:pPr>
        <w:ind w:left="1440" w:hanging="720"/>
      </w:pPr>
      <w:rPr>
        <w:rFonts w:hint="default"/>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520C69D2"/>
    <w:multiLevelType w:val="hybridMultilevel"/>
    <w:tmpl w:val="D58041F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740CF1"/>
    <w:multiLevelType w:val="multilevel"/>
    <w:tmpl w:val="6DF81CD0"/>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abstractNumId w:val="0"/>
  </w:num>
  <w:num w:numId="2">
    <w:abstractNumId w:val="16"/>
  </w:num>
  <w:num w:numId="3">
    <w:abstractNumId w:val="14"/>
  </w:num>
  <w:num w:numId="4">
    <w:abstractNumId w:val="9"/>
  </w:num>
  <w:num w:numId="5">
    <w:abstractNumId w:val="15"/>
  </w:num>
  <w:num w:numId="6">
    <w:abstractNumId w:val="1"/>
  </w:num>
  <w:num w:numId="7">
    <w:abstractNumId w:val="4"/>
  </w:num>
  <w:num w:numId="8">
    <w:abstractNumId w:val="3"/>
  </w:num>
  <w:num w:numId="9">
    <w:abstractNumId w:val="2"/>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11"/>
  </w:num>
  <w:num w:numId="15">
    <w:abstractNumId w:val="6"/>
  </w:num>
  <w:num w:numId="16">
    <w:abstractNumId w:val="13"/>
  </w:num>
  <w:num w:numId="17">
    <w:abstractNumId w:val="7"/>
  </w:num>
  <w:num w:numId="18">
    <w:abstractNumId w:val="8"/>
  </w:num>
  <w:num w:numId="1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7C7"/>
    <w:rsid w:val="000118DD"/>
    <w:rsid w:val="0001288E"/>
    <w:rsid w:val="000128D0"/>
    <w:rsid w:val="00013D3B"/>
    <w:rsid w:val="00014B10"/>
    <w:rsid w:val="0003306E"/>
    <w:rsid w:val="00034D85"/>
    <w:rsid w:val="00035057"/>
    <w:rsid w:val="00036894"/>
    <w:rsid w:val="00037D26"/>
    <w:rsid w:val="00043448"/>
    <w:rsid w:val="00046498"/>
    <w:rsid w:val="00055F43"/>
    <w:rsid w:val="000566C3"/>
    <w:rsid w:val="000611B8"/>
    <w:rsid w:val="00070CA2"/>
    <w:rsid w:val="00070D66"/>
    <w:rsid w:val="00071A96"/>
    <w:rsid w:val="00073139"/>
    <w:rsid w:val="00073769"/>
    <w:rsid w:val="00077863"/>
    <w:rsid w:val="00081A41"/>
    <w:rsid w:val="00095BA5"/>
    <w:rsid w:val="000973B5"/>
    <w:rsid w:val="000A1DE7"/>
    <w:rsid w:val="000A4F62"/>
    <w:rsid w:val="000A553C"/>
    <w:rsid w:val="000A6B76"/>
    <w:rsid w:val="000B2E54"/>
    <w:rsid w:val="000B5F50"/>
    <w:rsid w:val="000C0998"/>
    <w:rsid w:val="000C1777"/>
    <w:rsid w:val="000C2CE1"/>
    <w:rsid w:val="000C5F4B"/>
    <w:rsid w:val="000C75E1"/>
    <w:rsid w:val="000D07F1"/>
    <w:rsid w:val="000D0AC4"/>
    <w:rsid w:val="000D3250"/>
    <w:rsid w:val="000D5E28"/>
    <w:rsid w:val="000D7A64"/>
    <w:rsid w:val="000E12FA"/>
    <w:rsid w:val="000E524A"/>
    <w:rsid w:val="000F3B18"/>
    <w:rsid w:val="000F6EA7"/>
    <w:rsid w:val="00100006"/>
    <w:rsid w:val="00101EC5"/>
    <w:rsid w:val="001033CC"/>
    <w:rsid w:val="0011421F"/>
    <w:rsid w:val="00121C72"/>
    <w:rsid w:val="00124E57"/>
    <w:rsid w:val="00125C07"/>
    <w:rsid w:val="00133A51"/>
    <w:rsid w:val="001344BA"/>
    <w:rsid w:val="00140683"/>
    <w:rsid w:val="00143136"/>
    <w:rsid w:val="00143818"/>
    <w:rsid w:val="00144DAA"/>
    <w:rsid w:val="00145C92"/>
    <w:rsid w:val="00145D28"/>
    <w:rsid w:val="0014603C"/>
    <w:rsid w:val="00146054"/>
    <w:rsid w:val="0015063E"/>
    <w:rsid w:val="0015159D"/>
    <w:rsid w:val="00155A8E"/>
    <w:rsid w:val="0015650D"/>
    <w:rsid w:val="0016054E"/>
    <w:rsid w:val="00161B6C"/>
    <w:rsid w:val="00161CA2"/>
    <w:rsid w:val="001716EF"/>
    <w:rsid w:val="0018061B"/>
    <w:rsid w:val="00182C1F"/>
    <w:rsid w:val="00186E37"/>
    <w:rsid w:val="001913C5"/>
    <w:rsid w:val="001929A3"/>
    <w:rsid w:val="00194089"/>
    <w:rsid w:val="00194A80"/>
    <w:rsid w:val="00197CA4"/>
    <w:rsid w:val="001A22B3"/>
    <w:rsid w:val="001A5036"/>
    <w:rsid w:val="001A5B39"/>
    <w:rsid w:val="001A667F"/>
    <w:rsid w:val="001A7651"/>
    <w:rsid w:val="001B2E88"/>
    <w:rsid w:val="001B3484"/>
    <w:rsid w:val="001B4283"/>
    <w:rsid w:val="001B7E2C"/>
    <w:rsid w:val="001C116C"/>
    <w:rsid w:val="001C2F4B"/>
    <w:rsid w:val="001D7E2A"/>
    <w:rsid w:val="001E0318"/>
    <w:rsid w:val="001E1418"/>
    <w:rsid w:val="001F71F4"/>
    <w:rsid w:val="00207367"/>
    <w:rsid w:val="00216DCF"/>
    <w:rsid w:val="00217758"/>
    <w:rsid w:val="00217E88"/>
    <w:rsid w:val="002218C5"/>
    <w:rsid w:val="00222544"/>
    <w:rsid w:val="0022666D"/>
    <w:rsid w:val="0023172E"/>
    <w:rsid w:val="0023426A"/>
    <w:rsid w:val="00234B7B"/>
    <w:rsid w:val="002361DF"/>
    <w:rsid w:val="00241A4E"/>
    <w:rsid w:val="00245746"/>
    <w:rsid w:val="0024636D"/>
    <w:rsid w:val="00247F50"/>
    <w:rsid w:val="00250894"/>
    <w:rsid w:val="00252966"/>
    <w:rsid w:val="002572C2"/>
    <w:rsid w:val="0026005D"/>
    <w:rsid w:val="00265BF9"/>
    <w:rsid w:val="00271B59"/>
    <w:rsid w:val="00275A5A"/>
    <w:rsid w:val="00277B7B"/>
    <w:rsid w:val="002812ED"/>
    <w:rsid w:val="0028130B"/>
    <w:rsid w:val="00281E4F"/>
    <w:rsid w:val="002837A9"/>
    <w:rsid w:val="00283C48"/>
    <w:rsid w:val="00294341"/>
    <w:rsid w:val="002B465A"/>
    <w:rsid w:val="002C1134"/>
    <w:rsid w:val="002C56E8"/>
    <w:rsid w:val="002D0AB0"/>
    <w:rsid w:val="002D0FD3"/>
    <w:rsid w:val="002D23D8"/>
    <w:rsid w:val="002D4BBF"/>
    <w:rsid w:val="002D692A"/>
    <w:rsid w:val="002D6D30"/>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20CDC"/>
    <w:rsid w:val="00321C75"/>
    <w:rsid w:val="0032286C"/>
    <w:rsid w:val="00333107"/>
    <w:rsid w:val="00334DD3"/>
    <w:rsid w:val="00340257"/>
    <w:rsid w:val="0034260E"/>
    <w:rsid w:val="00344A8C"/>
    <w:rsid w:val="00350055"/>
    <w:rsid w:val="003500B9"/>
    <w:rsid w:val="003508E0"/>
    <w:rsid w:val="0035248D"/>
    <w:rsid w:val="00353E4C"/>
    <w:rsid w:val="00356593"/>
    <w:rsid w:val="00356969"/>
    <w:rsid w:val="00357A0D"/>
    <w:rsid w:val="003604CF"/>
    <w:rsid w:val="003615E5"/>
    <w:rsid w:val="003639B5"/>
    <w:rsid w:val="00365D0E"/>
    <w:rsid w:val="00367AD0"/>
    <w:rsid w:val="003742D5"/>
    <w:rsid w:val="00377999"/>
    <w:rsid w:val="003817CD"/>
    <w:rsid w:val="00381991"/>
    <w:rsid w:val="00381FDA"/>
    <w:rsid w:val="0038247C"/>
    <w:rsid w:val="003824DD"/>
    <w:rsid w:val="00386C9F"/>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E6930"/>
    <w:rsid w:val="003F0D9C"/>
    <w:rsid w:val="003F380F"/>
    <w:rsid w:val="00400B2E"/>
    <w:rsid w:val="0040410A"/>
    <w:rsid w:val="00404CB0"/>
    <w:rsid w:val="0041026E"/>
    <w:rsid w:val="004126C2"/>
    <w:rsid w:val="00414B77"/>
    <w:rsid w:val="0042138B"/>
    <w:rsid w:val="0042773E"/>
    <w:rsid w:val="00434BEE"/>
    <w:rsid w:val="004361F0"/>
    <w:rsid w:val="00437CC2"/>
    <w:rsid w:val="00441431"/>
    <w:rsid w:val="004450A6"/>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602"/>
    <w:rsid w:val="004B6E9A"/>
    <w:rsid w:val="004C1FFA"/>
    <w:rsid w:val="004C29B1"/>
    <w:rsid w:val="004D07F1"/>
    <w:rsid w:val="004D1112"/>
    <w:rsid w:val="004D2141"/>
    <w:rsid w:val="004E07C3"/>
    <w:rsid w:val="004E1038"/>
    <w:rsid w:val="004E1052"/>
    <w:rsid w:val="004E10CA"/>
    <w:rsid w:val="004E284B"/>
    <w:rsid w:val="004F61E8"/>
    <w:rsid w:val="004F7E81"/>
    <w:rsid w:val="0050429E"/>
    <w:rsid w:val="00506B52"/>
    <w:rsid w:val="00512025"/>
    <w:rsid w:val="005123B0"/>
    <w:rsid w:val="005158D2"/>
    <w:rsid w:val="005173D2"/>
    <w:rsid w:val="00525B9D"/>
    <w:rsid w:val="005278A1"/>
    <w:rsid w:val="005319F6"/>
    <w:rsid w:val="00540E14"/>
    <w:rsid w:val="00541EAB"/>
    <w:rsid w:val="00544D70"/>
    <w:rsid w:val="00547600"/>
    <w:rsid w:val="00550871"/>
    <w:rsid w:val="005534A5"/>
    <w:rsid w:val="00553534"/>
    <w:rsid w:val="00554A65"/>
    <w:rsid w:val="0055503D"/>
    <w:rsid w:val="00561105"/>
    <w:rsid w:val="005619F8"/>
    <w:rsid w:val="0056389E"/>
    <w:rsid w:val="00565153"/>
    <w:rsid w:val="00565A7B"/>
    <w:rsid w:val="00565B62"/>
    <w:rsid w:val="00571E15"/>
    <w:rsid w:val="005734DA"/>
    <w:rsid w:val="00575849"/>
    <w:rsid w:val="005825BE"/>
    <w:rsid w:val="00582DAF"/>
    <w:rsid w:val="00593530"/>
    <w:rsid w:val="00594C2A"/>
    <w:rsid w:val="005A291A"/>
    <w:rsid w:val="005A386C"/>
    <w:rsid w:val="005A4134"/>
    <w:rsid w:val="005A59BA"/>
    <w:rsid w:val="005A68BF"/>
    <w:rsid w:val="005A6984"/>
    <w:rsid w:val="005B3FF4"/>
    <w:rsid w:val="005B499F"/>
    <w:rsid w:val="005B5CFE"/>
    <w:rsid w:val="005B7E00"/>
    <w:rsid w:val="005C0C06"/>
    <w:rsid w:val="005C3FF5"/>
    <w:rsid w:val="005C5419"/>
    <w:rsid w:val="005C542A"/>
    <w:rsid w:val="005C7F57"/>
    <w:rsid w:val="005D3383"/>
    <w:rsid w:val="005E04B4"/>
    <w:rsid w:val="005E3BB5"/>
    <w:rsid w:val="005E5273"/>
    <w:rsid w:val="005E704A"/>
    <w:rsid w:val="005F02B1"/>
    <w:rsid w:val="005F067C"/>
    <w:rsid w:val="00607B05"/>
    <w:rsid w:val="00607E35"/>
    <w:rsid w:val="006124C3"/>
    <w:rsid w:val="006135A6"/>
    <w:rsid w:val="00613FA8"/>
    <w:rsid w:val="00620D68"/>
    <w:rsid w:val="00625C50"/>
    <w:rsid w:val="0062755D"/>
    <w:rsid w:val="00634832"/>
    <w:rsid w:val="00635413"/>
    <w:rsid w:val="00636D64"/>
    <w:rsid w:val="00637EE8"/>
    <w:rsid w:val="0064057F"/>
    <w:rsid w:val="0064143C"/>
    <w:rsid w:val="00641C0A"/>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E49D3"/>
    <w:rsid w:val="006E6E2F"/>
    <w:rsid w:val="006E7E0B"/>
    <w:rsid w:val="006F0255"/>
    <w:rsid w:val="006F0430"/>
    <w:rsid w:val="006F3E76"/>
    <w:rsid w:val="006F3FAF"/>
    <w:rsid w:val="006F5F1C"/>
    <w:rsid w:val="006F60CF"/>
    <w:rsid w:val="006F6748"/>
    <w:rsid w:val="00702F63"/>
    <w:rsid w:val="00704897"/>
    <w:rsid w:val="007068FC"/>
    <w:rsid w:val="00706F39"/>
    <w:rsid w:val="007107C6"/>
    <w:rsid w:val="007109D8"/>
    <w:rsid w:val="00714C1A"/>
    <w:rsid w:val="00715F27"/>
    <w:rsid w:val="0071797E"/>
    <w:rsid w:val="00720BE1"/>
    <w:rsid w:val="00722648"/>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1F6"/>
    <w:rsid w:val="00780A47"/>
    <w:rsid w:val="00780F23"/>
    <w:rsid w:val="00784717"/>
    <w:rsid w:val="007917BE"/>
    <w:rsid w:val="007931D1"/>
    <w:rsid w:val="007951CA"/>
    <w:rsid w:val="00796E2E"/>
    <w:rsid w:val="007A0780"/>
    <w:rsid w:val="007A1449"/>
    <w:rsid w:val="007A1D8C"/>
    <w:rsid w:val="007B1869"/>
    <w:rsid w:val="007B3902"/>
    <w:rsid w:val="007C0A8F"/>
    <w:rsid w:val="007C6118"/>
    <w:rsid w:val="007C66C1"/>
    <w:rsid w:val="007D0506"/>
    <w:rsid w:val="007D1D95"/>
    <w:rsid w:val="007D42ED"/>
    <w:rsid w:val="007D66AA"/>
    <w:rsid w:val="007E0B49"/>
    <w:rsid w:val="007E24CA"/>
    <w:rsid w:val="007E2608"/>
    <w:rsid w:val="007E5564"/>
    <w:rsid w:val="007F1253"/>
    <w:rsid w:val="007F3710"/>
    <w:rsid w:val="007F7938"/>
    <w:rsid w:val="007F7C28"/>
    <w:rsid w:val="007F7F97"/>
    <w:rsid w:val="00802FC4"/>
    <w:rsid w:val="00804B57"/>
    <w:rsid w:val="008119D2"/>
    <w:rsid w:val="008127B0"/>
    <w:rsid w:val="00823AB4"/>
    <w:rsid w:val="0082465E"/>
    <w:rsid w:val="0082476F"/>
    <w:rsid w:val="008279B6"/>
    <w:rsid w:val="00831D0F"/>
    <w:rsid w:val="00834079"/>
    <w:rsid w:val="00835C7C"/>
    <w:rsid w:val="00836099"/>
    <w:rsid w:val="008429C5"/>
    <w:rsid w:val="008434C3"/>
    <w:rsid w:val="00843503"/>
    <w:rsid w:val="008445D3"/>
    <w:rsid w:val="00845023"/>
    <w:rsid w:val="00850A46"/>
    <w:rsid w:val="00850F93"/>
    <w:rsid w:val="008515EE"/>
    <w:rsid w:val="00854FD4"/>
    <w:rsid w:val="0086055D"/>
    <w:rsid w:val="00872BAD"/>
    <w:rsid w:val="00880069"/>
    <w:rsid w:val="0088136E"/>
    <w:rsid w:val="008846D6"/>
    <w:rsid w:val="00892303"/>
    <w:rsid w:val="00892D21"/>
    <w:rsid w:val="00892FF7"/>
    <w:rsid w:val="008942F1"/>
    <w:rsid w:val="008A4768"/>
    <w:rsid w:val="008A636D"/>
    <w:rsid w:val="008B0EC2"/>
    <w:rsid w:val="008B1575"/>
    <w:rsid w:val="008B3490"/>
    <w:rsid w:val="008B47EA"/>
    <w:rsid w:val="008C027C"/>
    <w:rsid w:val="008C41FA"/>
    <w:rsid w:val="008D5D8F"/>
    <w:rsid w:val="008D6EBF"/>
    <w:rsid w:val="008E2F41"/>
    <w:rsid w:val="008E7EFE"/>
    <w:rsid w:val="00910983"/>
    <w:rsid w:val="0091164B"/>
    <w:rsid w:val="00916516"/>
    <w:rsid w:val="0092369B"/>
    <w:rsid w:val="009251C5"/>
    <w:rsid w:val="00934959"/>
    <w:rsid w:val="00936D85"/>
    <w:rsid w:val="00940734"/>
    <w:rsid w:val="00940F44"/>
    <w:rsid w:val="00941002"/>
    <w:rsid w:val="00947689"/>
    <w:rsid w:val="0095180B"/>
    <w:rsid w:val="0095377B"/>
    <w:rsid w:val="00955CBF"/>
    <w:rsid w:val="00956EC0"/>
    <w:rsid w:val="009579B5"/>
    <w:rsid w:val="0096128D"/>
    <w:rsid w:val="00963A32"/>
    <w:rsid w:val="00967616"/>
    <w:rsid w:val="00970632"/>
    <w:rsid w:val="00971150"/>
    <w:rsid w:val="00975561"/>
    <w:rsid w:val="0098076E"/>
    <w:rsid w:val="009815E5"/>
    <w:rsid w:val="00984A84"/>
    <w:rsid w:val="00984EF6"/>
    <w:rsid w:val="00987FD8"/>
    <w:rsid w:val="00990B3C"/>
    <w:rsid w:val="00993D8D"/>
    <w:rsid w:val="009956C6"/>
    <w:rsid w:val="00996F81"/>
    <w:rsid w:val="009A16DD"/>
    <w:rsid w:val="009A45B0"/>
    <w:rsid w:val="009B1B66"/>
    <w:rsid w:val="009B22CA"/>
    <w:rsid w:val="009B29D1"/>
    <w:rsid w:val="009B3159"/>
    <w:rsid w:val="009B7708"/>
    <w:rsid w:val="009C3906"/>
    <w:rsid w:val="009C393F"/>
    <w:rsid w:val="009C551E"/>
    <w:rsid w:val="009C6B44"/>
    <w:rsid w:val="009D1753"/>
    <w:rsid w:val="009E4C0D"/>
    <w:rsid w:val="009E5E09"/>
    <w:rsid w:val="009E714C"/>
    <w:rsid w:val="009F27F0"/>
    <w:rsid w:val="009F587A"/>
    <w:rsid w:val="009F7728"/>
    <w:rsid w:val="009F7C7A"/>
    <w:rsid w:val="00A02D5F"/>
    <w:rsid w:val="00A03549"/>
    <w:rsid w:val="00A03CC1"/>
    <w:rsid w:val="00A04BF1"/>
    <w:rsid w:val="00A13D3C"/>
    <w:rsid w:val="00A16095"/>
    <w:rsid w:val="00A1734D"/>
    <w:rsid w:val="00A222B3"/>
    <w:rsid w:val="00A24E67"/>
    <w:rsid w:val="00A336A2"/>
    <w:rsid w:val="00A50A22"/>
    <w:rsid w:val="00A531FE"/>
    <w:rsid w:val="00A64EE1"/>
    <w:rsid w:val="00A66DBF"/>
    <w:rsid w:val="00A67FC3"/>
    <w:rsid w:val="00A715A8"/>
    <w:rsid w:val="00A7773B"/>
    <w:rsid w:val="00A7779A"/>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0898"/>
    <w:rsid w:val="00AD32C4"/>
    <w:rsid w:val="00AE3228"/>
    <w:rsid w:val="00AE3CE5"/>
    <w:rsid w:val="00AF29CC"/>
    <w:rsid w:val="00AF541C"/>
    <w:rsid w:val="00AF72F1"/>
    <w:rsid w:val="00AF7BEA"/>
    <w:rsid w:val="00B0217A"/>
    <w:rsid w:val="00B03FB3"/>
    <w:rsid w:val="00B120B9"/>
    <w:rsid w:val="00B205E5"/>
    <w:rsid w:val="00B210B9"/>
    <w:rsid w:val="00B2533E"/>
    <w:rsid w:val="00B26EE9"/>
    <w:rsid w:val="00B27212"/>
    <w:rsid w:val="00B31D34"/>
    <w:rsid w:val="00B323E2"/>
    <w:rsid w:val="00B32D79"/>
    <w:rsid w:val="00B366E1"/>
    <w:rsid w:val="00B37F5F"/>
    <w:rsid w:val="00B40971"/>
    <w:rsid w:val="00B41CB2"/>
    <w:rsid w:val="00B43CA5"/>
    <w:rsid w:val="00B445A4"/>
    <w:rsid w:val="00B50C4E"/>
    <w:rsid w:val="00B52D52"/>
    <w:rsid w:val="00B53468"/>
    <w:rsid w:val="00B54563"/>
    <w:rsid w:val="00B54D68"/>
    <w:rsid w:val="00B55DDD"/>
    <w:rsid w:val="00B57556"/>
    <w:rsid w:val="00B6220E"/>
    <w:rsid w:val="00B65F05"/>
    <w:rsid w:val="00B72C47"/>
    <w:rsid w:val="00B84551"/>
    <w:rsid w:val="00B86CFD"/>
    <w:rsid w:val="00B86E13"/>
    <w:rsid w:val="00B91665"/>
    <w:rsid w:val="00B92511"/>
    <w:rsid w:val="00B97019"/>
    <w:rsid w:val="00BA467D"/>
    <w:rsid w:val="00BA4AA3"/>
    <w:rsid w:val="00BA536E"/>
    <w:rsid w:val="00BB025F"/>
    <w:rsid w:val="00BB1CFE"/>
    <w:rsid w:val="00BB3539"/>
    <w:rsid w:val="00BB44DE"/>
    <w:rsid w:val="00BB6A06"/>
    <w:rsid w:val="00BC00FB"/>
    <w:rsid w:val="00BC63FD"/>
    <w:rsid w:val="00BC7826"/>
    <w:rsid w:val="00BD0D77"/>
    <w:rsid w:val="00BD3814"/>
    <w:rsid w:val="00BD4E3C"/>
    <w:rsid w:val="00BD53FE"/>
    <w:rsid w:val="00BE1071"/>
    <w:rsid w:val="00BE17D3"/>
    <w:rsid w:val="00BE5E45"/>
    <w:rsid w:val="00BE6133"/>
    <w:rsid w:val="00BF054A"/>
    <w:rsid w:val="00BF2411"/>
    <w:rsid w:val="00BF5F87"/>
    <w:rsid w:val="00BF6922"/>
    <w:rsid w:val="00BF764E"/>
    <w:rsid w:val="00BF7EB5"/>
    <w:rsid w:val="00C02583"/>
    <w:rsid w:val="00C02EEF"/>
    <w:rsid w:val="00C02F5C"/>
    <w:rsid w:val="00C03C6C"/>
    <w:rsid w:val="00C10187"/>
    <w:rsid w:val="00C10391"/>
    <w:rsid w:val="00C16227"/>
    <w:rsid w:val="00C16789"/>
    <w:rsid w:val="00C22CEF"/>
    <w:rsid w:val="00C25E34"/>
    <w:rsid w:val="00C27E6B"/>
    <w:rsid w:val="00C310B9"/>
    <w:rsid w:val="00C342D5"/>
    <w:rsid w:val="00C401CD"/>
    <w:rsid w:val="00C4035A"/>
    <w:rsid w:val="00C41952"/>
    <w:rsid w:val="00C42B04"/>
    <w:rsid w:val="00C5097E"/>
    <w:rsid w:val="00C5118C"/>
    <w:rsid w:val="00C53183"/>
    <w:rsid w:val="00C55128"/>
    <w:rsid w:val="00C56DF5"/>
    <w:rsid w:val="00C570CC"/>
    <w:rsid w:val="00C60BB4"/>
    <w:rsid w:val="00C65F24"/>
    <w:rsid w:val="00C663C8"/>
    <w:rsid w:val="00C719FC"/>
    <w:rsid w:val="00C76BC2"/>
    <w:rsid w:val="00C87F04"/>
    <w:rsid w:val="00C92881"/>
    <w:rsid w:val="00C945C7"/>
    <w:rsid w:val="00C95730"/>
    <w:rsid w:val="00C96FB5"/>
    <w:rsid w:val="00C979D7"/>
    <w:rsid w:val="00CB2437"/>
    <w:rsid w:val="00CB2EDD"/>
    <w:rsid w:val="00CC2810"/>
    <w:rsid w:val="00CC6705"/>
    <w:rsid w:val="00CD0331"/>
    <w:rsid w:val="00CD4B75"/>
    <w:rsid w:val="00CD50DA"/>
    <w:rsid w:val="00CD791D"/>
    <w:rsid w:val="00CE0037"/>
    <w:rsid w:val="00CE4442"/>
    <w:rsid w:val="00CE46FB"/>
    <w:rsid w:val="00CE520C"/>
    <w:rsid w:val="00CF07B3"/>
    <w:rsid w:val="00CF18F8"/>
    <w:rsid w:val="00CF4BEC"/>
    <w:rsid w:val="00CF5F3A"/>
    <w:rsid w:val="00CF6054"/>
    <w:rsid w:val="00CF6947"/>
    <w:rsid w:val="00D005FF"/>
    <w:rsid w:val="00D00948"/>
    <w:rsid w:val="00D00C1F"/>
    <w:rsid w:val="00D00C42"/>
    <w:rsid w:val="00D16016"/>
    <w:rsid w:val="00D1603A"/>
    <w:rsid w:val="00D1679C"/>
    <w:rsid w:val="00D218A6"/>
    <w:rsid w:val="00D23722"/>
    <w:rsid w:val="00D23C64"/>
    <w:rsid w:val="00D244E3"/>
    <w:rsid w:val="00D25933"/>
    <w:rsid w:val="00D26B29"/>
    <w:rsid w:val="00D3340C"/>
    <w:rsid w:val="00D37B73"/>
    <w:rsid w:val="00D44645"/>
    <w:rsid w:val="00D521B5"/>
    <w:rsid w:val="00D54B74"/>
    <w:rsid w:val="00D602B5"/>
    <w:rsid w:val="00D62946"/>
    <w:rsid w:val="00D62C14"/>
    <w:rsid w:val="00D636CD"/>
    <w:rsid w:val="00D66FF2"/>
    <w:rsid w:val="00D71E39"/>
    <w:rsid w:val="00D73E82"/>
    <w:rsid w:val="00D77286"/>
    <w:rsid w:val="00D77D53"/>
    <w:rsid w:val="00D809E3"/>
    <w:rsid w:val="00D80FEA"/>
    <w:rsid w:val="00D85336"/>
    <w:rsid w:val="00D86A6A"/>
    <w:rsid w:val="00D961E3"/>
    <w:rsid w:val="00D97628"/>
    <w:rsid w:val="00DA0491"/>
    <w:rsid w:val="00DA1E21"/>
    <w:rsid w:val="00DA284A"/>
    <w:rsid w:val="00DA56E9"/>
    <w:rsid w:val="00DB304D"/>
    <w:rsid w:val="00DB3ACA"/>
    <w:rsid w:val="00DB4220"/>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01EA"/>
    <w:rsid w:val="00E05506"/>
    <w:rsid w:val="00E0551B"/>
    <w:rsid w:val="00E11319"/>
    <w:rsid w:val="00E15CF5"/>
    <w:rsid w:val="00E16169"/>
    <w:rsid w:val="00E20381"/>
    <w:rsid w:val="00E2055A"/>
    <w:rsid w:val="00E23A7E"/>
    <w:rsid w:val="00E25646"/>
    <w:rsid w:val="00E27289"/>
    <w:rsid w:val="00E2776C"/>
    <w:rsid w:val="00E27915"/>
    <w:rsid w:val="00E27982"/>
    <w:rsid w:val="00E44BF7"/>
    <w:rsid w:val="00E469BE"/>
    <w:rsid w:val="00E529D6"/>
    <w:rsid w:val="00E52E8C"/>
    <w:rsid w:val="00E54AD4"/>
    <w:rsid w:val="00E61AA5"/>
    <w:rsid w:val="00E62BC4"/>
    <w:rsid w:val="00E66EDC"/>
    <w:rsid w:val="00E74D52"/>
    <w:rsid w:val="00E76553"/>
    <w:rsid w:val="00E85338"/>
    <w:rsid w:val="00E90334"/>
    <w:rsid w:val="00E94B32"/>
    <w:rsid w:val="00EA0DB8"/>
    <w:rsid w:val="00EA141C"/>
    <w:rsid w:val="00EA2EB9"/>
    <w:rsid w:val="00EA6CDF"/>
    <w:rsid w:val="00EB0EEB"/>
    <w:rsid w:val="00EC0977"/>
    <w:rsid w:val="00EC2279"/>
    <w:rsid w:val="00EC4A6A"/>
    <w:rsid w:val="00EC6B3A"/>
    <w:rsid w:val="00ED25C1"/>
    <w:rsid w:val="00ED61FE"/>
    <w:rsid w:val="00EE4A4C"/>
    <w:rsid w:val="00EE6009"/>
    <w:rsid w:val="00EF154D"/>
    <w:rsid w:val="00EF1683"/>
    <w:rsid w:val="00EF2F58"/>
    <w:rsid w:val="00EF5C7D"/>
    <w:rsid w:val="00F0009F"/>
    <w:rsid w:val="00F02AA0"/>
    <w:rsid w:val="00F0621A"/>
    <w:rsid w:val="00F07C59"/>
    <w:rsid w:val="00F24E6E"/>
    <w:rsid w:val="00F25EF5"/>
    <w:rsid w:val="00F33797"/>
    <w:rsid w:val="00F43EC5"/>
    <w:rsid w:val="00F45790"/>
    <w:rsid w:val="00F521A3"/>
    <w:rsid w:val="00F52A10"/>
    <w:rsid w:val="00F630C6"/>
    <w:rsid w:val="00F66463"/>
    <w:rsid w:val="00F743CD"/>
    <w:rsid w:val="00F800D9"/>
    <w:rsid w:val="00F80F7B"/>
    <w:rsid w:val="00F85CC5"/>
    <w:rsid w:val="00F86D0F"/>
    <w:rsid w:val="00F91689"/>
    <w:rsid w:val="00FA21FB"/>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4B3F"/>
    <w:rsid w:val="00FD6D10"/>
    <w:rsid w:val="00FD72DE"/>
    <w:rsid w:val="00FE13F6"/>
    <w:rsid w:val="00FE2DE4"/>
    <w:rsid w:val="00FE3DB0"/>
    <w:rsid w:val="00FE3E47"/>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1"/>
      </w:numPr>
      <w:spacing w:before="240" w:after="60"/>
      <w:outlineLvl w:val="0"/>
    </w:pPr>
    <w:rPr>
      <w:bCs/>
      <w:kern w:val="32"/>
      <w:szCs w:val="32"/>
    </w:rPr>
  </w:style>
  <w:style w:type="paragraph" w:styleId="Heading2">
    <w:name w:val="heading 2"/>
    <w:basedOn w:val="Normal"/>
    <w:next w:val="Normal"/>
    <w:link w:val="Heading2Char"/>
    <w:semiHidden/>
    <w:unhideWhenUsed/>
    <w:qFormat/>
    <w:rsid w:val="00A66D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paragraph" w:customStyle="1" w:styleId="Level1">
    <w:name w:val="Level 1"/>
    <w:basedOn w:val="Normal"/>
    <w:next w:val="Heading1"/>
    <w:link w:val="Level1Char"/>
    <w:rsid w:val="0011421F"/>
    <w:pPr>
      <w:keepNext/>
      <w:widowControl w:val="0"/>
      <w:spacing w:before="360"/>
      <w:ind w:left="720"/>
      <w:jc w:val="both"/>
    </w:pPr>
    <w:rPr>
      <w:rFonts w:ascii="Book Antiqua" w:hAnsi="Book Antiqua"/>
      <w:b/>
      <w:szCs w:val="20"/>
      <w:u w:val="single"/>
      <w:lang w:eastAsia="en-US"/>
    </w:rPr>
  </w:style>
  <w:style w:type="character" w:customStyle="1" w:styleId="Level1Char">
    <w:name w:val="Level 1 Char"/>
    <w:link w:val="Level1"/>
    <w:locked/>
    <w:rsid w:val="0011421F"/>
    <w:rPr>
      <w:rFonts w:ascii="Book Antiqua" w:hAnsi="Book Antiqua"/>
      <w:b/>
      <w:sz w:val="24"/>
      <w:u w:val="single"/>
      <w:lang w:val="en-AU" w:eastAsia="en-US"/>
    </w:rPr>
  </w:style>
  <w:style w:type="character" w:customStyle="1" w:styleId="Heading2Char">
    <w:name w:val="Heading 2 Char"/>
    <w:basedOn w:val="DefaultParagraphFont"/>
    <w:link w:val="Heading2"/>
    <w:semiHidden/>
    <w:rsid w:val="00A66DBF"/>
    <w:rPr>
      <w:rFonts w:asciiTheme="majorHAnsi" w:eastAsiaTheme="majorEastAsia" w:hAnsiTheme="majorHAnsi" w:cstheme="majorBidi"/>
      <w:color w:val="2E74B5" w:themeColor="accent1" w:themeShade="BF"/>
      <w:sz w:val="26"/>
      <w:szCs w:val="26"/>
      <w:lang w:val="en-AU" w:eastAsia="en-AU"/>
    </w:rPr>
  </w:style>
  <w:style w:type="paragraph" w:customStyle="1" w:styleId="Num1">
    <w:name w:val="Num 1"/>
    <w:rsid w:val="000611B8"/>
    <w:pPr>
      <w:numPr>
        <w:numId w:val="17"/>
      </w:numPr>
      <w:tabs>
        <w:tab w:val="left" w:pos="567"/>
      </w:tabs>
      <w:spacing w:before="120" w:after="120" w:line="360" w:lineRule="auto"/>
      <w:ind w:left="567" w:hanging="567"/>
    </w:pPr>
    <w:rPr>
      <w:rFonts w:ascii="Book Antiqua" w:hAnsi="Book Antiqua" w:cs="Arial"/>
      <w:sz w:val="24"/>
      <w:lang w:val="en-AU" w:eastAsia="en-US"/>
    </w:rPr>
  </w:style>
  <w:style w:type="paragraph" w:customStyle="1" w:styleId="Num2">
    <w:name w:val="Num 2"/>
    <w:rsid w:val="000611B8"/>
    <w:pPr>
      <w:numPr>
        <w:ilvl w:val="1"/>
        <w:numId w:val="17"/>
      </w:numPr>
      <w:tabs>
        <w:tab w:val="left" w:pos="1134"/>
      </w:tabs>
      <w:spacing w:before="120" w:after="120" w:line="360" w:lineRule="auto"/>
      <w:ind w:left="1134" w:hanging="567"/>
    </w:pPr>
    <w:rPr>
      <w:rFonts w:ascii="Book Antiqua" w:hAnsi="Book Antiqua" w:cs="Arial"/>
      <w:sz w:val="24"/>
      <w:lang w:val="en-AU" w:eastAsia="en-US"/>
    </w:rPr>
  </w:style>
  <w:style w:type="paragraph" w:customStyle="1" w:styleId="Indent1">
    <w:name w:val="Indent 1"/>
    <w:rsid w:val="000611B8"/>
    <w:pPr>
      <w:numPr>
        <w:ilvl w:val="2"/>
        <w:numId w:val="17"/>
      </w:numPr>
      <w:tabs>
        <w:tab w:val="clear" w:pos="2007"/>
      </w:tabs>
      <w:spacing w:before="120" w:after="120" w:line="360" w:lineRule="auto"/>
      <w:ind w:left="567" w:firstLine="0"/>
    </w:pPr>
    <w:rPr>
      <w:rFonts w:ascii="Arial" w:hAnsi="Arial" w:cs="Arial"/>
      <w:sz w:val="24"/>
      <w:lang w:val="en-AU" w:eastAsia="en-US"/>
    </w:rPr>
  </w:style>
  <w:style w:type="character" w:styleId="FollowedHyperlink">
    <w:name w:val="FollowedHyperlink"/>
    <w:basedOn w:val="DefaultParagraphFont"/>
    <w:semiHidden/>
    <w:unhideWhenUsed/>
    <w:rsid w:val="00827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7188458">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936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premecourt.vic.gov.au/law-and-practice/specialist-areas-of-law/valuation-compensation-and-planning-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urtsvicgovau.sharepoint.com/sites/cld/cllists/Valuation,%20compensation%20and%20planning%20List/Practice%20Note%20and%20webpage%20revision%202016/www.supremecourt.vic.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cplist@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1" ma:contentTypeDescription="Create a new document." ma:contentTypeScope="" ma:versionID="226897e7c8e3fef5b8750d73f00d967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482114006d0d341a8d0544933ea487b9"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F53C5FFA-8516-4FEC-A1E4-38241312D513}">
  <ds:schemaRefs>
    <ds:schemaRef ds:uri="263eaefd-0475-4860-b86f-622cd66f4e0c"/>
    <ds:schemaRef ds:uri="bdde84cb-4b1f-4b74-b4a5-14e1a433eee1"/>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E94E0F59-0CE5-458A-B735-A71D370D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2D7E32-38DB-4C9C-8305-54EC28CA0A87}">
  <ds:schemaRefs>
    <ds:schemaRef ds:uri="http://schemas.openxmlformats.org/officeDocument/2006/bibliography"/>
  </ds:schemaRefs>
</ds:datastoreItem>
</file>

<file path=customXml/itemProps6.xml><?xml version="1.0" encoding="utf-8"?>
<ds:datastoreItem xmlns:ds="http://schemas.openxmlformats.org/officeDocument/2006/customXml" ds:itemID="{21E3788F-0B0D-4614-B647-9758DBC9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1846</Words>
  <Characters>9455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Practice Note SC CL 8 Valuation Compensation and Planning List</vt:lpstr>
    </vt:vector>
  </TitlesOfParts>
  <Company>Supreme Court of Victoria</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8 Valuation Compensation and Planning List</dc:title>
  <dc:subject/>
  <dc:creator>Supreme Court of Victoria</dc:creator>
  <cp:keywords/>
  <dc:description/>
  <cp:lastModifiedBy>Andrew Wicking</cp:lastModifiedBy>
  <cp:revision>2</cp:revision>
  <cp:lastPrinted>2016-04-22T04:31:00Z</cp:lastPrinted>
  <dcterms:created xsi:type="dcterms:W3CDTF">2018-09-18T20:57:00Z</dcterms:created>
  <dcterms:modified xsi:type="dcterms:W3CDTF">2018-09-18T20:57:00Z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