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B6F24" w14:textId="77777777" w:rsidR="00D85336" w:rsidRPr="00771C95" w:rsidRDefault="00CD0331" w:rsidP="00D16FC1">
      <w:pPr>
        <w:autoSpaceDE w:val="0"/>
        <w:autoSpaceDN w:val="0"/>
        <w:adjustRightInd w:val="0"/>
        <w:spacing w:before="120" w:after="12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7728" behindDoc="0" locked="0" layoutInCell="1" allowOverlap="0" wp14:anchorId="585816EA" wp14:editId="46740206">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37E83" w14:textId="77777777" w:rsidR="00D85336" w:rsidRPr="00771C95" w:rsidRDefault="00D85336" w:rsidP="00D16FC1">
      <w:pPr>
        <w:autoSpaceDE w:val="0"/>
        <w:autoSpaceDN w:val="0"/>
        <w:adjustRightInd w:val="0"/>
        <w:spacing w:before="120" w:after="120"/>
        <w:jc w:val="center"/>
        <w:rPr>
          <w:b/>
          <w:bCs/>
          <w:color w:val="000000"/>
        </w:rPr>
      </w:pPr>
    </w:p>
    <w:p w14:paraId="4679378A" w14:textId="77777777" w:rsidR="00D85336" w:rsidRPr="00771C95" w:rsidRDefault="00D85336" w:rsidP="00D16FC1">
      <w:pPr>
        <w:autoSpaceDE w:val="0"/>
        <w:autoSpaceDN w:val="0"/>
        <w:adjustRightInd w:val="0"/>
        <w:spacing w:before="120" w:after="120"/>
        <w:jc w:val="center"/>
        <w:rPr>
          <w:b/>
          <w:bCs/>
          <w:color w:val="000000"/>
        </w:rPr>
      </w:pPr>
    </w:p>
    <w:p w14:paraId="33547BB4" w14:textId="77777777" w:rsidR="003817CD" w:rsidRDefault="003817CD" w:rsidP="00D16FC1">
      <w:pPr>
        <w:autoSpaceDE w:val="0"/>
        <w:autoSpaceDN w:val="0"/>
        <w:adjustRightInd w:val="0"/>
        <w:spacing w:before="120" w:after="120"/>
        <w:jc w:val="center"/>
        <w:rPr>
          <w:rFonts w:ascii="Book Antiqua" w:hAnsi="Book Antiqua"/>
          <w:b/>
          <w:bCs/>
          <w:color w:val="000000"/>
          <w:sz w:val="44"/>
          <w:szCs w:val="44"/>
        </w:rPr>
      </w:pPr>
    </w:p>
    <w:p w14:paraId="4B1A88AC" w14:textId="77777777" w:rsidR="00271B59" w:rsidRPr="007917BE" w:rsidRDefault="003817CD" w:rsidP="00D16FC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53FA17FC" w14:textId="77777777" w:rsidR="00271B59" w:rsidRPr="007917BE" w:rsidRDefault="00271B59" w:rsidP="00D16FC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 xml:space="preserve">SC </w:t>
      </w:r>
      <w:r w:rsidR="000117C7">
        <w:rPr>
          <w:rFonts w:ascii="Book Antiqua" w:hAnsi="Book Antiqua"/>
          <w:b/>
          <w:color w:val="000000"/>
          <w:sz w:val="28"/>
        </w:rPr>
        <w:t xml:space="preserve">CL </w:t>
      </w:r>
      <w:r w:rsidR="00E71680">
        <w:rPr>
          <w:rFonts w:ascii="Book Antiqua" w:hAnsi="Book Antiqua"/>
          <w:b/>
          <w:color w:val="000000"/>
          <w:sz w:val="28"/>
        </w:rPr>
        <w:t>9</w:t>
      </w:r>
      <w:r w:rsidR="00B0557D">
        <w:rPr>
          <w:rFonts w:ascii="Book Antiqua" w:hAnsi="Book Antiqua"/>
          <w:b/>
          <w:color w:val="000000"/>
          <w:sz w:val="28"/>
        </w:rPr>
        <w:t xml:space="preserve"> </w:t>
      </w:r>
    </w:p>
    <w:p w14:paraId="3C76EECC" w14:textId="77777777" w:rsidR="00271B59" w:rsidRDefault="00E71680" w:rsidP="00D16FC1">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 xml:space="preserve">Judicial Review and Appeals </w:t>
      </w:r>
      <w:r w:rsidR="000117C7">
        <w:rPr>
          <w:rFonts w:ascii="Book Antiqua" w:hAnsi="Book Antiqua"/>
          <w:b/>
          <w:color w:val="000000"/>
          <w:sz w:val="28"/>
        </w:rPr>
        <w:t>List</w:t>
      </w:r>
    </w:p>
    <w:p w14:paraId="39B3D031" w14:textId="77777777" w:rsidR="00CD0331" w:rsidRDefault="00CD0331" w:rsidP="00D16FC1">
      <w:pPr>
        <w:autoSpaceDE w:val="0"/>
        <w:autoSpaceDN w:val="0"/>
        <w:adjustRightInd w:val="0"/>
        <w:spacing w:before="120" w:after="120"/>
        <w:jc w:val="center"/>
        <w:rPr>
          <w:rFonts w:ascii="Book Antiqua" w:hAnsi="Book Antiqua"/>
          <w:b/>
          <w:color w:val="000000"/>
          <w:sz w:val="28"/>
        </w:rPr>
      </w:pPr>
    </w:p>
    <w:p w14:paraId="4246B799" w14:textId="77777777" w:rsidR="00A50A22" w:rsidRPr="00DE745D" w:rsidRDefault="00A50A22" w:rsidP="00D16FC1">
      <w:pPr>
        <w:pStyle w:val="ListParagraph"/>
        <w:numPr>
          <w:ilvl w:val="0"/>
          <w:numId w:val="2"/>
        </w:numPr>
        <w:autoSpaceDE w:val="0"/>
        <w:autoSpaceDN w:val="0"/>
        <w:adjustRightInd w:val="0"/>
        <w:spacing w:before="120" w:after="120"/>
        <w:contextualSpacing w:val="0"/>
        <w:rPr>
          <w:rFonts w:ascii="Book Antiqua" w:hAnsi="Book Antiqua"/>
          <w:b/>
          <w:color w:val="000000"/>
          <w:sz w:val="24"/>
          <w:szCs w:val="24"/>
        </w:rPr>
      </w:pPr>
      <w:r w:rsidRPr="00DE745D">
        <w:rPr>
          <w:rFonts w:ascii="Book Antiqua" w:hAnsi="Book Antiqua"/>
          <w:b/>
          <w:sz w:val="24"/>
          <w:szCs w:val="24"/>
        </w:rPr>
        <w:t>INTRODUCTION</w:t>
      </w:r>
    </w:p>
    <w:p w14:paraId="2DFE5395" w14:textId="77777777" w:rsidR="00A50A22" w:rsidRPr="00DE745D" w:rsidRDefault="00A50A22" w:rsidP="00D16FC1">
      <w:pPr>
        <w:pStyle w:val="ListParagraph"/>
        <w:numPr>
          <w:ilvl w:val="1"/>
          <w:numId w:val="2"/>
        </w:numPr>
        <w:spacing w:before="120" w:after="120"/>
        <w:contextualSpacing w:val="0"/>
        <w:jc w:val="both"/>
        <w:rPr>
          <w:rFonts w:ascii="Book Antiqua" w:hAnsi="Book Antiqua"/>
          <w:sz w:val="24"/>
          <w:szCs w:val="24"/>
        </w:rPr>
      </w:pPr>
      <w:r w:rsidRPr="00DE745D">
        <w:rPr>
          <w:rFonts w:ascii="Book Antiqua" w:hAnsi="Book Antiqua"/>
          <w:sz w:val="24"/>
          <w:szCs w:val="24"/>
        </w:rPr>
        <w:t>The Chief Justice has authorised the issue of the following Practice Note.</w:t>
      </w:r>
    </w:p>
    <w:p w14:paraId="10D93D4B" w14:textId="77777777" w:rsidR="00A50A22" w:rsidRPr="00DE745D" w:rsidRDefault="00A50A22" w:rsidP="00D16FC1">
      <w:pPr>
        <w:pStyle w:val="ListParagraph"/>
        <w:numPr>
          <w:ilvl w:val="1"/>
          <w:numId w:val="2"/>
        </w:numPr>
        <w:spacing w:before="120" w:after="120"/>
        <w:contextualSpacing w:val="0"/>
        <w:jc w:val="both"/>
        <w:rPr>
          <w:rFonts w:ascii="Book Antiqua" w:hAnsi="Book Antiqua"/>
          <w:sz w:val="24"/>
          <w:szCs w:val="24"/>
        </w:rPr>
      </w:pPr>
      <w:r w:rsidRPr="00DE745D">
        <w:rPr>
          <w:rFonts w:ascii="Book Antiqua" w:hAnsi="Book Antiqua"/>
          <w:sz w:val="24"/>
          <w:szCs w:val="24"/>
        </w:rPr>
        <w:t>The purpose of this Practice Note is to describe the procedures to be followed in</w:t>
      </w:r>
      <w:r w:rsidR="00641C0A" w:rsidRPr="00DE745D">
        <w:rPr>
          <w:rFonts w:ascii="Book Antiqua" w:hAnsi="Book Antiqua"/>
          <w:sz w:val="24"/>
          <w:szCs w:val="24"/>
        </w:rPr>
        <w:t xml:space="preserve"> the</w:t>
      </w:r>
      <w:r w:rsidRPr="00DE745D">
        <w:rPr>
          <w:rFonts w:ascii="Book Antiqua" w:hAnsi="Book Antiqua"/>
          <w:sz w:val="24"/>
          <w:szCs w:val="24"/>
        </w:rPr>
        <w:t xml:space="preserve"> </w:t>
      </w:r>
      <w:r w:rsidR="00E71680" w:rsidRPr="00DE745D">
        <w:rPr>
          <w:rFonts w:ascii="Book Antiqua" w:hAnsi="Book Antiqua"/>
          <w:sz w:val="24"/>
          <w:szCs w:val="24"/>
        </w:rPr>
        <w:t>Judicial Review and Appeals List</w:t>
      </w:r>
      <w:r w:rsidRPr="00DE745D">
        <w:rPr>
          <w:rFonts w:ascii="Book Antiqua" w:hAnsi="Book Antiqua"/>
          <w:sz w:val="24"/>
          <w:szCs w:val="24"/>
        </w:rPr>
        <w:t xml:space="preserve">. </w:t>
      </w:r>
      <w:r w:rsidR="00EF2D12">
        <w:rPr>
          <w:rFonts w:ascii="Book Antiqua" w:hAnsi="Book Antiqua"/>
          <w:sz w:val="24"/>
          <w:szCs w:val="24"/>
        </w:rPr>
        <w:t xml:space="preserve"> The List is a case management l</w:t>
      </w:r>
      <w:r w:rsidRPr="00DE745D">
        <w:rPr>
          <w:rFonts w:ascii="Book Antiqua" w:hAnsi="Book Antiqua"/>
          <w:sz w:val="24"/>
          <w:szCs w:val="24"/>
        </w:rPr>
        <w:t>ist within the Common Law Division of the Court.</w:t>
      </w:r>
      <w:r w:rsidR="00A531FE" w:rsidRPr="00DE745D">
        <w:rPr>
          <w:rFonts w:ascii="Book Antiqua" w:hAnsi="Book Antiqua"/>
          <w:sz w:val="24"/>
          <w:szCs w:val="24"/>
        </w:rPr>
        <w:t xml:space="preserve"> </w:t>
      </w:r>
    </w:p>
    <w:p w14:paraId="791128A1" w14:textId="149CE324" w:rsidR="006E4B86" w:rsidRPr="00DE745D" w:rsidRDefault="006E4B86" w:rsidP="00D16FC1">
      <w:pPr>
        <w:pStyle w:val="ListParagraph"/>
        <w:numPr>
          <w:ilvl w:val="1"/>
          <w:numId w:val="2"/>
        </w:numPr>
        <w:spacing w:before="120" w:after="120"/>
        <w:contextualSpacing w:val="0"/>
        <w:jc w:val="both"/>
        <w:rPr>
          <w:rFonts w:ascii="Book Antiqua" w:hAnsi="Book Antiqua"/>
          <w:sz w:val="24"/>
          <w:szCs w:val="24"/>
        </w:rPr>
      </w:pPr>
      <w:r w:rsidRPr="00DE745D">
        <w:rPr>
          <w:rFonts w:ascii="Book Antiqua" w:hAnsi="Book Antiqua"/>
          <w:sz w:val="24"/>
          <w:szCs w:val="24"/>
        </w:rPr>
        <w:t>Invariably, procedure in the List will be affected by releva</w:t>
      </w:r>
      <w:r w:rsidR="00EF2D12">
        <w:rPr>
          <w:rFonts w:ascii="Book Antiqua" w:hAnsi="Book Antiqua"/>
          <w:sz w:val="24"/>
          <w:szCs w:val="24"/>
        </w:rPr>
        <w:t>nt statutory provisions and/or Rules of C</w:t>
      </w:r>
      <w:r w:rsidRPr="00DE745D">
        <w:rPr>
          <w:rFonts w:ascii="Book Antiqua" w:hAnsi="Book Antiqua"/>
          <w:sz w:val="24"/>
          <w:szCs w:val="24"/>
        </w:rPr>
        <w:t xml:space="preserve">ourt.  Enactments of potential relevance include, in particular, the </w:t>
      </w:r>
      <w:r w:rsidRPr="00DE745D">
        <w:rPr>
          <w:rFonts w:ascii="Book Antiqua" w:hAnsi="Book Antiqua"/>
          <w:i/>
          <w:sz w:val="24"/>
          <w:szCs w:val="24"/>
        </w:rPr>
        <w:t>Administrative Law Act 1978</w:t>
      </w:r>
      <w:r w:rsidRPr="00DE745D">
        <w:rPr>
          <w:rFonts w:ascii="Book Antiqua" w:hAnsi="Book Antiqua"/>
          <w:sz w:val="24"/>
          <w:szCs w:val="24"/>
        </w:rPr>
        <w:t xml:space="preserve">, </w:t>
      </w:r>
      <w:r w:rsidR="00B0557D">
        <w:rPr>
          <w:rFonts w:ascii="Book Antiqua" w:hAnsi="Book Antiqua"/>
          <w:sz w:val="24"/>
          <w:szCs w:val="24"/>
        </w:rPr>
        <w:t xml:space="preserve">section 109 of the </w:t>
      </w:r>
      <w:r w:rsidR="00B0557D">
        <w:rPr>
          <w:rFonts w:ascii="Book Antiqua" w:hAnsi="Book Antiqua"/>
          <w:i/>
          <w:sz w:val="24"/>
          <w:szCs w:val="24"/>
        </w:rPr>
        <w:t xml:space="preserve">Magistrates’ Court </w:t>
      </w:r>
      <w:r w:rsidR="00B0557D" w:rsidRPr="00B0557D">
        <w:rPr>
          <w:rFonts w:ascii="Book Antiqua" w:hAnsi="Book Antiqua"/>
          <w:i/>
          <w:sz w:val="24"/>
          <w:szCs w:val="24"/>
        </w:rPr>
        <w:t>Act 1989</w:t>
      </w:r>
      <w:r w:rsidR="00B0557D">
        <w:rPr>
          <w:rFonts w:ascii="Book Antiqua" w:hAnsi="Book Antiqua"/>
          <w:sz w:val="24"/>
          <w:szCs w:val="24"/>
        </w:rPr>
        <w:t xml:space="preserve">, section 272 of the  </w:t>
      </w:r>
      <w:r w:rsidR="00B0557D">
        <w:rPr>
          <w:rFonts w:ascii="Book Antiqua" w:hAnsi="Book Antiqua"/>
          <w:i/>
          <w:sz w:val="24"/>
          <w:szCs w:val="24"/>
        </w:rPr>
        <w:t xml:space="preserve">Criminal Procedure Act 2009, </w:t>
      </w:r>
      <w:r w:rsidR="00B0557D">
        <w:rPr>
          <w:rFonts w:ascii="Book Antiqua" w:hAnsi="Book Antiqua"/>
          <w:sz w:val="24"/>
          <w:szCs w:val="24"/>
        </w:rPr>
        <w:t xml:space="preserve">section 148 of the </w:t>
      </w:r>
      <w:r w:rsidR="00B0557D">
        <w:rPr>
          <w:rFonts w:ascii="Book Antiqua" w:hAnsi="Book Antiqua"/>
          <w:i/>
          <w:sz w:val="24"/>
          <w:szCs w:val="24"/>
        </w:rPr>
        <w:t xml:space="preserve">Victorian Civil and Administrative Tribunal Act 1998, </w:t>
      </w:r>
      <w:r w:rsidRPr="00B0557D">
        <w:rPr>
          <w:rFonts w:ascii="Book Antiqua" w:hAnsi="Book Antiqua"/>
          <w:sz w:val="24"/>
          <w:szCs w:val="24"/>
        </w:rPr>
        <w:t>Order</w:t>
      </w:r>
      <w:r w:rsidRPr="00DE745D">
        <w:rPr>
          <w:rFonts w:ascii="Book Antiqua" w:hAnsi="Book Antiqua"/>
          <w:sz w:val="24"/>
          <w:szCs w:val="24"/>
        </w:rPr>
        <w:t xml:space="preserve"> 56 or Order 58 (Part 3</w:t>
      </w:r>
      <w:r w:rsidR="001C6B54">
        <w:rPr>
          <w:rFonts w:ascii="Book Antiqua" w:hAnsi="Book Antiqua"/>
          <w:sz w:val="24"/>
          <w:szCs w:val="24"/>
        </w:rPr>
        <w:t xml:space="preserve"> or Part 7</w:t>
      </w:r>
      <w:r w:rsidRPr="00DE745D">
        <w:rPr>
          <w:rFonts w:ascii="Book Antiqua" w:hAnsi="Book Antiqua"/>
          <w:sz w:val="24"/>
          <w:szCs w:val="24"/>
        </w:rPr>
        <w:t xml:space="preserve">) of the </w:t>
      </w:r>
      <w:r w:rsidRPr="00DE745D">
        <w:rPr>
          <w:rFonts w:ascii="Book Antiqua" w:hAnsi="Book Antiqua"/>
          <w:i/>
          <w:sz w:val="24"/>
          <w:szCs w:val="24"/>
        </w:rPr>
        <w:t>Supreme Court (General Civil Procedure) Rules 2015</w:t>
      </w:r>
      <w:r w:rsidRPr="00DE745D">
        <w:rPr>
          <w:rFonts w:ascii="Book Antiqua" w:hAnsi="Book Antiqua"/>
          <w:sz w:val="24"/>
          <w:szCs w:val="24"/>
        </w:rPr>
        <w:t>,</w:t>
      </w:r>
      <w:r w:rsidRPr="00DE745D">
        <w:rPr>
          <w:rFonts w:ascii="Book Antiqua" w:hAnsi="Book Antiqua"/>
          <w:b/>
          <w:sz w:val="24"/>
          <w:szCs w:val="24"/>
        </w:rPr>
        <w:t xml:space="preserve"> </w:t>
      </w:r>
      <w:r w:rsidRPr="00DE745D">
        <w:rPr>
          <w:rFonts w:ascii="Book Antiqua" w:hAnsi="Book Antiqua"/>
          <w:sz w:val="24"/>
          <w:szCs w:val="24"/>
        </w:rPr>
        <w:t xml:space="preserve">Order 4 of the </w:t>
      </w:r>
      <w:r w:rsidRPr="00DE745D">
        <w:rPr>
          <w:rFonts w:ascii="Book Antiqua" w:hAnsi="Book Antiqua"/>
          <w:i/>
          <w:sz w:val="24"/>
          <w:szCs w:val="24"/>
        </w:rPr>
        <w:t xml:space="preserve">Supreme Court (Miscellaneous Civil Proceedings) Rules </w:t>
      </w:r>
      <w:r w:rsidR="00691F9A">
        <w:rPr>
          <w:rFonts w:ascii="Book Antiqua" w:hAnsi="Book Antiqua"/>
          <w:i/>
          <w:sz w:val="24"/>
          <w:szCs w:val="24"/>
        </w:rPr>
        <w:t xml:space="preserve">2018 </w:t>
      </w:r>
      <w:r w:rsidRPr="00DE745D">
        <w:rPr>
          <w:rFonts w:ascii="Book Antiqua" w:hAnsi="Book Antiqua"/>
          <w:sz w:val="24"/>
          <w:szCs w:val="24"/>
        </w:rPr>
        <w:t xml:space="preserve">or Order 3A of the </w:t>
      </w:r>
      <w:r w:rsidRPr="00DE745D">
        <w:rPr>
          <w:rFonts w:ascii="Book Antiqua" w:hAnsi="Book Antiqua"/>
          <w:i/>
          <w:sz w:val="24"/>
          <w:szCs w:val="24"/>
        </w:rPr>
        <w:t xml:space="preserve">Supreme Court (Criminal Procedure) Rules </w:t>
      </w:r>
      <w:r w:rsidR="00B21DCB" w:rsidRPr="00DE745D">
        <w:rPr>
          <w:rFonts w:ascii="Book Antiqua" w:hAnsi="Book Antiqua"/>
          <w:i/>
          <w:sz w:val="24"/>
          <w:szCs w:val="24"/>
        </w:rPr>
        <w:t>20</w:t>
      </w:r>
      <w:r w:rsidR="00B21DCB">
        <w:rPr>
          <w:rFonts w:ascii="Book Antiqua" w:hAnsi="Book Antiqua"/>
          <w:i/>
          <w:sz w:val="24"/>
          <w:szCs w:val="24"/>
        </w:rPr>
        <w:t>17</w:t>
      </w:r>
      <w:r w:rsidRPr="00DE745D">
        <w:rPr>
          <w:rFonts w:ascii="Book Antiqua" w:hAnsi="Book Antiqua"/>
          <w:sz w:val="24"/>
          <w:szCs w:val="24"/>
        </w:rPr>
        <w:t xml:space="preserve">. </w:t>
      </w:r>
      <w:r w:rsidR="00EF2D12">
        <w:rPr>
          <w:rFonts w:ascii="Book Antiqua" w:hAnsi="Book Antiqua"/>
          <w:sz w:val="24"/>
          <w:szCs w:val="24"/>
        </w:rPr>
        <w:t xml:space="preserve"> </w:t>
      </w:r>
      <w:r w:rsidRPr="00DE745D">
        <w:rPr>
          <w:rFonts w:ascii="Book Antiqua" w:hAnsi="Book Antiqua"/>
          <w:sz w:val="24"/>
          <w:szCs w:val="24"/>
        </w:rPr>
        <w:t>Nothing in this Practice Note is intended to derogate from any</w:t>
      </w:r>
      <w:r w:rsidR="00AD23F9">
        <w:rPr>
          <w:rFonts w:ascii="Book Antiqua" w:hAnsi="Book Antiqua"/>
          <w:sz w:val="24"/>
          <w:szCs w:val="24"/>
        </w:rPr>
        <w:t xml:space="preserve"> time limits or other</w:t>
      </w:r>
      <w:r w:rsidRPr="00DE745D">
        <w:rPr>
          <w:rFonts w:ascii="Book Antiqua" w:hAnsi="Book Antiqua"/>
          <w:sz w:val="24"/>
          <w:szCs w:val="24"/>
        </w:rPr>
        <w:t xml:space="preserve"> applicable requirements of any Act or of the Rules of Court</w:t>
      </w:r>
      <w:r w:rsidR="005B1A7A">
        <w:rPr>
          <w:rFonts w:ascii="Book Antiqua" w:hAnsi="Book Antiqua"/>
          <w:sz w:val="24"/>
          <w:szCs w:val="24"/>
        </w:rPr>
        <w:t>.</w:t>
      </w:r>
      <w:r w:rsidR="00AD23F9">
        <w:rPr>
          <w:rFonts w:ascii="Book Antiqua" w:hAnsi="Book Antiqua"/>
          <w:sz w:val="24"/>
          <w:szCs w:val="24"/>
        </w:rPr>
        <w:t xml:space="preserve">  However, in the interests of efficiency the Court may, at an initial directions hearing or otherwise, exercise </w:t>
      </w:r>
      <w:r w:rsidR="00B0557D">
        <w:rPr>
          <w:rFonts w:ascii="Book Antiqua" w:hAnsi="Book Antiqua"/>
          <w:sz w:val="24"/>
          <w:szCs w:val="24"/>
        </w:rPr>
        <w:t xml:space="preserve">(where applicable) </w:t>
      </w:r>
      <w:r w:rsidR="00AD23F9">
        <w:rPr>
          <w:rFonts w:ascii="Book Antiqua" w:hAnsi="Book Antiqua"/>
          <w:sz w:val="24"/>
          <w:szCs w:val="24"/>
        </w:rPr>
        <w:t xml:space="preserve">the case management powers conferred on it by the </w:t>
      </w:r>
      <w:r w:rsidR="00AD23F9" w:rsidRPr="004444C9">
        <w:rPr>
          <w:rFonts w:ascii="Book Antiqua" w:hAnsi="Book Antiqua"/>
          <w:i/>
          <w:sz w:val="24"/>
          <w:szCs w:val="24"/>
        </w:rPr>
        <w:t>Civil Procedure Act 2010</w:t>
      </w:r>
      <w:r w:rsidR="00AD23F9">
        <w:rPr>
          <w:rFonts w:ascii="Book Antiqua" w:hAnsi="Book Antiqua"/>
          <w:sz w:val="24"/>
          <w:szCs w:val="24"/>
        </w:rPr>
        <w:t xml:space="preserve"> or the power conferred on it by Rule 2.04 of the Chapter I Rules to dispense </w:t>
      </w:r>
      <w:r w:rsidR="00DC73DB">
        <w:rPr>
          <w:rFonts w:ascii="Book Antiqua" w:hAnsi="Book Antiqua"/>
          <w:sz w:val="24"/>
          <w:szCs w:val="24"/>
        </w:rPr>
        <w:t xml:space="preserve">with compliance with the </w:t>
      </w:r>
      <w:r w:rsidR="00AD23F9">
        <w:rPr>
          <w:rFonts w:ascii="Book Antiqua" w:hAnsi="Book Antiqua"/>
          <w:sz w:val="24"/>
          <w:szCs w:val="24"/>
        </w:rPr>
        <w:t>r</w:t>
      </w:r>
      <w:r w:rsidR="00DC73DB">
        <w:rPr>
          <w:rFonts w:ascii="Book Antiqua" w:hAnsi="Book Antiqua"/>
          <w:sz w:val="24"/>
          <w:szCs w:val="24"/>
        </w:rPr>
        <w:t>e</w:t>
      </w:r>
      <w:r w:rsidR="00AD23F9">
        <w:rPr>
          <w:rFonts w:ascii="Book Antiqua" w:hAnsi="Book Antiqua"/>
          <w:sz w:val="24"/>
          <w:szCs w:val="24"/>
        </w:rPr>
        <w:t xml:space="preserve">quirements of particular Rules of Court. </w:t>
      </w:r>
    </w:p>
    <w:p w14:paraId="2250A625" w14:textId="77777777" w:rsidR="004126C2" w:rsidRPr="00DE745D" w:rsidRDefault="004126C2" w:rsidP="00D16FC1">
      <w:pPr>
        <w:spacing w:before="120" w:after="120"/>
        <w:jc w:val="both"/>
        <w:rPr>
          <w:rFonts w:ascii="Book Antiqua" w:hAnsi="Book Antiqua"/>
        </w:rPr>
      </w:pPr>
    </w:p>
    <w:p w14:paraId="0B02A473" w14:textId="77777777" w:rsidR="00A50A22" w:rsidRPr="00DE745D" w:rsidRDefault="00A50A22" w:rsidP="00D16FC1">
      <w:pPr>
        <w:pStyle w:val="ListParagraph"/>
        <w:numPr>
          <w:ilvl w:val="0"/>
          <w:numId w:val="2"/>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b/>
          <w:sz w:val="24"/>
          <w:szCs w:val="24"/>
        </w:rPr>
        <w:t>DEFINITIONS</w:t>
      </w:r>
    </w:p>
    <w:p w14:paraId="7F6B7C6E" w14:textId="77777777" w:rsidR="00A50A22" w:rsidRPr="00DE745D" w:rsidRDefault="00A50A22" w:rsidP="00D16FC1">
      <w:pPr>
        <w:pStyle w:val="ListParagraph"/>
        <w:numPr>
          <w:ilvl w:val="1"/>
          <w:numId w:val="2"/>
        </w:numPr>
        <w:spacing w:before="120" w:after="120"/>
        <w:contextualSpacing w:val="0"/>
        <w:jc w:val="both"/>
        <w:rPr>
          <w:rFonts w:ascii="Book Antiqua" w:hAnsi="Book Antiqua"/>
          <w:sz w:val="24"/>
          <w:szCs w:val="24"/>
        </w:rPr>
      </w:pPr>
      <w:r w:rsidRPr="00DE745D">
        <w:rPr>
          <w:rFonts w:ascii="Book Antiqua" w:hAnsi="Book Antiqua"/>
          <w:sz w:val="24"/>
          <w:szCs w:val="24"/>
        </w:rPr>
        <w:t>In this Practice Note:</w:t>
      </w:r>
    </w:p>
    <w:p w14:paraId="5991920D" w14:textId="77777777" w:rsidR="005B7BEB" w:rsidRPr="00DE745D" w:rsidRDefault="005B7BEB" w:rsidP="00D16FC1">
      <w:pPr>
        <w:pStyle w:val="ListParagraph"/>
        <w:spacing w:before="120" w:after="120"/>
        <w:ind w:left="360" w:firstLine="360"/>
        <w:contextualSpacing w:val="0"/>
        <w:jc w:val="both"/>
        <w:rPr>
          <w:rFonts w:ascii="Book Antiqua" w:hAnsi="Book Antiqua"/>
          <w:b/>
          <w:i/>
          <w:sz w:val="24"/>
          <w:szCs w:val="24"/>
        </w:rPr>
      </w:pPr>
      <w:r w:rsidRPr="00DE745D">
        <w:rPr>
          <w:rFonts w:ascii="Book Antiqua" w:hAnsi="Book Antiqua"/>
          <w:b/>
          <w:i/>
          <w:sz w:val="24"/>
          <w:szCs w:val="24"/>
        </w:rPr>
        <w:t>ALA</w:t>
      </w:r>
      <w:r w:rsidRPr="00DE745D">
        <w:rPr>
          <w:rFonts w:ascii="Book Antiqua" w:hAnsi="Book Antiqua"/>
          <w:i/>
          <w:sz w:val="24"/>
          <w:szCs w:val="24"/>
        </w:rPr>
        <w:t xml:space="preserve"> </w:t>
      </w:r>
      <w:r w:rsidRPr="00DE745D">
        <w:rPr>
          <w:rFonts w:ascii="Book Antiqua" w:hAnsi="Book Antiqua"/>
          <w:sz w:val="24"/>
          <w:szCs w:val="24"/>
        </w:rPr>
        <w:t xml:space="preserve">means the </w:t>
      </w:r>
      <w:r w:rsidRPr="00DE745D">
        <w:rPr>
          <w:rFonts w:ascii="Book Antiqua" w:hAnsi="Book Antiqua"/>
          <w:i/>
          <w:sz w:val="24"/>
          <w:szCs w:val="24"/>
        </w:rPr>
        <w:t>Administrative Law Act 1978</w:t>
      </w:r>
      <w:r w:rsidR="000B3BF3">
        <w:rPr>
          <w:rFonts w:ascii="Book Antiqua" w:hAnsi="Book Antiqua"/>
          <w:sz w:val="24"/>
          <w:szCs w:val="24"/>
        </w:rPr>
        <w:t>;</w:t>
      </w:r>
    </w:p>
    <w:p w14:paraId="409CF3EF" w14:textId="77777777" w:rsidR="006E4B86" w:rsidRPr="00DE745D" w:rsidRDefault="006E4B86" w:rsidP="00D16FC1">
      <w:pPr>
        <w:pStyle w:val="ListParagraph"/>
        <w:spacing w:before="120" w:after="120"/>
        <w:ind w:left="360" w:firstLine="360"/>
        <w:contextualSpacing w:val="0"/>
        <w:jc w:val="both"/>
        <w:rPr>
          <w:rFonts w:ascii="Book Antiqua" w:hAnsi="Book Antiqua"/>
          <w:i/>
          <w:sz w:val="24"/>
          <w:szCs w:val="24"/>
        </w:rPr>
      </w:pPr>
      <w:r w:rsidRPr="00DE745D">
        <w:rPr>
          <w:rFonts w:ascii="Book Antiqua" w:hAnsi="Book Antiqua"/>
          <w:b/>
          <w:i/>
          <w:sz w:val="24"/>
          <w:szCs w:val="24"/>
        </w:rPr>
        <w:t>Chapter I Rules</w:t>
      </w:r>
      <w:r w:rsidRPr="00DE745D">
        <w:rPr>
          <w:rFonts w:ascii="Book Antiqua" w:hAnsi="Book Antiqua"/>
          <w:sz w:val="24"/>
          <w:szCs w:val="24"/>
        </w:rPr>
        <w:t xml:space="preserve"> means the </w:t>
      </w:r>
      <w:r w:rsidRPr="00DE745D">
        <w:rPr>
          <w:rFonts w:ascii="Book Antiqua" w:hAnsi="Book Antiqua"/>
          <w:i/>
          <w:sz w:val="24"/>
          <w:szCs w:val="24"/>
        </w:rPr>
        <w:t>Supreme Court (General Civil Procedure) Rules 2015;</w:t>
      </w:r>
    </w:p>
    <w:p w14:paraId="6046F149" w14:textId="61C2A655" w:rsidR="006E4B86" w:rsidRPr="00DE745D" w:rsidRDefault="006E4B86" w:rsidP="00D16FC1">
      <w:pPr>
        <w:pStyle w:val="ListParagraph"/>
        <w:spacing w:before="120" w:after="120"/>
        <w:ind w:left="1440" w:hanging="720"/>
        <w:contextualSpacing w:val="0"/>
        <w:jc w:val="both"/>
        <w:rPr>
          <w:rFonts w:ascii="Book Antiqua" w:hAnsi="Book Antiqua"/>
          <w:i/>
          <w:sz w:val="24"/>
          <w:szCs w:val="24"/>
        </w:rPr>
      </w:pPr>
      <w:r w:rsidRPr="00DE745D">
        <w:rPr>
          <w:rFonts w:ascii="Book Antiqua" w:hAnsi="Book Antiqua"/>
          <w:b/>
          <w:i/>
          <w:sz w:val="24"/>
          <w:szCs w:val="24"/>
        </w:rPr>
        <w:t>Chapter II Rules</w:t>
      </w:r>
      <w:r w:rsidRPr="00DE745D">
        <w:rPr>
          <w:rFonts w:ascii="Book Antiqua" w:hAnsi="Book Antiqua"/>
          <w:i/>
          <w:sz w:val="24"/>
          <w:szCs w:val="24"/>
        </w:rPr>
        <w:t xml:space="preserve"> </w:t>
      </w:r>
      <w:r w:rsidRPr="00DE745D">
        <w:rPr>
          <w:rFonts w:ascii="Book Antiqua" w:hAnsi="Book Antiqua"/>
          <w:sz w:val="24"/>
          <w:szCs w:val="24"/>
        </w:rPr>
        <w:t>means</w:t>
      </w:r>
      <w:r w:rsidRPr="00DE745D">
        <w:rPr>
          <w:rFonts w:ascii="Book Antiqua" w:hAnsi="Book Antiqua"/>
          <w:i/>
          <w:sz w:val="24"/>
          <w:szCs w:val="24"/>
        </w:rPr>
        <w:t xml:space="preserve"> </w:t>
      </w:r>
      <w:r w:rsidRPr="00DE745D">
        <w:rPr>
          <w:rFonts w:ascii="Book Antiqua" w:hAnsi="Book Antiqua"/>
          <w:sz w:val="24"/>
          <w:szCs w:val="24"/>
        </w:rPr>
        <w:t xml:space="preserve">the </w:t>
      </w:r>
      <w:r w:rsidRPr="00DE745D">
        <w:rPr>
          <w:rFonts w:ascii="Book Antiqua" w:hAnsi="Book Antiqua"/>
          <w:i/>
          <w:sz w:val="24"/>
          <w:szCs w:val="24"/>
        </w:rPr>
        <w:t xml:space="preserve">Supreme Court (Miscellaneous Civil Proceedings) Rules </w:t>
      </w:r>
      <w:r w:rsidR="00CD3F27">
        <w:rPr>
          <w:rFonts w:ascii="Book Antiqua" w:hAnsi="Book Antiqua"/>
          <w:i/>
          <w:sz w:val="24"/>
          <w:szCs w:val="24"/>
        </w:rPr>
        <w:t>2018</w:t>
      </w:r>
      <w:r w:rsidRPr="00DE745D">
        <w:rPr>
          <w:rFonts w:ascii="Book Antiqua" w:hAnsi="Book Antiqua"/>
          <w:i/>
          <w:sz w:val="24"/>
          <w:szCs w:val="24"/>
        </w:rPr>
        <w:t>;</w:t>
      </w:r>
    </w:p>
    <w:p w14:paraId="1CA37914" w14:textId="77777777" w:rsidR="006E4B86" w:rsidRPr="00DE745D" w:rsidRDefault="006E4B86" w:rsidP="00D16FC1">
      <w:pPr>
        <w:pStyle w:val="ListParagraph"/>
        <w:spacing w:before="120" w:after="120"/>
        <w:ind w:left="1440" w:hanging="720"/>
        <w:contextualSpacing w:val="0"/>
        <w:jc w:val="both"/>
        <w:rPr>
          <w:rFonts w:ascii="Book Antiqua" w:hAnsi="Book Antiqua"/>
          <w:sz w:val="24"/>
          <w:szCs w:val="24"/>
        </w:rPr>
      </w:pPr>
      <w:r w:rsidRPr="00DE745D">
        <w:rPr>
          <w:rFonts w:ascii="Book Antiqua" w:hAnsi="Book Antiqua"/>
          <w:b/>
          <w:i/>
          <w:sz w:val="24"/>
          <w:szCs w:val="24"/>
        </w:rPr>
        <w:t>Chapter VI Rules</w:t>
      </w:r>
      <w:r w:rsidRPr="00DE745D">
        <w:rPr>
          <w:rFonts w:ascii="Book Antiqua" w:hAnsi="Book Antiqua"/>
          <w:sz w:val="24"/>
          <w:szCs w:val="24"/>
        </w:rPr>
        <w:t xml:space="preserve"> means the </w:t>
      </w:r>
      <w:r w:rsidRPr="00DE745D">
        <w:rPr>
          <w:rFonts w:ascii="Book Antiqua" w:hAnsi="Book Antiqua"/>
          <w:i/>
          <w:sz w:val="24"/>
          <w:szCs w:val="24"/>
        </w:rPr>
        <w:t xml:space="preserve">Supreme Court (Criminal Procedure) Rules </w:t>
      </w:r>
      <w:r w:rsidR="00B21DCB" w:rsidRPr="00DE745D">
        <w:rPr>
          <w:rFonts w:ascii="Book Antiqua" w:hAnsi="Book Antiqua"/>
          <w:i/>
          <w:sz w:val="24"/>
          <w:szCs w:val="24"/>
        </w:rPr>
        <w:t>20</w:t>
      </w:r>
      <w:r w:rsidR="00B21DCB">
        <w:rPr>
          <w:rFonts w:ascii="Book Antiqua" w:hAnsi="Book Antiqua"/>
          <w:i/>
          <w:sz w:val="24"/>
          <w:szCs w:val="24"/>
        </w:rPr>
        <w:t>17</w:t>
      </w:r>
      <w:r w:rsidRPr="00DE745D">
        <w:rPr>
          <w:rFonts w:ascii="Book Antiqua" w:hAnsi="Book Antiqua"/>
          <w:i/>
          <w:sz w:val="24"/>
          <w:szCs w:val="24"/>
        </w:rPr>
        <w:t>;</w:t>
      </w:r>
    </w:p>
    <w:p w14:paraId="4668BBE6" w14:textId="77777777" w:rsidR="005B7BEB" w:rsidRDefault="00A50A22" w:rsidP="00D16FC1">
      <w:pPr>
        <w:pStyle w:val="ListParagraph"/>
        <w:spacing w:before="120" w:after="120"/>
        <w:ind w:left="360" w:firstLine="360"/>
        <w:contextualSpacing w:val="0"/>
        <w:jc w:val="both"/>
        <w:rPr>
          <w:rFonts w:ascii="Book Antiqua" w:hAnsi="Book Antiqua"/>
          <w:sz w:val="24"/>
          <w:szCs w:val="24"/>
        </w:rPr>
      </w:pPr>
      <w:r w:rsidRPr="00DE745D">
        <w:rPr>
          <w:rFonts w:ascii="Book Antiqua" w:hAnsi="Book Antiqua"/>
          <w:b/>
          <w:i/>
          <w:sz w:val="24"/>
          <w:szCs w:val="24"/>
        </w:rPr>
        <w:t>List</w:t>
      </w:r>
      <w:r w:rsidRPr="00DE745D">
        <w:rPr>
          <w:rFonts w:ascii="Book Antiqua" w:hAnsi="Book Antiqua"/>
          <w:sz w:val="24"/>
          <w:szCs w:val="24"/>
        </w:rPr>
        <w:t xml:space="preserve"> means </w:t>
      </w:r>
      <w:r w:rsidR="0015159D" w:rsidRPr="00DE745D">
        <w:rPr>
          <w:rFonts w:ascii="Book Antiqua" w:hAnsi="Book Antiqua"/>
          <w:sz w:val="24"/>
          <w:szCs w:val="24"/>
        </w:rPr>
        <w:t xml:space="preserve">the </w:t>
      </w:r>
      <w:r w:rsidR="00E71680" w:rsidRPr="00DE745D">
        <w:rPr>
          <w:rFonts w:ascii="Book Antiqua" w:hAnsi="Book Antiqua"/>
          <w:sz w:val="24"/>
          <w:szCs w:val="24"/>
        </w:rPr>
        <w:t>Judicial Review and Appeals List</w:t>
      </w:r>
      <w:r w:rsidR="005B7BEB" w:rsidRPr="00DE745D">
        <w:rPr>
          <w:rFonts w:ascii="Book Antiqua" w:hAnsi="Book Antiqua"/>
          <w:sz w:val="24"/>
          <w:szCs w:val="24"/>
        </w:rPr>
        <w:t>;</w:t>
      </w:r>
    </w:p>
    <w:p w14:paraId="3AFD32E8" w14:textId="77777777" w:rsidR="00391999" w:rsidRPr="00AD23F9" w:rsidRDefault="00391999" w:rsidP="00D16FC1">
      <w:pPr>
        <w:pStyle w:val="ListParagraph"/>
        <w:spacing w:before="120" w:after="120"/>
        <w:ind w:left="1440" w:hanging="720"/>
        <w:contextualSpacing w:val="0"/>
        <w:jc w:val="both"/>
        <w:rPr>
          <w:rFonts w:ascii="Book Antiqua" w:hAnsi="Book Antiqua"/>
          <w:b/>
          <w:i/>
          <w:sz w:val="24"/>
          <w:szCs w:val="24"/>
        </w:rPr>
      </w:pPr>
      <w:r w:rsidRPr="00AD23F9">
        <w:rPr>
          <w:rFonts w:ascii="Book Antiqua" w:hAnsi="Book Antiqua"/>
          <w:b/>
          <w:i/>
          <w:sz w:val="24"/>
          <w:szCs w:val="24"/>
        </w:rPr>
        <w:lastRenderedPageBreak/>
        <w:t>List directions day</w:t>
      </w:r>
      <w:r>
        <w:rPr>
          <w:rFonts w:ascii="Book Antiqua" w:hAnsi="Book Antiqua"/>
          <w:sz w:val="24"/>
          <w:szCs w:val="24"/>
        </w:rPr>
        <w:t xml:space="preserve"> means the </w:t>
      </w:r>
      <w:r w:rsidR="005B1A7A">
        <w:rPr>
          <w:rFonts w:ascii="Book Antiqua" w:hAnsi="Book Antiqua"/>
          <w:sz w:val="24"/>
          <w:szCs w:val="24"/>
        </w:rPr>
        <w:t xml:space="preserve">regular day on which the </w:t>
      </w:r>
      <w:r w:rsidR="00C74217">
        <w:rPr>
          <w:rFonts w:ascii="Book Antiqua" w:hAnsi="Book Antiqua"/>
          <w:sz w:val="24"/>
          <w:szCs w:val="24"/>
        </w:rPr>
        <w:t xml:space="preserve">Court </w:t>
      </w:r>
      <w:r w:rsidR="005B1A7A">
        <w:rPr>
          <w:rFonts w:ascii="Book Antiqua" w:hAnsi="Book Antiqua"/>
          <w:sz w:val="24"/>
          <w:szCs w:val="24"/>
        </w:rPr>
        <w:t xml:space="preserve">sits to give directions in the List </w:t>
      </w:r>
      <w:r>
        <w:rPr>
          <w:rFonts w:ascii="Book Antiqua" w:hAnsi="Book Antiqua"/>
          <w:sz w:val="24"/>
          <w:szCs w:val="24"/>
        </w:rPr>
        <w:t xml:space="preserve">as </w:t>
      </w:r>
      <w:r w:rsidR="005B1A7A">
        <w:rPr>
          <w:rFonts w:ascii="Book Antiqua" w:hAnsi="Book Antiqua"/>
          <w:sz w:val="24"/>
          <w:szCs w:val="24"/>
        </w:rPr>
        <w:t xml:space="preserve">published on </w:t>
      </w:r>
      <w:r>
        <w:rPr>
          <w:rFonts w:ascii="Book Antiqua" w:hAnsi="Book Antiqua"/>
          <w:sz w:val="24"/>
          <w:szCs w:val="24"/>
        </w:rPr>
        <w:t xml:space="preserve">the </w:t>
      </w:r>
      <w:r w:rsidR="005B1A7A">
        <w:rPr>
          <w:rFonts w:ascii="Book Antiqua" w:hAnsi="Book Antiqua"/>
          <w:sz w:val="24"/>
          <w:szCs w:val="24"/>
        </w:rPr>
        <w:t xml:space="preserve">List page on the </w:t>
      </w:r>
      <w:r>
        <w:rPr>
          <w:rFonts w:ascii="Book Antiqua" w:hAnsi="Book Antiqua"/>
          <w:sz w:val="24"/>
          <w:szCs w:val="24"/>
        </w:rPr>
        <w:t>Court’s website;</w:t>
      </w:r>
    </w:p>
    <w:p w14:paraId="1E96CBA5" w14:textId="77777777" w:rsidR="00A50A22" w:rsidRPr="00DE745D" w:rsidRDefault="005B7BEB" w:rsidP="00D16FC1">
      <w:pPr>
        <w:pStyle w:val="ListParagraph"/>
        <w:spacing w:before="120" w:after="120"/>
        <w:ind w:left="360" w:firstLine="360"/>
        <w:contextualSpacing w:val="0"/>
        <w:jc w:val="both"/>
        <w:rPr>
          <w:rFonts w:ascii="Book Antiqua" w:hAnsi="Book Antiqua"/>
          <w:sz w:val="24"/>
          <w:szCs w:val="24"/>
        </w:rPr>
      </w:pPr>
      <w:r w:rsidRPr="00DE745D">
        <w:rPr>
          <w:rFonts w:ascii="Book Antiqua" w:hAnsi="Book Antiqua"/>
          <w:b/>
          <w:i/>
          <w:sz w:val="24"/>
          <w:szCs w:val="24"/>
        </w:rPr>
        <w:t>VCAT</w:t>
      </w:r>
      <w:r w:rsidRPr="00DE745D">
        <w:rPr>
          <w:rFonts w:ascii="Book Antiqua" w:hAnsi="Book Antiqua"/>
          <w:sz w:val="24"/>
          <w:szCs w:val="24"/>
        </w:rPr>
        <w:t xml:space="preserve"> means the Victorian Civil and Administrative Tribunal</w:t>
      </w:r>
      <w:r w:rsidR="0015159D" w:rsidRPr="00DE745D">
        <w:rPr>
          <w:rFonts w:ascii="Book Antiqua" w:hAnsi="Book Antiqua"/>
          <w:sz w:val="24"/>
          <w:szCs w:val="24"/>
        </w:rPr>
        <w:t>.</w:t>
      </w:r>
    </w:p>
    <w:p w14:paraId="1A0F38DC" w14:textId="77777777" w:rsidR="00FD4B3F" w:rsidRPr="00DE745D" w:rsidRDefault="00FD4B3F" w:rsidP="00D16FC1">
      <w:pPr>
        <w:spacing w:before="120" w:after="120"/>
        <w:jc w:val="both"/>
        <w:rPr>
          <w:rFonts w:ascii="Book Antiqua" w:hAnsi="Book Antiqua"/>
        </w:rPr>
      </w:pPr>
    </w:p>
    <w:p w14:paraId="55050113" w14:textId="77777777" w:rsidR="00FD4B3F" w:rsidRPr="00DE745D" w:rsidRDefault="00FD4B3F" w:rsidP="00D16FC1">
      <w:pPr>
        <w:pStyle w:val="ListParagraph"/>
        <w:numPr>
          <w:ilvl w:val="0"/>
          <w:numId w:val="2"/>
        </w:numPr>
        <w:autoSpaceDE w:val="0"/>
        <w:autoSpaceDN w:val="0"/>
        <w:adjustRightInd w:val="0"/>
        <w:spacing w:before="120" w:after="120"/>
        <w:contextualSpacing w:val="0"/>
        <w:jc w:val="both"/>
        <w:rPr>
          <w:rFonts w:ascii="Book Antiqua" w:hAnsi="Book Antiqua"/>
          <w:b/>
          <w:sz w:val="24"/>
          <w:szCs w:val="24"/>
        </w:rPr>
      </w:pPr>
      <w:r w:rsidRPr="00DE745D">
        <w:rPr>
          <w:rFonts w:ascii="Book Antiqua" w:hAnsi="Book Antiqua"/>
          <w:b/>
          <w:sz w:val="24"/>
          <w:szCs w:val="24"/>
        </w:rPr>
        <w:t>COMMENCEMENT</w:t>
      </w:r>
    </w:p>
    <w:p w14:paraId="3C0715BC" w14:textId="53B4C065" w:rsidR="00FD4B3F" w:rsidRPr="00DE745D" w:rsidRDefault="00FD4B3F" w:rsidP="00D16FC1">
      <w:pPr>
        <w:pStyle w:val="ListParagraph"/>
        <w:numPr>
          <w:ilvl w:val="1"/>
          <w:numId w:val="2"/>
        </w:numPr>
        <w:autoSpaceDE w:val="0"/>
        <w:autoSpaceDN w:val="0"/>
        <w:adjustRightInd w:val="0"/>
        <w:spacing w:before="120" w:after="120"/>
        <w:contextualSpacing w:val="0"/>
        <w:rPr>
          <w:rFonts w:ascii="Book Antiqua" w:hAnsi="Book Antiqua"/>
          <w:sz w:val="24"/>
          <w:szCs w:val="24"/>
        </w:rPr>
      </w:pPr>
      <w:r w:rsidRPr="00DE745D">
        <w:rPr>
          <w:rFonts w:ascii="Book Antiqua" w:hAnsi="Book Antiqua"/>
          <w:sz w:val="24"/>
          <w:szCs w:val="24"/>
        </w:rPr>
        <w:t>This Practice No</w:t>
      </w:r>
      <w:r w:rsidR="00DB05DF">
        <w:rPr>
          <w:rFonts w:ascii="Book Antiqua" w:hAnsi="Book Antiqua"/>
          <w:sz w:val="24"/>
          <w:szCs w:val="24"/>
        </w:rPr>
        <w:t>te commence</w:t>
      </w:r>
      <w:r w:rsidR="00D16FC1">
        <w:rPr>
          <w:rFonts w:ascii="Book Antiqua" w:hAnsi="Book Antiqua"/>
          <w:sz w:val="24"/>
          <w:szCs w:val="24"/>
        </w:rPr>
        <w:t>d</w:t>
      </w:r>
      <w:r w:rsidR="00DB05DF">
        <w:rPr>
          <w:rFonts w:ascii="Book Antiqua" w:hAnsi="Book Antiqua"/>
          <w:sz w:val="24"/>
          <w:szCs w:val="24"/>
        </w:rPr>
        <w:t xml:space="preserve"> on </w:t>
      </w:r>
      <w:r w:rsidR="00662526">
        <w:rPr>
          <w:rFonts w:ascii="Book Antiqua" w:hAnsi="Book Antiqua"/>
          <w:sz w:val="24"/>
          <w:szCs w:val="24"/>
        </w:rPr>
        <w:t>12 September 2018</w:t>
      </w:r>
      <w:r w:rsidR="005A7B81">
        <w:rPr>
          <w:rFonts w:ascii="Book Antiqua" w:hAnsi="Book Antiqua"/>
          <w:sz w:val="24"/>
          <w:szCs w:val="24"/>
        </w:rPr>
        <w:t>, as revised,</w:t>
      </w:r>
      <w:r w:rsidR="00C04D89">
        <w:rPr>
          <w:rFonts w:ascii="Book Antiqua" w:hAnsi="Book Antiqua"/>
          <w:sz w:val="24"/>
          <w:szCs w:val="24"/>
        </w:rPr>
        <w:t xml:space="preserve"> </w:t>
      </w:r>
      <w:r w:rsidRPr="00DE745D">
        <w:rPr>
          <w:rFonts w:ascii="Book Antiqua" w:hAnsi="Book Antiqua"/>
          <w:sz w:val="24"/>
          <w:szCs w:val="24"/>
        </w:rPr>
        <w:t>and will apply to all proceedings in the List whenever commenced.</w:t>
      </w:r>
    </w:p>
    <w:p w14:paraId="76D9B359" w14:textId="77777777" w:rsidR="00C5118C" w:rsidRPr="00DE745D" w:rsidRDefault="00C5118C" w:rsidP="00D16FC1">
      <w:pPr>
        <w:spacing w:before="120" w:after="120"/>
        <w:jc w:val="both"/>
        <w:rPr>
          <w:rFonts w:ascii="Book Antiqua" w:hAnsi="Book Antiqua"/>
        </w:rPr>
      </w:pPr>
    </w:p>
    <w:p w14:paraId="18C2464F" w14:textId="77777777" w:rsidR="006E7E0B" w:rsidRPr="00DE745D" w:rsidRDefault="00C5118C" w:rsidP="00D16FC1">
      <w:pPr>
        <w:pStyle w:val="ListParagraph"/>
        <w:numPr>
          <w:ilvl w:val="0"/>
          <w:numId w:val="2"/>
        </w:numPr>
        <w:autoSpaceDE w:val="0"/>
        <w:autoSpaceDN w:val="0"/>
        <w:adjustRightInd w:val="0"/>
        <w:spacing w:before="120" w:after="120"/>
        <w:contextualSpacing w:val="0"/>
        <w:jc w:val="both"/>
        <w:rPr>
          <w:rFonts w:ascii="Book Antiqua" w:hAnsi="Book Antiqua"/>
          <w:b/>
          <w:sz w:val="24"/>
          <w:szCs w:val="24"/>
        </w:rPr>
      </w:pPr>
      <w:r w:rsidRPr="00DE745D">
        <w:rPr>
          <w:rFonts w:ascii="Book Antiqua" w:hAnsi="Book Antiqua"/>
          <w:b/>
          <w:sz w:val="24"/>
          <w:szCs w:val="24"/>
        </w:rPr>
        <w:t>PROCEEDINGS SUITABLE FOR INCLUSION IN THE LIST</w:t>
      </w:r>
    </w:p>
    <w:p w14:paraId="70100A9B" w14:textId="77777777" w:rsidR="005B7BEB" w:rsidRPr="00DE745D" w:rsidRDefault="005B7BEB" w:rsidP="00D16FC1">
      <w:pPr>
        <w:pStyle w:val="ListParagraph"/>
        <w:numPr>
          <w:ilvl w:val="1"/>
          <w:numId w:val="2"/>
        </w:numPr>
        <w:autoSpaceDE w:val="0"/>
        <w:autoSpaceDN w:val="0"/>
        <w:adjustRightInd w:val="0"/>
        <w:spacing w:before="120" w:after="120"/>
        <w:contextualSpacing w:val="0"/>
        <w:rPr>
          <w:rFonts w:ascii="Book Antiqua" w:hAnsi="Book Antiqua"/>
          <w:sz w:val="24"/>
          <w:szCs w:val="24"/>
        </w:rPr>
      </w:pPr>
      <w:r w:rsidRPr="00DE745D">
        <w:rPr>
          <w:rFonts w:ascii="Book Antiqua" w:hAnsi="Book Antiqua"/>
          <w:sz w:val="24"/>
          <w:szCs w:val="24"/>
        </w:rPr>
        <w:t>Subject to paragraph 4.3, the List covers proceedings in the Trial Division of the Court relating to the conduct or decisions of lower courts, tribunals and other external persons or bodies, being proceedings in the nature of judicial review or being statutory appeals (usually limited to questions of law) or referrals of questions of law</w:t>
      </w:r>
      <w:r w:rsidR="00AD23F9">
        <w:rPr>
          <w:rFonts w:ascii="Book Antiqua" w:hAnsi="Book Antiqua"/>
          <w:sz w:val="24"/>
          <w:szCs w:val="24"/>
        </w:rPr>
        <w:t xml:space="preserve">, and including applications for leave to appeal or for an extension of time in such </w:t>
      </w:r>
      <w:r w:rsidR="001B623E">
        <w:rPr>
          <w:rFonts w:ascii="Book Antiqua" w:hAnsi="Book Antiqua"/>
          <w:sz w:val="24"/>
          <w:szCs w:val="24"/>
        </w:rPr>
        <w:t xml:space="preserve">a </w:t>
      </w:r>
      <w:r w:rsidR="00AD23F9">
        <w:rPr>
          <w:rFonts w:ascii="Book Antiqua" w:hAnsi="Book Antiqua"/>
          <w:sz w:val="24"/>
          <w:szCs w:val="24"/>
        </w:rPr>
        <w:t>proceeding</w:t>
      </w:r>
      <w:r w:rsidRPr="00DE745D">
        <w:rPr>
          <w:rFonts w:ascii="Book Antiqua" w:hAnsi="Book Antiqua"/>
          <w:sz w:val="24"/>
          <w:szCs w:val="24"/>
        </w:rPr>
        <w:t>.</w:t>
      </w:r>
    </w:p>
    <w:p w14:paraId="3273C835" w14:textId="77777777" w:rsidR="005B7BEB" w:rsidRPr="00DE745D" w:rsidRDefault="005B7BEB" w:rsidP="00D16FC1">
      <w:pPr>
        <w:pStyle w:val="ListParagraph"/>
        <w:numPr>
          <w:ilvl w:val="1"/>
          <w:numId w:val="2"/>
        </w:numPr>
        <w:autoSpaceDE w:val="0"/>
        <w:autoSpaceDN w:val="0"/>
        <w:adjustRightInd w:val="0"/>
        <w:spacing w:before="120" w:after="120"/>
        <w:contextualSpacing w:val="0"/>
        <w:rPr>
          <w:rFonts w:ascii="Book Antiqua" w:hAnsi="Book Antiqua"/>
          <w:sz w:val="24"/>
          <w:szCs w:val="24"/>
        </w:rPr>
      </w:pPr>
      <w:r w:rsidRPr="00DE745D">
        <w:rPr>
          <w:rFonts w:ascii="Book Antiqua" w:hAnsi="Book Antiqua"/>
          <w:sz w:val="24"/>
          <w:szCs w:val="24"/>
        </w:rPr>
        <w:t xml:space="preserve">Without limiting the generality of paragraph </w:t>
      </w:r>
      <w:r w:rsidR="00FF10F3" w:rsidRPr="00DE745D">
        <w:rPr>
          <w:rFonts w:ascii="Book Antiqua" w:hAnsi="Book Antiqua"/>
          <w:sz w:val="24"/>
          <w:szCs w:val="24"/>
        </w:rPr>
        <w:t>4</w:t>
      </w:r>
      <w:r w:rsidRPr="00DE745D">
        <w:rPr>
          <w:rFonts w:ascii="Book Antiqua" w:hAnsi="Book Antiqua"/>
          <w:sz w:val="24"/>
          <w:szCs w:val="24"/>
        </w:rPr>
        <w:t xml:space="preserve">.1 but subject to paragraph </w:t>
      </w:r>
      <w:r w:rsidR="00FF10F3" w:rsidRPr="00DE745D">
        <w:rPr>
          <w:rFonts w:ascii="Book Antiqua" w:hAnsi="Book Antiqua"/>
          <w:sz w:val="24"/>
          <w:szCs w:val="24"/>
        </w:rPr>
        <w:t>4</w:t>
      </w:r>
      <w:r w:rsidRPr="00DE745D">
        <w:rPr>
          <w:rFonts w:ascii="Book Antiqua" w:hAnsi="Book Antiqua"/>
          <w:sz w:val="24"/>
          <w:szCs w:val="24"/>
        </w:rPr>
        <w:t>.3, the following proceedings should be initiated in the List:</w:t>
      </w:r>
    </w:p>
    <w:p w14:paraId="1ED46250" w14:textId="77777777" w:rsidR="005B7BEB" w:rsidRPr="00DE745D" w:rsidRDefault="005B7BEB" w:rsidP="00D16FC1">
      <w:pPr>
        <w:widowControl w:val="0"/>
        <w:numPr>
          <w:ilvl w:val="0"/>
          <w:numId w:val="14"/>
        </w:numPr>
        <w:suppressLineNumbers/>
        <w:suppressAutoHyphens/>
        <w:spacing w:before="120" w:after="120"/>
        <w:rPr>
          <w:rFonts w:ascii="Book Antiqua" w:hAnsi="Book Antiqua"/>
        </w:rPr>
      </w:pPr>
      <w:r w:rsidRPr="00DE745D">
        <w:rPr>
          <w:rFonts w:ascii="Book Antiqua" w:hAnsi="Book Antiqua"/>
        </w:rPr>
        <w:t xml:space="preserve">Judicial review applications made pursuant to the </w:t>
      </w:r>
      <w:r w:rsidRPr="00DE745D">
        <w:rPr>
          <w:rFonts w:ascii="Book Antiqua" w:hAnsi="Book Antiqua"/>
          <w:iCs/>
        </w:rPr>
        <w:t>ALA</w:t>
      </w:r>
      <w:r w:rsidR="001C6B54">
        <w:rPr>
          <w:rStyle w:val="FootnoteReference"/>
          <w:rFonts w:ascii="Book Antiqua" w:hAnsi="Book Antiqua"/>
          <w:iCs/>
        </w:rPr>
        <w:footnoteReference w:id="2"/>
      </w:r>
      <w:r w:rsidRPr="00DE745D">
        <w:rPr>
          <w:rFonts w:ascii="Book Antiqua" w:hAnsi="Book Antiqua"/>
          <w:iCs/>
        </w:rPr>
        <w:t xml:space="preserve"> </w:t>
      </w:r>
      <w:r w:rsidRPr="00DE745D">
        <w:rPr>
          <w:rFonts w:ascii="Book Antiqua" w:hAnsi="Book Antiqua"/>
        </w:rPr>
        <w:t>or Order 56 of the Chapter I Rules;</w:t>
      </w:r>
    </w:p>
    <w:p w14:paraId="54CC4E5C" w14:textId="77777777" w:rsidR="005B7BEB" w:rsidRPr="00DE745D" w:rsidRDefault="005B7BEB" w:rsidP="00D16FC1">
      <w:pPr>
        <w:widowControl w:val="0"/>
        <w:numPr>
          <w:ilvl w:val="0"/>
          <w:numId w:val="14"/>
        </w:numPr>
        <w:suppressLineNumbers/>
        <w:suppressAutoHyphens/>
        <w:spacing w:before="120" w:after="120"/>
        <w:rPr>
          <w:rFonts w:ascii="Book Antiqua" w:hAnsi="Book Antiqua"/>
        </w:rPr>
      </w:pPr>
      <w:r w:rsidRPr="00DE745D">
        <w:rPr>
          <w:rFonts w:ascii="Book Antiqua" w:hAnsi="Book Antiqua"/>
        </w:rPr>
        <w:t>Appeals from a final order of the Magistrates’ Court on a question of law</w:t>
      </w:r>
      <w:r w:rsidRPr="00DE745D">
        <w:rPr>
          <w:rFonts w:ascii="Book Antiqua" w:hAnsi="Book Antiqua"/>
          <w:iCs/>
        </w:rPr>
        <w:t xml:space="preserve"> </w:t>
      </w:r>
      <w:r w:rsidRPr="00DE745D">
        <w:rPr>
          <w:rFonts w:ascii="Book Antiqua" w:hAnsi="Book Antiqua"/>
        </w:rPr>
        <w:t xml:space="preserve">pursuant to section 109 of the </w:t>
      </w:r>
      <w:r w:rsidRPr="00DE745D">
        <w:rPr>
          <w:rFonts w:ascii="Book Antiqua" w:hAnsi="Book Antiqua"/>
          <w:i/>
          <w:iCs/>
        </w:rPr>
        <w:t>Magistrates’ Court Act 1989</w:t>
      </w:r>
      <w:r w:rsidRPr="00DE745D">
        <w:rPr>
          <w:rFonts w:ascii="Book Antiqua" w:hAnsi="Book Antiqua"/>
        </w:rPr>
        <w:t xml:space="preserve"> or section 272 of the </w:t>
      </w:r>
      <w:r w:rsidRPr="00DE745D">
        <w:rPr>
          <w:rFonts w:ascii="Book Antiqua" w:hAnsi="Book Antiqua"/>
          <w:i/>
          <w:iCs/>
        </w:rPr>
        <w:t>Criminal Procedure Act 2009</w:t>
      </w:r>
      <w:r w:rsidRPr="00DE745D">
        <w:rPr>
          <w:rFonts w:ascii="Book Antiqua" w:hAnsi="Book Antiqua"/>
        </w:rPr>
        <w:t>;</w:t>
      </w:r>
    </w:p>
    <w:p w14:paraId="3CE6FB36" w14:textId="77777777" w:rsidR="005B7BEB" w:rsidRPr="00DE745D" w:rsidRDefault="005B7BEB" w:rsidP="00D16FC1">
      <w:pPr>
        <w:widowControl w:val="0"/>
        <w:numPr>
          <w:ilvl w:val="0"/>
          <w:numId w:val="14"/>
        </w:numPr>
        <w:suppressLineNumbers/>
        <w:suppressAutoHyphens/>
        <w:spacing w:before="120" w:after="120"/>
        <w:rPr>
          <w:rFonts w:ascii="Book Antiqua" w:hAnsi="Book Antiqua"/>
        </w:rPr>
      </w:pPr>
      <w:r w:rsidRPr="00DE745D">
        <w:rPr>
          <w:rFonts w:ascii="Book Antiqua" w:hAnsi="Book Antiqua"/>
        </w:rPr>
        <w:t xml:space="preserve">Appeals from an order of </w:t>
      </w:r>
      <w:r w:rsidR="009F1D7C" w:rsidRPr="00DE745D">
        <w:rPr>
          <w:rFonts w:ascii="Book Antiqua" w:hAnsi="Book Antiqua"/>
        </w:rPr>
        <w:t xml:space="preserve">VCAT </w:t>
      </w:r>
      <w:r w:rsidRPr="00DE745D">
        <w:rPr>
          <w:rFonts w:ascii="Book Antiqua" w:hAnsi="Book Antiqua"/>
        </w:rPr>
        <w:t xml:space="preserve">on a question of law pursuant to section 148 of the </w:t>
      </w:r>
      <w:r w:rsidRPr="00DE745D">
        <w:rPr>
          <w:rFonts w:ascii="Book Antiqua" w:hAnsi="Book Antiqua"/>
          <w:i/>
          <w:iCs/>
        </w:rPr>
        <w:t>Victorian Civil and Administrative Tribunal Act 1998</w:t>
      </w:r>
      <w:r w:rsidRPr="00DE745D">
        <w:rPr>
          <w:rFonts w:ascii="Book Antiqua" w:hAnsi="Book Antiqua"/>
        </w:rPr>
        <w:t>;</w:t>
      </w:r>
    </w:p>
    <w:p w14:paraId="04400DA7" w14:textId="77777777" w:rsidR="005B7BEB" w:rsidRPr="00DE745D" w:rsidRDefault="005B7BEB" w:rsidP="00D16FC1">
      <w:pPr>
        <w:widowControl w:val="0"/>
        <w:numPr>
          <w:ilvl w:val="0"/>
          <w:numId w:val="14"/>
        </w:numPr>
        <w:suppressLineNumbers/>
        <w:suppressAutoHyphens/>
        <w:spacing w:before="120" w:after="120"/>
        <w:rPr>
          <w:rFonts w:ascii="Book Antiqua" w:hAnsi="Book Antiqua"/>
        </w:rPr>
      </w:pPr>
      <w:r w:rsidRPr="00DE745D">
        <w:rPr>
          <w:rFonts w:ascii="Book Antiqua" w:hAnsi="Book Antiqua"/>
        </w:rPr>
        <w:t xml:space="preserve">Appeals from a final order of the Children’s Court on a question of law pursuant to section 329 of the </w:t>
      </w:r>
      <w:r w:rsidRPr="00DE745D">
        <w:rPr>
          <w:rFonts w:ascii="Book Antiqua" w:hAnsi="Book Antiqua"/>
          <w:i/>
          <w:iCs/>
        </w:rPr>
        <w:t>Children, Youth and Families Act 2005</w:t>
      </w:r>
      <w:r w:rsidRPr="00DE745D">
        <w:rPr>
          <w:rFonts w:ascii="Book Antiqua" w:hAnsi="Book Antiqua"/>
        </w:rPr>
        <w:t>; and</w:t>
      </w:r>
    </w:p>
    <w:p w14:paraId="28587AA3" w14:textId="77777777" w:rsidR="005B7BEB" w:rsidRPr="00DE745D" w:rsidRDefault="005B7BEB" w:rsidP="00D16FC1">
      <w:pPr>
        <w:widowControl w:val="0"/>
        <w:numPr>
          <w:ilvl w:val="0"/>
          <w:numId w:val="14"/>
        </w:numPr>
        <w:suppressLineNumbers/>
        <w:suppressAutoHyphens/>
        <w:spacing w:before="120" w:after="120"/>
        <w:rPr>
          <w:rFonts w:ascii="Book Antiqua" w:hAnsi="Book Antiqua"/>
        </w:rPr>
      </w:pPr>
      <w:r w:rsidRPr="00DE745D">
        <w:rPr>
          <w:rFonts w:ascii="Book Antiqua" w:hAnsi="Book Antiqua"/>
        </w:rPr>
        <w:t xml:space="preserve">Referrals for the determination of a question of law under section 33 of the </w:t>
      </w:r>
      <w:r w:rsidRPr="00DE745D">
        <w:rPr>
          <w:rFonts w:ascii="Book Antiqua" w:hAnsi="Book Antiqua"/>
          <w:i/>
          <w:iCs/>
        </w:rPr>
        <w:t>Charter of Human Rights and</w:t>
      </w:r>
      <w:r w:rsidRPr="00DE745D">
        <w:rPr>
          <w:rFonts w:ascii="Book Antiqua" w:hAnsi="Book Antiqua"/>
        </w:rPr>
        <w:t xml:space="preserve"> </w:t>
      </w:r>
      <w:r w:rsidRPr="00DE745D">
        <w:rPr>
          <w:rFonts w:ascii="Book Antiqua" w:hAnsi="Book Antiqua"/>
          <w:i/>
          <w:iCs/>
        </w:rPr>
        <w:t>Responsibilities Act 2006</w:t>
      </w:r>
      <w:r w:rsidRPr="00DE745D">
        <w:rPr>
          <w:rFonts w:ascii="Book Antiqua" w:hAnsi="Book Antiqua"/>
        </w:rPr>
        <w:t>.</w:t>
      </w:r>
      <w:r w:rsidRPr="00DE745D">
        <w:rPr>
          <w:rStyle w:val="FootnoteReference"/>
          <w:rFonts w:ascii="Book Antiqua" w:hAnsi="Book Antiqua"/>
        </w:rPr>
        <w:footnoteReference w:id="3"/>
      </w:r>
    </w:p>
    <w:p w14:paraId="6565972E" w14:textId="77777777" w:rsidR="0051351F" w:rsidRDefault="005B7BEB"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 xml:space="preserve">Inclusion in the List is not appropriate for proceedings which fall </w:t>
      </w:r>
      <w:r w:rsidR="00EF2D12">
        <w:rPr>
          <w:rFonts w:ascii="Book Antiqua" w:hAnsi="Book Antiqua"/>
          <w:sz w:val="24"/>
          <w:szCs w:val="24"/>
        </w:rPr>
        <w:t>within another case management l</w:t>
      </w:r>
      <w:r w:rsidRPr="00DE745D">
        <w:rPr>
          <w:rFonts w:ascii="Book Antiqua" w:hAnsi="Book Antiqua"/>
          <w:sz w:val="24"/>
          <w:szCs w:val="24"/>
        </w:rPr>
        <w:t xml:space="preserve">ist of the Court.  For example, </w:t>
      </w:r>
      <w:r w:rsidR="0051351F">
        <w:rPr>
          <w:rFonts w:ascii="Book Antiqua" w:hAnsi="Book Antiqua"/>
          <w:sz w:val="24"/>
          <w:szCs w:val="24"/>
        </w:rPr>
        <w:t>and without limiting the foregoing:</w:t>
      </w:r>
    </w:p>
    <w:p w14:paraId="0565A2FF" w14:textId="77777777" w:rsidR="0051351F" w:rsidRPr="008F5D67" w:rsidRDefault="005B7BEB" w:rsidP="00D16FC1">
      <w:pPr>
        <w:pStyle w:val="ListParagraph"/>
        <w:numPr>
          <w:ilvl w:val="0"/>
          <w:numId w:val="26"/>
        </w:numPr>
        <w:autoSpaceDE w:val="0"/>
        <w:autoSpaceDN w:val="0"/>
        <w:adjustRightInd w:val="0"/>
        <w:spacing w:before="120" w:after="120"/>
        <w:contextualSpacing w:val="0"/>
        <w:jc w:val="both"/>
        <w:rPr>
          <w:rFonts w:ascii="Book Antiqua" w:hAnsi="Book Antiqua"/>
          <w:sz w:val="24"/>
          <w:szCs w:val="24"/>
        </w:rPr>
      </w:pPr>
      <w:r w:rsidRPr="008F5D67">
        <w:rPr>
          <w:rFonts w:ascii="Book Antiqua" w:hAnsi="Book Antiqua"/>
          <w:sz w:val="24"/>
          <w:szCs w:val="24"/>
        </w:rPr>
        <w:lastRenderedPageBreak/>
        <w:t>appeals from the Planning and Environment List of VCAT are managed in the Valuation, Compensation and Planning List</w:t>
      </w:r>
      <w:r w:rsidR="000442F3" w:rsidRPr="008F5D67">
        <w:rPr>
          <w:rFonts w:ascii="Book Antiqua" w:hAnsi="Book Antiqua"/>
          <w:sz w:val="24"/>
          <w:szCs w:val="24"/>
        </w:rPr>
        <w:t xml:space="preserve"> </w:t>
      </w:r>
      <w:r w:rsidR="0051351F" w:rsidRPr="008F5D67">
        <w:rPr>
          <w:rFonts w:ascii="Book Antiqua" w:hAnsi="Book Antiqua"/>
          <w:sz w:val="24"/>
          <w:szCs w:val="24"/>
        </w:rPr>
        <w:t>(</w:t>
      </w:r>
      <w:r w:rsidRPr="008F5D67">
        <w:rPr>
          <w:rFonts w:ascii="Book Antiqua" w:hAnsi="Book Antiqua"/>
          <w:sz w:val="24"/>
          <w:szCs w:val="24"/>
        </w:rPr>
        <w:t xml:space="preserve">see Practice Note </w:t>
      </w:r>
      <w:r w:rsidR="00FF10F3" w:rsidRPr="008F5D67">
        <w:rPr>
          <w:rFonts w:ascii="Book Antiqua" w:hAnsi="Book Antiqua"/>
          <w:sz w:val="24"/>
          <w:szCs w:val="24"/>
        </w:rPr>
        <w:t>SC CL 8</w:t>
      </w:r>
      <w:r w:rsidR="0051351F" w:rsidRPr="008F5D67">
        <w:rPr>
          <w:rFonts w:ascii="Book Antiqua" w:hAnsi="Book Antiqua"/>
          <w:sz w:val="24"/>
          <w:szCs w:val="24"/>
        </w:rPr>
        <w:t>)</w:t>
      </w:r>
      <w:r w:rsidR="005923D2" w:rsidRPr="008F5D67">
        <w:rPr>
          <w:rFonts w:ascii="Book Antiqua" w:hAnsi="Book Antiqua"/>
          <w:sz w:val="24"/>
          <w:szCs w:val="24"/>
        </w:rPr>
        <w:t>;</w:t>
      </w:r>
    </w:p>
    <w:p w14:paraId="272AB79A" w14:textId="77777777" w:rsidR="000442F3" w:rsidRDefault="005923D2" w:rsidP="00D16FC1">
      <w:pPr>
        <w:pStyle w:val="ListParagraph"/>
        <w:numPr>
          <w:ilvl w:val="0"/>
          <w:numId w:val="26"/>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certain appeals and applications in the nature of judicial review from the Magistrates’ Court, VCAT and other tribunals in relation to employment are managed in the Employment and Industrial List (see Practice Note SC CL 11);</w:t>
      </w:r>
    </w:p>
    <w:p w14:paraId="2CD253CE" w14:textId="77777777" w:rsidR="0051351F" w:rsidRDefault="005B7BEB" w:rsidP="00D16FC1">
      <w:pPr>
        <w:pStyle w:val="ListParagraph"/>
        <w:numPr>
          <w:ilvl w:val="0"/>
          <w:numId w:val="26"/>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appeals from VCAT in taxation matters are managed in the Taxation List</w:t>
      </w:r>
      <w:r w:rsidR="0051351F">
        <w:rPr>
          <w:rFonts w:ascii="Book Antiqua" w:hAnsi="Book Antiqua"/>
          <w:sz w:val="24"/>
          <w:szCs w:val="24"/>
        </w:rPr>
        <w:t xml:space="preserve"> of the Commercial Court (see Practice Note SC CC 1)</w:t>
      </w:r>
      <w:r w:rsidR="005923D2">
        <w:rPr>
          <w:rFonts w:ascii="Book Antiqua" w:hAnsi="Book Antiqua"/>
          <w:sz w:val="24"/>
          <w:szCs w:val="24"/>
        </w:rPr>
        <w:t>; and</w:t>
      </w:r>
    </w:p>
    <w:p w14:paraId="1BE5DCE8" w14:textId="77777777" w:rsidR="005B7BEB" w:rsidRPr="00DE745D" w:rsidRDefault="005B7BEB" w:rsidP="00D16FC1">
      <w:pPr>
        <w:pStyle w:val="ListParagraph"/>
        <w:numPr>
          <w:ilvl w:val="0"/>
          <w:numId w:val="26"/>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 xml:space="preserve">appeals from commercial arbitrators under the </w:t>
      </w:r>
      <w:r w:rsidRPr="00DE745D">
        <w:rPr>
          <w:rFonts w:ascii="Book Antiqua" w:hAnsi="Book Antiqua"/>
          <w:i/>
          <w:sz w:val="24"/>
          <w:szCs w:val="24"/>
        </w:rPr>
        <w:t>Commercial Arbitration Act 2011</w:t>
      </w:r>
      <w:r w:rsidRPr="00DE745D">
        <w:rPr>
          <w:rFonts w:ascii="Book Antiqua" w:hAnsi="Book Antiqua"/>
          <w:sz w:val="24"/>
          <w:szCs w:val="24"/>
        </w:rPr>
        <w:t xml:space="preserve"> or corresponding legislation are managed in the Arbitration List</w:t>
      </w:r>
      <w:r w:rsidR="0051351F">
        <w:rPr>
          <w:rFonts w:ascii="Book Antiqua" w:hAnsi="Book Antiqua"/>
          <w:sz w:val="24"/>
          <w:szCs w:val="24"/>
        </w:rPr>
        <w:t xml:space="preserve"> of the Commercial Court (see Practice Note SC CC 3)</w:t>
      </w:r>
      <w:r w:rsidRPr="00DE745D">
        <w:rPr>
          <w:rFonts w:ascii="Book Antiqua" w:hAnsi="Book Antiqua"/>
          <w:sz w:val="24"/>
          <w:szCs w:val="24"/>
        </w:rPr>
        <w:t>.</w:t>
      </w:r>
    </w:p>
    <w:p w14:paraId="5C58664E" w14:textId="77777777" w:rsidR="00344A8C" w:rsidRPr="00DE745D" w:rsidRDefault="00344A8C" w:rsidP="00D16FC1">
      <w:pPr>
        <w:spacing w:before="120" w:after="120"/>
        <w:jc w:val="both"/>
        <w:rPr>
          <w:rFonts w:ascii="Book Antiqua" w:hAnsi="Book Antiqua"/>
          <w:b/>
        </w:rPr>
      </w:pPr>
    </w:p>
    <w:p w14:paraId="465996C0" w14:textId="77777777" w:rsidR="00182C1F" w:rsidRPr="00DE745D" w:rsidRDefault="00182C1F" w:rsidP="00D16FC1">
      <w:pPr>
        <w:pStyle w:val="ListParagraph"/>
        <w:numPr>
          <w:ilvl w:val="0"/>
          <w:numId w:val="2"/>
        </w:numPr>
        <w:autoSpaceDE w:val="0"/>
        <w:autoSpaceDN w:val="0"/>
        <w:adjustRightInd w:val="0"/>
        <w:spacing w:before="120" w:after="120"/>
        <w:contextualSpacing w:val="0"/>
        <w:jc w:val="both"/>
        <w:rPr>
          <w:rFonts w:ascii="Book Antiqua" w:hAnsi="Book Antiqua"/>
          <w:b/>
          <w:sz w:val="24"/>
          <w:szCs w:val="24"/>
        </w:rPr>
      </w:pPr>
      <w:r w:rsidRPr="00DE745D">
        <w:rPr>
          <w:rFonts w:ascii="Book Antiqua" w:hAnsi="Book Antiqua"/>
          <w:b/>
          <w:sz w:val="24"/>
          <w:szCs w:val="24"/>
        </w:rPr>
        <w:t>PROCEDURE FOR ENTRY INTO THE LIST</w:t>
      </w:r>
    </w:p>
    <w:p w14:paraId="75F92A79" w14:textId="77777777" w:rsidR="00182C1F" w:rsidRPr="00DE745D" w:rsidRDefault="00F800D9" w:rsidP="00D16FC1">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DE745D">
        <w:rPr>
          <w:rFonts w:ascii="Book Antiqua" w:hAnsi="Book Antiqua"/>
          <w:sz w:val="24"/>
          <w:szCs w:val="24"/>
        </w:rPr>
        <w:t>Proceedings of the nature set out in paragraph 4.1 should be initiated in the List</w:t>
      </w:r>
      <w:r w:rsidR="00F454E6">
        <w:rPr>
          <w:rFonts w:ascii="Book Antiqua" w:hAnsi="Book Antiqua"/>
          <w:sz w:val="24"/>
          <w:szCs w:val="24"/>
        </w:rPr>
        <w:t>.</w:t>
      </w:r>
      <w:r w:rsidRPr="00DE745D">
        <w:rPr>
          <w:rFonts w:ascii="Book Antiqua" w:hAnsi="Book Antiqua"/>
          <w:sz w:val="24"/>
          <w:szCs w:val="24"/>
        </w:rPr>
        <w:t xml:space="preserve"> </w:t>
      </w:r>
      <w:r w:rsidR="00F454E6">
        <w:rPr>
          <w:rFonts w:ascii="Book Antiqua" w:hAnsi="Book Antiqua"/>
          <w:sz w:val="24"/>
          <w:szCs w:val="24"/>
        </w:rPr>
        <w:t xml:space="preserve"> With the exception of applications under the ALA,</w:t>
      </w:r>
      <w:r w:rsidR="00F454E6">
        <w:rPr>
          <w:rStyle w:val="FootnoteReference"/>
          <w:rFonts w:ascii="Book Antiqua" w:hAnsi="Book Antiqua"/>
          <w:sz w:val="24"/>
          <w:szCs w:val="24"/>
        </w:rPr>
        <w:footnoteReference w:id="4"/>
      </w:r>
      <w:r w:rsidR="00F454E6">
        <w:rPr>
          <w:rFonts w:ascii="Book Antiqua" w:hAnsi="Book Antiqua"/>
          <w:sz w:val="24"/>
          <w:szCs w:val="24"/>
        </w:rPr>
        <w:t xml:space="preserve"> this should be done </w:t>
      </w:r>
      <w:r w:rsidRPr="00DE745D">
        <w:rPr>
          <w:rFonts w:ascii="Book Antiqua" w:hAnsi="Book Antiqua"/>
          <w:sz w:val="24"/>
          <w:szCs w:val="24"/>
        </w:rPr>
        <w:t>by endorsing the heading of the originating process “</w:t>
      </w:r>
      <w:r w:rsidR="00F4523E" w:rsidRPr="00DE745D">
        <w:rPr>
          <w:rFonts w:ascii="Book Antiqua" w:hAnsi="Book Antiqua"/>
          <w:sz w:val="24"/>
          <w:szCs w:val="24"/>
        </w:rPr>
        <w:t>Judicial Review and Appeals List</w:t>
      </w:r>
      <w:r w:rsidRPr="00DE745D">
        <w:rPr>
          <w:rFonts w:ascii="Book Antiqua" w:hAnsi="Book Antiqua"/>
          <w:sz w:val="24"/>
          <w:szCs w:val="24"/>
        </w:rPr>
        <w:t xml:space="preserve">”. </w:t>
      </w:r>
      <w:r w:rsidR="00EF2D12">
        <w:rPr>
          <w:rFonts w:ascii="Book Antiqua" w:hAnsi="Book Antiqua"/>
          <w:sz w:val="24"/>
          <w:szCs w:val="24"/>
        </w:rPr>
        <w:t xml:space="preserve"> </w:t>
      </w:r>
      <w:r w:rsidRPr="00DE745D">
        <w:rPr>
          <w:rFonts w:ascii="Book Antiqua" w:hAnsi="Book Antiqua"/>
          <w:sz w:val="24"/>
          <w:szCs w:val="24"/>
        </w:rPr>
        <w:t>The heading of all subsequent documents filed in the proceeding should also be endorsed “</w:t>
      </w:r>
      <w:r w:rsidR="00F4523E" w:rsidRPr="00DE745D">
        <w:rPr>
          <w:rFonts w:ascii="Book Antiqua" w:hAnsi="Book Antiqua"/>
          <w:sz w:val="24"/>
          <w:szCs w:val="24"/>
        </w:rPr>
        <w:t>Judicial Review and Appeals</w:t>
      </w:r>
      <w:r w:rsidRPr="00DE745D">
        <w:rPr>
          <w:rFonts w:ascii="Book Antiqua" w:hAnsi="Book Antiqua"/>
          <w:sz w:val="24"/>
          <w:szCs w:val="24"/>
        </w:rPr>
        <w:t xml:space="preserve"> List”</w:t>
      </w:r>
      <w:r w:rsidR="00B86E13" w:rsidRPr="00DE745D">
        <w:rPr>
          <w:rFonts w:ascii="Book Antiqua" w:hAnsi="Book Antiqua"/>
          <w:sz w:val="24"/>
          <w:szCs w:val="24"/>
        </w:rPr>
        <w:t xml:space="preserve">. </w:t>
      </w:r>
    </w:p>
    <w:p w14:paraId="72DF6548" w14:textId="77777777" w:rsidR="00182C1F" w:rsidRPr="00DE745D" w:rsidRDefault="00182C1F" w:rsidP="00D16FC1">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DE745D">
        <w:rPr>
          <w:rFonts w:ascii="Book Antiqua" w:hAnsi="Book Antiqua"/>
          <w:sz w:val="24"/>
          <w:szCs w:val="24"/>
        </w:rPr>
        <w:t xml:space="preserve">If at any time after the initiation of a proceeding it appears to the Court that it is appropriate to have the </w:t>
      </w:r>
      <w:r w:rsidR="007C66C1" w:rsidRPr="00DE745D">
        <w:rPr>
          <w:rFonts w:ascii="Book Antiqua" w:hAnsi="Book Antiqua"/>
          <w:sz w:val="24"/>
          <w:szCs w:val="24"/>
        </w:rPr>
        <w:t>proceeding managed in the List</w:t>
      </w:r>
      <w:r w:rsidRPr="00DE745D">
        <w:rPr>
          <w:rFonts w:ascii="Book Antiqua" w:hAnsi="Book Antiqua"/>
          <w:sz w:val="24"/>
          <w:szCs w:val="24"/>
        </w:rPr>
        <w:t>, the proceeding may be transferred into the List on the Court’s own motion</w:t>
      </w:r>
      <w:r w:rsidR="00984EF6" w:rsidRPr="00DE745D">
        <w:rPr>
          <w:rFonts w:ascii="Book Antiqua" w:hAnsi="Book Antiqua"/>
          <w:sz w:val="24"/>
          <w:szCs w:val="24"/>
        </w:rPr>
        <w:t>.</w:t>
      </w:r>
      <w:r w:rsidR="00486328" w:rsidRPr="00DE745D">
        <w:rPr>
          <w:rStyle w:val="FootnoteReference"/>
          <w:rFonts w:ascii="Book Antiqua" w:hAnsi="Book Antiqua"/>
          <w:sz w:val="24"/>
          <w:szCs w:val="24"/>
        </w:rPr>
        <w:footnoteReference w:id="5"/>
      </w:r>
    </w:p>
    <w:p w14:paraId="7F3D68C6" w14:textId="77777777" w:rsidR="00182C1F" w:rsidRPr="00DE745D" w:rsidRDefault="00182C1F" w:rsidP="00D16FC1">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DE745D">
        <w:rPr>
          <w:rFonts w:ascii="Book Antiqua" w:hAnsi="Book Antiqua"/>
          <w:sz w:val="24"/>
          <w:szCs w:val="24"/>
        </w:rPr>
        <w:t xml:space="preserve">Conversely, a proceeding initiated in the List may be transferred out of the List on </w:t>
      </w:r>
      <w:r w:rsidR="00842691" w:rsidRPr="00DE745D">
        <w:rPr>
          <w:rFonts w:ascii="Book Antiqua" w:hAnsi="Book Antiqua"/>
          <w:sz w:val="24"/>
          <w:szCs w:val="24"/>
        </w:rPr>
        <w:t xml:space="preserve">application or on </w:t>
      </w:r>
      <w:r w:rsidRPr="00DE745D">
        <w:rPr>
          <w:rFonts w:ascii="Book Antiqua" w:hAnsi="Book Antiqua"/>
          <w:sz w:val="24"/>
          <w:szCs w:val="24"/>
        </w:rPr>
        <w:t xml:space="preserve">the Court’s own motion if it appears to the Court that it is appropriate to have the </w:t>
      </w:r>
      <w:r w:rsidR="007C66C1" w:rsidRPr="00DE745D">
        <w:rPr>
          <w:rFonts w:ascii="Book Antiqua" w:hAnsi="Book Antiqua"/>
          <w:sz w:val="24"/>
          <w:szCs w:val="24"/>
        </w:rPr>
        <w:t>pro</w:t>
      </w:r>
      <w:r w:rsidR="00EF2D12">
        <w:rPr>
          <w:rFonts w:ascii="Book Antiqua" w:hAnsi="Book Antiqua"/>
          <w:sz w:val="24"/>
          <w:szCs w:val="24"/>
        </w:rPr>
        <w:t>ceeding managed in a different l</w:t>
      </w:r>
      <w:r w:rsidR="007C66C1" w:rsidRPr="00DE745D">
        <w:rPr>
          <w:rFonts w:ascii="Book Antiqua" w:hAnsi="Book Antiqua"/>
          <w:sz w:val="24"/>
          <w:szCs w:val="24"/>
        </w:rPr>
        <w:t>ist</w:t>
      </w:r>
      <w:r w:rsidR="00984EF6" w:rsidRPr="00DE745D">
        <w:rPr>
          <w:rFonts w:ascii="Book Antiqua" w:hAnsi="Book Antiqua"/>
          <w:sz w:val="24"/>
          <w:szCs w:val="24"/>
        </w:rPr>
        <w:t>.</w:t>
      </w:r>
    </w:p>
    <w:p w14:paraId="71E96A3D" w14:textId="77777777" w:rsidR="00182C1F" w:rsidRPr="00DE745D" w:rsidRDefault="00842691" w:rsidP="00D16FC1">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DE745D">
        <w:rPr>
          <w:rFonts w:ascii="Book Antiqua" w:hAnsi="Book Antiqua"/>
          <w:sz w:val="24"/>
          <w:szCs w:val="24"/>
        </w:rPr>
        <w:t>No additional fees will be payable for the initiation of a proceeding in the List or for a transfer into the List</w:t>
      </w:r>
      <w:r w:rsidR="00984EF6" w:rsidRPr="00DE745D">
        <w:rPr>
          <w:rFonts w:ascii="Book Antiqua" w:hAnsi="Book Antiqua"/>
          <w:sz w:val="24"/>
          <w:szCs w:val="24"/>
        </w:rPr>
        <w:t>.</w:t>
      </w:r>
    </w:p>
    <w:p w14:paraId="229D9F2C" w14:textId="77777777" w:rsidR="0011421F" w:rsidRPr="00DE745D" w:rsidRDefault="0011421F" w:rsidP="00D16FC1">
      <w:pPr>
        <w:spacing w:before="120" w:after="120"/>
        <w:jc w:val="both"/>
        <w:rPr>
          <w:rFonts w:ascii="Book Antiqua" w:hAnsi="Book Antiqua"/>
        </w:rPr>
      </w:pPr>
    </w:p>
    <w:p w14:paraId="13F01BF3" w14:textId="77777777" w:rsidR="00182C1F" w:rsidRPr="00DE745D" w:rsidRDefault="002A252A" w:rsidP="00D16FC1">
      <w:pPr>
        <w:pStyle w:val="ListParagraph"/>
        <w:numPr>
          <w:ilvl w:val="0"/>
          <w:numId w:val="2"/>
        </w:numPr>
        <w:autoSpaceDE w:val="0"/>
        <w:autoSpaceDN w:val="0"/>
        <w:adjustRightInd w:val="0"/>
        <w:spacing w:before="120" w:after="120"/>
        <w:contextualSpacing w:val="0"/>
        <w:jc w:val="both"/>
        <w:rPr>
          <w:rFonts w:ascii="Book Antiqua" w:hAnsi="Book Antiqua"/>
          <w:b/>
          <w:sz w:val="24"/>
          <w:szCs w:val="24"/>
        </w:rPr>
      </w:pPr>
      <w:r w:rsidRPr="00DE745D">
        <w:rPr>
          <w:rFonts w:ascii="Book Antiqua" w:hAnsi="Book Antiqua"/>
          <w:b/>
          <w:sz w:val="24"/>
          <w:szCs w:val="24"/>
        </w:rPr>
        <w:t>PRE-TRIAL MANAGEMENT</w:t>
      </w:r>
    </w:p>
    <w:p w14:paraId="7D6CFF42" w14:textId="77777777" w:rsidR="005F7DC1" w:rsidRPr="00DE745D" w:rsidRDefault="000B3BF3" w:rsidP="00D16FC1">
      <w:pPr>
        <w:widowControl w:val="0"/>
        <w:suppressLineNumbers/>
        <w:suppressAutoHyphens/>
        <w:autoSpaceDE w:val="0"/>
        <w:autoSpaceDN w:val="0"/>
        <w:adjustRightInd w:val="0"/>
        <w:spacing w:before="120" w:after="120"/>
        <w:ind w:firstLine="720"/>
        <w:rPr>
          <w:rFonts w:ascii="Book Antiqua" w:hAnsi="Book Antiqua"/>
          <w:i/>
        </w:rPr>
      </w:pPr>
      <w:r>
        <w:rPr>
          <w:rFonts w:ascii="Book Antiqua" w:hAnsi="Book Antiqua"/>
          <w:i/>
        </w:rPr>
        <w:t xml:space="preserve">Obtaining a return date for first hearing </w:t>
      </w:r>
    </w:p>
    <w:p w14:paraId="598979D7" w14:textId="77777777" w:rsidR="00F454E6" w:rsidRPr="009006B7" w:rsidRDefault="00F454E6" w:rsidP="00D16FC1">
      <w:pPr>
        <w:pStyle w:val="ListParagraph"/>
        <w:numPr>
          <w:ilvl w:val="1"/>
          <w:numId w:val="2"/>
        </w:numPr>
        <w:autoSpaceDE w:val="0"/>
        <w:autoSpaceDN w:val="0"/>
        <w:adjustRightInd w:val="0"/>
        <w:spacing w:before="120" w:after="120"/>
        <w:contextualSpacing w:val="0"/>
        <w:jc w:val="both"/>
        <w:rPr>
          <w:rFonts w:ascii="Book Antiqua" w:hAnsi="Book Antiqua"/>
        </w:rPr>
      </w:pPr>
      <w:r>
        <w:rPr>
          <w:rFonts w:ascii="Book Antiqua" w:hAnsi="Book Antiqua"/>
          <w:sz w:val="24"/>
          <w:szCs w:val="24"/>
        </w:rPr>
        <w:t>Except in relation to applications for review under the ALA,</w:t>
      </w:r>
      <w:r>
        <w:rPr>
          <w:rStyle w:val="FootnoteReference"/>
          <w:rFonts w:ascii="Book Antiqua" w:hAnsi="Book Antiqua"/>
          <w:sz w:val="24"/>
          <w:szCs w:val="24"/>
        </w:rPr>
        <w:footnoteReference w:id="6"/>
      </w:r>
      <w:r>
        <w:rPr>
          <w:rFonts w:ascii="Book Antiqua" w:hAnsi="Book Antiqua"/>
          <w:sz w:val="24"/>
          <w:szCs w:val="24"/>
        </w:rPr>
        <w:t xml:space="preserve"> the first Court hearing in a proceeding in the List will usually be a directions hearing.  In some circumstances the Court will fix a first (or subsequent) directions hearing of its own motion</w:t>
      </w:r>
      <w:r w:rsidR="002A7605">
        <w:rPr>
          <w:rFonts w:ascii="Book Antiqua" w:hAnsi="Book Antiqua"/>
          <w:sz w:val="24"/>
          <w:szCs w:val="24"/>
        </w:rPr>
        <w:t xml:space="preserve">, but, under the relevant Rules of the Court, it is usually the responsibility of the moving party (plaintiff, appellant or applicant) to obtain a </w:t>
      </w:r>
      <w:r w:rsidR="002A7605">
        <w:rPr>
          <w:rFonts w:ascii="Book Antiqua" w:hAnsi="Book Antiqua"/>
          <w:sz w:val="24"/>
          <w:szCs w:val="24"/>
        </w:rPr>
        <w:lastRenderedPageBreak/>
        <w:t>date for the first directions hearing.  This will usually need to be done by filing and serving a summons for direction</w:t>
      </w:r>
      <w:r w:rsidR="003E000D">
        <w:rPr>
          <w:rFonts w:ascii="Book Antiqua" w:hAnsi="Book Antiqua"/>
          <w:sz w:val="24"/>
          <w:szCs w:val="24"/>
        </w:rPr>
        <w:t>s</w:t>
      </w:r>
      <w:r w:rsidR="002A7605">
        <w:rPr>
          <w:rFonts w:ascii="Book Antiqua" w:hAnsi="Book Antiqua"/>
          <w:sz w:val="24"/>
          <w:szCs w:val="24"/>
        </w:rPr>
        <w:t>.</w:t>
      </w:r>
    </w:p>
    <w:p w14:paraId="4335BDC6" w14:textId="74588F2D" w:rsidR="00D01E58" w:rsidRPr="00D16FC1" w:rsidRDefault="00EF2D12"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5A7B81">
        <w:rPr>
          <w:rFonts w:ascii="Book Antiqua" w:hAnsi="Book Antiqua"/>
          <w:sz w:val="24"/>
          <w:szCs w:val="24"/>
        </w:rPr>
        <w:t xml:space="preserve"> </w:t>
      </w:r>
      <w:r w:rsidR="005A7B81">
        <w:rPr>
          <w:rFonts w:ascii="Book Antiqua" w:hAnsi="Book Antiqua"/>
          <w:sz w:val="24"/>
          <w:szCs w:val="24"/>
        </w:rPr>
        <w:t>In order to be accepted for filing, a</w:t>
      </w:r>
      <w:r w:rsidR="005A7B81" w:rsidRPr="005A7B81">
        <w:rPr>
          <w:rFonts w:ascii="Book Antiqua" w:hAnsi="Book Antiqua"/>
          <w:sz w:val="24"/>
          <w:szCs w:val="24"/>
        </w:rPr>
        <w:t xml:space="preserve">ny summons for directions or other summons </w:t>
      </w:r>
      <w:r w:rsidR="005A7B81">
        <w:rPr>
          <w:rFonts w:ascii="Book Antiqua" w:hAnsi="Book Antiqua"/>
          <w:sz w:val="24"/>
          <w:szCs w:val="24"/>
        </w:rPr>
        <w:t>must be endorsed with a hearing date</w:t>
      </w:r>
      <w:r w:rsidR="005A7B81" w:rsidRPr="000B3D18">
        <w:rPr>
          <w:rFonts w:ascii="Book Antiqua" w:hAnsi="Book Antiqua"/>
          <w:sz w:val="24"/>
          <w:szCs w:val="24"/>
        </w:rPr>
        <w:t xml:space="preserve">. </w:t>
      </w:r>
      <w:r w:rsidR="000B3BF3" w:rsidRPr="005A7B81">
        <w:rPr>
          <w:rFonts w:ascii="Book Antiqua" w:hAnsi="Book Antiqua"/>
          <w:sz w:val="24"/>
          <w:szCs w:val="24"/>
        </w:rPr>
        <w:t>In order to obtain a hearing date, the applicant should forward a completed “Judicial Review and Appeals List Hearing Date Information Form” (</w:t>
      </w:r>
      <w:r w:rsidR="00B21DCB" w:rsidRPr="005A7B81">
        <w:rPr>
          <w:rFonts w:ascii="Book Antiqua" w:hAnsi="Book Antiqua"/>
          <w:sz w:val="24"/>
          <w:szCs w:val="24"/>
        </w:rPr>
        <w:t>available on the List page on the Court’s website</w:t>
      </w:r>
      <w:r w:rsidR="000B3BF3" w:rsidRPr="005A7B81">
        <w:rPr>
          <w:rFonts w:ascii="Book Antiqua" w:hAnsi="Book Antiqua"/>
          <w:sz w:val="24"/>
          <w:szCs w:val="24"/>
        </w:rPr>
        <w:t xml:space="preserve">) together with a draft of the proposed </w:t>
      </w:r>
      <w:r w:rsidR="0086468D">
        <w:rPr>
          <w:rFonts w:ascii="Book Antiqua" w:hAnsi="Book Antiqua"/>
          <w:sz w:val="24"/>
          <w:szCs w:val="24"/>
        </w:rPr>
        <w:t xml:space="preserve">summons </w:t>
      </w:r>
      <w:r w:rsidR="000B3BF3" w:rsidRPr="005A7B81">
        <w:rPr>
          <w:rFonts w:ascii="Book Antiqua" w:hAnsi="Book Antiqua"/>
          <w:sz w:val="24"/>
          <w:szCs w:val="24"/>
        </w:rPr>
        <w:t xml:space="preserve">via email to </w:t>
      </w:r>
      <w:hyperlink r:id="rId14" w:history="1">
        <w:r w:rsidR="000B3BF3" w:rsidRPr="005A7B81">
          <w:rPr>
            <w:rStyle w:val="Hyperlink"/>
            <w:rFonts w:ascii="Book Antiqua" w:hAnsi="Book Antiqua"/>
            <w:sz w:val="24"/>
            <w:szCs w:val="24"/>
          </w:rPr>
          <w:t>judicialreview@supcourt.vic.gov.au</w:t>
        </w:r>
      </w:hyperlink>
      <w:r w:rsidR="000B3BF3" w:rsidRPr="005A7B81">
        <w:rPr>
          <w:rFonts w:ascii="Book Antiqua" w:hAnsi="Book Antiqua"/>
          <w:sz w:val="24"/>
          <w:szCs w:val="24"/>
        </w:rPr>
        <w:t xml:space="preserve">. </w:t>
      </w:r>
      <w:r w:rsidRPr="005A7B81">
        <w:rPr>
          <w:rFonts w:ascii="Book Antiqua" w:hAnsi="Book Antiqua"/>
          <w:sz w:val="24"/>
          <w:szCs w:val="24"/>
        </w:rPr>
        <w:t xml:space="preserve"> </w:t>
      </w:r>
      <w:r w:rsidR="000B3BF3" w:rsidRPr="005A7B81">
        <w:rPr>
          <w:rFonts w:ascii="Book Antiqua" w:hAnsi="Book Antiqua"/>
          <w:sz w:val="24"/>
          <w:szCs w:val="24"/>
        </w:rPr>
        <w:t xml:space="preserve">The applicant will be advised by email of the </w:t>
      </w:r>
      <w:r w:rsidR="0086468D">
        <w:rPr>
          <w:rFonts w:ascii="Book Antiqua" w:hAnsi="Book Antiqua"/>
          <w:sz w:val="24"/>
          <w:szCs w:val="24"/>
        </w:rPr>
        <w:t>hearing date to be endorsed on the summons</w:t>
      </w:r>
      <w:r w:rsidR="000B3BF3" w:rsidRPr="005A7B81">
        <w:rPr>
          <w:rFonts w:ascii="Book Antiqua" w:hAnsi="Book Antiqua"/>
          <w:sz w:val="24"/>
          <w:szCs w:val="24"/>
        </w:rPr>
        <w:t xml:space="preserve">. </w:t>
      </w:r>
      <w:r w:rsidRPr="005A7B81">
        <w:rPr>
          <w:rFonts w:ascii="Book Antiqua" w:hAnsi="Book Antiqua"/>
          <w:sz w:val="24"/>
          <w:szCs w:val="24"/>
        </w:rPr>
        <w:t xml:space="preserve"> </w:t>
      </w:r>
      <w:r w:rsidR="000B3BF3" w:rsidRPr="005A7B81">
        <w:rPr>
          <w:rFonts w:ascii="Book Antiqua" w:hAnsi="Book Antiqua"/>
          <w:sz w:val="24"/>
          <w:szCs w:val="24"/>
        </w:rPr>
        <w:t xml:space="preserve">The </w:t>
      </w:r>
      <w:r w:rsidR="0086468D">
        <w:rPr>
          <w:rFonts w:ascii="Book Antiqua" w:hAnsi="Book Antiqua"/>
          <w:sz w:val="24"/>
          <w:szCs w:val="24"/>
        </w:rPr>
        <w:t xml:space="preserve">summons </w:t>
      </w:r>
      <w:r w:rsidR="000B3BF3" w:rsidRPr="005A7B81">
        <w:rPr>
          <w:rFonts w:ascii="Book Antiqua" w:hAnsi="Book Antiqua"/>
          <w:sz w:val="24"/>
          <w:szCs w:val="24"/>
        </w:rPr>
        <w:t xml:space="preserve">should be filed within 48 hours of this advice or the </w:t>
      </w:r>
      <w:r w:rsidR="0086468D">
        <w:rPr>
          <w:rFonts w:ascii="Book Antiqua" w:hAnsi="Book Antiqua"/>
          <w:sz w:val="24"/>
          <w:szCs w:val="24"/>
        </w:rPr>
        <w:t xml:space="preserve">hearing </w:t>
      </w:r>
      <w:r w:rsidR="000B3BF3" w:rsidRPr="005A7B81">
        <w:rPr>
          <w:rFonts w:ascii="Book Antiqua" w:hAnsi="Book Antiqua"/>
          <w:sz w:val="24"/>
          <w:szCs w:val="24"/>
        </w:rPr>
        <w:t xml:space="preserve">date may not be guaranteed. </w:t>
      </w:r>
      <w:r w:rsidRPr="005A7B81">
        <w:rPr>
          <w:rFonts w:ascii="Book Antiqua" w:hAnsi="Book Antiqua"/>
          <w:sz w:val="24"/>
          <w:szCs w:val="24"/>
        </w:rPr>
        <w:t xml:space="preserve"> </w:t>
      </w:r>
      <w:r w:rsidR="000B3BF3" w:rsidRPr="005A7B81">
        <w:rPr>
          <w:rFonts w:ascii="Book Antiqua" w:hAnsi="Book Antiqua"/>
          <w:sz w:val="24"/>
          <w:szCs w:val="24"/>
        </w:rPr>
        <w:t xml:space="preserve">A copy of the advice </w:t>
      </w:r>
      <w:r w:rsidR="00D01E58" w:rsidRPr="005A7B81">
        <w:rPr>
          <w:rFonts w:ascii="Book Antiqua" w:hAnsi="Book Antiqua"/>
          <w:sz w:val="24"/>
          <w:szCs w:val="24"/>
        </w:rPr>
        <w:t xml:space="preserve">must </w:t>
      </w:r>
      <w:r w:rsidR="000B3BF3" w:rsidRPr="005A7B81">
        <w:rPr>
          <w:rFonts w:ascii="Book Antiqua" w:hAnsi="Book Antiqua"/>
          <w:sz w:val="24"/>
          <w:szCs w:val="24"/>
        </w:rPr>
        <w:t xml:space="preserve">be </w:t>
      </w:r>
      <w:r w:rsidR="0086468D">
        <w:rPr>
          <w:rFonts w:ascii="Book Antiqua" w:hAnsi="Book Antiqua"/>
          <w:sz w:val="24"/>
          <w:szCs w:val="24"/>
        </w:rPr>
        <w:t>filed together with the summons</w:t>
      </w:r>
      <w:r w:rsidR="000B3BF3" w:rsidRPr="005A7B81">
        <w:rPr>
          <w:rFonts w:ascii="Book Antiqua" w:hAnsi="Book Antiqua"/>
          <w:sz w:val="24"/>
          <w:szCs w:val="24"/>
        </w:rPr>
        <w:t xml:space="preserve">. </w:t>
      </w:r>
      <w:r w:rsidR="000B3BF3" w:rsidRPr="00D16FC1">
        <w:rPr>
          <w:rFonts w:ascii="Book Antiqua" w:hAnsi="Book Antiqua"/>
        </w:rPr>
        <w:t xml:space="preserve"> </w:t>
      </w:r>
    </w:p>
    <w:p w14:paraId="7FBE349C" w14:textId="77777777" w:rsidR="000B3BF3" w:rsidRPr="00432D95" w:rsidRDefault="00D01E58" w:rsidP="00D16FC1">
      <w:pPr>
        <w:keepNext/>
        <w:widowControl w:val="0"/>
        <w:suppressLineNumbers/>
        <w:suppressAutoHyphens/>
        <w:spacing w:before="120" w:after="120"/>
        <w:ind w:firstLine="720"/>
        <w:rPr>
          <w:rFonts w:ascii="Book Antiqua" w:hAnsi="Book Antiqua"/>
          <w:i/>
        </w:rPr>
      </w:pPr>
      <w:r>
        <w:rPr>
          <w:rFonts w:ascii="Book Antiqua" w:hAnsi="Book Antiqua"/>
          <w:i/>
        </w:rPr>
        <w:t>Procedure on first hearing</w:t>
      </w:r>
    </w:p>
    <w:p w14:paraId="3EF54327" w14:textId="77777777" w:rsidR="00D01E58" w:rsidRDefault="00D01E58"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With the exception of urgent applications (e</w:t>
      </w:r>
      <w:r w:rsidR="00EF2D12">
        <w:rPr>
          <w:rFonts w:ascii="Book Antiqua" w:hAnsi="Book Antiqua"/>
          <w:sz w:val="24"/>
          <w:szCs w:val="24"/>
        </w:rPr>
        <w:t>.</w:t>
      </w:r>
      <w:r>
        <w:rPr>
          <w:rFonts w:ascii="Book Antiqua" w:hAnsi="Book Antiqua"/>
          <w:sz w:val="24"/>
          <w:szCs w:val="24"/>
        </w:rPr>
        <w:t>g</w:t>
      </w:r>
      <w:r w:rsidR="00EF2D12">
        <w:rPr>
          <w:rFonts w:ascii="Book Antiqua" w:hAnsi="Book Antiqua"/>
          <w:sz w:val="24"/>
          <w:szCs w:val="24"/>
        </w:rPr>
        <w:t>.</w:t>
      </w:r>
      <w:r>
        <w:rPr>
          <w:rFonts w:ascii="Book Antiqua" w:hAnsi="Book Antiqua"/>
          <w:sz w:val="24"/>
          <w:szCs w:val="24"/>
        </w:rPr>
        <w:t xml:space="preserve"> for a stay), the </w:t>
      </w:r>
      <w:r w:rsidRPr="004F75DC">
        <w:rPr>
          <w:rFonts w:ascii="Book Antiqua" w:hAnsi="Book Antiqua"/>
          <w:sz w:val="24"/>
          <w:szCs w:val="24"/>
        </w:rPr>
        <w:t>first hearing in a proceeding in the List will generally be for directions only and no substantive applications will be entertained.</w:t>
      </w:r>
    </w:p>
    <w:p w14:paraId="621DFA05" w14:textId="6DF074D3" w:rsidR="00D026F8" w:rsidRDefault="002A7605"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Generally speaking, </w:t>
      </w:r>
      <w:r w:rsidR="00D55A3A">
        <w:rPr>
          <w:rFonts w:ascii="Book Antiqua" w:hAnsi="Book Antiqua"/>
          <w:sz w:val="24"/>
          <w:szCs w:val="24"/>
        </w:rPr>
        <w:t xml:space="preserve">new </w:t>
      </w:r>
      <w:r w:rsidR="001F3CE8" w:rsidRPr="00AD23F9">
        <w:rPr>
          <w:rFonts w:ascii="Book Antiqua" w:hAnsi="Book Antiqua"/>
          <w:sz w:val="24"/>
          <w:szCs w:val="24"/>
        </w:rPr>
        <w:t xml:space="preserve">proceedings will be listed for </w:t>
      </w:r>
      <w:r w:rsidR="009B065D">
        <w:rPr>
          <w:rFonts w:ascii="Book Antiqua" w:hAnsi="Book Antiqua"/>
          <w:sz w:val="24"/>
          <w:szCs w:val="24"/>
        </w:rPr>
        <w:t xml:space="preserve">first </w:t>
      </w:r>
      <w:r w:rsidR="001F3CE8" w:rsidRPr="00AD23F9">
        <w:rPr>
          <w:rFonts w:ascii="Book Antiqua" w:hAnsi="Book Antiqua"/>
          <w:sz w:val="24"/>
          <w:szCs w:val="24"/>
        </w:rPr>
        <w:t xml:space="preserve">directions </w:t>
      </w:r>
      <w:r w:rsidR="00D55A3A">
        <w:rPr>
          <w:rFonts w:ascii="Book Antiqua" w:hAnsi="Book Antiqua"/>
          <w:sz w:val="24"/>
          <w:szCs w:val="24"/>
        </w:rPr>
        <w:t xml:space="preserve">on a </w:t>
      </w:r>
      <w:r w:rsidR="001F3CE8">
        <w:rPr>
          <w:rFonts w:ascii="Book Antiqua" w:hAnsi="Book Antiqua"/>
          <w:sz w:val="24"/>
          <w:szCs w:val="24"/>
        </w:rPr>
        <w:t xml:space="preserve">List </w:t>
      </w:r>
      <w:r w:rsidR="001F3CE8" w:rsidRPr="00AD23F9">
        <w:rPr>
          <w:rFonts w:ascii="Book Antiqua" w:hAnsi="Book Antiqua"/>
          <w:sz w:val="24"/>
          <w:szCs w:val="24"/>
        </w:rPr>
        <w:t>directions day</w:t>
      </w:r>
      <w:r w:rsidR="001F3CE8" w:rsidRPr="009006B7">
        <w:rPr>
          <w:rFonts w:ascii="Book Antiqua" w:hAnsi="Book Antiqua"/>
          <w:sz w:val="24"/>
          <w:szCs w:val="24"/>
        </w:rPr>
        <w:t>.</w:t>
      </w:r>
      <w:r>
        <w:rPr>
          <w:rStyle w:val="FootnoteReference"/>
          <w:rFonts w:ascii="Book Antiqua" w:hAnsi="Book Antiqua"/>
          <w:sz w:val="24"/>
          <w:szCs w:val="24"/>
        </w:rPr>
        <w:footnoteReference w:id="7"/>
      </w:r>
      <w:r w:rsidR="00D026F8" w:rsidRPr="001C6B54">
        <w:rPr>
          <w:rFonts w:ascii="Book Antiqua" w:hAnsi="Book Antiqua"/>
          <w:color w:val="FF0000"/>
          <w:sz w:val="24"/>
          <w:szCs w:val="24"/>
        </w:rPr>
        <w:t xml:space="preserve"> </w:t>
      </w:r>
      <w:r w:rsidR="00EF2D12" w:rsidRPr="001C6B54">
        <w:rPr>
          <w:rFonts w:ascii="Book Antiqua" w:hAnsi="Book Antiqua"/>
          <w:color w:val="FF0000"/>
          <w:sz w:val="24"/>
          <w:szCs w:val="24"/>
        </w:rPr>
        <w:t xml:space="preserve"> </w:t>
      </w:r>
      <w:r w:rsidR="00D026F8">
        <w:rPr>
          <w:rFonts w:ascii="Book Antiqua" w:hAnsi="Book Antiqua"/>
          <w:sz w:val="24"/>
          <w:szCs w:val="24"/>
        </w:rPr>
        <w:t xml:space="preserve">At the directions hearing, the </w:t>
      </w:r>
      <w:r w:rsidR="00C74217">
        <w:rPr>
          <w:rFonts w:ascii="Book Antiqua" w:hAnsi="Book Antiqua"/>
          <w:sz w:val="24"/>
          <w:szCs w:val="24"/>
        </w:rPr>
        <w:t>Court</w:t>
      </w:r>
      <w:r w:rsidR="00D026F8">
        <w:rPr>
          <w:rFonts w:ascii="Book Antiqua" w:hAnsi="Book Antiqua"/>
          <w:sz w:val="24"/>
          <w:szCs w:val="24"/>
        </w:rPr>
        <w:t>:</w:t>
      </w:r>
    </w:p>
    <w:p w14:paraId="330D7D44" w14:textId="77777777" w:rsidR="001F3CE8" w:rsidRPr="00AD23F9" w:rsidRDefault="00D026F8" w:rsidP="00D16FC1">
      <w:pPr>
        <w:pStyle w:val="ListParagraph"/>
        <w:autoSpaceDE w:val="0"/>
        <w:autoSpaceDN w:val="0"/>
        <w:adjustRightInd w:val="0"/>
        <w:spacing w:before="120" w:after="120"/>
        <w:ind w:left="1440" w:hanging="720"/>
        <w:contextualSpacing w:val="0"/>
        <w:jc w:val="both"/>
        <w:rPr>
          <w:rFonts w:ascii="Book Antiqua" w:hAnsi="Book Antiqua"/>
          <w:sz w:val="24"/>
          <w:szCs w:val="24"/>
        </w:rPr>
      </w:pPr>
      <w:r>
        <w:rPr>
          <w:rFonts w:ascii="Book Antiqua" w:hAnsi="Book Antiqua"/>
          <w:sz w:val="24"/>
          <w:szCs w:val="24"/>
        </w:rPr>
        <w:t xml:space="preserve">(i) </w:t>
      </w:r>
      <w:r w:rsidRPr="00AD23F9">
        <w:rPr>
          <w:rFonts w:ascii="Book Antiqua" w:hAnsi="Book Antiqua"/>
          <w:sz w:val="24"/>
          <w:szCs w:val="24"/>
        </w:rPr>
        <w:t xml:space="preserve">will fix a timetable for interlocutory steps and </w:t>
      </w:r>
      <w:r w:rsidR="00AC24D8">
        <w:rPr>
          <w:rFonts w:ascii="Book Antiqua" w:hAnsi="Book Antiqua"/>
          <w:sz w:val="24"/>
          <w:szCs w:val="24"/>
        </w:rPr>
        <w:t>final hearing</w:t>
      </w:r>
      <w:r w:rsidR="00AC24D8" w:rsidRPr="00AD23F9">
        <w:rPr>
          <w:rFonts w:ascii="Book Antiqua" w:hAnsi="Book Antiqua"/>
          <w:sz w:val="24"/>
          <w:szCs w:val="24"/>
        </w:rPr>
        <w:t xml:space="preserve"> </w:t>
      </w:r>
      <w:r w:rsidRPr="00AD23F9">
        <w:rPr>
          <w:rFonts w:ascii="Book Antiqua" w:hAnsi="Book Antiqua"/>
          <w:sz w:val="24"/>
          <w:szCs w:val="24"/>
        </w:rPr>
        <w:t xml:space="preserve">date in most matters and make orders in relation to the hearing of any application for </w:t>
      </w:r>
      <w:r w:rsidR="002A7605">
        <w:rPr>
          <w:rFonts w:ascii="Book Antiqua" w:hAnsi="Book Antiqua"/>
          <w:sz w:val="24"/>
          <w:szCs w:val="24"/>
        </w:rPr>
        <w:t xml:space="preserve">an extension of time or for </w:t>
      </w:r>
      <w:r w:rsidRPr="00AD23F9">
        <w:rPr>
          <w:rFonts w:ascii="Book Antiqua" w:hAnsi="Book Antiqua"/>
          <w:sz w:val="24"/>
          <w:szCs w:val="24"/>
        </w:rPr>
        <w:t xml:space="preserve">leave </w:t>
      </w:r>
      <w:r w:rsidR="002A7605">
        <w:rPr>
          <w:rFonts w:ascii="Book Antiqua" w:hAnsi="Book Antiqua"/>
          <w:sz w:val="24"/>
          <w:szCs w:val="24"/>
        </w:rPr>
        <w:t xml:space="preserve">to appeal </w:t>
      </w:r>
      <w:r w:rsidRPr="00AD23F9">
        <w:rPr>
          <w:rFonts w:ascii="Book Antiqua" w:hAnsi="Book Antiqua"/>
          <w:sz w:val="24"/>
          <w:szCs w:val="24"/>
        </w:rPr>
        <w:t>or of any other foreshadowed interlocutory applications;</w:t>
      </w:r>
    </w:p>
    <w:p w14:paraId="278B5F50" w14:textId="77777777" w:rsidR="00D026F8" w:rsidRDefault="00D026F8" w:rsidP="00D16FC1">
      <w:pPr>
        <w:pStyle w:val="ListParagraph"/>
        <w:autoSpaceDE w:val="0"/>
        <w:autoSpaceDN w:val="0"/>
        <w:adjustRightInd w:val="0"/>
        <w:spacing w:before="120" w:after="120"/>
        <w:ind w:left="1440" w:hanging="720"/>
        <w:contextualSpacing w:val="0"/>
        <w:jc w:val="both"/>
        <w:rPr>
          <w:sz w:val="24"/>
          <w:szCs w:val="24"/>
        </w:rPr>
      </w:pPr>
      <w:r w:rsidRPr="00AD23F9">
        <w:rPr>
          <w:rFonts w:ascii="Book Antiqua" w:hAnsi="Book Antiqua"/>
          <w:sz w:val="24"/>
          <w:szCs w:val="24"/>
        </w:rPr>
        <w:t>(ii) may order</w:t>
      </w:r>
      <w:r w:rsidR="002A7605">
        <w:rPr>
          <w:rFonts w:ascii="Book Antiqua" w:hAnsi="Book Antiqua"/>
          <w:sz w:val="24"/>
          <w:szCs w:val="24"/>
        </w:rPr>
        <w:t xml:space="preserve">, pursuant to the relevant Rules, </w:t>
      </w:r>
      <w:r w:rsidRPr="00AD23F9">
        <w:rPr>
          <w:rFonts w:ascii="Book Antiqua" w:hAnsi="Book Antiqua"/>
          <w:sz w:val="24"/>
          <w:szCs w:val="24"/>
        </w:rPr>
        <w:t xml:space="preserve">that </w:t>
      </w:r>
      <w:r w:rsidRPr="00DE745D">
        <w:rPr>
          <w:rFonts w:ascii="Book Antiqua" w:hAnsi="Book Antiqua"/>
          <w:sz w:val="24"/>
          <w:szCs w:val="24"/>
        </w:rPr>
        <w:t xml:space="preserve">an application for </w:t>
      </w:r>
      <w:r w:rsidR="002A7605">
        <w:rPr>
          <w:rFonts w:ascii="Book Antiqua" w:hAnsi="Book Antiqua"/>
          <w:sz w:val="24"/>
          <w:szCs w:val="24"/>
        </w:rPr>
        <w:t xml:space="preserve">an extension of time or for </w:t>
      </w:r>
      <w:r w:rsidRPr="00DE745D">
        <w:rPr>
          <w:rFonts w:ascii="Book Antiqua" w:hAnsi="Book Antiqua"/>
          <w:sz w:val="24"/>
          <w:szCs w:val="24"/>
        </w:rPr>
        <w:t>leav</w:t>
      </w:r>
      <w:r w:rsidR="00EF2D12">
        <w:rPr>
          <w:rFonts w:ascii="Book Antiqua" w:hAnsi="Book Antiqua"/>
          <w:sz w:val="24"/>
          <w:szCs w:val="24"/>
        </w:rPr>
        <w:t xml:space="preserve">e to appeal be referred to the </w:t>
      </w:r>
      <w:r w:rsidR="002A7605">
        <w:rPr>
          <w:rFonts w:ascii="Book Antiqua" w:hAnsi="Book Antiqua"/>
          <w:sz w:val="24"/>
          <w:szCs w:val="24"/>
        </w:rPr>
        <w:t>Court which, if an extension or leave is granted, is to</w:t>
      </w:r>
      <w:r w:rsidR="009006B7">
        <w:rPr>
          <w:rFonts w:ascii="Book Antiqua" w:hAnsi="Book Antiqua"/>
          <w:sz w:val="24"/>
          <w:szCs w:val="24"/>
        </w:rPr>
        <w:t xml:space="preserve"> </w:t>
      </w:r>
      <w:r w:rsidRPr="00DE745D">
        <w:rPr>
          <w:rFonts w:ascii="Book Antiqua" w:hAnsi="Book Antiqua"/>
          <w:sz w:val="24"/>
          <w:szCs w:val="24"/>
        </w:rPr>
        <w:t xml:space="preserve">hear the substantive </w:t>
      </w:r>
      <w:r w:rsidR="004C6A01">
        <w:rPr>
          <w:rFonts w:ascii="Book Antiqua" w:hAnsi="Book Antiqua"/>
          <w:sz w:val="24"/>
          <w:szCs w:val="24"/>
        </w:rPr>
        <w:t>proceeding</w:t>
      </w:r>
      <w:r w:rsidR="00AD23F9">
        <w:rPr>
          <w:sz w:val="24"/>
          <w:szCs w:val="24"/>
        </w:rPr>
        <w:t>.</w:t>
      </w:r>
    </w:p>
    <w:p w14:paraId="28D45016" w14:textId="77777777" w:rsidR="0022051F" w:rsidRDefault="0022051F" w:rsidP="00D16FC1">
      <w:pPr>
        <w:widowControl w:val="0"/>
        <w:suppressLineNumbers/>
        <w:suppressAutoHyphens/>
        <w:spacing w:before="120" w:after="120"/>
        <w:ind w:firstLine="720"/>
        <w:rPr>
          <w:rFonts w:ascii="Book Antiqua" w:hAnsi="Book Antiqua"/>
          <w:i/>
        </w:rPr>
      </w:pPr>
      <w:r>
        <w:rPr>
          <w:rFonts w:ascii="Book Antiqua" w:hAnsi="Book Antiqua"/>
          <w:i/>
        </w:rPr>
        <w:t>Consent minutes</w:t>
      </w:r>
    </w:p>
    <w:p w14:paraId="74113587" w14:textId="77777777" w:rsidR="00AC24D8" w:rsidRPr="009B065D" w:rsidRDefault="00786603" w:rsidP="00D16FC1">
      <w:pPr>
        <w:pStyle w:val="ListParagraph"/>
        <w:numPr>
          <w:ilvl w:val="1"/>
          <w:numId w:val="2"/>
        </w:numPr>
        <w:autoSpaceDE w:val="0"/>
        <w:autoSpaceDN w:val="0"/>
        <w:adjustRightInd w:val="0"/>
        <w:spacing w:before="120" w:after="120"/>
        <w:contextualSpacing w:val="0"/>
        <w:jc w:val="both"/>
        <w:rPr>
          <w:rFonts w:ascii="Book Antiqua" w:hAnsi="Book Antiqua"/>
        </w:rPr>
      </w:pPr>
      <w:r>
        <w:rPr>
          <w:rFonts w:ascii="Book Antiqua" w:hAnsi="Book Antiqua"/>
          <w:sz w:val="24"/>
          <w:szCs w:val="24"/>
        </w:rPr>
        <w:t>I</w:t>
      </w:r>
      <w:r w:rsidR="00023B9C">
        <w:rPr>
          <w:rFonts w:ascii="Book Antiqua" w:hAnsi="Book Antiqua"/>
          <w:sz w:val="24"/>
          <w:szCs w:val="24"/>
        </w:rPr>
        <w:t>n most cases</w:t>
      </w:r>
      <w:r w:rsidR="00A70F58">
        <w:rPr>
          <w:rFonts w:ascii="Book Antiqua" w:hAnsi="Book Antiqua"/>
          <w:sz w:val="24"/>
          <w:szCs w:val="24"/>
        </w:rPr>
        <w:t xml:space="preserve"> where each party is legally represented</w:t>
      </w:r>
      <w:r w:rsidR="00B0557D">
        <w:rPr>
          <w:rFonts w:ascii="Book Antiqua" w:hAnsi="Book Antiqua"/>
          <w:sz w:val="24"/>
          <w:szCs w:val="24"/>
        </w:rPr>
        <w:t>,</w:t>
      </w:r>
      <w:r w:rsidR="00023B9C">
        <w:rPr>
          <w:rFonts w:ascii="Book Antiqua" w:hAnsi="Book Antiqua"/>
          <w:sz w:val="24"/>
          <w:szCs w:val="24"/>
        </w:rPr>
        <w:t xml:space="preserve"> </w:t>
      </w:r>
      <w:r>
        <w:rPr>
          <w:rFonts w:ascii="Book Antiqua" w:hAnsi="Book Antiqua"/>
          <w:sz w:val="24"/>
          <w:szCs w:val="24"/>
        </w:rPr>
        <w:t xml:space="preserve">for the convenience of the parties, the Court will, </w:t>
      </w:r>
      <w:r w:rsidR="00A44417">
        <w:rPr>
          <w:rFonts w:ascii="Book Antiqua" w:hAnsi="Book Antiqua"/>
          <w:sz w:val="24"/>
          <w:szCs w:val="24"/>
        </w:rPr>
        <w:t>in the week prior to the first directions hearing</w:t>
      </w:r>
      <w:r w:rsidR="00B0557D">
        <w:rPr>
          <w:rFonts w:ascii="Book Antiqua" w:hAnsi="Book Antiqua"/>
          <w:sz w:val="24"/>
          <w:szCs w:val="24"/>
        </w:rPr>
        <w:t>,</w:t>
      </w:r>
      <w:r w:rsidR="00A44417">
        <w:rPr>
          <w:rFonts w:ascii="Book Antiqua" w:hAnsi="Book Antiqua"/>
          <w:sz w:val="24"/>
          <w:szCs w:val="24"/>
        </w:rPr>
        <w:t xml:space="preserve"> </w:t>
      </w:r>
      <w:r w:rsidR="00231605">
        <w:rPr>
          <w:rFonts w:ascii="Book Antiqua" w:hAnsi="Book Antiqua"/>
          <w:sz w:val="24"/>
          <w:szCs w:val="24"/>
        </w:rPr>
        <w:t xml:space="preserve">forward </w:t>
      </w:r>
      <w:r w:rsidR="00B0557D">
        <w:rPr>
          <w:rFonts w:ascii="Book Antiqua" w:hAnsi="Book Antiqua"/>
          <w:sz w:val="24"/>
          <w:szCs w:val="24"/>
        </w:rPr>
        <w:t xml:space="preserve">to </w:t>
      </w:r>
      <w:r w:rsidR="00231605">
        <w:rPr>
          <w:rFonts w:ascii="Book Antiqua" w:hAnsi="Book Antiqua"/>
          <w:sz w:val="24"/>
          <w:szCs w:val="24"/>
        </w:rPr>
        <w:t xml:space="preserve">the parties a </w:t>
      </w:r>
      <w:r w:rsidR="00AC24D8">
        <w:rPr>
          <w:rFonts w:ascii="Book Antiqua" w:hAnsi="Book Antiqua"/>
          <w:sz w:val="24"/>
          <w:szCs w:val="24"/>
        </w:rPr>
        <w:t>propose</w:t>
      </w:r>
      <w:r w:rsidR="00231605">
        <w:rPr>
          <w:rFonts w:ascii="Book Antiqua" w:hAnsi="Book Antiqua"/>
          <w:sz w:val="24"/>
          <w:szCs w:val="24"/>
        </w:rPr>
        <w:t xml:space="preserve">d </w:t>
      </w:r>
      <w:r w:rsidR="00AC24D8">
        <w:rPr>
          <w:rFonts w:ascii="Book Antiqua" w:hAnsi="Book Antiqua"/>
          <w:sz w:val="24"/>
          <w:szCs w:val="24"/>
        </w:rPr>
        <w:t>form of order incorporating a timetable (including final hearing date)</w:t>
      </w:r>
      <w:r w:rsidR="00EF2D12">
        <w:rPr>
          <w:rFonts w:ascii="Book Antiqua" w:hAnsi="Book Antiqua"/>
          <w:sz w:val="24"/>
          <w:szCs w:val="24"/>
        </w:rPr>
        <w:t xml:space="preserve"> </w:t>
      </w:r>
      <w:r w:rsidR="00AC24D8">
        <w:rPr>
          <w:rFonts w:ascii="Book Antiqua" w:hAnsi="Book Antiqua"/>
          <w:sz w:val="24"/>
          <w:szCs w:val="24"/>
        </w:rPr>
        <w:t xml:space="preserve">for </w:t>
      </w:r>
      <w:r w:rsidR="00231605">
        <w:rPr>
          <w:rFonts w:ascii="Book Antiqua" w:hAnsi="Book Antiqua"/>
          <w:sz w:val="24"/>
          <w:szCs w:val="24"/>
        </w:rPr>
        <w:t xml:space="preserve">their </w:t>
      </w:r>
      <w:r w:rsidR="00AC24D8">
        <w:rPr>
          <w:rFonts w:ascii="Book Antiqua" w:hAnsi="Book Antiqua"/>
          <w:sz w:val="24"/>
          <w:szCs w:val="24"/>
        </w:rPr>
        <w:t>consideration</w:t>
      </w:r>
      <w:r w:rsidR="000E693A">
        <w:rPr>
          <w:rFonts w:ascii="Book Antiqua" w:hAnsi="Book Antiqua"/>
          <w:sz w:val="24"/>
          <w:szCs w:val="24"/>
        </w:rPr>
        <w:t xml:space="preserve"> as a prospective consent order</w:t>
      </w:r>
      <w:r w:rsidR="00AC24D8">
        <w:rPr>
          <w:rFonts w:ascii="Book Antiqua" w:hAnsi="Book Antiqua"/>
          <w:sz w:val="24"/>
          <w:szCs w:val="24"/>
        </w:rPr>
        <w:t xml:space="preserve">. </w:t>
      </w:r>
    </w:p>
    <w:p w14:paraId="533F7E91" w14:textId="77777777" w:rsidR="0022051F" w:rsidRPr="00AD23F9" w:rsidRDefault="00231605" w:rsidP="00D16FC1">
      <w:pPr>
        <w:pStyle w:val="ListParagraph"/>
        <w:numPr>
          <w:ilvl w:val="1"/>
          <w:numId w:val="2"/>
        </w:numPr>
        <w:autoSpaceDE w:val="0"/>
        <w:autoSpaceDN w:val="0"/>
        <w:adjustRightInd w:val="0"/>
        <w:spacing w:before="120" w:after="120"/>
        <w:contextualSpacing w:val="0"/>
        <w:jc w:val="both"/>
        <w:rPr>
          <w:rFonts w:ascii="Book Antiqua" w:hAnsi="Book Antiqua"/>
        </w:rPr>
      </w:pPr>
      <w:r>
        <w:rPr>
          <w:rFonts w:ascii="Book Antiqua" w:hAnsi="Book Antiqua"/>
          <w:sz w:val="24"/>
          <w:szCs w:val="24"/>
        </w:rPr>
        <w:t xml:space="preserve">Should parties wish to submit alternative minutes for the Court’s consideration, </w:t>
      </w:r>
      <w:r w:rsidR="005C1E79" w:rsidRPr="00F30B51">
        <w:rPr>
          <w:rFonts w:ascii="Book Antiqua" w:hAnsi="Book Antiqua"/>
          <w:sz w:val="24"/>
          <w:szCs w:val="24"/>
        </w:rPr>
        <w:t>the minutes</w:t>
      </w:r>
      <w:r w:rsidRPr="00F30B51">
        <w:rPr>
          <w:rFonts w:ascii="Book Antiqua" w:hAnsi="Book Antiqua"/>
          <w:sz w:val="24"/>
          <w:szCs w:val="24"/>
        </w:rPr>
        <w:t xml:space="preserve"> </w:t>
      </w:r>
      <w:r w:rsidRPr="004C6A01">
        <w:rPr>
          <w:rFonts w:ascii="Book Antiqua" w:hAnsi="Book Antiqua"/>
          <w:sz w:val="24"/>
          <w:szCs w:val="24"/>
        </w:rPr>
        <w:t xml:space="preserve">should </w:t>
      </w:r>
      <w:r w:rsidR="000E693A">
        <w:rPr>
          <w:rFonts w:ascii="Book Antiqua" w:hAnsi="Book Antiqua"/>
          <w:sz w:val="24"/>
          <w:szCs w:val="24"/>
        </w:rPr>
        <w:t xml:space="preserve">nevertheless </w:t>
      </w:r>
      <w:r w:rsidR="00B21DCB">
        <w:rPr>
          <w:rFonts w:ascii="Book Antiqua" w:hAnsi="Book Antiqua"/>
          <w:sz w:val="24"/>
          <w:szCs w:val="24"/>
        </w:rPr>
        <w:t>be modelled on the appropriate form of standard orders available on the List page on the Court’s website</w:t>
      </w:r>
      <w:r w:rsidR="00B21DCB" w:rsidDel="00B21DCB">
        <w:rPr>
          <w:rFonts w:ascii="Book Antiqua" w:hAnsi="Book Antiqua"/>
          <w:sz w:val="24"/>
          <w:szCs w:val="24"/>
        </w:rPr>
        <w:t xml:space="preserve"> </w:t>
      </w:r>
      <w:r>
        <w:rPr>
          <w:rFonts w:ascii="Book Antiqua" w:hAnsi="Book Antiqua"/>
          <w:sz w:val="24"/>
          <w:szCs w:val="24"/>
        </w:rPr>
        <w:t xml:space="preserve">including </w:t>
      </w:r>
      <w:r w:rsidR="0022051F" w:rsidRPr="00AD23F9">
        <w:rPr>
          <w:rFonts w:ascii="Book Antiqua" w:hAnsi="Book Antiqua"/>
          <w:sz w:val="24"/>
          <w:szCs w:val="24"/>
        </w:rPr>
        <w:t xml:space="preserve">an agreed timetable and “not before” date for </w:t>
      </w:r>
      <w:r>
        <w:rPr>
          <w:rFonts w:ascii="Book Antiqua" w:hAnsi="Book Antiqua"/>
          <w:sz w:val="24"/>
          <w:szCs w:val="24"/>
        </w:rPr>
        <w:t>final hearing</w:t>
      </w:r>
      <w:r w:rsidR="009C1643">
        <w:rPr>
          <w:rFonts w:ascii="Book Antiqua" w:hAnsi="Book Antiqua"/>
          <w:sz w:val="24"/>
          <w:szCs w:val="24"/>
        </w:rPr>
        <w:t>.</w:t>
      </w:r>
      <w:r w:rsidR="0022051F" w:rsidRPr="00AD23F9">
        <w:rPr>
          <w:rFonts w:ascii="Book Antiqua" w:hAnsi="Book Antiqua"/>
          <w:sz w:val="24"/>
          <w:szCs w:val="24"/>
        </w:rPr>
        <w:t xml:space="preserve"> </w:t>
      </w:r>
      <w:r w:rsidR="00EF2D12">
        <w:rPr>
          <w:rFonts w:ascii="Book Antiqua" w:hAnsi="Book Antiqua"/>
          <w:sz w:val="24"/>
          <w:szCs w:val="24"/>
        </w:rPr>
        <w:t xml:space="preserve"> </w:t>
      </w:r>
    </w:p>
    <w:p w14:paraId="45E76AB3" w14:textId="77777777" w:rsidR="00432D95" w:rsidRDefault="00AC70C4"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In order to avoid the need for an appearance at a directions hearing, c</w:t>
      </w:r>
      <w:r w:rsidRPr="00AD23F9">
        <w:rPr>
          <w:rFonts w:ascii="Book Antiqua" w:hAnsi="Book Antiqua"/>
          <w:sz w:val="24"/>
          <w:szCs w:val="24"/>
        </w:rPr>
        <w:t xml:space="preserve">onsent </w:t>
      </w:r>
      <w:r w:rsidR="0022051F" w:rsidRPr="00AD23F9">
        <w:rPr>
          <w:rFonts w:ascii="Book Antiqua" w:hAnsi="Book Antiqua"/>
          <w:sz w:val="24"/>
          <w:szCs w:val="24"/>
        </w:rPr>
        <w:t xml:space="preserve">minutes should be sent via email in both </w:t>
      </w:r>
      <w:r w:rsidR="001845E1">
        <w:rPr>
          <w:rFonts w:ascii="Book Antiqua" w:hAnsi="Book Antiqua"/>
          <w:sz w:val="24"/>
          <w:szCs w:val="24"/>
        </w:rPr>
        <w:t xml:space="preserve">signed </w:t>
      </w:r>
      <w:r w:rsidR="0022051F" w:rsidRPr="00AD23F9">
        <w:rPr>
          <w:rFonts w:ascii="Book Antiqua" w:hAnsi="Book Antiqua"/>
          <w:sz w:val="24"/>
          <w:szCs w:val="24"/>
        </w:rPr>
        <w:t xml:space="preserve">PDF </w:t>
      </w:r>
      <w:r w:rsidR="00231605">
        <w:rPr>
          <w:rFonts w:ascii="Book Antiqua" w:hAnsi="Book Antiqua"/>
          <w:sz w:val="24"/>
          <w:szCs w:val="24"/>
        </w:rPr>
        <w:t xml:space="preserve">and </w:t>
      </w:r>
      <w:r w:rsidR="00231605" w:rsidRPr="00AD23F9">
        <w:rPr>
          <w:rFonts w:ascii="Book Antiqua" w:hAnsi="Book Antiqua"/>
          <w:sz w:val="24"/>
          <w:szCs w:val="24"/>
        </w:rPr>
        <w:t>editable</w:t>
      </w:r>
      <w:r w:rsidR="00231605">
        <w:rPr>
          <w:rFonts w:ascii="Book Antiqua" w:hAnsi="Book Antiqua"/>
          <w:sz w:val="24"/>
          <w:szCs w:val="24"/>
        </w:rPr>
        <w:t xml:space="preserve"> </w:t>
      </w:r>
      <w:r w:rsidR="0022051F" w:rsidRPr="00AD23F9">
        <w:rPr>
          <w:rFonts w:ascii="Book Antiqua" w:hAnsi="Book Antiqua"/>
          <w:sz w:val="24"/>
          <w:szCs w:val="24"/>
        </w:rPr>
        <w:t>formats no later than 4:00pm on the Monday preceding the directions day</w:t>
      </w:r>
      <w:r w:rsidR="007C55A5">
        <w:rPr>
          <w:rFonts w:ascii="Book Antiqua" w:hAnsi="Book Antiqua"/>
          <w:sz w:val="24"/>
          <w:szCs w:val="24"/>
        </w:rPr>
        <w:t xml:space="preserve">, or at another time as directed by the Court, </w:t>
      </w:r>
      <w:r w:rsidR="001845E1">
        <w:rPr>
          <w:rFonts w:ascii="Book Antiqua" w:hAnsi="Book Antiqua"/>
          <w:sz w:val="24"/>
          <w:szCs w:val="24"/>
        </w:rPr>
        <w:t xml:space="preserve"> </w:t>
      </w:r>
      <w:r w:rsidR="0022051F" w:rsidRPr="00AD23F9">
        <w:rPr>
          <w:rFonts w:ascii="Book Antiqua" w:hAnsi="Book Antiqua"/>
          <w:sz w:val="24"/>
          <w:szCs w:val="24"/>
        </w:rPr>
        <w:t xml:space="preserve">to </w:t>
      </w:r>
      <w:hyperlink r:id="rId15" w:history="1">
        <w:r w:rsidR="0022051F" w:rsidRPr="00553E98">
          <w:rPr>
            <w:rFonts w:ascii="Book Antiqua" w:hAnsi="Book Antiqua"/>
            <w:color w:val="0000FF"/>
            <w:sz w:val="24"/>
            <w:u w:val="single"/>
          </w:rPr>
          <w:t>judicialreview@supcourt.vic.gov.au</w:t>
        </w:r>
      </w:hyperlink>
      <w:r w:rsidR="0022051F" w:rsidRPr="00553E98">
        <w:rPr>
          <w:rFonts w:ascii="Book Antiqua" w:hAnsi="Book Antiqua"/>
          <w:sz w:val="24"/>
          <w:szCs w:val="24"/>
        </w:rPr>
        <w:t>.</w:t>
      </w:r>
      <w:r w:rsidRPr="00AC70C4">
        <w:rPr>
          <w:rFonts w:ascii="Book Antiqua" w:hAnsi="Book Antiqua"/>
          <w:sz w:val="24"/>
          <w:szCs w:val="24"/>
        </w:rPr>
        <w:t xml:space="preserve"> </w:t>
      </w:r>
      <w:r w:rsidRPr="00AD23F9">
        <w:rPr>
          <w:rFonts w:ascii="Book Antiqua" w:hAnsi="Book Antiqua"/>
          <w:sz w:val="24"/>
          <w:szCs w:val="24"/>
        </w:rPr>
        <w:t xml:space="preserve">Parties </w:t>
      </w:r>
      <w:r w:rsidRPr="00AD23F9">
        <w:rPr>
          <w:rFonts w:ascii="Book Antiqua" w:hAnsi="Book Antiqua"/>
          <w:sz w:val="24"/>
          <w:szCs w:val="24"/>
        </w:rPr>
        <w:lastRenderedPageBreak/>
        <w:t>are nevertheless required to appear</w:t>
      </w:r>
      <w:r>
        <w:rPr>
          <w:rFonts w:ascii="Book Antiqua" w:hAnsi="Book Antiqua"/>
          <w:sz w:val="24"/>
          <w:szCs w:val="24"/>
        </w:rPr>
        <w:t xml:space="preserve"> at all listed hearings</w:t>
      </w:r>
      <w:r w:rsidRPr="00AD23F9">
        <w:rPr>
          <w:rFonts w:ascii="Book Antiqua" w:hAnsi="Book Antiqua"/>
          <w:sz w:val="24"/>
          <w:szCs w:val="24"/>
        </w:rPr>
        <w:t xml:space="preserve"> unless advised to the contrary.</w:t>
      </w:r>
    </w:p>
    <w:p w14:paraId="59F52FB0" w14:textId="77777777" w:rsidR="009F2819" w:rsidRPr="00DE745D" w:rsidRDefault="009F2819" w:rsidP="00D16FC1">
      <w:pPr>
        <w:widowControl w:val="0"/>
        <w:suppressLineNumbers/>
        <w:suppressAutoHyphens/>
        <w:spacing w:before="120" w:after="120"/>
        <w:ind w:firstLine="720"/>
        <w:rPr>
          <w:rFonts w:ascii="Book Antiqua" w:hAnsi="Book Antiqua"/>
          <w:i/>
        </w:rPr>
      </w:pPr>
      <w:r w:rsidRPr="00DE745D">
        <w:rPr>
          <w:rFonts w:ascii="Book Antiqua" w:hAnsi="Book Antiqua"/>
          <w:i/>
        </w:rPr>
        <w:t>Interlocutory Applications</w:t>
      </w:r>
    </w:p>
    <w:p w14:paraId="0598CBFB" w14:textId="267B1767" w:rsidR="007262A1" w:rsidRPr="00D16FC1" w:rsidRDefault="004F3634"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AD23F9">
        <w:rPr>
          <w:rFonts w:ascii="Book Antiqua" w:hAnsi="Book Antiqua"/>
          <w:sz w:val="24"/>
          <w:szCs w:val="24"/>
        </w:rPr>
        <w:t>Prior to filing a summons</w:t>
      </w:r>
      <w:r w:rsidR="00AD23F9">
        <w:rPr>
          <w:rFonts w:ascii="Book Antiqua" w:hAnsi="Book Antiqua"/>
          <w:sz w:val="24"/>
          <w:szCs w:val="24"/>
        </w:rPr>
        <w:t xml:space="preserve"> for an interlocutory application, the </w:t>
      </w:r>
      <w:r w:rsidR="001B623E">
        <w:rPr>
          <w:rFonts w:ascii="Book Antiqua" w:hAnsi="Book Antiqua"/>
          <w:sz w:val="24"/>
          <w:szCs w:val="24"/>
        </w:rPr>
        <w:t xml:space="preserve">proposed </w:t>
      </w:r>
      <w:r w:rsidR="00AD23F9">
        <w:rPr>
          <w:rFonts w:ascii="Book Antiqua" w:hAnsi="Book Antiqua"/>
          <w:sz w:val="24"/>
          <w:szCs w:val="24"/>
        </w:rPr>
        <w:t>applicant</w:t>
      </w:r>
      <w:r w:rsidR="00DC73DB">
        <w:rPr>
          <w:rFonts w:ascii="Book Antiqua" w:hAnsi="Book Antiqua"/>
          <w:sz w:val="24"/>
          <w:szCs w:val="24"/>
        </w:rPr>
        <w:t xml:space="preserve"> </w:t>
      </w:r>
      <w:r w:rsidRPr="00AD23F9">
        <w:rPr>
          <w:rFonts w:ascii="Book Antiqua" w:hAnsi="Book Antiqua"/>
          <w:sz w:val="24"/>
          <w:szCs w:val="24"/>
        </w:rPr>
        <w:t>must obtain a return date by forwarding a completed “Judicial Review and Appeals List Hearing Date Information Form” (</w:t>
      </w:r>
      <w:r w:rsidR="00B21DCB">
        <w:rPr>
          <w:rFonts w:ascii="Book Antiqua" w:hAnsi="Book Antiqua"/>
          <w:sz w:val="24"/>
          <w:szCs w:val="24"/>
        </w:rPr>
        <w:t>available on the List page on the Court’s website</w:t>
      </w:r>
      <w:r w:rsidRPr="00AD23F9">
        <w:rPr>
          <w:rFonts w:ascii="Book Antiqua" w:hAnsi="Book Antiqua"/>
          <w:sz w:val="24"/>
          <w:szCs w:val="24"/>
        </w:rPr>
        <w:t xml:space="preserve">) together with a draft of the proposed summons </w:t>
      </w:r>
      <w:r w:rsidR="00786603">
        <w:rPr>
          <w:rFonts w:ascii="Book Antiqua" w:hAnsi="Book Antiqua"/>
          <w:sz w:val="24"/>
          <w:szCs w:val="24"/>
        </w:rPr>
        <w:t>and also a copy or</w:t>
      </w:r>
      <w:r w:rsidR="000E693A">
        <w:rPr>
          <w:rFonts w:ascii="Book Antiqua" w:hAnsi="Book Antiqua"/>
          <w:sz w:val="24"/>
          <w:szCs w:val="24"/>
        </w:rPr>
        <w:t xml:space="preserve"> a draft of a</w:t>
      </w:r>
      <w:r w:rsidR="007C55A5">
        <w:rPr>
          <w:rFonts w:ascii="Book Antiqua" w:hAnsi="Book Antiqua"/>
          <w:sz w:val="24"/>
          <w:szCs w:val="24"/>
        </w:rPr>
        <w:t xml:space="preserve"> supporting affidavit </w:t>
      </w:r>
      <w:r w:rsidR="00343909">
        <w:rPr>
          <w:rFonts w:ascii="Book Antiqua" w:hAnsi="Book Antiqua"/>
          <w:sz w:val="24"/>
          <w:szCs w:val="24"/>
        </w:rPr>
        <w:t xml:space="preserve">(without exhibits) </w:t>
      </w:r>
      <w:r w:rsidRPr="00AD23F9">
        <w:rPr>
          <w:rFonts w:ascii="Book Antiqua" w:hAnsi="Book Antiqua"/>
          <w:sz w:val="24"/>
          <w:szCs w:val="24"/>
        </w:rPr>
        <w:t xml:space="preserve">via email to </w:t>
      </w:r>
      <w:hyperlink r:id="rId16" w:history="1">
        <w:r w:rsidRPr="00553E98">
          <w:rPr>
            <w:rFonts w:ascii="Book Antiqua" w:hAnsi="Book Antiqua"/>
            <w:color w:val="0000FF"/>
            <w:sz w:val="24"/>
            <w:u w:val="single"/>
          </w:rPr>
          <w:t>judicialreview@supcourt.vic.gov.au</w:t>
        </w:r>
      </w:hyperlink>
      <w:r w:rsidRPr="00AD23F9">
        <w:rPr>
          <w:rFonts w:ascii="Book Antiqua" w:hAnsi="Book Antiqua"/>
          <w:sz w:val="24"/>
          <w:szCs w:val="24"/>
        </w:rPr>
        <w:t xml:space="preserve">. </w:t>
      </w:r>
      <w:r w:rsidR="00EF2D12">
        <w:rPr>
          <w:rFonts w:ascii="Book Antiqua" w:hAnsi="Book Antiqua"/>
          <w:sz w:val="24"/>
          <w:szCs w:val="24"/>
        </w:rPr>
        <w:t xml:space="preserve"> </w:t>
      </w:r>
      <w:r w:rsidRPr="00AD23F9">
        <w:rPr>
          <w:rFonts w:ascii="Book Antiqua" w:hAnsi="Book Antiqua"/>
          <w:sz w:val="24"/>
          <w:szCs w:val="24"/>
        </w:rPr>
        <w:t xml:space="preserve">The applicant will be advised by email of the return date. </w:t>
      </w:r>
      <w:r w:rsidR="00EF2D12">
        <w:rPr>
          <w:rFonts w:ascii="Book Antiqua" w:hAnsi="Book Antiqua"/>
          <w:sz w:val="24"/>
          <w:szCs w:val="24"/>
        </w:rPr>
        <w:t xml:space="preserve"> </w:t>
      </w:r>
      <w:r w:rsidRPr="00AD23F9">
        <w:rPr>
          <w:rFonts w:ascii="Book Antiqua" w:hAnsi="Book Antiqua"/>
          <w:sz w:val="24"/>
          <w:szCs w:val="24"/>
        </w:rPr>
        <w:t xml:space="preserve">The summons should be filed within 48 hours of this advice or the return date may not be guaranteed. </w:t>
      </w:r>
      <w:r w:rsidR="00EF2D12">
        <w:rPr>
          <w:rFonts w:ascii="Book Antiqua" w:hAnsi="Book Antiqua"/>
          <w:sz w:val="24"/>
          <w:szCs w:val="24"/>
        </w:rPr>
        <w:t xml:space="preserve"> </w:t>
      </w:r>
      <w:r w:rsidRPr="00AD23F9">
        <w:rPr>
          <w:rFonts w:ascii="Book Antiqua" w:hAnsi="Book Antiqua"/>
          <w:sz w:val="24"/>
          <w:szCs w:val="24"/>
        </w:rPr>
        <w:t xml:space="preserve">A copy of this advice should be </w:t>
      </w:r>
      <w:r w:rsidR="003922B6">
        <w:rPr>
          <w:rFonts w:ascii="Book Antiqua" w:hAnsi="Book Antiqua"/>
          <w:sz w:val="24"/>
          <w:szCs w:val="24"/>
        </w:rPr>
        <w:t xml:space="preserve">filed </w:t>
      </w:r>
      <w:r w:rsidR="00567F95">
        <w:rPr>
          <w:rFonts w:ascii="Book Antiqua" w:hAnsi="Book Antiqua"/>
          <w:sz w:val="24"/>
          <w:szCs w:val="24"/>
        </w:rPr>
        <w:t xml:space="preserve"> with </w:t>
      </w:r>
      <w:r w:rsidRPr="00AD23F9">
        <w:rPr>
          <w:rFonts w:ascii="Book Antiqua" w:hAnsi="Book Antiqua"/>
          <w:sz w:val="24"/>
          <w:szCs w:val="24"/>
        </w:rPr>
        <w:t>the summons.</w:t>
      </w:r>
    </w:p>
    <w:p w14:paraId="1B042500" w14:textId="42D3D3E1" w:rsidR="007262A1" w:rsidRPr="009B065D" w:rsidRDefault="0009681B" w:rsidP="00D16FC1">
      <w:pPr>
        <w:keepNext/>
        <w:widowControl w:val="0"/>
        <w:suppressLineNumbers/>
        <w:suppressAutoHyphens/>
        <w:spacing w:before="120" w:after="120"/>
        <w:ind w:firstLine="720"/>
        <w:rPr>
          <w:rFonts w:ascii="Book Antiqua" w:hAnsi="Book Antiqua"/>
          <w:i/>
        </w:rPr>
      </w:pPr>
      <w:r>
        <w:rPr>
          <w:rFonts w:ascii="Book Antiqua" w:hAnsi="Book Antiqua"/>
          <w:i/>
        </w:rPr>
        <w:t>Summary Judgment</w:t>
      </w:r>
      <w:r w:rsidRPr="009B065D">
        <w:rPr>
          <w:rFonts w:ascii="Book Antiqua" w:hAnsi="Book Antiqua"/>
          <w:i/>
        </w:rPr>
        <w:t xml:space="preserve"> Applications</w:t>
      </w:r>
    </w:p>
    <w:p w14:paraId="090C4081" w14:textId="77777777" w:rsidR="00B66E76" w:rsidRPr="00AD23F9" w:rsidRDefault="00B66E76"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The Court expects that the pros</w:t>
      </w:r>
      <w:r w:rsidR="0009681B">
        <w:rPr>
          <w:rFonts w:ascii="Book Antiqua" w:hAnsi="Book Antiqua"/>
          <w:sz w:val="24"/>
          <w:szCs w:val="24"/>
        </w:rPr>
        <w:t xml:space="preserve">pect of any application for summary judgment should be raised at the first directions hearing or at the earliest possible stage thereafter. </w:t>
      </w:r>
    </w:p>
    <w:p w14:paraId="36133DA0" w14:textId="77777777" w:rsidR="000C287E" w:rsidRPr="000C287E" w:rsidRDefault="000C287E" w:rsidP="00D16FC1">
      <w:pPr>
        <w:autoSpaceDE w:val="0"/>
        <w:autoSpaceDN w:val="0"/>
        <w:adjustRightInd w:val="0"/>
        <w:spacing w:before="120" w:after="120"/>
        <w:jc w:val="both"/>
        <w:rPr>
          <w:rFonts w:ascii="Book Antiqua" w:hAnsi="Book Antiqua"/>
        </w:rPr>
      </w:pPr>
    </w:p>
    <w:p w14:paraId="1B2FF5C6" w14:textId="77777777" w:rsidR="000C287E" w:rsidRPr="00DE745D" w:rsidRDefault="000C287E" w:rsidP="00D16FC1">
      <w:pPr>
        <w:pStyle w:val="ListParagraph"/>
        <w:numPr>
          <w:ilvl w:val="0"/>
          <w:numId w:val="2"/>
        </w:numPr>
        <w:autoSpaceDE w:val="0"/>
        <w:autoSpaceDN w:val="0"/>
        <w:adjustRightInd w:val="0"/>
        <w:spacing w:before="120" w:after="120"/>
        <w:contextualSpacing w:val="0"/>
        <w:jc w:val="both"/>
        <w:rPr>
          <w:rFonts w:ascii="Book Antiqua" w:hAnsi="Book Antiqua"/>
          <w:b/>
          <w:sz w:val="24"/>
          <w:szCs w:val="24"/>
        </w:rPr>
      </w:pPr>
      <w:r w:rsidRPr="00DE745D">
        <w:rPr>
          <w:rFonts w:ascii="Book Antiqua" w:hAnsi="Book Antiqua"/>
          <w:b/>
          <w:sz w:val="24"/>
          <w:szCs w:val="24"/>
        </w:rPr>
        <w:t>AFFIDAVITS</w:t>
      </w:r>
    </w:p>
    <w:p w14:paraId="19F46DD2" w14:textId="77777777" w:rsidR="000C287E" w:rsidRPr="00DE745D" w:rsidRDefault="000C287E"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A</w:t>
      </w:r>
      <w:r w:rsidRPr="00DE745D">
        <w:rPr>
          <w:rFonts w:ascii="Book Antiqua" w:hAnsi="Book Antiqua"/>
          <w:sz w:val="24"/>
          <w:szCs w:val="24"/>
        </w:rPr>
        <w:t xml:space="preserve">lmost always, the proceeding will be heard and determined on affidavit and the moving party will be required to file and serve an affidavit in support of the claim </w:t>
      </w:r>
      <w:r>
        <w:rPr>
          <w:rFonts w:ascii="Book Antiqua" w:hAnsi="Book Antiqua"/>
          <w:sz w:val="24"/>
          <w:szCs w:val="24"/>
        </w:rPr>
        <w:t xml:space="preserve">at the outset or </w:t>
      </w:r>
      <w:r w:rsidRPr="00DE745D">
        <w:rPr>
          <w:rFonts w:ascii="Book Antiqua" w:hAnsi="Book Antiqua"/>
          <w:sz w:val="24"/>
          <w:szCs w:val="24"/>
        </w:rPr>
        <w:t>at an early stage.</w:t>
      </w:r>
    </w:p>
    <w:p w14:paraId="5125D04E" w14:textId="77777777" w:rsidR="00400B2E" w:rsidRDefault="000C287E"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0C287E">
        <w:rPr>
          <w:rFonts w:ascii="Book Antiqua" w:hAnsi="Book Antiqua"/>
          <w:sz w:val="24"/>
          <w:szCs w:val="24"/>
        </w:rPr>
        <w:t>Affidavits and exhibits of any party should be limited to what is necessary for the proper hearing and determination of the proceeding.  With limited exceptions, it will be inappropriate to refer to or to exhibit ma</w:t>
      </w:r>
      <w:r w:rsidR="009039CE">
        <w:rPr>
          <w:rFonts w:ascii="Book Antiqua" w:hAnsi="Book Antiqua"/>
          <w:sz w:val="24"/>
          <w:szCs w:val="24"/>
        </w:rPr>
        <w:t>terial that was not before the C</w:t>
      </w:r>
      <w:r w:rsidRPr="000C287E">
        <w:rPr>
          <w:rFonts w:ascii="Book Antiqua" w:hAnsi="Book Antiqua"/>
          <w:sz w:val="24"/>
          <w:szCs w:val="24"/>
        </w:rPr>
        <w:t xml:space="preserve">ourt, tribunal or other external person or body concerned. </w:t>
      </w:r>
    </w:p>
    <w:p w14:paraId="32B510F6" w14:textId="77777777" w:rsidR="000C287E" w:rsidRPr="000C287E" w:rsidRDefault="000C287E" w:rsidP="00D16FC1">
      <w:pPr>
        <w:autoSpaceDE w:val="0"/>
        <w:autoSpaceDN w:val="0"/>
        <w:adjustRightInd w:val="0"/>
        <w:spacing w:before="120" w:after="120"/>
        <w:jc w:val="both"/>
        <w:rPr>
          <w:rFonts w:ascii="Book Antiqua" w:hAnsi="Book Antiqua"/>
        </w:rPr>
      </w:pPr>
    </w:p>
    <w:p w14:paraId="675871ED" w14:textId="77777777" w:rsidR="00D202F9" w:rsidRPr="00DE745D" w:rsidRDefault="00D202F9" w:rsidP="00D16FC1">
      <w:pPr>
        <w:pStyle w:val="ListParagraph"/>
        <w:numPr>
          <w:ilvl w:val="0"/>
          <w:numId w:val="2"/>
        </w:numPr>
        <w:autoSpaceDE w:val="0"/>
        <w:autoSpaceDN w:val="0"/>
        <w:adjustRightInd w:val="0"/>
        <w:spacing w:before="120" w:after="120"/>
        <w:contextualSpacing w:val="0"/>
        <w:jc w:val="both"/>
        <w:rPr>
          <w:rFonts w:ascii="Book Antiqua" w:hAnsi="Book Antiqua"/>
          <w:b/>
          <w:sz w:val="24"/>
          <w:szCs w:val="24"/>
        </w:rPr>
      </w:pPr>
      <w:r w:rsidRPr="00DE745D">
        <w:rPr>
          <w:rFonts w:ascii="Book Antiqua" w:hAnsi="Book Antiqua"/>
          <w:b/>
          <w:sz w:val="24"/>
          <w:szCs w:val="24"/>
        </w:rPr>
        <w:t xml:space="preserve">CONSENT ORDERS SETTING ASIDE A DECISION OR REMITTING A MATTER </w:t>
      </w:r>
    </w:p>
    <w:p w14:paraId="471772A7" w14:textId="77777777" w:rsidR="00D202F9" w:rsidRPr="00DE745D" w:rsidRDefault="00D202F9"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Where proposed consent orders would set aside or vary a decision under review or appeal or would involve the remittal of any matter or would otherwise affect the conduct or the result of a proceeding or matter before an external decision-maker, judicial power is engaged in relation to the functions of a public authority, and the Court may need to consider for itself whether the orders should be made, particularly where the proceeding or matter affected is executive or administrative in nature.</w:t>
      </w:r>
      <w:r w:rsidRPr="00DE745D">
        <w:rPr>
          <w:rFonts w:ascii="Book Antiqua" w:hAnsi="Book Antiqua"/>
          <w:sz w:val="24"/>
          <w:szCs w:val="24"/>
          <w:vertAlign w:val="superscript"/>
        </w:rPr>
        <w:footnoteReference w:id="8"/>
      </w:r>
      <w:r w:rsidRPr="00DE745D">
        <w:rPr>
          <w:rFonts w:ascii="Book Antiqua" w:hAnsi="Book Antiqua"/>
          <w:sz w:val="24"/>
          <w:szCs w:val="24"/>
        </w:rPr>
        <w:t xml:space="preserve">  Where orders of such a kind are sought “on the papers”, a joint memorandum explaining the legal justification for the proposed orders must be provided to the Court.  The Court may nevertheless require the attendance of practitioners.  Even if satisfied that the proposed </w:t>
      </w:r>
      <w:r w:rsidRPr="00DE745D">
        <w:rPr>
          <w:rFonts w:ascii="Book Antiqua" w:hAnsi="Book Antiqua"/>
          <w:sz w:val="24"/>
          <w:szCs w:val="24"/>
        </w:rPr>
        <w:lastRenderedPageBreak/>
        <w:t>consent orders are appropriate, the Court may consider it necessary to publish reasons for the making of the orders or at least to direct that a copy of the joint memorandum be served on the decision-maker affected together with a copy of the orders made.</w:t>
      </w:r>
      <w:r w:rsidRPr="00DE745D">
        <w:rPr>
          <w:rFonts w:ascii="Book Antiqua" w:hAnsi="Book Antiqua"/>
          <w:sz w:val="24"/>
          <w:szCs w:val="24"/>
          <w:vertAlign w:val="superscript"/>
        </w:rPr>
        <w:footnoteReference w:id="9"/>
      </w:r>
    </w:p>
    <w:p w14:paraId="69965D89" w14:textId="77777777" w:rsidR="00182C1F" w:rsidRPr="00DE745D" w:rsidRDefault="00182C1F" w:rsidP="00D16FC1">
      <w:pPr>
        <w:autoSpaceDE w:val="0"/>
        <w:autoSpaceDN w:val="0"/>
        <w:adjustRightInd w:val="0"/>
        <w:spacing w:before="120" w:after="120"/>
        <w:jc w:val="both"/>
        <w:rPr>
          <w:rFonts w:ascii="Book Antiqua" w:hAnsi="Book Antiqua"/>
          <w:b/>
        </w:rPr>
      </w:pPr>
    </w:p>
    <w:p w14:paraId="488F4E0D" w14:textId="77777777" w:rsidR="00182C1F" w:rsidRPr="00DE745D" w:rsidRDefault="00D202F9" w:rsidP="00D16FC1">
      <w:pPr>
        <w:pStyle w:val="ListParagraph"/>
        <w:numPr>
          <w:ilvl w:val="0"/>
          <w:numId w:val="2"/>
        </w:numPr>
        <w:autoSpaceDE w:val="0"/>
        <w:autoSpaceDN w:val="0"/>
        <w:adjustRightInd w:val="0"/>
        <w:spacing w:before="120" w:after="120"/>
        <w:contextualSpacing w:val="0"/>
        <w:jc w:val="both"/>
        <w:rPr>
          <w:rFonts w:ascii="Book Antiqua" w:hAnsi="Book Antiqua"/>
          <w:b/>
          <w:sz w:val="24"/>
          <w:szCs w:val="24"/>
        </w:rPr>
      </w:pPr>
      <w:r w:rsidRPr="00AD23F9">
        <w:rPr>
          <w:rFonts w:ascii="Book Antiqua" w:hAnsi="Book Antiqua"/>
          <w:b/>
          <w:sz w:val="24"/>
          <w:szCs w:val="24"/>
        </w:rPr>
        <w:t>COURT BOOKS AND AUTHORITIES</w:t>
      </w:r>
    </w:p>
    <w:p w14:paraId="3CB2172C" w14:textId="77777777" w:rsidR="00D202F9" w:rsidRPr="00DE745D" w:rsidRDefault="00D202F9"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A court book is required for any proceeding in the List.</w:t>
      </w:r>
    </w:p>
    <w:p w14:paraId="172FD3A5" w14:textId="77777777" w:rsidR="00D202F9" w:rsidRPr="00DE745D" w:rsidRDefault="00D202F9"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The purpose of the court book is to provide to the Court and the parties an accessible bundle of copy documents which will be used at the substantive hearing of the proceeding.</w:t>
      </w:r>
    </w:p>
    <w:p w14:paraId="20D7208F" w14:textId="77777777" w:rsidR="00D202F9" w:rsidRPr="00DE745D" w:rsidRDefault="00D202F9"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Practitioners will be expected to agree upon the contents of the court book.</w:t>
      </w:r>
      <w:r w:rsidR="00343909">
        <w:rPr>
          <w:rFonts w:ascii="Book Antiqua" w:hAnsi="Book Antiqua"/>
          <w:sz w:val="24"/>
          <w:szCs w:val="24"/>
        </w:rPr>
        <w:t xml:space="preserve">  The </w:t>
      </w:r>
      <w:r w:rsidR="009F5A58">
        <w:rPr>
          <w:rFonts w:ascii="Book Antiqua" w:hAnsi="Book Antiqua"/>
          <w:sz w:val="24"/>
          <w:szCs w:val="24"/>
        </w:rPr>
        <w:t xml:space="preserve">Court </w:t>
      </w:r>
      <w:r w:rsidR="00343909">
        <w:rPr>
          <w:rFonts w:ascii="Book Antiqua" w:hAnsi="Book Antiqua"/>
          <w:sz w:val="24"/>
          <w:szCs w:val="24"/>
        </w:rPr>
        <w:t>will usually make an order for the party preparing the court book to provide an index to the other party for the purposes of consultation and agreement about the contents of the court book.</w:t>
      </w:r>
    </w:p>
    <w:p w14:paraId="7808C997" w14:textId="77777777" w:rsidR="00D202F9" w:rsidRPr="00DE745D" w:rsidRDefault="00D202F9"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As a general principle, the court book should include copies of all documents which a party reasonably expects will be relevant to the Court’s decision.  Copies of the official record of the conduct or decision under review or appeal (where available) or a statement of the conduct or decision, and copies of critical documents relating to it, including any relevant statement of reasons</w:t>
      </w:r>
      <w:r w:rsidR="00A560E5">
        <w:rPr>
          <w:rFonts w:ascii="Book Antiqua" w:hAnsi="Book Antiqua"/>
          <w:sz w:val="24"/>
          <w:szCs w:val="24"/>
        </w:rPr>
        <w:t xml:space="preserve"> and/or transcript</w:t>
      </w:r>
      <w:r w:rsidRPr="00DE745D">
        <w:rPr>
          <w:rFonts w:ascii="Book Antiqua" w:hAnsi="Book Antiqua"/>
          <w:sz w:val="24"/>
          <w:szCs w:val="24"/>
        </w:rPr>
        <w:t xml:space="preserve">, must be included.  In addition, the court book should generally include the originating process in the </w:t>
      </w:r>
      <w:r w:rsidR="00AD23F9">
        <w:rPr>
          <w:rFonts w:ascii="Book Antiqua" w:hAnsi="Book Antiqua"/>
          <w:sz w:val="24"/>
          <w:szCs w:val="24"/>
        </w:rPr>
        <w:t xml:space="preserve">JRA </w:t>
      </w:r>
      <w:r w:rsidRPr="00DE745D">
        <w:rPr>
          <w:rFonts w:ascii="Book Antiqua" w:hAnsi="Book Antiqua"/>
          <w:sz w:val="24"/>
          <w:szCs w:val="24"/>
        </w:rPr>
        <w:t xml:space="preserve">proceeding itself, all affidavits (including exhibits) which bear substantively upon the </w:t>
      </w:r>
      <w:r w:rsidR="00AD23F9">
        <w:rPr>
          <w:rFonts w:ascii="Book Antiqua" w:hAnsi="Book Antiqua"/>
          <w:sz w:val="24"/>
          <w:szCs w:val="24"/>
        </w:rPr>
        <w:t xml:space="preserve">JRA </w:t>
      </w:r>
      <w:r w:rsidRPr="00DE745D">
        <w:rPr>
          <w:rFonts w:ascii="Book Antiqua" w:hAnsi="Book Antiqua"/>
          <w:sz w:val="24"/>
          <w:szCs w:val="24"/>
        </w:rPr>
        <w:t xml:space="preserve">proceeding (as finally amended), key orders made in the </w:t>
      </w:r>
      <w:r w:rsidR="00AD23F9">
        <w:rPr>
          <w:rFonts w:ascii="Book Antiqua" w:hAnsi="Book Antiqua"/>
          <w:sz w:val="24"/>
          <w:szCs w:val="24"/>
        </w:rPr>
        <w:t xml:space="preserve">JRA </w:t>
      </w:r>
      <w:r w:rsidRPr="00DE745D">
        <w:rPr>
          <w:rFonts w:ascii="Book Antiqua" w:hAnsi="Book Antiqua"/>
          <w:sz w:val="24"/>
          <w:szCs w:val="24"/>
        </w:rPr>
        <w:t xml:space="preserve">proceeding and the written submissions of the parties filed in the </w:t>
      </w:r>
      <w:r w:rsidR="00AD23F9">
        <w:rPr>
          <w:rFonts w:ascii="Book Antiqua" w:hAnsi="Book Antiqua"/>
          <w:sz w:val="24"/>
          <w:szCs w:val="24"/>
        </w:rPr>
        <w:t xml:space="preserve">JRA </w:t>
      </w:r>
      <w:r w:rsidRPr="00DE745D">
        <w:rPr>
          <w:rFonts w:ascii="Book Antiqua" w:hAnsi="Book Antiqua"/>
          <w:sz w:val="24"/>
          <w:szCs w:val="24"/>
        </w:rPr>
        <w:t>proceeding.</w:t>
      </w:r>
    </w:p>
    <w:p w14:paraId="042A962D" w14:textId="77777777" w:rsidR="00D202F9" w:rsidRPr="00DE745D" w:rsidRDefault="00D202F9"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Unnecessary or duplicated documents are not to be included.  However, if it appears that a necessary document has been omitted from the court book, the tender of that document in evidence at the hearing will not be rejected for that reason.</w:t>
      </w:r>
    </w:p>
    <w:p w14:paraId="70CFFA9C" w14:textId="77777777" w:rsidR="00D202F9" w:rsidRPr="00DE745D" w:rsidRDefault="00D202F9"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The court book should contain copies of documents only and not original documents.</w:t>
      </w:r>
    </w:p>
    <w:p w14:paraId="75CE30B3" w14:textId="77777777" w:rsidR="00D202F9" w:rsidRPr="00DE745D" w:rsidRDefault="00D202F9"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A document in the court book may be tendered as authentic without formal proof unless a party objects.  If a party intends to object to the authenticity of a document, it should notify all other parties as soon as practicable.</w:t>
      </w:r>
    </w:p>
    <w:p w14:paraId="022F30F4" w14:textId="77777777" w:rsidR="00D202F9" w:rsidRPr="00DE745D" w:rsidRDefault="00D202F9"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Generally:</w:t>
      </w:r>
    </w:p>
    <w:p w14:paraId="67759FBC" w14:textId="77777777" w:rsidR="00D202F9" w:rsidRPr="00DE745D" w:rsidRDefault="00D202F9" w:rsidP="00D16FC1">
      <w:pPr>
        <w:pStyle w:val="ListParagraph"/>
        <w:numPr>
          <w:ilvl w:val="1"/>
          <w:numId w:val="20"/>
        </w:numPr>
        <w:autoSpaceDE w:val="0"/>
        <w:autoSpaceDN w:val="0"/>
        <w:adjustRightInd w:val="0"/>
        <w:spacing w:before="120" w:after="120"/>
        <w:ind w:left="1440" w:hanging="360"/>
        <w:contextualSpacing w:val="0"/>
        <w:jc w:val="both"/>
        <w:rPr>
          <w:rFonts w:ascii="Book Antiqua" w:hAnsi="Book Antiqua"/>
          <w:sz w:val="24"/>
          <w:szCs w:val="24"/>
        </w:rPr>
      </w:pPr>
      <w:r w:rsidRPr="00DE745D">
        <w:rPr>
          <w:rFonts w:ascii="Book Antiqua" w:hAnsi="Book Antiqua"/>
          <w:sz w:val="24"/>
          <w:szCs w:val="24"/>
        </w:rPr>
        <w:t>the court book should contain an index of its contents and each page of the court book should be paginated;</w:t>
      </w:r>
    </w:p>
    <w:p w14:paraId="267DD7C0" w14:textId="77777777" w:rsidR="00D202F9" w:rsidRPr="00DE745D" w:rsidRDefault="00D202F9" w:rsidP="00D16FC1">
      <w:pPr>
        <w:pStyle w:val="ListParagraph"/>
        <w:numPr>
          <w:ilvl w:val="1"/>
          <w:numId w:val="20"/>
        </w:numPr>
        <w:autoSpaceDE w:val="0"/>
        <w:autoSpaceDN w:val="0"/>
        <w:adjustRightInd w:val="0"/>
        <w:spacing w:before="120" w:after="120"/>
        <w:ind w:left="1440" w:hanging="360"/>
        <w:contextualSpacing w:val="0"/>
        <w:jc w:val="both"/>
        <w:rPr>
          <w:rFonts w:ascii="Book Antiqua" w:hAnsi="Book Antiqua"/>
          <w:sz w:val="24"/>
          <w:szCs w:val="24"/>
        </w:rPr>
      </w:pPr>
      <w:r w:rsidRPr="00DE745D">
        <w:rPr>
          <w:rFonts w:ascii="Book Antiqua" w:hAnsi="Book Antiqua"/>
          <w:sz w:val="24"/>
          <w:szCs w:val="24"/>
        </w:rPr>
        <w:t>the index should list the documents in chronological order; and</w:t>
      </w:r>
    </w:p>
    <w:p w14:paraId="44CAB32C" w14:textId="77777777" w:rsidR="00D202F9" w:rsidRPr="00DE745D" w:rsidRDefault="00D202F9" w:rsidP="00D16FC1">
      <w:pPr>
        <w:pStyle w:val="ListParagraph"/>
        <w:numPr>
          <w:ilvl w:val="1"/>
          <w:numId w:val="20"/>
        </w:numPr>
        <w:autoSpaceDE w:val="0"/>
        <w:autoSpaceDN w:val="0"/>
        <w:adjustRightInd w:val="0"/>
        <w:spacing w:before="120" w:after="120"/>
        <w:ind w:left="1440" w:hanging="360"/>
        <w:contextualSpacing w:val="0"/>
        <w:jc w:val="both"/>
        <w:rPr>
          <w:rFonts w:ascii="Book Antiqua" w:hAnsi="Book Antiqua"/>
          <w:sz w:val="24"/>
          <w:szCs w:val="24"/>
        </w:rPr>
      </w:pPr>
      <w:r w:rsidRPr="00DE745D">
        <w:rPr>
          <w:rFonts w:ascii="Book Antiqua" w:hAnsi="Book Antiqua"/>
          <w:sz w:val="24"/>
          <w:szCs w:val="24"/>
        </w:rPr>
        <w:t>the index should include at least the following descriptive fields or categories:</w:t>
      </w:r>
    </w:p>
    <w:p w14:paraId="2F487155" w14:textId="39E28678" w:rsidR="00D202F9" w:rsidRPr="00DE745D" w:rsidRDefault="00D202F9" w:rsidP="00D16FC1">
      <w:pPr>
        <w:pStyle w:val="ListParagraph"/>
        <w:numPr>
          <w:ilvl w:val="1"/>
          <w:numId w:val="21"/>
        </w:numPr>
        <w:autoSpaceDE w:val="0"/>
        <w:autoSpaceDN w:val="0"/>
        <w:adjustRightInd w:val="0"/>
        <w:spacing w:before="120" w:after="120"/>
        <w:ind w:left="2160" w:hanging="180"/>
        <w:contextualSpacing w:val="0"/>
        <w:jc w:val="both"/>
        <w:rPr>
          <w:rFonts w:ascii="Book Antiqua" w:hAnsi="Book Antiqua"/>
          <w:sz w:val="24"/>
          <w:szCs w:val="24"/>
        </w:rPr>
      </w:pPr>
      <w:r w:rsidRPr="00DE745D">
        <w:rPr>
          <w:rFonts w:ascii="Book Antiqua" w:hAnsi="Book Antiqua"/>
          <w:sz w:val="24"/>
          <w:szCs w:val="24"/>
        </w:rPr>
        <w:lastRenderedPageBreak/>
        <w:t>court book number (which must run sequentially from beginning to end);</w:t>
      </w:r>
    </w:p>
    <w:p w14:paraId="09309543" w14:textId="77777777" w:rsidR="00D202F9" w:rsidRPr="00DE745D" w:rsidRDefault="00D202F9" w:rsidP="00D16FC1">
      <w:pPr>
        <w:pStyle w:val="ListParagraph"/>
        <w:numPr>
          <w:ilvl w:val="1"/>
          <w:numId w:val="21"/>
        </w:numPr>
        <w:autoSpaceDE w:val="0"/>
        <w:autoSpaceDN w:val="0"/>
        <w:adjustRightInd w:val="0"/>
        <w:spacing w:before="120" w:after="120"/>
        <w:ind w:left="2160" w:hanging="180"/>
        <w:contextualSpacing w:val="0"/>
        <w:jc w:val="both"/>
        <w:rPr>
          <w:rFonts w:ascii="Book Antiqua" w:hAnsi="Book Antiqua"/>
          <w:sz w:val="24"/>
          <w:szCs w:val="24"/>
        </w:rPr>
      </w:pPr>
      <w:r w:rsidRPr="00DE745D">
        <w:rPr>
          <w:rFonts w:ascii="Book Antiqua" w:hAnsi="Book Antiqua"/>
          <w:sz w:val="24"/>
          <w:szCs w:val="24"/>
        </w:rPr>
        <w:t>document date;</w:t>
      </w:r>
    </w:p>
    <w:p w14:paraId="27DAD47A" w14:textId="77777777" w:rsidR="00D202F9" w:rsidRPr="00DE745D" w:rsidRDefault="00D202F9" w:rsidP="00D16FC1">
      <w:pPr>
        <w:pStyle w:val="ListParagraph"/>
        <w:numPr>
          <w:ilvl w:val="1"/>
          <w:numId w:val="21"/>
        </w:numPr>
        <w:autoSpaceDE w:val="0"/>
        <w:autoSpaceDN w:val="0"/>
        <w:adjustRightInd w:val="0"/>
        <w:spacing w:before="120" w:after="120"/>
        <w:ind w:left="2160" w:hanging="180"/>
        <w:contextualSpacing w:val="0"/>
        <w:jc w:val="both"/>
        <w:rPr>
          <w:rFonts w:ascii="Book Antiqua" w:hAnsi="Book Antiqua"/>
          <w:sz w:val="24"/>
          <w:szCs w:val="24"/>
        </w:rPr>
      </w:pPr>
      <w:r w:rsidRPr="00DE745D">
        <w:rPr>
          <w:rFonts w:ascii="Book Antiqua" w:hAnsi="Book Antiqua"/>
          <w:sz w:val="24"/>
          <w:szCs w:val="24"/>
        </w:rPr>
        <w:t>document description;</w:t>
      </w:r>
    </w:p>
    <w:p w14:paraId="11161B73" w14:textId="77777777" w:rsidR="00D202F9" w:rsidRPr="00DE745D" w:rsidRDefault="00D202F9" w:rsidP="00D16FC1">
      <w:pPr>
        <w:pStyle w:val="ListParagraph"/>
        <w:numPr>
          <w:ilvl w:val="1"/>
          <w:numId w:val="21"/>
        </w:numPr>
        <w:autoSpaceDE w:val="0"/>
        <w:autoSpaceDN w:val="0"/>
        <w:adjustRightInd w:val="0"/>
        <w:spacing w:before="120" w:after="120"/>
        <w:ind w:left="2160" w:hanging="180"/>
        <w:contextualSpacing w:val="0"/>
        <w:jc w:val="both"/>
        <w:rPr>
          <w:rFonts w:ascii="Book Antiqua" w:hAnsi="Book Antiqua"/>
          <w:sz w:val="24"/>
          <w:szCs w:val="24"/>
        </w:rPr>
      </w:pPr>
      <w:r w:rsidRPr="00DE745D">
        <w:rPr>
          <w:rFonts w:ascii="Book Antiqua" w:hAnsi="Book Antiqua"/>
          <w:sz w:val="24"/>
          <w:szCs w:val="24"/>
        </w:rPr>
        <w:t>document source or provenance;</w:t>
      </w:r>
    </w:p>
    <w:p w14:paraId="1827B710" w14:textId="77777777" w:rsidR="00D202F9" w:rsidRPr="00DE745D" w:rsidRDefault="00D202F9" w:rsidP="00D16FC1">
      <w:pPr>
        <w:pStyle w:val="ListParagraph"/>
        <w:numPr>
          <w:ilvl w:val="1"/>
          <w:numId w:val="21"/>
        </w:numPr>
        <w:autoSpaceDE w:val="0"/>
        <w:autoSpaceDN w:val="0"/>
        <w:adjustRightInd w:val="0"/>
        <w:spacing w:before="120" w:after="120"/>
        <w:ind w:left="2160" w:hanging="180"/>
        <w:contextualSpacing w:val="0"/>
        <w:jc w:val="both"/>
        <w:rPr>
          <w:rFonts w:ascii="Book Antiqua" w:hAnsi="Book Antiqua"/>
          <w:sz w:val="24"/>
          <w:szCs w:val="24"/>
        </w:rPr>
      </w:pPr>
      <w:r w:rsidRPr="00DE745D">
        <w:rPr>
          <w:rFonts w:ascii="Book Antiqua" w:hAnsi="Book Antiqua"/>
          <w:sz w:val="24"/>
          <w:szCs w:val="24"/>
        </w:rPr>
        <w:t>court book page number at which the document commences; and</w:t>
      </w:r>
    </w:p>
    <w:p w14:paraId="46A6A1B3" w14:textId="77777777" w:rsidR="00D202F9" w:rsidRPr="00DE745D" w:rsidRDefault="00D202F9" w:rsidP="00D16FC1">
      <w:pPr>
        <w:pStyle w:val="ListParagraph"/>
        <w:numPr>
          <w:ilvl w:val="1"/>
          <w:numId w:val="21"/>
        </w:numPr>
        <w:autoSpaceDE w:val="0"/>
        <w:autoSpaceDN w:val="0"/>
        <w:adjustRightInd w:val="0"/>
        <w:spacing w:before="120" w:after="120"/>
        <w:ind w:left="2160" w:hanging="180"/>
        <w:contextualSpacing w:val="0"/>
        <w:jc w:val="both"/>
        <w:rPr>
          <w:rFonts w:ascii="Book Antiqua" w:hAnsi="Book Antiqua"/>
          <w:sz w:val="24"/>
          <w:szCs w:val="24"/>
        </w:rPr>
      </w:pPr>
      <w:r w:rsidRPr="00DE745D">
        <w:rPr>
          <w:rFonts w:ascii="Book Antiqua" w:hAnsi="Book Antiqua"/>
          <w:sz w:val="24"/>
          <w:szCs w:val="24"/>
        </w:rPr>
        <w:t>court book page number at which the document ends.</w:t>
      </w:r>
    </w:p>
    <w:p w14:paraId="01963569" w14:textId="77777777" w:rsidR="00D202F9" w:rsidRDefault="00D202F9"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 xml:space="preserve">The Court will generally order that a single </w:t>
      </w:r>
      <w:r w:rsidR="002430E2">
        <w:rPr>
          <w:rFonts w:ascii="Book Antiqua" w:hAnsi="Book Antiqua"/>
          <w:sz w:val="24"/>
          <w:szCs w:val="24"/>
        </w:rPr>
        <w:t xml:space="preserve">combined </w:t>
      </w:r>
      <w:r w:rsidR="000E693A">
        <w:rPr>
          <w:rFonts w:ascii="Book Antiqua" w:hAnsi="Book Antiqua"/>
          <w:sz w:val="24"/>
          <w:szCs w:val="24"/>
        </w:rPr>
        <w:t xml:space="preserve">indexed </w:t>
      </w:r>
      <w:r w:rsidR="002430E2">
        <w:rPr>
          <w:rFonts w:ascii="Book Antiqua" w:hAnsi="Book Antiqua"/>
          <w:sz w:val="24"/>
          <w:szCs w:val="24"/>
        </w:rPr>
        <w:t>electronic</w:t>
      </w:r>
      <w:r w:rsidR="002430E2" w:rsidRPr="00DE745D">
        <w:rPr>
          <w:rFonts w:ascii="Book Antiqua" w:hAnsi="Book Antiqua"/>
          <w:sz w:val="24"/>
          <w:szCs w:val="24"/>
        </w:rPr>
        <w:t xml:space="preserve"> </w:t>
      </w:r>
      <w:r w:rsidRPr="00DE745D">
        <w:rPr>
          <w:rFonts w:ascii="Book Antiqua" w:hAnsi="Book Antiqua"/>
          <w:sz w:val="24"/>
          <w:szCs w:val="24"/>
        </w:rPr>
        <w:t>book of authorities be prepared by the plaintiff/applican</w:t>
      </w:r>
      <w:r w:rsidR="00615F4F">
        <w:rPr>
          <w:rFonts w:ascii="Book Antiqua" w:hAnsi="Book Antiqua"/>
          <w:sz w:val="24"/>
          <w:szCs w:val="24"/>
        </w:rPr>
        <w:t xml:space="preserve">t/appellant for the use of the </w:t>
      </w:r>
      <w:r w:rsidR="00292C1C">
        <w:rPr>
          <w:rFonts w:ascii="Book Antiqua" w:hAnsi="Book Antiqua"/>
          <w:sz w:val="24"/>
          <w:szCs w:val="24"/>
        </w:rPr>
        <w:t>Court</w:t>
      </w:r>
      <w:r w:rsidRPr="00DE745D">
        <w:rPr>
          <w:rFonts w:ascii="Book Antiqua" w:hAnsi="Book Antiqua"/>
          <w:sz w:val="24"/>
          <w:szCs w:val="24"/>
        </w:rPr>
        <w:t>, following an exchange of lists of authorities between the parties.  Where only a short part of a lengthy authority is relied upon, that part should be identified in the index of authorities and the parties should use their discretion as to the part or parts to be included in the book of authorities.</w:t>
      </w:r>
    </w:p>
    <w:p w14:paraId="7A8BA767" w14:textId="77777777" w:rsidR="00164249" w:rsidRPr="00DE745D" w:rsidRDefault="000E693A"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One or more of the</w:t>
      </w:r>
      <w:r w:rsidR="00164249">
        <w:rPr>
          <w:rFonts w:ascii="Book Antiqua" w:hAnsi="Book Antiqua"/>
          <w:sz w:val="24"/>
          <w:szCs w:val="24"/>
        </w:rPr>
        <w:t xml:space="preserve"> standard authorities listed in Schedule </w:t>
      </w:r>
      <w:r w:rsidR="00B21DCB">
        <w:rPr>
          <w:rFonts w:ascii="Book Antiqua" w:hAnsi="Book Antiqua"/>
          <w:sz w:val="24"/>
          <w:szCs w:val="24"/>
        </w:rPr>
        <w:t xml:space="preserve">1 </w:t>
      </w:r>
      <w:r>
        <w:rPr>
          <w:rFonts w:ascii="Book Antiqua" w:hAnsi="Book Antiqua"/>
          <w:sz w:val="24"/>
          <w:szCs w:val="24"/>
        </w:rPr>
        <w:t xml:space="preserve">may be referred to in the index of authorities if relevant, but no copies of those standard authorities </w:t>
      </w:r>
      <w:r w:rsidR="009B065D">
        <w:rPr>
          <w:rFonts w:ascii="Book Antiqua" w:hAnsi="Book Antiqua"/>
          <w:sz w:val="24"/>
          <w:szCs w:val="24"/>
        </w:rPr>
        <w:t>are</w:t>
      </w:r>
      <w:r w:rsidR="00786603">
        <w:rPr>
          <w:rFonts w:ascii="Book Antiqua" w:hAnsi="Book Antiqua"/>
          <w:sz w:val="24"/>
          <w:szCs w:val="24"/>
        </w:rPr>
        <w:t xml:space="preserve"> </w:t>
      </w:r>
      <w:r w:rsidR="009B065D">
        <w:rPr>
          <w:rFonts w:ascii="Book Antiqua" w:hAnsi="Book Antiqua"/>
          <w:sz w:val="24"/>
          <w:szCs w:val="24"/>
        </w:rPr>
        <w:t xml:space="preserve">to </w:t>
      </w:r>
      <w:r w:rsidR="00164249">
        <w:rPr>
          <w:rFonts w:ascii="Book Antiqua" w:hAnsi="Book Antiqua"/>
          <w:sz w:val="24"/>
          <w:szCs w:val="24"/>
        </w:rPr>
        <w:t xml:space="preserve">be included in the combined electronic book of authorities provided to the Court. Parties may assume that the </w:t>
      </w:r>
      <w:r w:rsidR="006859D4">
        <w:rPr>
          <w:rFonts w:ascii="Book Antiqua" w:hAnsi="Book Antiqua"/>
          <w:sz w:val="24"/>
          <w:szCs w:val="24"/>
        </w:rPr>
        <w:t xml:space="preserve">Court </w:t>
      </w:r>
      <w:r w:rsidR="00292C1C">
        <w:rPr>
          <w:rFonts w:ascii="Book Antiqua" w:hAnsi="Book Antiqua"/>
          <w:sz w:val="24"/>
          <w:szCs w:val="24"/>
        </w:rPr>
        <w:t xml:space="preserve">has access to the authorities in Schedule </w:t>
      </w:r>
      <w:r w:rsidR="0093586D">
        <w:rPr>
          <w:rFonts w:ascii="Book Antiqua" w:hAnsi="Book Antiqua"/>
          <w:sz w:val="24"/>
          <w:szCs w:val="24"/>
        </w:rPr>
        <w:t>1</w:t>
      </w:r>
      <w:r w:rsidR="00292C1C">
        <w:rPr>
          <w:rFonts w:ascii="Book Antiqua" w:hAnsi="Book Antiqua"/>
          <w:sz w:val="24"/>
          <w:szCs w:val="24"/>
        </w:rPr>
        <w:t>.</w:t>
      </w:r>
    </w:p>
    <w:p w14:paraId="5AA20557" w14:textId="77777777" w:rsidR="00300EE4" w:rsidRPr="00C97AA1" w:rsidRDefault="00300EE4" w:rsidP="00D16FC1">
      <w:pPr>
        <w:autoSpaceDE w:val="0"/>
        <w:autoSpaceDN w:val="0"/>
        <w:adjustRightInd w:val="0"/>
        <w:spacing w:before="120" w:after="120"/>
        <w:jc w:val="both"/>
        <w:rPr>
          <w:rFonts w:ascii="Book Antiqua" w:hAnsi="Book Antiqua"/>
          <w:b/>
        </w:rPr>
      </w:pPr>
    </w:p>
    <w:p w14:paraId="14B3C7C7" w14:textId="77777777" w:rsidR="00300EE4" w:rsidRDefault="00300EE4" w:rsidP="00D16FC1">
      <w:pPr>
        <w:pStyle w:val="ListParagraph"/>
        <w:numPr>
          <w:ilvl w:val="0"/>
          <w:numId w:val="2"/>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USE OF TECHNOLOGY</w:t>
      </w:r>
    </w:p>
    <w:p w14:paraId="5003E9B8" w14:textId="77777777" w:rsidR="00300EE4" w:rsidRDefault="00300EE4"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The provisions of Practice Note SC Gen 5 “Technology in Civil Litigation” apply to proceedings in the List.</w:t>
      </w:r>
    </w:p>
    <w:p w14:paraId="412A1C2C" w14:textId="77777777" w:rsidR="00300EE4" w:rsidRDefault="00300EE4"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For the purposes of paragraph 9.11 of that Practice Note, documentary evidence in excess of 1500 pages is to be considered a large amount of documentary evidence.  </w:t>
      </w:r>
    </w:p>
    <w:p w14:paraId="0787A625" w14:textId="6C412540" w:rsidR="007D66AA" w:rsidRDefault="007D66AA" w:rsidP="00D16FC1">
      <w:pPr>
        <w:autoSpaceDE w:val="0"/>
        <w:autoSpaceDN w:val="0"/>
        <w:adjustRightInd w:val="0"/>
        <w:spacing w:before="120" w:after="120"/>
        <w:jc w:val="both"/>
        <w:rPr>
          <w:rFonts w:ascii="Book Antiqua" w:hAnsi="Book Antiqua"/>
          <w:b/>
        </w:rPr>
      </w:pPr>
    </w:p>
    <w:p w14:paraId="1AF950C3" w14:textId="77777777" w:rsidR="00C915F4" w:rsidRDefault="00C915F4" w:rsidP="00D16FC1">
      <w:pPr>
        <w:pStyle w:val="ListParagraph"/>
        <w:keepNext/>
        <w:numPr>
          <w:ilvl w:val="0"/>
          <w:numId w:val="37"/>
        </w:numPr>
        <w:autoSpaceDE w:val="0"/>
        <w:autoSpaceDN w:val="0"/>
        <w:spacing w:before="120" w:after="120"/>
        <w:contextualSpacing w:val="0"/>
        <w:rPr>
          <w:rFonts w:ascii="Book Antiqua" w:hAnsi="Book Antiqua"/>
          <w:b/>
          <w:bCs/>
          <w:sz w:val="24"/>
          <w:szCs w:val="24"/>
        </w:rPr>
      </w:pPr>
      <w:r>
        <w:rPr>
          <w:rFonts w:ascii="Book Antiqua" w:hAnsi="Book Antiqua"/>
          <w:b/>
          <w:bCs/>
          <w:sz w:val="24"/>
          <w:szCs w:val="24"/>
        </w:rPr>
        <w:t>TRANSCRIPT</w:t>
      </w:r>
    </w:p>
    <w:p w14:paraId="699BF63F" w14:textId="0C6DDAD7" w:rsidR="00C915F4" w:rsidRDefault="00C915F4" w:rsidP="00D16FC1">
      <w:pPr>
        <w:pStyle w:val="ListParagraph"/>
        <w:numPr>
          <w:ilvl w:val="1"/>
          <w:numId w:val="37"/>
        </w:numPr>
        <w:spacing w:before="120" w:after="120"/>
        <w:contextualSpacing w:val="0"/>
        <w:jc w:val="both"/>
        <w:rPr>
          <w:rFonts w:ascii="Book Antiqua" w:hAnsi="Book Antiqua"/>
          <w:sz w:val="24"/>
          <w:szCs w:val="24"/>
        </w:rPr>
      </w:pPr>
      <w:r>
        <w:rPr>
          <w:rFonts w:ascii="Book Antiqua" w:hAnsi="Book Antiqua"/>
          <w:sz w:val="24"/>
          <w:szCs w:val="24"/>
        </w:rPr>
        <w:t>Practice Note SC Gen 7 is applicable to the requirements for transcript in relation to proceedings in the List.</w:t>
      </w:r>
    </w:p>
    <w:p w14:paraId="56AEDA38" w14:textId="524AD3A9" w:rsidR="00662526" w:rsidRPr="00662526" w:rsidRDefault="00D20140" w:rsidP="00D16FC1">
      <w:pPr>
        <w:pStyle w:val="ListParagraph"/>
        <w:numPr>
          <w:ilvl w:val="1"/>
          <w:numId w:val="37"/>
        </w:numPr>
        <w:spacing w:before="120" w:after="120"/>
        <w:contextualSpacing w:val="0"/>
        <w:jc w:val="both"/>
        <w:rPr>
          <w:rFonts w:ascii="Book Antiqua" w:hAnsi="Book Antiqua"/>
          <w:sz w:val="24"/>
          <w:szCs w:val="24"/>
        </w:rPr>
      </w:pPr>
      <w:r>
        <w:rPr>
          <w:rFonts w:ascii="Book Antiqua" w:hAnsi="Book Antiqua"/>
          <w:sz w:val="24"/>
          <w:szCs w:val="24"/>
        </w:rPr>
        <w:t>For the purposes of Practice Note SC Gen 7, u</w:t>
      </w:r>
      <w:r w:rsidR="005026E5" w:rsidRPr="00662526">
        <w:rPr>
          <w:rFonts w:ascii="Book Antiqua" w:hAnsi="Book Antiqua"/>
          <w:sz w:val="24"/>
          <w:szCs w:val="24"/>
        </w:rPr>
        <w:t xml:space="preserve">nless </w:t>
      </w:r>
      <w:r>
        <w:rPr>
          <w:rFonts w:ascii="Book Antiqua" w:hAnsi="Book Antiqua"/>
          <w:sz w:val="24"/>
          <w:szCs w:val="24"/>
        </w:rPr>
        <w:t xml:space="preserve">in a particular case </w:t>
      </w:r>
      <w:r w:rsidR="005026E5" w:rsidRPr="00662526">
        <w:rPr>
          <w:rFonts w:ascii="Book Antiqua" w:hAnsi="Book Antiqua"/>
          <w:sz w:val="24"/>
          <w:szCs w:val="24"/>
        </w:rPr>
        <w:t>parties are advised otherwise</w:t>
      </w:r>
      <w:r w:rsidR="00662526" w:rsidRPr="00662526">
        <w:rPr>
          <w:rFonts w:ascii="Book Antiqua" w:hAnsi="Book Antiqua"/>
          <w:sz w:val="24"/>
          <w:szCs w:val="24"/>
        </w:rPr>
        <w:t>:</w:t>
      </w:r>
    </w:p>
    <w:p w14:paraId="22FF28AA" w14:textId="06969A27" w:rsidR="00662526" w:rsidRDefault="00662526" w:rsidP="00D16FC1">
      <w:pPr>
        <w:pStyle w:val="ListParagraph"/>
        <w:numPr>
          <w:ilvl w:val="0"/>
          <w:numId w:val="42"/>
        </w:numPr>
        <w:spacing w:before="120" w:after="120"/>
        <w:contextualSpacing w:val="0"/>
        <w:jc w:val="both"/>
        <w:rPr>
          <w:rFonts w:ascii="Book Antiqua" w:hAnsi="Book Antiqua"/>
          <w:sz w:val="24"/>
          <w:szCs w:val="24"/>
        </w:rPr>
      </w:pPr>
      <w:r w:rsidRPr="00662526">
        <w:rPr>
          <w:rFonts w:ascii="Book Antiqua" w:hAnsi="Book Antiqua"/>
          <w:sz w:val="24"/>
          <w:szCs w:val="24"/>
        </w:rPr>
        <w:t>‘</w:t>
      </w:r>
      <w:r w:rsidR="00D20140">
        <w:rPr>
          <w:rFonts w:ascii="Book Antiqua" w:hAnsi="Book Antiqua"/>
          <w:sz w:val="24"/>
          <w:szCs w:val="24"/>
        </w:rPr>
        <w:t>Real-Time</w:t>
      </w:r>
      <w:r w:rsidRPr="00662526">
        <w:rPr>
          <w:rFonts w:ascii="Book Antiqua" w:hAnsi="Book Antiqua"/>
          <w:sz w:val="24"/>
          <w:szCs w:val="24"/>
        </w:rPr>
        <w:t xml:space="preserve">’ transcript is </w:t>
      </w:r>
      <w:r w:rsidR="00D20140">
        <w:rPr>
          <w:rFonts w:ascii="Book Antiqua" w:hAnsi="Book Antiqua"/>
          <w:sz w:val="24"/>
          <w:szCs w:val="24"/>
        </w:rPr>
        <w:t xml:space="preserve">not </w:t>
      </w:r>
      <w:r w:rsidRPr="00662526">
        <w:rPr>
          <w:rFonts w:ascii="Book Antiqua" w:hAnsi="Book Antiqua"/>
          <w:sz w:val="24"/>
          <w:szCs w:val="24"/>
        </w:rPr>
        <w:t xml:space="preserve">required for </w:t>
      </w:r>
      <w:r w:rsidR="00D20140">
        <w:rPr>
          <w:rFonts w:ascii="Book Antiqua" w:hAnsi="Book Antiqua"/>
          <w:sz w:val="24"/>
          <w:szCs w:val="24"/>
        </w:rPr>
        <w:t>any proceeding in the List</w:t>
      </w:r>
      <w:r>
        <w:rPr>
          <w:rFonts w:ascii="Book Antiqua" w:hAnsi="Book Antiqua"/>
          <w:sz w:val="24"/>
          <w:szCs w:val="24"/>
        </w:rPr>
        <w:t>;</w:t>
      </w:r>
    </w:p>
    <w:p w14:paraId="14C7614B" w14:textId="133A9DD0" w:rsidR="00850DD8" w:rsidRPr="00662526" w:rsidRDefault="00D20140" w:rsidP="00D16FC1">
      <w:pPr>
        <w:pStyle w:val="ListParagraph"/>
        <w:numPr>
          <w:ilvl w:val="0"/>
          <w:numId w:val="42"/>
        </w:numPr>
        <w:spacing w:before="120" w:after="120"/>
        <w:contextualSpacing w:val="0"/>
        <w:jc w:val="both"/>
        <w:rPr>
          <w:rFonts w:ascii="Book Antiqua" w:hAnsi="Book Antiqua"/>
          <w:sz w:val="24"/>
          <w:szCs w:val="24"/>
        </w:rPr>
      </w:pPr>
      <w:r>
        <w:rPr>
          <w:rFonts w:ascii="Book Antiqua" w:hAnsi="Book Antiqua"/>
          <w:sz w:val="24"/>
          <w:szCs w:val="24"/>
        </w:rPr>
        <w:t>‘Running’ transcript  (as distinct from ‘Real-Time’ transcript and from ‘Deferred’ transcript) is required for all trials and appeals in the List</w:t>
      </w:r>
      <w:r w:rsidR="00850DD8">
        <w:rPr>
          <w:rFonts w:ascii="Book Antiqua" w:hAnsi="Book Antiqua"/>
          <w:sz w:val="24"/>
          <w:szCs w:val="24"/>
        </w:rPr>
        <w:t xml:space="preserve">; </w:t>
      </w:r>
      <w:r w:rsidR="001E0029">
        <w:rPr>
          <w:rFonts w:ascii="Book Antiqua" w:hAnsi="Book Antiqua"/>
          <w:sz w:val="24"/>
          <w:szCs w:val="24"/>
        </w:rPr>
        <w:t>and</w:t>
      </w:r>
    </w:p>
    <w:p w14:paraId="25D9C2B5" w14:textId="6D68D2DF" w:rsidR="00662526" w:rsidRDefault="00662526" w:rsidP="00D16FC1">
      <w:pPr>
        <w:pStyle w:val="ListParagraph"/>
        <w:numPr>
          <w:ilvl w:val="0"/>
          <w:numId w:val="42"/>
        </w:numPr>
        <w:spacing w:before="120" w:after="120"/>
        <w:contextualSpacing w:val="0"/>
        <w:jc w:val="both"/>
        <w:rPr>
          <w:rFonts w:ascii="Book Antiqua" w:hAnsi="Book Antiqua"/>
          <w:sz w:val="24"/>
          <w:szCs w:val="24"/>
        </w:rPr>
      </w:pPr>
      <w:r w:rsidRPr="00662526">
        <w:rPr>
          <w:rFonts w:ascii="Book Antiqua" w:hAnsi="Book Antiqua"/>
          <w:sz w:val="24"/>
          <w:szCs w:val="24"/>
        </w:rPr>
        <w:t xml:space="preserve">transcript is not required </w:t>
      </w:r>
      <w:r w:rsidR="00D20140">
        <w:rPr>
          <w:rFonts w:ascii="Book Antiqua" w:hAnsi="Book Antiqua"/>
          <w:sz w:val="24"/>
          <w:szCs w:val="24"/>
        </w:rPr>
        <w:t xml:space="preserve">at all </w:t>
      </w:r>
      <w:r w:rsidRPr="00662526">
        <w:rPr>
          <w:rFonts w:ascii="Book Antiqua" w:hAnsi="Book Antiqua"/>
          <w:sz w:val="24"/>
          <w:szCs w:val="24"/>
        </w:rPr>
        <w:t xml:space="preserve">for directions hearings </w:t>
      </w:r>
      <w:r w:rsidR="00D20140">
        <w:rPr>
          <w:rFonts w:ascii="Book Antiqua" w:hAnsi="Book Antiqua"/>
          <w:sz w:val="24"/>
          <w:szCs w:val="24"/>
        </w:rPr>
        <w:t>or interlocutory applications</w:t>
      </w:r>
      <w:r>
        <w:rPr>
          <w:rFonts w:ascii="Book Antiqua" w:hAnsi="Book Antiqua"/>
          <w:sz w:val="24"/>
          <w:szCs w:val="24"/>
        </w:rPr>
        <w:t>.</w:t>
      </w:r>
    </w:p>
    <w:p w14:paraId="696EB5E3" w14:textId="77777777" w:rsidR="00AB7C50" w:rsidRPr="00AB7C50" w:rsidRDefault="00AB7C50" w:rsidP="00D16FC1">
      <w:pPr>
        <w:spacing w:before="120" w:after="120"/>
        <w:jc w:val="both"/>
        <w:rPr>
          <w:rFonts w:ascii="Book Antiqua" w:hAnsi="Book Antiqua"/>
        </w:rPr>
      </w:pPr>
    </w:p>
    <w:p w14:paraId="79FD8AF7" w14:textId="77777777" w:rsidR="002361DF" w:rsidRPr="00DE745D" w:rsidRDefault="002361DF" w:rsidP="00D16FC1">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DE745D">
        <w:rPr>
          <w:rFonts w:ascii="Book Antiqua" w:hAnsi="Book Antiqua"/>
          <w:b/>
          <w:sz w:val="24"/>
          <w:szCs w:val="24"/>
        </w:rPr>
        <w:lastRenderedPageBreak/>
        <w:t>COMMUNICATIONS WITH THE COURT</w:t>
      </w:r>
    </w:p>
    <w:p w14:paraId="0EC92869" w14:textId="77777777" w:rsidR="008A4357" w:rsidRPr="00DE745D" w:rsidRDefault="002361DF" w:rsidP="00D16FC1">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DE745D">
        <w:rPr>
          <w:rFonts w:ascii="Book Antiqua" w:hAnsi="Book Antiqua"/>
          <w:sz w:val="24"/>
          <w:szCs w:val="24"/>
        </w:rPr>
        <w:t>At all stages of the proceeding, communications with the Court should be by email with a copy to all other parties, and should be confined to uncontroversial matters.</w:t>
      </w:r>
      <w:r w:rsidR="003615E5" w:rsidRPr="00DE745D">
        <w:rPr>
          <w:rFonts w:ascii="Book Antiqua" w:hAnsi="Book Antiqua"/>
          <w:sz w:val="24"/>
          <w:szCs w:val="24"/>
        </w:rPr>
        <w:t xml:space="preserve"> </w:t>
      </w:r>
    </w:p>
    <w:p w14:paraId="561FEF3A" w14:textId="77777777" w:rsidR="008A4357" w:rsidRPr="00DE745D" w:rsidRDefault="008A4357"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DE745D">
        <w:rPr>
          <w:rFonts w:ascii="Book Antiqua" w:hAnsi="Book Antiqua"/>
          <w:sz w:val="24"/>
          <w:szCs w:val="24"/>
        </w:rPr>
        <w:t xml:space="preserve">Communications should be directed to </w:t>
      </w:r>
      <w:hyperlink r:id="rId17" w:history="1">
        <w:r w:rsidR="00C02A7C" w:rsidRPr="00553E98">
          <w:rPr>
            <w:rFonts w:ascii="Book Antiqua" w:hAnsi="Book Antiqua"/>
            <w:color w:val="0000FF"/>
            <w:sz w:val="24"/>
            <w:szCs w:val="24"/>
            <w:u w:val="single"/>
          </w:rPr>
          <w:t>judicialreview@supcourt.vic.gov.au</w:t>
        </w:r>
      </w:hyperlink>
      <w:r w:rsidR="00C02A7C" w:rsidRPr="00553E98">
        <w:rPr>
          <w:rFonts w:ascii="Book Antiqua" w:hAnsi="Book Antiqua"/>
          <w:sz w:val="24"/>
          <w:szCs w:val="24"/>
        </w:rPr>
        <w:t>.</w:t>
      </w:r>
      <w:r w:rsidR="00C02A7C" w:rsidRPr="00AD23F9">
        <w:rPr>
          <w:rFonts w:ascii="Book Antiqua" w:hAnsi="Book Antiqua"/>
          <w:sz w:val="24"/>
          <w:szCs w:val="24"/>
        </w:rPr>
        <w:t xml:space="preserve"> </w:t>
      </w:r>
    </w:p>
    <w:p w14:paraId="22296EEC" w14:textId="12057983" w:rsidR="00525B9D" w:rsidRPr="0035390E" w:rsidRDefault="00525B9D" w:rsidP="00D16FC1">
      <w:pPr>
        <w:pStyle w:val="ListParagraph"/>
        <w:numPr>
          <w:ilvl w:val="1"/>
          <w:numId w:val="2"/>
        </w:numPr>
        <w:autoSpaceDE w:val="0"/>
        <w:autoSpaceDN w:val="0"/>
        <w:adjustRightInd w:val="0"/>
        <w:spacing w:before="120" w:after="120"/>
        <w:contextualSpacing w:val="0"/>
        <w:jc w:val="both"/>
        <w:rPr>
          <w:rFonts w:ascii="Book Antiqua" w:hAnsi="Book Antiqua"/>
          <w:b/>
          <w:sz w:val="24"/>
          <w:szCs w:val="24"/>
        </w:rPr>
      </w:pPr>
      <w:r w:rsidRPr="00DE745D">
        <w:rPr>
          <w:rFonts w:ascii="Book Antiqua" w:hAnsi="Book Antiqua"/>
          <w:sz w:val="24"/>
          <w:szCs w:val="24"/>
        </w:rPr>
        <w:t xml:space="preserve">Parties are reminded that pursuant to rule 27.03(11)(b) of the </w:t>
      </w:r>
      <w:r w:rsidRPr="00DE745D">
        <w:rPr>
          <w:rFonts w:ascii="Book Antiqua" w:hAnsi="Book Antiqua"/>
          <w:i/>
          <w:sz w:val="24"/>
          <w:szCs w:val="24"/>
        </w:rPr>
        <w:t>Supreme Court (General Civil Procedure) Rules 2015</w:t>
      </w:r>
      <w:r w:rsidRPr="00DE745D">
        <w:rPr>
          <w:rFonts w:ascii="Book Antiqua" w:hAnsi="Book Antiqua"/>
          <w:sz w:val="24"/>
          <w:szCs w:val="24"/>
        </w:rPr>
        <w:t>, all court documents must include the name and email address of an individual to whom reference can be made in respect of the proceeding.</w:t>
      </w:r>
    </w:p>
    <w:p w14:paraId="7713498A" w14:textId="77777777" w:rsidR="0035390E" w:rsidRPr="0035390E" w:rsidRDefault="0035390E" w:rsidP="00D16FC1">
      <w:pPr>
        <w:autoSpaceDE w:val="0"/>
        <w:autoSpaceDN w:val="0"/>
        <w:adjustRightInd w:val="0"/>
        <w:spacing w:before="120" w:after="120"/>
        <w:jc w:val="both"/>
        <w:rPr>
          <w:rFonts w:ascii="Book Antiqua" w:hAnsi="Book Antiqua"/>
          <w:b/>
        </w:rPr>
      </w:pPr>
    </w:p>
    <w:p w14:paraId="115EDA90" w14:textId="77CA95AA" w:rsidR="0035390E" w:rsidRDefault="0035390E" w:rsidP="00D16FC1">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FURTHER INFORMATION</w:t>
      </w:r>
    </w:p>
    <w:p w14:paraId="7EF37297" w14:textId="2E0A7394" w:rsidR="0035390E" w:rsidRDefault="0035390E" w:rsidP="00D16FC1">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The Court’s website (</w:t>
      </w:r>
      <w:hyperlink r:id="rId18" w:history="1">
        <w:r w:rsidRPr="00280F19">
          <w:rPr>
            <w:rStyle w:val="Hyperlink"/>
            <w:rFonts w:ascii="Book Antiqua" w:hAnsi="Book Antiqua"/>
            <w:sz w:val="24"/>
            <w:szCs w:val="24"/>
          </w:rPr>
          <w:t>www.supremecourt.vic.gov.au</w:t>
        </w:r>
      </w:hyperlink>
      <w:r>
        <w:rPr>
          <w:rFonts w:ascii="Book Antiqua" w:hAnsi="Book Antiqua"/>
          <w:sz w:val="24"/>
          <w:szCs w:val="24"/>
        </w:rPr>
        <w:t xml:space="preserve">) includes </w:t>
      </w:r>
      <w:hyperlink r:id="rId19" w:history="1">
        <w:r w:rsidRPr="00806936">
          <w:rPr>
            <w:rStyle w:val="Hyperlink"/>
            <w:rFonts w:ascii="Book Antiqua" w:hAnsi="Book Antiqua"/>
            <w:sz w:val="24"/>
            <w:szCs w:val="24"/>
          </w:rPr>
          <w:t>a page dedicated to the List</w:t>
        </w:r>
      </w:hyperlink>
      <w:r>
        <w:rPr>
          <w:rFonts w:ascii="Book Antiqua" w:hAnsi="Book Antiqua"/>
          <w:sz w:val="24"/>
          <w:szCs w:val="24"/>
        </w:rPr>
        <w:t xml:space="preserve"> with up to date information about the operation of the List including:</w:t>
      </w:r>
    </w:p>
    <w:p w14:paraId="5C801878" w14:textId="77777777" w:rsidR="0035390E" w:rsidRDefault="0035390E" w:rsidP="00D16FC1">
      <w:pPr>
        <w:pStyle w:val="ListParagraph"/>
        <w:numPr>
          <w:ilvl w:val="1"/>
          <w:numId w:val="38"/>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rPr>
        <w:t>Judicial officers managing the List;</w:t>
      </w:r>
    </w:p>
    <w:p w14:paraId="3937991F" w14:textId="77777777" w:rsidR="0035390E" w:rsidRDefault="0035390E" w:rsidP="00D16FC1">
      <w:pPr>
        <w:pStyle w:val="ListParagraph"/>
        <w:numPr>
          <w:ilvl w:val="1"/>
          <w:numId w:val="38"/>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rPr>
        <w:t>Links to this Practice Note in Word and PDF formats;</w:t>
      </w:r>
    </w:p>
    <w:p w14:paraId="24FA18D3" w14:textId="32BF7196" w:rsidR="0035390E" w:rsidRDefault="0035390E" w:rsidP="00D16FC1">
      <w:pPr>
        <w:pStyle w:val="ListParagraph"/>
        <w:numPr>
          <w:ilvl w:val="1"/>
          <w:numId w:val="38"/>
        </w:numPr>
        <w:autoSpaceDE w:val="0"/>
        <w:autoSpaceDN w:val="0"/>
        <w:adjustRightInd w:val="0"/>
        <w:spacing w:before="120" w:after="120"/>
        <w:ind w:left="1440" w:hanging="540"/>
        <w:contextualSpacing w:val="0"/>
        <w:jc w:val="both"/>
        <w:rPr>
          <w:rFonts w:ascii="Book Antiqua" w:hAnsi="Book Antiqua"/>
          <w:sz w:val="24"/>
          <w:szCs w:val="24"/>
        </w:rPr>
      </w:pPr>
      <w:r>
        <w:rPr>
          <w:rFonts w:ascii="Book Antiqua" w:hAnsi="Book Antiqua"/>
          <w:sz w:val="24"/>
          <w:szCs w:val="24"/>
        </w:rPr>
        <w:t>Samples of standard directions orders;</w:t>
      </w:r>
    </w:p>
    <w:p w14:paraId="23BF9667" w14:textId="77777777" w:rsidR="0035390E" w:rsidRDefault="0035390E" w:rsidP="00D16FC1">
      <w:pPr>
        <w:pStyle w:val="ListParagraph"/>
        <w:numPr>
          <w:ilvl w:val="1"/>
          <w:numId w:val="38"/>
        </w:numPr>
        <w:autoSpaceDE w:val="0"/>
        <w:autoSpaceDN w:val="0"/>
        <w:adjustRightInd w:val="0"/>
        <w:spacing w:before="120" w:after="120"/>
        <w:ind w:left="1440" w:hanging="540"/>
        <w:contextualSpacing w:val="0"/>
        <w:jc w:val="both"/>
        <w:rPr>
          <w:rFonts w:ascii="Book Antiqua" w:hAnsi="Book Antiqua"/>
          <w:sz w:val="24"/>
          <w:szCs w:val="24"/>
        </w:rPr>
      </w:pPr>
      <w:r>
        <w:rPr>
          <w:rFonts w:ascii="Book Antiqua" w:hAnsi="Book Antiqua"/>
          <w:sz w:val="24"/>
          <w:szCs w:val="24"/>
        </w:rPr>
        <w:t>Dates for List directions days.</w:t>
      </w:r>
    </w:p>
    <w:p w14:paraId="2A9107F6" w14:textId="77777777" w:rsidR="00525B9D" w:rsidRPr="00DE745D" w:rsidRDefault="00525B9D" w:rsidP="00D16FC1">
      <w:pPr>
        <w:autoSpaceDE w:val="0"/>
        <w:autoSpaceDN w:val="0"/>
        <w:adjustRightInd w:val="0"/>
        <w:spacing w:before="120" w:after="120"/>
        <w:jc w:val="both"/>
        <w:rPr>
          <w:rFonts w:ascii="Book Antiqua" w:hAnsi="Book Antiqua"/>
          <w:b/>
        </w:rPr>
      </w:pPr>
    </w:p>
    <w:p w14:paraId="18EB3300" w14:textId="77777777" w:rsidR="003817CD" w:rsidRPr="00DE745D" w:rsidRDefault="00277B7B" w:rsidP="00D16FC1">
      <w:pPr>
        <w:autoSpaceDE w:val="0"/>
        <w:autoSpaceDN w:val="0"/>
        <w:adjustRightInd w:val="0"/>
        <w:spacing w:before="120" w:after="120"/>
        <w:jc w:val="both"/>
        <w:rPr>
          <w:rFonts w:ascii="Book Antiqua" w:hAnsi="Book Antiqua"/>
          <w:b/>
        </w:rPr>
      </w:pPr>
      <w:r w:rsidRPr="00DE745D">
        <w:rPr>
          <w:rFonts w:ascii="Book Antiqua" w:hAnsi="Book Antiqua"/>
          <w:b/>
        </w:rPr>
        <w:t>AMENDMENT HISTORY</w:t>
      </w:r>
    </w:p>
    <w:p w14:paraId="1210372F" w14:textId="77777777" w:rsidR="00AB3FFA" w:rsidRDefault="00DB05DF" w:rsidP="00D16FC1">
      <w:pPr>
        <w:spacing w:before="120" w:after="120"/>
        <w:jc w:val="both"/>
        <w:rPr>
          <w:rFonts w:ascii="Book Antiqua" w:hAnsi="Book Antiqua"/>
        </w:rPr>
      </w:pPr>
      <w:r>
        <w:rPr>
          <w:rFonts w:ascii="Book Antiqua" w:hAnsi="Book Antiqua"/>
        </w:rPr>
        <w:t>30</w:t>
      </w:r>
      <w:r w:rsidR="00277B7B" w:rsidRPr="00DE745D">
        <w:rPr>
          <w:rFonts w:ascii="Book Antiqua" w:hAnsi="Book Antiqua"/>
        </w:rPr>
        <w:t xml:space="preserve"> </w:t>
      </w:r>
      <w:r w:rsidR="00097AA6">
        <w:rPr>
          <w:rFonts w:ascii="Book Antiqua" w:hAnsi="Book Antiqua"/>
        </w:rPr>
        <w:t>January 2017</w:t>
      </w:r>
      <w:r w:rsidR="00277B7B" w:rsidRPr="00DE745D">
        <w:rPr>
          <w:rFonts w:ascii="Book Antiqua" w:hAnsi="Book Antiqua"/>
        </w:rPr>
        <w:t>: Th</w:t>
      </w:r>
      <w:r>
        <w:rPr>
          <w:rFonts w:ascii="Book Antiqua" w:hAnsi="Book Antiqua"/>
        </w:rPr>
        <w:t>is Practice Note was issued on 30</w:t>
      </w:r>
      <w:r w:rsidR="00277B7B" w:rsidRPr="00DE745D">
        <w:rPr>
          <w:rFonts w:ascii="Book Antiqua" w:hAnsi="Book Antiqua"/>
        </w:rPr>
        <w:t xml:space="preserve"> </w:t>
      </w:r>
      <w:r w:rsidR="00097AA6">
        <w:rPr>
          <w:rFonts w:ascii="Book Antiqua" w:hAnsi="Book Antiqua"/>
        </w:rPr>
        <w:t>January 2017</w:t>
      </w:r>
      <w:r w:rsidR="00B5759B">
        <w:rPr>
          <w:rFonts w:ascii="Book Antiqua" w:hAnsi="Book Antiqua"/>
        </w:rPr>
        <w:t xml:space="preserve"> </w:t>
      </w:r>
      <w:r w:rsidR="00277B7B" w:rsidRPr="00DE745D">
        <w:rPr>
          <w:rFonts w:ascii="Book Antiqua" w:hAnsi="Book Antiqua"/>
        </w:rPr>
        <w:t>and replaced Practice Note</w:t>
      </w:r>
      <w:r w:rsidR="00D00C42" w:rsidRPr="00DE745D">
        <w:rPr>
          <w:rFonts w:ascii="Book Antiqua" w:hAnsi="Book Antiqua"/>
        </w:rPr>
        <w:t xml:space="preserve"> No </w:t>
      </w:r>
      <w:r w:rsidR="00E71680" w:rsidRPr="00DE745D">
        <w:rPr>
          <w:rFonts w:ascii="Book Antiqua" w:hAnsi="Book Antiqua"/>
        </w:rPr>
        <w:t>9</w:t>
      </w:r>
      <w:r w:rsidR="00D00C42" w:rsidRPr="00DE745D">
        <w:rPr>
          <w:rFonts w:ascii="Book Antiqua" w:hAnsi="Book Antiqua"/>
        </w:rPr>
        <w:t xml:space="preserve"> of 201</w:t>
      </w:r>
      <w:r w:rsidR="0024636D" w:rsidRPr="00DE745D">
        <w:rPr>
          <w:rFonts w:ascii="Book Antiqua" w:hAnsi="Book Antiqua"/>
        </w:rPr>
        <w:t>5</w:t>
      </w:r>
      <w:r w:rsidR="00D00C42" w:rsidRPr="00DE745D">
        <w:rPr>
          <w:rFonts w:ascii="Book Antiqua" w:hAnsi="Book Antiqua"/>
        </w:rPr>
        <w:t>.</w:t>
      </w:r>
    </w:p>
    <w:p w14:paraId="1321B1B0" w14:textId="3EEF1F7F" w:rsidR="00B5759B" w:rsidRDefault="004350C8" w:rsidP="00D16FC1">
      <w:pPr>
        <w:spacing w:before="120" w:after="120"/>
        <w:jc w:val="both"/>
        <w:rPr>
          <w:rFonts w:ascii="Book Antiqua" w:hAnsi="Book Antiqua"/>
        </w:rPr>
      </w:pPr>
      <w:r>
        <w:rPr>
          <w:rFonts w:ascii="Book Antiqua" w:hAnsi="Book Antiqua"/>
        </w:rPr>
        <w:t xml:space="preserve">22 March </w:t>
      </w:r>
      <w:r w:rsidR="004C6A01">
        <w:rPr>
          <w:rFonts w:ascii="Book Antiqua" w:hAnsi="Book Antiqua"/>
        </w:rPr>
        <w:t>2018</w:t>
      </w:r>
      <w:r w:rsidR="00B5759B">
        <w:rPr>
          <w:rFonts w:ascii="Book Antiqua" w:hAnsi="Book Antiqua"/>
        </w:rPr>
        <w:t>: Amendments to paragraphs</w:t>
      </w:r>
      <w:r w:rsidR="00F30B51">
        <w:rPr>
          <w:rFonts w:ascii="Book Antiqua" w:hAnsi="Book Antiqua"/>
        </w:rPr>
        <w:t xml:space="preserve"> </w:t>
      </w:r>
      <w:r w:rsidR="004C6A01">
        <w:rPr>
          <w:rFonts w:ascii="Book Antiqua" w:hAnsi="Book Antiqua"/>
        </w:rPr>
        <w:t>1, 3, 4, 5, 6 and 9</w:t>
      </w:r>
      <w:r w:rsidR="00B5759B">
        <w:rPr>
          <w:rFonts w:ascii="Book Antiqua" w:hAnsi="Book Antiqua"/>
        </w:rPr>
        <w:t>.</w:t>
      </w:r>
    </w:p>
    <w:p w14:paraId="769819A9" w14:textId="6BD233D8" w:rsidR="00662526" w:rsidRPr="00DE745D" w:rsidRDefault="00662526" w:rsidP="00D16FC1">
      <w:pPr>
        <w:spacing w:before="120" w:after="120"/>
        <w:jc w:val="both"/>
        <w:rPr>
          <w:rFonts w:ascii="Book Antiqua" w:hAnsi="Book Antiqua"/>
        </w:rPr>
      </w:pPr>
      <w:r>
        <w:rPr>
          <w:rFonts w:ascii="Book Antiqua" w:hAnsi="Book Antiqua"/>
        </w:rPr>
        <w:t xml:space="preserve">12 September 2018: </w:t>
      </w:r>
      <w:r w:rsidR="001E5C1E">
        <w:rPr>
          <w:rFonts w:ascii="Book Antiqua" w:hAnsi="Book Antiqua"/>
        </w:rPr>
        <w:t>Amendments to paragraphs 1, 2, 3, 6, 9, 11, 12 and 13.</w:t>
      </w:r>
    </w:p>
    <w:p w14:paraId="0EAA557A" w14:textId="49281BFE" w:rsidR="00277B7B" w:rsidRDefault="00277B7B" w:rsidP="00D16FC1">
      <w:pPr>
        <w:spacing w:before="120" w:after="120"/>
        <w:ind w:left="720" w:hanging="720"/>
        <w:jc w:val="both"/>
        <w:rPr>
          <w:rFonts w:ascii="Book Antiqua" w:hAnsi="Book Antiqua"/>
        </w:rPr>
      </w:pPr>
    </w:p>
    <w:p w14:paraId="22C6C9F9" w14:textId="77777777" w:rsidR="00B77834" w:rsidRPr="00DE745D" w:rsidRDefault="00B77834" w:rsidP="00D16FC1">
      <w:pPr>
        <w:spacing w:before="120" w:after="120"/>
        <w:ind w:left="720" w:hanging="720"/>
        <w:jc w:val="both"/>
        <w:rPr>
          <w:rFonts w:ascii="Book Antiqua" w:hAnsi="Book Antiqua"/>
        </w:rPr>
      </w:pPr>
    </w:p>
    <w:p w14:paraId="379DE710" w14:textId="77777777" w:rsidR="00EB3E29" w:rsidRPr="000611B8" w:rsidRDefault="00EB3E29" w:rsidP="00D16FC1">
      <w:pPr>
        <w:spacing w:before="120" w:after="120"/>
        <w:ind w:left="720" w:hanging="720"/>
        <w:jc w:val="right"/>
        <w:rPr>
          <w:rFonts w:ascii="Book Antiqua" w:hAnsi="Book Antiqua"/>
        </w:rPr>
      </w:pPr>
      <w:r>
        <w:rPr>
          <w:rFonts w:ascii="Book Antiqua" w:hAnsi="Book Antiqua"/>
        </w:rPr>
        <w:t>Vivienne Macgillivray</w:t>
      </w:r>
    </w:p>
    <w:p w14:paraId="3FB61E10" w14:textId="77777777" w:rsidR="00EB3E29" w:rsidRPr="000611B8" w:rsidRDefault="00EB3E29" w:rsidP="00D16FC1">
      <w:pPr>
        <w:spacing w:before="120" w:after="120"/>
        <w:ind w:left="720" w:hanging="720"/>
        <w:jc w:val="right"/>
        <w:rPr>
          <w:rFonts w:ascii="Book Antiqua" w:hAnsi="Book Antiqua"/>
        </w:rPr>
      </w:pPr>
      <w:r w:rsidRPr="000611B8">
        <w:rPr>
          <w:rFonts w:ascii="Book Antiqua" w:hAnsi="Book Antiqua"/>
        </w:rPr>
        <w:t>Executive Associate to the Chief Justice</w:t>
      </w:r>
    </w:p>
    <w:p w14:paraId="48AC3011" w14:textId="545D7705" w:rsidR="00EB3E29" w:rsidRDefault="004E1149" w:rsidP="00D16FC1">
      <w:pPr>
        <w:spacing w:before="120" w:after="120"/>
        <w:ind w:left="720" w:hanging="720"/>
        <w:jc w:val="right"/>
        <w:rPr>
          <w:rFonts w:ascii="Book Antiqua" w:hAnsi="Book Antiqua"/>
        </w:rPr>
        <w:sectPr w:rsidR="00EB3E29" w:rsidSect="003817CD">
          <w:headerReference w:type="default" r:id="rId20"/>
          <w:footerReference w:type="default" r:id="rId21"/>
          <w:pgSz w:w="11906" w:h="16838"/>
          <w:pgMar w:top="1440" w:right="1440" w:bottom="1440" w:left="1440" w:header="708" w:footer="708" w:gutter="0"/>
          <w:cols w:space="708"/>
          <w:docGrid w:linePitch="360"/>
        </w:sectPr>
      </w:pPr>
      <w:r>
        <w:rPr>
          <w:rFonts w:ascii="Book Antiqua" w:hAnsi="Book Antiqua"/>
        </w:rPr>
        <w:t>12 September</w:t>
      </w:r>
      <w:r w:rsidR="004350C8">
        <w:rPr>
          <w:rFonts w:ascii="Book Antiqua" w:hAnsi="Book Antiqua"/>
        </w:rPr>
        <w:t xml:space="preserve"> 2018</w:t>
      </w:r>
    </w:p>
    <w:p w14:paraId="10BCD75E" w14:textId="77777777" w:rsidR="00097AA6" w:rsidRDefault="00097AA6" w:rsidP="00D16FC1">
      <w:pPr>
        <w:widowControl w:val="0"/>
        <w:suppressLineNumbers/>
        <w:suppressAutoHyphens/>
        <w:jc w:val="center"/>
        <w:rPr>
          <w:rFonts w:ascii="Book Antiqua" w:hAnsi="Book Antiqua"/>
          <w:b/>
        </w:rPr>
      </w:pPr>
      <w:r w:rsidRPr="00EB3E29">
        <w:rPr>
          <w:rFonts w:ascii="Book Antiqua" w:hAnsi="Book Antiqua"/>
          <w:b/>
        </w:rPr>
        <w:lastRenderedPageBreak/>
        <w:t>SCHEDULE 1</w:t>
      </w:r>
    </w:p>
    <w:p w14:paraId="379EE6CC" w14:textId="77777777" w:rsidR="00FB10DD" w:rsidRDefault="00FB10DD" w:rsidP="00D16FC1">
      <w:pPr>
        <w:widowControl w:val="0"/>
        <w:suppressLineNumbers/>
        <w:suppressAutoHyphens/>
        <w:jc w:val="center"/>
        <w:rPr>
          <w:rFonts w:ascii="Book Antiqua" w:hAnsi="Book Antiqua"/>
          <w:b/>
        </w:rPr>
      </w:pPr>
    </w:p>
    <w:p w14:paraId="6608FC0B" w14:textId="77777777" w:rsidR="00FB10DD" w:rsidRDefault="00FB10DD" w:rsidP="00D16FC1">
      <w:pPr>
        <w:widowControl w:val="0"/>
        <w:suppressLineNumbers/>
        <w:suppressAutoHyphens/>
        <w:jc w:val="center"/>
        <w:rPr>
          <w:rFonts w:ascii="Book Antiqua" w:hAnsi="Book Antiqua"/>
          <w:b/>
        </w:rPr>
      </w:pPr>
    </w:p>
    <w:p w14:paraId="01BA2D55" w14:textId="77777777" w:rsidR="00FB10DD" w:rsidRPr="00EB3E29" w:rsidRDefault="00FB10DD" w:rsidP="00D16FC1">
      <w:pPr>
        <w:widowControl w:val="0"/>
        <w:suppressLineNumbers/>
        <w:suppressAutoHyphens/>
        <w:jc w:val="center"/>
        <w:rPr>
          <w:rFonts w:ascii="Book Antiqua" w:hAnsi="Book Antiqua"/>
          <w:b/>
        </w:rPr>
      </w:pPr>
      <w:r w:rsidRPr="00EB3E29">
        <w:rPr>
          <w:rFonts w:ascii="Book Antiqua" w:hAnsi="Book Antiqua"/>
          <w:b/>
        </w:rPr>
        <w:t>Judicial Review and Appeals List</w:t>
      </w:r>
    </w:p>
    <w:p w14:paraId="5E69C89B" w14:textId="77777777" w:rsidR="00FB10DD" w:rsidRDefault="00FB10DD" w:rsidP="00D16FC1">
      <w:pPr>
        <w:jc w:val="center"/>
        <w:rPr>
          <w:rFonts w:ascii="Book Antiqua" w:hAnsi="Book Antiqua"/>
          <w:b/>
        </w:rPr>
      </w:pPr>
      <w:r w:rsidRPr="00EB3E29">
        <w:rPr>
          <w:rFonts w:ascii="Book Antiqua" w:hAnsi="Book Antiqua"/>
          <w:b/>
        </w:rPr>
        <w:t xml:space="preserve">Standard </w:t>
      </w:r>
      <w:r>
        <w:rPr>
          <w:rFonts w:ascii="Book Antiqua" w:hAnsi="Book Antiqua"/>
          <w:b/>
        </w:rPr>
        <w:t>authorities that are not to be included in books of authorities</w:t>
      </w:r>
    </w:p>
    <w:p w14:paraId="1B41BB07" w14:textId="77777777" w:rsidR="00FB10DD" w:rsidRDefault="00FB10DD" w:rsidP="00D16FC1">
      <w:pPr>
        <w:jc w:val="center"/>
        <w:rPr>
          <w:rFonts w:ascii="Book Antiqua" w:hAnsi="Book Antiqua"/>
          <w:b/>
        </w:rPr>
      </w:pPr>
    </w:p>
    <w:p w14:paraId="43B0C86B" w14:textId="77777777" w:rsidR="00FB10DD" w:rsidRPr="007F633D" w:rsidRDefault="00FB10DD" w:rsidP="00D16FC1">
      <w:pPr>
        <w:pStyle w:val="Heading1"/>
      </w:pPr>
      <w:r w:rsidRPr="00706346">
        <w:rPr>
          <w:i/>
        </w:rPr>
        <w:t>Craig v South Australia</w:t>
      </w:r>
      <w:r w:rsidRPr="007F633D">
        <w:t xml:space="preserve"> (1995) 184 CLR 163 </w:t>
      </w:r>
    </w:p>
    <w:p w14:paraId="700598A5" w14:textId="77777777" w:rsidR="00FB10DD" w:rsidRPr="00AF01C3" w:rsidRDefault="00FB10DD" w:rsidP="00D16FC1">
      <w:pPr>
        <w:pStyle w:val="Heading1"/>
        <w:rPr>
          <w:i/>
        </w:rPr>
      </w:pPr>
      <w:r w:rsidRPr="00706346">
        <w:rPr>
          <w:i/>
        </w:rPr>
        <w:t>Kable v Director of Public Prosecutions for New South Wales</w:t>
      </w:r>
      <w:r w:rsidRPr="007F633D">
        <w:t xml:space="preserve"> (1996) 189 CLR 51 </w:t>
      </w:r>
    </w:p>
    <w:p w14:paraId="21BDE1BD" w14:textId="77777777" w:rsidR="00FB10DD" w:rsidRPr="007F633D" w:rsidRDefault="00FB10DD" w:rsidP="00D16FC1">
      <w:pPr>
        <w:pStyle w:val="Heading1"/>
      </w:pPr>
      <w:r w:rsidRPr="00706346">
        <w:rPr>
          <w:i/>
        </w:rPr>
        <w:t>Kirk v Industrial Relations Commission of New South Wales</w:t>
      </w:r>
      <w:r w:rsidRPr="007F633D">
        <w:t xml:space="preserve"> (2010) 239 CLR 531 </w:t>
      </w:r>
    </w:p>
    <w:p w14:paraId="0C89C370" w14:textId="77777777" w:rsidR="00FB10DD" w:rsidRPr="007F633D" w:rsidRDefault="00FB10DD" w:rsidP="00D16FC1">
      <w:pPr>
        <w:pStyle w:val="Heading1"/>
      </w:pPr>
      <w:r w:rsidRPr="00706346">
        <w:rPr>
          <w:i/>
        </w:rPr>
        <w:t>Minister for Aboriginal Affairs v Peko-Wallsend Ltd</w:t>
      </w:r>
      <w:r w:rsidRPr="007F633D">
        <w:t xml:space="preserve"> (1986) 162 CLR 24 </w:t>
      </w:r>
    </w:p>
    <w:p w14:paraId="1C1B66DF" w14:textId="77777777" w:rsidR="00FB10DD" w:rsidRPr="007F633D" w:rsidRDefault="00FB10DD" w:rsidP="00D16FC1">
      <w:pPr>
        <w:pStyle w:val="Heading1"/>
      </w:pPr>
      <w:r w:rsidRPr="00706346">
        <w:rPr>
          <w:i/>
        </w:rPr>
        <w:t>R v Hardiman; Ex parte Australian Broadcasting Tribunal</w:t>
      </w:r>
      <w:r w:rsidRPr="007F633D">
        <w:t xml:space="preserve"> (1980) 144 CLR 13 </w:t>
      </w:r>
    </w:p>
    <w:p w14:paraId="624641EA" w14:textId="77777777" w:rsidR="00FB10DD" w:rsidRPr="007F633D" w:rsidRDefault="00FB10DD" w:rsidP="00D16FC1">
      <w:pPr>
        <w:pStyle w:val="Heading1"/>
      </w:pPr>
      <w:r w:rsidRPr="00706346">
        <w:rPr>
          <w:i/>
        </w:rPr>
        <w:t>Wingfoot Australia Partners Pty Ltd v Kocak</w:t>
      </w:r>
      <w:r w:rsidRPr="007F633D">
        <w:t xml:space="preserve"> (2013) 252 CLR 480 </w:t>
      </w:r>
    </w:p>
    <w:p w14:paraId="3C5BA418" w14:textId="77777777" w:rsidR="00FB10DD" w:rsidRDefault="00FB10DD" w:rsidP="00D16FC1"/>
    <w:p w14:paraId="22B310C0" w14:textId="77777777" w:rsidR="00FB10DD" w:rsidRPr="00A55155" w:rsidRDefault="00FB10DD" w:rsidP="00D16FC1">
      <w:r>
        <w:t>7.</w:t>
      </w:r>
      <w:r>
        <w:tab/>
      </w:r>
      <w:r w:rsidRPr="00AF01C3">
        <w:rPr>
          <w:i/>
        </w:rPr>
        <w:t>Ebner v Official Trustee</w:t>
      </w:r>
      <w:r>
        <w:t xml:space="preserve"> (2000) 205 CLR 337</w:t>
      </w:r>
    </w:p>
    <w:p w14:paraId="4A965C08" w14:textId="77777777" w:rsidR="00FB10DD" w:rsidRPr="00383837" w:rsidRDefault="00FB10DD" w:rsidP="00D16FC1"/>
    <w:p w14:paraId="05558749" w14:textId="77777777" w:rsidR="00FB10DD" w:rsidRDefault="00FB10DD" w:rsidP="00D16FC1">
      <w:r>
        <w:t>8.</w:t>
      </w:r>
      <w:r>
        <w:tab/>
      </w:r>
      <w:r w:rsidRPr="00AF01C3">
        <w:rPr>
          <w:i/>
        </w:rPr>
        <w:t>Department of Premier and Cabinet v Hulls</w:t>
      </w:r>
      <w:r>
        <w:t xml:space="preserve"> [1999] VSCA 117</w:t>
      </w:r>
      <w:r w:rsidRPr="00A55155">
        <w:t xml:space="preserve"> </w:t>
      </w:r>
    </w:p>
    <w:p w14:paraId="3D33AFF8" w14:textId="77777777" w:rsidR="00FB10DD" w:rsidRDefault="00FB10DD" w:rsidP="00D16FC1"/>
    <w:p w14:paraId="02F29CA2" w14:textId="77777777" w:rsidR="00FB10DD" w:rsidRPr="004350C8" w:rsidRDefault="00FB10DD" w:rsidP="00D16FC1">
      <w:pPr>
        <w:rPr>
          <w:sz w:val="22"/>
          <w:szCs w:val="22"/>
        </w:rPr>
      </w:pPr>
      <w:r w:rsidRPr="004350C8">
        <w:t>9.</w:t>
      </w:r>
      <w:r w:rsidRPr="004350C8">
        <w:tab/>
      </w:r>
      <w:r w:rsidRPr="004350C8">
        <w:rPr>
          <w:i/>
        </w:rPr>
        <w:t>House v The King</w:t>
      </w:r>
      <w:r w:rsidRPr="004350C8">
        <w:t xml:space="preserve"> (1936) 55 CLR 499</w:t>
      </w:r>
    </w:p>
    <w:p w14:paraId="306F96AB" w14:textId="77777777" w:rsidR="00FB10DD" w:rsidRPr="004350C8" w:rsidRDefault="00FB10DD" w:rsidP="00D16FC1"/>
    <w:p w14:paraId="43F3F138" w14:textId="77777777" w:rsidR="00FB10DD" w:rsidRPr="004350C8" w:rsidRDefault="00FB10DD" w:rsidP="00D16FC1">
      <w:pPr>
        <w:ind w:left="720" w:hanging="720"/>
      </w:pPr>
      <w:r w:rsidRPr="004350C8">
        <w:t>10.</w:t>
      </w:r>
      <w:r w:rsidRPr="004350C8">
        <w:tab/>
      </w:r>
      <w:r w:rsidRPr="004350C8">
        <w:rPr>
          <w:i/>
        </w:rPr>
        <w:t>Associated Provincial Picture Houses Ltd v Wednesbury Corporation</w:t>
      </w:r>
      <w:r w:rsidRPr="004350C8">
        <w:t xml:space="preserve"> [1948] 1 KB 223</w:t>
      </w:r>
    </w:p>
    <w:p w14:paraId="0079CCAF" w14:textId="77777777" w:rsidR="00FB10DD" w:rsidRPr="004350C8" w:rsidRDefault="00FB10DD" w:rsidP="00D16FC1"/>
    <w:p w14:paraId="5BAE1928" w14:textId="77777777" w:rsidR="00FB10DD" w:rsidRDefault="00FB10DD" w:rsidP="00D16FC1">
      <w:pPr>
        <w:widowControl w:val="0"/>
        <w:suppressLineNumbers/>
        <w:suppressAutoHyphens/>
        <w:jc w:val="center"/>
        <w:rPr>
          <w:rFonts w:ascii="Book Antiqua" w:hAnsi="Book Antiqua"/>
          <w:b/>
        </w:rPr>
      </w:pPr>
    </w:p>
    <w:p w14:paraId="41080D97" w14:textId="77777777" w:rsidR="00FB10DD" w:rsidRPr="00EB3E29" w:rsidRDefault="00FB10DD" w:rsidP="00D16FC1">
      <w:pPr>
        <w:widowControl w:val="0"/>
        <w:suppressLineNumbers/>
        <w:suppressAutoHyphens/>
        <w:jc w:val="center"/>
        <w:rPr>
          <w:rFonts w:ascii="Book Antiqua" w:hAnsi="Book Antiqua"/>
          <w:b/>
        </w:rPr>
      </w:pPr>
    </w:p>
    <w:p w14:paraId="6CFE3B09" w14:textId="77777777" w:rsidR="00292C1C" w:rsidRPr="00EB3E29" w:rsidRDefault="00292C1C" w:rsidP="00D16FC1">
      <w:pPr>
        <w:widowControl w:val="0"/>
        <w:suppressLineNumbers/>
        <w:suppressAutoHyphens/>
        <w:jc w:val="center"/>
        <w:rPr>
          <w:rFonts w:ascii="Book Antiqua" w:hAnsi="Book Antiqua"/>
          <w:b/>
        </w:rPr>
      </w:pPr>
      <w:bookmarkStart w:id="1" w:name="Rule6004"/>
      <w:bookmarkEnd w:id="1"/>
    </w:p>
    <w:p w14:paraId="702BB8A9" w14:textId="77777777" w:rsidR="00A45C53" w:rsidRPr="0051351F" w:rsidRDefault="00A45C53" w:rsidP="00D16FC1"/>
    <w:sectPr w:rsidR="00A45C53" w:rsidRPr="0051351F" w:rsidSect="005C3284">
      <w:headerReference w:type="even" r:id="rId22"/>
      <w:headerReference w:type="default" r:id="rId23"/>
      <w:footerReference w:type="default" r:id="rId24"/>
      <w:headerReference w:type="first" r:id="rId25"/>
      <w:footnotePr>
        <w:numRestart w:val="eachSect"/>
      </w:footnotePr>
      <w:pgSz w:w="11906" w:h="16838"/>
      <w:pgMar w:top="630" w:right="1440" w:bottom="63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DB8E6" w14:textId="77777777" w:rsidR="000F1241" w:rsidRDefault="000F1241">
      <w:r>
        <w:separator/>
      </w:r>
    </w:p>
  </w:endnote>
  <w:endnote w:type="continuationSeparator" w:id="0">
    <w:p w14:paraId="04B5D0EC" w14:textId="77777777" w:rsidR="000F1241" w:rsidRDefault="000F1241">
      <w:r>
        <w:continuationSeparator/>
      </w:r>
    </w:p>
  </w:endnote>
  <w:endnote w:type="continuationNotice" w:id="1">
    <w:p w14:paraId="39BAD94D" w14:textId="77777777" w:rsidR="000F1241" w:rsidRDefault="000F1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4797E" w14:textId="483C0108" w:rsidR="00C74217" w:rsidRDefault="00C74217" w:rsidP="005E74D2">
    <w:pPr>
      <w:pStyle w:val="Footer"/>
      <w:tabs>
        <w:tab w:val="left" w:pos="5085"/>
      </w:tabs>
    </w:pPr>
    <w:r>
      <w:tab/>
    </w:r>
    <w:r>
      <w:tab/>
    </w:r>
    <w:r>
      <w:tab/>
    </w:r>
    <w:r>
      <w:fldChar w:fldCharType="begin"/>
    </w:r>
    <w:r>
      <w:instrText xml:space="preserve"> PAGE   \* MERGEFORMAT </w:instrText>
    </w:r>
    <w:r>
      <w:fldChar w:fldCharType="separate"/>
    </w:r>
    <w:r w:rsidR="000A696A">
      <w:rPr>
        <w:noProof/>
      </w:rPr>
      <w:t>1</w:t>
    </w:r>
    <w:r>
      <w:rPr>
        <w:noProof/>
      </w:rPr>
      <w:fldChar w:fldCharType="end"/>
    </w:r>
  </w:p>
  <w:p w14:paraId="36F5A334" w14:textId="77777777" w:rsidR="00C74217" w:rsidRDefault="00C74217" w:rsidP="005E74D2">
    <w:pPr>
      <w:pStyle w:val="Footer"/>
      <w:tabs>
        <w:tab w:val="clear" w:pos="4513"/>
        <w:tab w:val="clear" w:pos="9026"/>
        <w:tab w:val="left" w:pos="2407"/>
        <w:tab w:val="left" w:pos="5775"/>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D906E" w14:textId="77777777" w:rsidR="00C74217" w:rsidRDefault="00C74217">
    <w:pPr>
      <w:pStyle w:val="Footer"/>
      <w:jc w:val="right"/>
    </w:pPr>
  </w:p>
  <w:p w14:paraId="4EDA9431" w14:textId="77777777" w:rsidR="00C74217" w:rsidRDefault="00C74217" w:rsidP="00E0023C">
    <w:pPr>
      <w:pStyle w:val="Footer"/>
      <w:tabs>
        <w:tab w:val="clear" w:pos="4513"/>
        <w:tab w:val="clear" w:pos="9026"/>
        <w:tab w:val="left" w:pos="240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BABEB" w14:textId="77777777" w:rsidR="000F1241" w:rsidRDefault="000F1241">
      <w:r>
        <w:separator/>
      </w:r>
    </w:p>
  </w:footnote>
  <w:footnote w:type="continuationSeparator" w:id="0">
    <w:p w14:paraId="261746BE" w14:textId="77777777" w:rsidR="000F1241" w:rsidRDefault="000F1241">
      <w:r>
        <w:continuationSeparator/>
      </w:r>
    </w:p>
  </w:footnote>
  <w:footnote w:type="continuationNotice" w:id="1">
    <w:p w14:paraId="6A98E3BE" w14:textId="77777777" w:rsidR="000F1241" w:rsidRDefault="000F1241"/>
  </w:footnote>
  <w:footnote w:id="2">
    <w:p w14:paraId="380094C7" w14:textId="77777777" w:rsidR="00C74217" w:rsidRPr="001C6B54" w:rsidRDefault="00C74217" w:rsidP="001C6B54">
      <w:pPr>
        <w:pStyle w:val="FootnoteText"/>
        <w:ind w:left="720" w:hanging="720"/>
      </w:pPr>
      <w:r>
        <w:rPr>
          <w:rStyle w:val="FootnoteReference"/>
        </w:rPr>
        <w:footnoteRef/>
      </w:r>
      <w:r>
        <w:t xml:space="preserve"> </w:t>
      </w:r>
      <w:r>
        <w:tab/>
        <w:t xml:space="preserve">By virtue of s 4 of the ALA, an application for review under that Act is to be made ex parte within the time specified in s 4 supported by evidence on affidavit showing a prima facie case for relief under s 7 of the ALA.  The application is made orally, to an Associate Judge or, exceptionally, to a Judge of the Court. See Thomson Reuters, </w:t>
      </w:r>
      <w:r>
        <w:rPr>
          <w:i/>
        </w:rPr>
        <w:t>Victorian Administrative Law</w:t>
      </w:r>
      <w:r>
        <w:t>, vol 2 (at update 176) [JR.260]; Rule 77.01(2)(a)(ii) and (3) of the Chapter I Rules.</w:t>
      </w:r>
    </w:p>
  </w:footnote>
  <w:footnote w:id="3">
    <w:p w14:paraId="095864F9" w14:textId="77777777" w:rsidR="00C74217" w:rsidRPr="006C6C84" w:rsidRDefault="00C74217" w:rsidP="005B7BEB">
      <w:pPr>
        <w:pStyle w:val="FootnoteText"/>
        <w:widowControl w:val="0"/>
        <w:suppressLineNumbers/>
        <w:suppressAutoHyphens/>
        <w:ind w:left="720" w:hanging="720"/>
        <w:rPr>
          <w:rFonts w:ascii="Book Antiqua" w:hAnsi="Book Antiqua"/>
        </w:rPr>
      </w:pPr>
      <w:r w:rsidRPr="006C6C84">
        <w:rPr>
          <w:rStyle w:val="FootnoteReference"/>
          <w:rFonts w:ascii="Book Antiqua" w:hAnsi="Book Antiqua"/>
        </w:rPr>
        <w:footnoteRef/>
      </w:r>
      <w:r w:rsidRPr="006C6C84">
        <w:rPr>
          <w:rFonts w:ascii="Book Antiqua" w:hAnsi="Book Antiqua"/>
        </w:rPr>
        <w:t xml:space="preserve"> </w:t>
      </w:r>
      <w:r w:rsidRPr="006C6C84">
        <w:rPr>
          <w:rFonts w:ascii="Book Antiqua" w:hAnsi="Book Antiqua"/>
        </w:rPr>
        <w:tab/>
        <w:t xml:space="preserve">See also Order 23 of the Chapter II Rules and </w:t>
      </w:r>
      <w:r w:rsidRPr="009F1D7C">
        <w:rPr>
          <w:rFonts w:ascii="Book Antiqua" w:hAnsi="Book Antiqua"/>
        </w:rPr>
        <w:t xml:space="preserve">Practice Note </w:t>
      </w:r>
      <w:r>
        <w:rPr>
          <w:rFonts w:ascii="Book Antiqua" w:hAnsi="Book Antiqua"/>
        </w:rPr>
        <w:t xml:space="preserve">SC Gen 14 </w:t>
      </w:r>
      <w:r w:rsidRPr="006C6C84">
        <w:rPr>
          <w:rFonts w:ascii="Book Antiqua" w:hAnsi="Book Antiqua"/>
          <w:i/>
        </w:rPr>
        <w:t>– Notification of Matters Arising under the Charter of Human Rights and Responsibilities Act 2006</w:t>
      </w:r>
      <w:r w:rsidRPr="006C6C84">
        <w:rPr>
          <w:rFonts w:ascii="Book Antiqua" w:hAnsi="Book Antiqua"/>
        </w:rPr>
        <w:t>.</w:t>
      </w:r>
    </w:p>
  </w:footnote>
  <w:footnote w:id="4">
    <w:p w14:paraId="1F264D4C" w14:textId="77777777" w:rsidR="00C74217" w:rsidRDefault="00C74217" w:rsidP="00F454E6">
      <w:pPr>
        <w:pStyle w:val="FootnoteText"/>
        <w:ind w:left="720" w:hanging="720"/>
      </w:pPr>
      <w:r>
        <w:rPr>
          <w:rStyle w:val="FootnoteReference"/>
        </w:rPr>
        <w:footnoteRef/>
      </w:r>
      <w:r>
        <w:t xml:space="preserve"> </w:t>
      </w:r>
      <w:r>
        <w:tab/>
        <w:t>Applications for review under the ALA do not involve a written originating process in the usual sense.  Rather, they are commenced by oral application to an Associate Judge (see footnote 1 above).  However, the affidavit(s) in support should be endorsed “Judicial Review and Appeals List”.</w:t>
      </w:r>
    </w:p>
  </w:footnote>
  <w:footnote w:id="5">
    <w:p w14:paraId="1B700FDD" w14:textId="77777777" w:rsidR="00C74217" w:rsidRDefault="00C74217" w:rsidP="002A252A">
      <w:pPr>
        <w:pStyle w:val="FootnoteText"/>
        <w:ind w:left="720" w:hanging="720"/>
      </w:pPr>
      <w:r>
        <w:rPr>
          <w:rStyle w:val="FootnoteReference"/>
        </w:rPr>
        <w:footnoteRef/>
      </w:r>
      <w:r>
        <w:t xml:space="preserve"> </w:t>
      </w:r>
      <w:r>
        <w:tab/>
      </w:r>
      <w:r w:rsidRPr="006C6C84">
        <w:rPr>
          <w:rFonts w:ascii="Book Antiqua" w:hAnsi="Book Antiqua"/>
        </w:rPr>
        <w:t xml:space="preserve">An example may be a proceeding commenced by writ which is or turns out to be, </w:t>
      </w:r>
      <w:r>
        <w:rPr>
          <w:rFonts w:ascii="Book Antiqua" w:hAnsi="Book Antiqua"/>
        </w:rPr>
        <w:t xml:space="preserve">in substance, in the nature of </w:t>
      </w:r>
      <w:r w:rsidRPr="006C6C84">
        <w:rPr>
          <w:rFonts w:ascii="Book Antiqua" w:hAnsi="Book Antiqua"/>
        </w:rPr>
        <w:t>an application for a judicial review</w:t>
      </w:r>
      <w:r>
        <w:rPr>
          <w:rFonts w:ascii="Book Antiqua" w:hAnsi="Book Antiqua"/>
        </w:rPr>
        <w:t>.</w:t>
      </w:r>
    </w:p>
  </w:footnote>
  <w:footnote w:id="6">
    <w:p w14:paraId="351D4E0E" w14:textId="77777777" w:rsidR="00C74217" w:rsidRDefault="00C74217" w:rsidP="00F454E6">
      <w:pPr>
        <w:pStyle w:val="FootnoteText"/>
        <w:ind w:left="720" w:hanging="720"/>
      </w:pPr>
      <w:r>
        <w:rPr>
          <w:rStyle w:val="FootnoteReference"/>
        </w:rPr>
        <w:footnoteRef/>
      </w:r>
      <w:r>
        <w:t xml:space="preserve"> </w:t>
      </w:r>
      <w:r>
        <w:tab/>
        <w:t>See footnotes 1 and 3 above.</w:t>
      </w:r>
    </w:p>
  </w:footnote>
  <w:footnote w:id="7">
    <w:p w14:paraId="40482E7A" w14:textId="77777777" w:rsidR="00C74217" w:rsidRDefault="00C74217" w:rsidP="002A7605">
      <w:pPr>
        <w:pStyle w:val="FootnoteText"/>
      </w:pPr>
      <w:r>
        <w:rPr>
          <w:rStyle w:val="FootnoteReference"/>
        </w:rPr>
        <w:footnoteRef/>
      </w:r>
      <w:r>
        <w:t xml:space="preserve"> Proceedings under the ALA in which an order for review under ss 4 and 5 of the ALA has already been granted will generally be listed for further directions on a List directions day.</w:t>
      </w:r>
    </w:p>
  </w:footnote>
  <w:footnote w:id="8">
    <w:p w14:paraId="2C2BCB6C" w14:textId="77777777" w:rsidR="00C74217" w:rsidRPr="006C6C84" w:rsidRDefault="00C74217" w:rsidP="00D202F9">
      <w:pPr>
        <w:pStyle w:val="FootnoteText"/>
        <w:ind w:left="720" w:hanging="720"/>
        <w:rPr>
          <w:rFonts w:ascii="Book Antiqua" w:hAnsi="Book Antiqua"/>
        </w:rPr>
      </w:pPr>
      <w:r w:rsidRPr="006C6C84">
        <w:rPr>
          <w:rStyle w:val="FootnoteReference"/>
          <w:rFonts w:ascii="Book Antiqua" w:hAnsi="Book Antiqua"/>
        </w:rPr>
        <w:footnoteRef/>
      </w:r>
      <w:r w:rsidRPr="006C6C84">
        <w:rPr>
          <w:rFonts w:ascii="Book Antiqua" w:hAnsi="Book Antiqua"/>
        </w:rPr>
        <w:t xml:space="preserve"> </w:t>
      </w:r>
      <w:r w:rsidRPr="006C6C84">
        <w:rPr>
          <w:rFonts w:ascii="Book Antiqua" w:hAnsi="Book Antiqua"/>
        </w:rPr>
        <w:tab/>
        <w:t xml:space="preserve">See </w:t>
      </w:r>
      <w:r w:rsidRPr="006C6C84">
        <w:rPr>
          <w:rFonts w:ascii="Book Antiqua" w:hAnsi="Book Antiqua"/>
          <w:i/>
        </w:rPr>
        <w:t xml:space="preserve">Irwin v Military Rehabilitation and Compensation Commission </w:t>
      </w:r>
      <w:r w:rsidRPr="006C6C84">
        <w:rPr>
          <w:rFonts w:ascii="Book Antiqua" w:hAnsi="Book Antiqua"/>
        </w:rPr>
        <w:t xml:space="preserve">(2009) 174 FCR 574 at 577 [12]-[16] and cases there cited, especially </w:t>
      </w:r>
      <w:r w:rsidRPr="006C6C84">
        <w:rPr>
          <w:rFonts w:ascii="Book Antiqua" w:hAnsi="Book Antiqua"/>
          <w:i/>
        </w:rPr>
        <w:t xml:space="preserve">Kovalev v Minister for Immigration and Multicultural Affairs </w:t>
      </w:r>
      <w:r w:rsidRPr="006C6C84">
        <w:rPr>
          <w:rFonts w:ascii="Book Antiqua" w:hAnsi="Book Antiqua"/>
        </w:rPr>
        <w:t>(1999) 100 FCR 323.</w:t>
      </w:r>
    </w:p>
  </w:footnote>
  <w:footnote w:id="9">
    <w:p w14:paraId="2727C48E" w14:textId="77777777" w:rsidR="00C74217" w:rsidRPr="006C6C84" w:rsidRDefault="00C74217" w:rsidP="00D202F9">
      <w:pPr>
        <w:pStyle w:val="FootnoteText"/>
        <w:rPr>
          <w:rFonts w:ascii="Book Antiqua" w:hAnsi="Book Antiqua"/>
        </w:rPr>
      </w:pPr>
      <w:r w:rsidRPr="006C6C84">
        <w:rPr>
          <w:rStyle w:val="FootnoteReference"/>
          <w:rFonts w:ascii="Book Antiqua" w:hAnsi="Book Antiqua"/>
        </w:rPr>
        <w:footnoteRef/>
      </w:r>
      <w:r w:rsidRPr="006C6C84">
        <w:rPr>
          <w:rFonts w:ascii="Book Antiqua" w:hAnsi="Book Antiqua"/>
        </w:rPr>
        <w:t xml:space="preserve"> </w:t>
      </w:r>
      <w:r w:rsidRPr="006C6C84">
        <w:rPr>
          <w:rFonts w:ascii="Book Antiqua" w:hAnsi="Book Antiqua"/>
        </w:rPr>
        <w:tab/>
        <w:t xml:space="preserve">See the cases referred to in the previous footnote.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75CE" w14:textId="77777777" w:rsidR="00C74217" w:rsidRDefault="00C74217" w:rsidP="00E0023C">
    <w:pPr>
      <w:pStyle w:val="Header"/>
      <w:tabs>
        <w:tab w:val="clear" w:pos="4513"/>
        <w:tab w:val="clear" w:pos="9026"/>
        <w:tab w:val="left" w:pos="122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F7BED" w14:textId="77777777" w:rsidR="00C74217" w:rsidRDefault="00C74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9612B" w14:textId="77777777" w:rsidR="00C74217" w:rsidRPr="005C3284" w:rsidRDefault="00C74217" w:rsidP="00E0023C">
    <w:pPr>
      <w:pStyle w:val="Header"/>
      <w:tabs>
        <w:tab w:val="clear" w:pos="4513"/>
        <w:tab w:val="clear" w:pos="9026"/>
        <w:tab w:val="left" w:pos="1225"/>
      </w:tabs>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8DF87" w14:textId="77777777" w:rsidR="00C74217" w:rsidRDefault="00C74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A8C"/>
    <w:multiLevelType w:val="multilevel"/>
    <w:tmpl w:val="DAD0E5BA"/>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183F95"/>
    <w:multiLevelType w:val="hybridMultilevel"/>
    <w:tmpl w:val="F168A34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0350F82"/>
    <w:multiLevelType w:val="hybridMultilevel"/>
    <w:tmpl w:val="4768D908"/>
    <w:lvl w:ilvl="0" w:tplc="89EEF778">
      <w:start w:val="1"/>
      <w:numFmt w:val="lowerLetter"/>
      <w:lvlText w:val="%1)"/>
      <w:lvlJc w:val="left"/>
      <w:pPr>
        <w:ind w:left="1800" w:hanging="360"/>
      </w:pPr>
      <w:rPr>
        <w:rFonts w:ascii="Times New Roman" w:hAnsi="Times New Roman"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97B6681"/>
    <w:multiLevelType w:val="hybridMultilevel"/>
    <w:tmpl w:val="7DA81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793CBC"/>
    <w:multiLevelType w:val="hybridMultilevel"/>
    <w:tmpl w:val="4F2CC6D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5174285"/>
    <w:multiLevelType w:val="hybridMultilevel"/>
    <w:tmpl w:val="6E82111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6D1176E"/>
    <w:multiLevelType w:val="hybridMultilevel"/>
    <w:tmpl w:val="FE3CF272"/>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86646ED"/>
    <w:multiLevelType w:val="hybridMultilevel"/>
    <w:tmpl w:val="49A22AE6"/>
    <w:lvl w:ilvl="0" w:tplc="1E4CCC34">
      <w:start w:val="1"/>
      <w:numFmt w:val="decimal"/>
      <w:lvlText w:val="%1."/>
      <w:lvlJc w:val="left"/>
      <w:pPr>
        <w:tabs>
          <w:tab w:val="num" w:pos="360"/>
        </w:tabs>
        <w:ind w:left="360" w:hanging="360"/>
      </w:pPr>
      <w:rPr>
        <w:b/>
      </w:rPr>
    </w:lvl>
    <w:lvl w:ilvl="1" w:tplc="0C090019">
      <w:start w:val="1"/>
      <w:numFmt w:val="lowerLetter"/>
      <w:lvlText w:val="%2."/>
      <w:lvlJc w:val="left"/>
      <w:pPr>
        <w:tabs>
          <w:tab w:val="num" w:pos="540"/>
        </w:tabs>
        <w:ind w:left="540" w:hanging="360"/>
      </w:pPr>
    </w:lvl>
    <w:lvl w:ilvl="2" w:tplc="0C09001B" w:tentative="1">
      <w:start w:val="1"/>
      <w:numFmt w:val="lowerRoman"/>
      <w:lvlText w:val="%3."/>
      <w:lvlJc w:val="right"/>
      <w:pPr>
        <w:tabs>
          <w:tab w:val="num" w:pos="1260"/>
        </w:tabs>
        <w:ind w:left="1260" w:hanging="180"/>
      </w:pPr>
    </w:lvl>
    <w:lvl w:ilvl="3" w:tplc="0C09000F" w:tentative="1">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8" w15:restartNumberingAfterBreak="0">
    <w:nsid w:val="188A24D1"/>
    <w:multiLevelType w:val="hybridMultilevel"/>
    <w:tmpl w:val="92FC647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DB846C5"/>
    <w:multiLevelType w:val="hybridMultilevel"/>
    <w:tmpl w:val="2F0C5B84"/>
    <w:lvl w:ilvl="0" w:tplc="0C09000F">
      <w:start w:val="1"/>
      <w:numFmt w:val="decimal"/>
      <w:lvlText w:val="%1."/>
      <w:lvlJc w:val="left"/>
      <w:pPr>
        <w:tabs>
          <w:tab w:val="num" w:pos="720"/>
        </w:tabs>
        <w:ind w:left="720" w:hanging="360"/>
      </w:pPr>
      <w:rPr>
        <w:rFonts w:hint="default"/>
      </w:rPr>
    </w:lvl>
    <w:lvl w:ilvl="1" w:tplc="405EE008">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E6954C1"/>
    <w:multiLevelType w:val="hybridMultilevel"/>
    <w:tmpl w:val="E9840B1C"/>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89F147E"/>
    <w:multiLevelType w:val="multilevel"/>
    <w:tmpl w:val="E2DA6160"/>
    <w:lvl w:ilvl="0">
      <w:start w:val="1"/>
      <w:numFmt w:val="decimal"/>
      <w:pStyle w:val="Num1"/>
      <w:lvlText w:val="%1."/>
      <w:lvlJc w:val="left"/>
      <w:pPr>
        <w:tabs>
          <w:tab w:val="num" w:pos="1287"/>
        </w:tabs>
        <w:ind w:left="1287" w:hanging="360"/>
      </w:pPr>
      <w:rPr>
        <w:rFonts w:hint="default"/>
      </w:rPr>
    </w:lvl>
    <w:lvl w:ilvl="1">
      <w:start w:val="1"/>
      <w:numFmt w:val="lowerLetter"/>
      <w:pStyle w:val="Num2"/>
      <w:lvlText w:val="(%2)"/>
      <w:lvlJc w:val="left"/>
      <w:pPr>
        <w:tabs>
          <w:tab w:val="num" w:pos="1647"/>
        </w:tabs>
        <w:ind w:left="1647" w:hanging="360"/>
      </w:pPr>
      <w:rPr>
        <w:rFonts w:hint="default"/>
      </w:rPr>
    </w:lvl>
    <w:lvl w:ilvl="2">
      <w:start w:val="1"/>
      <w:numFmt w:val="lowerRoman"/>
      <w:pStyle w:val="Indent1"/>
      <w:lvlText w:val="(%3)"/>
      <w:lvlJc w:val="left"/>
      <w:pPr>
        <w:tabs>
          <w:tab w:val="num" w:pos="2007"/>
        </w:tabs>
        <w:ind w:left="2007" w:hanging="360"/>
      </w:pPr>
      <w:rPr>
        <w:rFonts w:hint="default"/>
      </w:rPr>
    </w:lvl>
    <w:lvl w:ilvl="3">
      <w:start w:val="1"/>
      <w:numFmt w:val="decimal"/>
      <w:lvlText w:val="(%4)"/>
      <w:lvlJc w:val="left"/>
      <w:pPr>
        <w:tabs>
          <w:tab w:val="num" w:pos="2367"/>
        </w:tabs>
        <w:ind w:left="2367" w:hanging="360"/>
      </w:pPr>
      <w:rPr>
        <w:rFonts w:hint="default"/>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decimal"/>
      <w:lvlText w:val="%7."/>
      <w:lvlJc w:val="left"/>
      <w:pPr>
        <w:tabs>
          <w:tab w:val="num" w:pos="3447"/>
        </w:tabs>
        <w:ind w:left="3447" w:hanging="360"/>
      </w:pPr>
      <w:rPr>
        <w:rFonts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12" w15:restartNumberingAfterBreak="0">
    <w:nsid w:val="29B55194"/>
    <w:multiLevelType w:val="hybridMultilevel"/>
    <w:tmpl w:val="33440DAA"/>
    <w:lvl w:ilvl="0" w:tplc="2FA2A1F2">
      <w:start w:val="1"/>
      <w:numFmt w:val="lowerRoman"/>
      <w:lvlText w:val="(%1)"/>
      <w:lvlJc w:val="left"/>
      <w:pPr>
        <w:ind w:left="2160" w:hanging="720"/>
      </w:pPr>
      <w:rPr>
        <w:rFonts w:ascii="Times New Roman" w:hAnsi="Times New Roman"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E313F78"/>
    <w:multiLevelType w:val="multilevel"/>
    <w:tmpl w:val="4B9AA4EA"/>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C7632E"/>
    <w:multiLevelType w:val="hybridMultilevel"/>
    <w:tmpl w:val="6BD4244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2FB1450"/>
    <w:multiLevelType w:val="hybridMultilevel"/>
    <w:tmpl w:val="5950C10A"/>
    <w:lvl w:ilvl="0" w:tplc="28B868D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0A1691"/>
    <w:multiLevelType w:val="hybridMultilevel"/>
    <w:tmpl w:val="D052596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77F4907"/>
    <w:multiLevelType w:val="hybridMultilevel"/>
    <w:tmpl w:val="93E07596"/>
    <w:lvl w:ilvl="0" w:tplc="0C090017">
      <w:start w:val="1"/>
      <w:numFmt w:val="lowerLetter"/>
      <w:lvlText w:val="%1)"/>
      <w:lvlJc w:val="left"/>
      <w:pPr>
        <w:tabs>
          <w:tab w:val="num" w:pos="1440"/>
        </w:tabs>
        <w:ind w:left="1440" w:hanging="360"/>
      </w:pPr>
      <w:rPr>
        <w:rFont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8A54FA0"/>
    <w:multiLevelType w:val="hybridMultilevel"/>
    <w:tmpl w:val="CBA894F6"/>
    <w:lvl w:ilvl="0" w:tplc="7EAAC6A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3A3C6054"/>
    <w:multiLevelType w:val="hybridMultilevel"/>
    <w:tmpl w:val="6E82111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DE8280B"/>
    <w:multiLevelType w:val="hybridMultilevel"/>
    <w:tmpl w:val="F502E44E"/>
    <w:lvl w:ilvl="0" w:tplc="CABC3304">
      <w:start w:val="1"/>
      <w:numFmt w:val="lowerRoman"/>
      <w:lvlText w:val="%1."/>
      <w:lvlJc w:val="right"/>
      <w:pPr>
        <w:ind w:left="324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EF6713"/>
    <w:multiLevelType w:val="multilevel"/>
    <w:tmpl w:val="3BBCF680"/>
    <w:lvl w:ilvl="0">
      <w:start w:val="1"/>
      <w:numFmt w:val="decimal"/>
      <w:lvlText w:val="%1"/>
      <w:lvlJc w:val="left"/>
      <w:pPr>
        <w:ind w:left="720" w:hanging="720"/>
      </w:pPr>
      <w:rPr>
        <w:rFonts w:hint="default"/>
        <w:sz w:val="24"/>
      </w:rPr>
    </w:lvl>
    <w:lvl w:ilvl="1">
      <w:start w:val="1"/>
      <w:numFmt w:val="lowerRoman"/>
      <w:lvlText w:val="%2."/>
      <w:lvlJc w:val="righ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703211"/>
    <w:multiLevelType w:val="hybridMultilevel"/>
    <w:tmpl w:val="646606D6"/>
    <w:lvl w:ilvl="0" w:tplc="646012FE">
      <w:start w:val="1"/>
      <w:numFmt w:val="decimal"/>
      <w:lvlText w:val="%1."/>
      <w:lvlJc w:val="left"/>
      <w:pPr>
        <w:tabs>
          <w:tab w:val="num" w:pos="885"/>
        </w:tabs>
        <w:ind w:left="885" w:hanging="705"/>
      </w:pPr>
      <w:rPr>
        <w:rFonts w:hint="default"/>
      </w:rPr>
    </w:lvl>
    <w:lvl w:ilvl="1" w:tplc="0C090019">
      <w:start w:val="1"/>
      <w:numFmt w:val="lowerLetter"/>
      <w:lvlText w:val="%2."/>
      <w:lvlJc w:val="left"/>
      <w:pPr>
        <w:tabs>
          <w:tab w:val="num" w:pos="1077"/>
        </w:tabs>
        <w:ind w:left="1077" w:hanging="360"/>
      </w:pPr>
    </w:lvl>
    <w:lvl w:ilvl="2" w:tplc="0C09001B">
      <w:start w:val="1"/>
      <w:numFmt w:val="lowerRoman"/>
      <w:lvlText w:val="%3."/>
      <w:lvlJc w:val="right"/>
      <w:pPr>
        <w:tabs>
          <w:tab w:val="num" w:pos="1797"/>
        </w:tabs>
        <w:ind w:left="1797" w:hanging="180"/>
      </w:pPr>
    </w:lvl>
    <w:lvl w:ilvl="3" w:tplc="0C09000F" w:tentative="1">
      <w:start w:val="1"/>
      <w:numFmt w:val="decimal"/>
      <w:lvlText w:val="%4."/>
      <w:lvlJc w:val="left"/>
      <w:pPr>
        <w:tabs>
          <w:tab w:val="num" w:pos="2517"/>
        </w:tabs>
        <w:ind w:left="2517" w:hanging="360"/>
      </w:pPr>
    </w:lvl>
    <w:lvl w:ilvl="4" w:tplc="0C090019" w:tentative="1">
      <w:start w:val="1"/>
      <w:numFmt w:val="lowerLetter"/>
      <w:lvlText w:val="%5."/>
      <w:lvlJc w:val="left"/>
      <w:pPr>
        <w:tabs>
          <w:tab w:val="num" w:pos="3237"/>
        </w:tabs>
        <w:ind w:left="3237" w:hanging="360"/>
      </w:pPr>
    </w:lvl>
    <w:lvl w:ilvl="5" w:tplc="0C09001B" w:tentative="1">
      <w:start w:val="1"/>
      <w:numFmt w:val="lowerRoman"/>
      <w:lvlText w:val="%6."/>
      <w:lvlJc w:val="right"/>
      <w:pPr>
        <w:tabs>
          <w:tab w:val="num" w:pos="3957"/>
        </w:tabs>
        <w:ind w:left="3957" w:hanging="180"/>
      </w:pPr>
    </w:lvl>
    <w:lvl w:ilvl="6" w:tplc="0C09000F" w:tentative="1">
      <w:start w:val="1"/>
      <w:numFmt w:val="decimal"/>
      <w:lvlText w:val="%7."/>
      <w:lvlJc w:val="left"/>
      <w:pPr>
        <w:tabs>
          <w:tab w:val="num" w:pos="4677"/>
        </w:tabs>
        <w:ind w:left="4677" w:hanging="360"/>
      </w:pPr>
    </w:lvl>
    <w:lvl w:ilvl="7" w:tplc="0C090019" w:tentative="1">
      <w:start w:val="1"/>
      <w:numFmt w:val="lowerLetter"/>
      <w:lvlText w:val="%8."/>
      <w:lvlJc w:val="left"/>
      <w:pPr>
        <w:tabs>
          <w:tab w:val="num" w:pos="5397"/>
        </w:tabs>
        <w:ind w:left="5397" w:hanging="360"/>
      </w:pPr>
    </w:lvl>
    <w:lvl w:ilvl="8" w:tplc="0C09001B" w:tentative="1">
      <w:start w:val="1"/>
      <w:numFmt w:val="lowerRoman"/>
      <w:lvlText w:val="%9."/>
      <w:lvlJc w:val="right"/>
      <w:pPr>
        <w:tabs>
          <w:tab w:val="num" w:pos="6117"/>
        </w:tabs>
        <w:ind w:left="6117" w:hanging="180"/>
      </w:pPr>
    </w:lvl>
  </w:abstractNum>
  <w:abstractNum w:abstractNumId="23" w15:restartNumberingAfterBreak="0">
    <w:nsid w:val="48C27B78"/>
    <w:multiLevelType w:val="multilevel"/>
    <w:tmpl w:val="02E2D456"/>
    <w:lvl w:ilvl="0">
      <w:start w:val="1"/>
      <w:numFmt w:val="lowerLetter"/>
      <w:lvlText w:val="(%1)"/>
      <w:lvlJc w:val="left"/>
      <w:pPr>
        <w:ind w:left="1440" w:hanging="720"/>
      </w:pPr>
      <w:rPr>
        <w:rFonts w:hint="default"/>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4" w15:restartNumberingAfterBreak="0">
    <w:nsid w:val="4A753622"/>
    <w:multiLevelType w:val="hybridMultilevel"/>
    <w:tmpl w:val="D488ED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20C69D2"/>
    <w:multiLevelType w:val="hybridMultilevel"/>
    <w:tmpl w:val="D58041FE"/>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AC4672C"/>
    <w:multiLevelType w:val="hybridMultilevel"/>
    <w:tmpl w:val="9572B464"/>
    <w:lvl w:ilvl="0" w:tplc="DC5C2EB2">
      <w:start w:val="1"/>
      <w:numFmt w:val="lowerLetter"/>
      <w:lvlText w:val="%1)"/>
      <w:lvlJc w:val="left"/>
      <w:pPr>
        <w:ind w:left="1440" w:hanging="360"/>
      </w:pPr>
      <w:rPr>
        <w:rFonts w:hint="default"/>
      </w:rPr>
    </w:lvl>
    <w:lvl w:ilvl="1" w:tplc="59AA2DD8">
      <w:start w:val="9"/>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E2D326C"/>
    <w:multiLevelType w:val="hybridMultilevel"/>
    <w:tmpl w:val="03F29E7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AE06FC7"/>
    <w:multiLevelType w:val="hybridMultilevel"/>
    <w:tmpl w:val="E35A7F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99631B2"/>
    <w:multiLevelType w:val="multilevel"/>
    <w:tmpl w:val="FF748DE8"/>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6B25E7"/>
    <w:multiLevelType w:val="multilevel"/>
    <w:tmpl w:val="7C96F93E"/>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740CF1"/>
    <w:multiLevelType w:val="multilevel"/>
    <w:tmpl w:val="6DF81CD0"/>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Restart w:val="1"/>
      <w:lvlText w:val="(%3)"/>
      <w:lvlJc w:val="left"/>
      <w:pPr>
        <w:tabs>
          <w:tab w:val="num" w:pos="1800"/>
        </w:tabs>
        <w:ind w:left="1800" w:hanging="360"/>
      </w:pPr>
      <w:rPr>
        <w:rFont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numFmt w:val="none"/>
      <w:lvlText w:val=""/>
      <w:lvlJc w:val="left"/>
      <w:pPr>
        <w:tabs>
          <w:tab w:val="num" w:pos="360"/>
        </w:tabs>
      </w:pPr>
    </w:lvl>
    <w:lvl w:ilvl="6">
      <w:start w:val="1"/>
      <w:numFmt w:val="none"/>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num w:numId="1">
    <w:abstractNumId w:val="0"/>
  </w:num>
  <w:num w:numId="2">
    <w:abstractNumId w:val="29"/>
  </w:num>
  <w:num w:numId="3">
    <w:abstractNumId w:val="23"/>
  </w:num>
  <w:num w:numId="4">
    <w:abstractNumId w:val="14"/>
  </w:num>
  <w:num w:numId="5">
    <w:abstractNumId w:val="25"/>
  </w:num>
  <w:num w:numId="6">
    <w:abstractNumId w:val="1"/>
  </w:num>
  <w:num w:numId="7">
    <w:abstractNumId w:val="6"/>
  </w:num>
  <w:num w:numId="8">
    <w:abstractNumId w:val="5"/>
  </w:num>
  <w:num w:numId="9">
    <w:abstractNumId w:val="4"/>
  </w:num>
  <w:num w:numId="10">
    <w:abstractNumId w:val="19"/>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17"/>
  </w:num>
  <w:num w:numId="15">
    <w:abstractNumId w:val="10"/>
  </w:num>
  <w:num w:numId="16">
    <w:abstractNumId w:val="22"/>
  </w:num>
  <w:num w:numId="17">
    <w:abstractNumId w:val="11"/>
  </w:num>
  <w:num w:numId="18">
    <w:abstractNumId w:val="26"/>
  </w:num>
  <w:num w:numId="19">
    <w:abstractNumId w:val="20"/>
  </w:num>
  <w:num w:numId="20">
    <w:abstractNumId w:val="30"/>
  </w:num>
  <w:num w:numId="21">
    <w:abstractNumId w:val="21"/>
  </w:num>
  <w:num w:numId="22">
    <w:abstractNumId w:val="27"/>
  </w:num>
  <w:num w:numId="23">
    <w:abstractNumId w:val="24"/>
  </w:num>
  <w:num w:numId="24">
    <w:abstractNumId w:val="8"/>
  </w:num>
  <w:num w:numId="25">
    <w:abstractNumId w:val="3"/>
  </w:num>
  <w:num w:numId="26">
    <w:abstractNumId w:val="28"/>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9"/>
  </w:num>
  <w:num w:numId="37">
    <w:abstractNumId w:val="29"/>
  </w:num>
  <w:num w:numId="38">
    <w:abstractNumId w:val="13"/>
  </w:num>
  <w:num w:numId="39">
    <w:abstractNumId w:val="15"/>
  </w:num>
  <w:num w:numId="40">
    <w:abstractNumId w:val="12"/>
  </w:num>
  <w:num w:numId="41">
    <w:abstractNumId w:val="2"/>
  </w:num>
  <w:num w:numId="4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7C7"/>
    <w:rsid w:val="000118DD"/>
    <w:rsid w:val="000125C5"/>
    <w:rsid w:val="0001288E"/>
    <w:rsid w:val="000128D0"/>
    <w:rsid w:val="00013D3B"/>
    <w:rsid w:val="00014B10"/>
    <w:rsid w:val="00023B9C"/>
    <w:rsid w:val="0003306E"/>
    <w:rsid w:val="00034D85"/>
    <w:rsid w:val="00035057"/>
    <w:rsid w:val="00036894"/>
    <w:rsid w:val="00037D26"/>
    <w:rsid w:val="00043448"/>
    <w:rsid w:val="000442F3"/>
    <w:rsid w:val="00055F43"/>
    <w:rsid w:val="000566C3"/>
    <w:rsid w:val="000611B8"/>
    <w:rsid w:val="00070CA2"/>
    <w:rsid w:val="00070D66"/>
    <w:rsid w:val="00071A96"/>
    <w:rsid w:val="00073139"/>
    <w:rsid w:val="00073769"/>
    <w:rsid w:val="00077863"/>
    <w:rsid w:val="00081A41"/>
    <w:rsid w:val="00095BA5"/>
    <w:rsid w:val="0009681B"/>
    <w:rsid w:val="00097AA6"/>
    <w:rsid w:val="000A1DE7"/>
    <w:rsid w:val="000A4F62"/>
    <w:rsid w:val="000A553C"/>
    <w:rsid w:val="000A696A"/>
    <w:rsid w:val="000A6B76"/>
    <w:rsid w:val="000B2E54"/>
    <w:rsid w:val="000B3BF3"/>
    <w:rsid w:val="000B5F50"/>
    <w:rsid w:val="000C0998"/>
    <w:rsid w:val="000C1777"/>
    <w:rsid w:val="000C287E"/>
    <w:rsid w:val="000C2CE1"/>
    <w:rsid w:val="000C5F4B"/>
    <w:rsid w:val="000C75E1"/>
    <w:rsid w:val="000D07F1"/>
    <w:rsid w:val="000D0AC4"/>
    <w:rsid w:val="000D3250"/>
    <w:rsid w:val="000D5E28"/>
    <w:rsid w:val="000D7A64"/>
    <w:rsid w:val="000E12FA"/>
    <w:rsid w:val="000E524A"/>
    <w:rsid w:val="000E693A"/>
    <w:rsid w:val="000F1241"/>
    <w:rsid w:val="000F3B18"/>
    <w:rsid w:val="000F6EA7"/>
    <w:rsid w:val="00100006"/>
    <w:rsid w:val="00101EC5"/>
    <w:rsid w:val="001033CC"/>
    <w:rsid w:val="001122B1"/>
    <w:rsid w:val="0011421F"/>
    <w:rsid w:val="00121C72"/>
    <w:rsid w:val="00125C07"/>
    <w:rsid w:val="00133A51"/>
    <w:rsid w:val="001344BA"/>
    <w:rsid w:val="00140683"/>
    <w:rsid w:val="00143136"/>
    <w:rsid w:val="00143818"/>
    <w:rsid w:val="00144DAA"/>
    <w:rsid w:val="001455CB"/>
    <w:rsid w:val="00145C92"/>
    <w:rsid w:val="00145D28"/>
    <w:rsid w:val="0014603C"/>
    <w:rsid w:val="00146054"/>
    <w:rsid w:val="0015063E"/>
    <w:rsid w:val="0015159D"/>
    <w:rsid w:val="00155A8E"/>
    <w:rsid w:val="0015650D"/>
    <w:rsid w:val="00156648"/>
    <w:rsid w:val="0015683B"/>
    <w:rsid w:val="0016054E"/>
    <w:rsid w:val="00161B6C"/>
    <w:rsid w:val="00161CA2"/>
    <w:rsid w:val="00164249"/>
    <w:rsid w:val="00167202"/>
    <w:rsid w:val="001716EF"/>
    <w:rsid w:val="0018061B"/>
    <w:rsid w:val="00182C1F"/>
    <w:rsid w:val="00184339"/>
    <w:rsid w:val="001845E1"/>
    <w:rsid w:val="00186E37"/>
    <w:rsid w:val="001913C5"/>
    <w:rsid w:val="00194089"/>
    <w:rsid w:val="00194A80"/>
    <w:rsid w:val="00197CA4"/>
    <w:rsid w:val="001A22B3"/>
    <w:rsid w:val="001A5036"/>
    <w:rsid w:val="001A5B39"/>
    <w:rsid w:val="001A667F"/>
    <w:rsid w:val="001A7651"/>
    <w:rsid w:val="001B2E88"/>
    <w:rsid w:val="001B3484"/>
    <w:rsid w:val="001B4283"/>
    <w:rsid w:val="001B623E"/>
    <w:rsid w:val="001B7E2C"/>
    <w:rsid w:val="001C116C"/>
    <w:rsid w:val="001C2F4B"/>
    <w:rsid w:val="001C6B54"/>
    <w:rsid w:val="001E0029"/>
    <w:rsid w:val="001E0318"/>
    <w:rsid w:val="001E1418"/>
    <w:rsid w:val="001E5C1E"/>
    <w:rsid w:val="001F3CE8"/>
    <w:rsid w:val="001F71F4"/>
    <w:rsid w:val="00201507"/>
    <w:rsid w:val="00207367"/>
    <w:rsid w:val="00216DCF"/>
    <w:rsid w:val="00217758"/>
    <w:rsid w:val="00217E88"/>
    <w:rsid w:val="0022051F"/>
    <w:rsid w:val="002218C5"/>
    <w:rsid w:val="00222544"/>
    <w:rsid w:val="0022666D"/>
    <w:rsid w:val="00231605"/>
    <w:rsid w:val="0023426A"/>
    <w:rsid w:val="00234B7B"/>
    <w:rsid w:val="002361DF"/>
    <w:rsid w:val="00241A4E"/>
    <w:rsid w:val="002430E2"/>
    <w:rsid w:val="00245746"/>
    <w:rsid w:val="0024636D"/>
    <w:rsid w:val="00247F50"/>
    <w:rsid w:val="002572C2"/>
    <w:rsid w:val="0026005D"/>
    <w:rsid w:val="00265BF9"/>
    <w:rsid w:val="00271B59"/>
    <w:rsid w:val="00275A5A"/>
    <w:rsid w:val="0027619C"/>
    <w:rsid w:val="00277B7B"/>
    <w:rsid w:val="002812ED"/>
    <w:rsid w:val="0028130B"/>
    <w:rsid w:val="00281E4F"/>
    <w:rsid w:val="002837A9"/>
    <w:rsid w:val="00283C48"/>
    <w:rsid w:val="00284DF6"/>
    <w:rsid w:val="00292C1C"/>
    <w:rsid w:val="00294341"/>
    <w:rsid w:val="002A252A"/>
    <w:rsid w:val="002A7605"/>
    <w:rsid w:val="002B465A"/>
    <w:rsid w:val="002C1134"/>
    <w:rsid w:val="002C56E8"/>
    <w:rsid w:val="002D0516"/>
    <w:rsid w:val="002D0AB0"/>
    <w:rsid w:val="002D0FD3"/>
    <w:rsid w:val="002D23D8"/>
    <w:rsid w:val="002D697E"/>
    <w:rsid w:val="002D6E79"/>
    <w:rsid w:val="002E0F6B"/>
    <w:rsid w:val="002E6B43"/>
    <w:rsid w:val="002E7FD2"/>
    <w:rsid w:val="002F4D7F"/>
    <w:rsid w:val="00300EE4"/>
    <w:rsid w:val="00300F4B"/>
    <w:rsid w:val="00302363"/>
    <w:rsid w:val="00302981"/>
    <w:rsid w:val="0030352D"/>
    <w:rsid w:val="00305761"/>
    <w:rsid w:val="00307B60"/>
    <w:rsid w:val="00310655"/>
    <w:rsid w:val="00310A32"/>
    <w:rsid w:val="00311051"/>
    <w:rsid w:val="0031222C"/>
    <w:rsid w:val="003166D1"/>
    <w:rsid w:val="00320CDC"/>
    <w:rsid w:val="00321C75"/>
    <w:rsid w:val="0032286C"/>
    <w:rsid w:val="00334DD3"/>
    <w:rsid w:val="00340257"/>
    <w:rsid w:val="0034260E"/>
    <w:rsid w:val="00343909"/>
    <w:rsid w:val="00344A8C"/>
    <w:rsid w:val="00344EF2"/>
    <w:rsid w:val="00350055"/>
    <w:rsid w:val="003500B9"/>
    <w:rsid w:val="003508E0"/>
    <w:rsid w:val="0035248D"/>
    <w:rsid w:val="0035390E"/>
    <w:rsid w:val="00353E4C"/>
    <w:rsid w:val="00356593"/>
    <w:rsid w:val="00356969"/>
    <w:rsid w:val="00357A0D"/>
    <w:rsid w:val="00360413"/>
    <w:rsid w:val="003604CF"/>
    <w:rsid w:val="003615E5"/>
    <w:rsid w:val="003639B5"/>
    <w:rsid w:val="00365D0E"/>
    <w:rsid w:val="00367AD0"/>
    <w:rsid w:val="00372B88"/>
    <w:rsid w:val="00377999"/>
    <w:rsid w:val="003817CD"/>
    <w:rsid w:val="00381991"/>
    <w:rsid w:val="00381FDA"/>
    <w:rsid w:val="00383837"/>
    <w:rsid w:val="00386C9F"/>
    <w:rsid w:val="00387DB3"/>
    <w:rsid w:val="00391999"/>
    <w:rsid w:val="00391CA0"/>
    <w:rsid w:val="003922B6"/>
    <w:rsid w:val="003945D8"/>
    <w:rsid w:val="00396EF2"/>
    <w:rsid w:val="00397AAE"/>
    <w:rsid w:val="003A2EF1"/>
    <w:rsid w:val="003A7A5A"/>
    <w:rsid w:val="003A7E6C"/>
    <w:rsid w:val="003B7248"/>
    <w:rsid w:val="003C07C2"/>
    <w:rsid w:val="003C343E"/>
    <w:rsid w:val="003C5C64"/>
    <w:rsid w:val="003C62F1"/>
    <w:rsid w:val="003D0A67"/>
    <w:rsid w:val="003D672F"/>
    <w:rsid w:val="003E000D"/>
    <w:rsid w:val="003E4C44"/>
    <w:rsid w:val="003E6152"/>
    <w:rsid w:val="003E66CF"/>
    <w:rsid w:val="003F0D9C"/>
    <w:rsid w:val="003F76C7"/>
    <w:rsid w:val="00400B2E"/>
    <w:rsid w:val="0040410A"/>
    <w:rsid w:val="00404CB0"/>
    <w:rsid w:val="0041026E"/>
    <w:rsid w:val="004126C2"/>
    <w:rsid w:val="00414B77"/>
    <w:rsid w:val="0042138B"/>
    <w:rsid w:val="00432D95"/>
    <w:rsid w:val="00434BEE"/>
    <w:rsid w:val="004350C8"/>
    <w:rsid w:val="004361F0"/>
    <w:rsid w:val="004369EB"/>
    <w:rsid w:val="00441431"/>
    <w:rsid w:val="0044389F"/>
    <w:rsid w:val="004444C9"/>
    <w:rsid w:val="004450A6"/>
    <w:rsid w:val="00453DFC"/>
    <w:rsid w:val="00454495"/>
    <w:rsid w:val="00455D46"/>
    <w:rsid w:val="00456F97"/>
    <w:rsid w:val="00461361"/>
    <w:rsid w:val="00464857"/>
    <w:rsid w:val="00471414"/>
    <w:rsid w:val="00472649"/>
    <w:rsid w:val="00474F94"/>
    <w:rsid w:val="00482EBE"/>
    <w:rsid w:val="00483F1E"/>
    <w:rsid w:val="00485B81"/>
    <w:rsid w:val="00486328"/>
    <w:rsid w:val="0049011F"/>
    <w:rsid w:val="004912F2"/>
    <w:rsid w:val="00492363"/>
    <w:rsid w:val="00494220"/>
    <w:rsid w:val="004946BD"/>
    <w:rsid w:val="0049669C"/>
    <w:rsid w:val="00496F08"/>
    <w:rsid w:val="004B1AC7"/>
    <w:rsid w:val="004B2A72"/>
    <w:rsid w:val="004B4458"/>
    <w:rsid w:val="004B5756"/>
    <w:rsid w:val="004B6E9A"/>
    <w:rsid w:val="004C1FFA"/>
    <w:rsid w:val="004C29B1"/>
    <w:rsid w:val="004C6A01"/>
    <w:rsid w:val="004D07F1"/>
    <w:rsid w:val="004D1112"/>
    <w:rsid w:val="004D2141"/>
    <w:rsid w:val="004E07C3"/>
    <w:rsid w:val="004E1038"/>
    <w:rsid w:val="004E1052"/>
    <w:rsid w:val="004E10CA"/>
    <w:rsid w:val="004E1149"/>
    <w:rsid w:val="004E12A5"/>
    <w:rsid w:val="004E284B"/>
    <w:rsid w:val="004F06AC"/>
    <w:rsid w:val="004F3634"/>
    <w:rsid w:val="004F61E8"/>
    <w:rsid w:val="004F7E81"/>
    <w:rsid w:val="005026E5"/>
    <w:rsid w:val="0050429E"/>
    <w:rsid w:val="00506B52"/>
    <w:rsid w:val="00512025"/>
    <w:rsid w:val="005123B0"/>
    <w:rsid w:val="00512942"/>
    <w:rsid w:val="0051351F"/>
    <w:rsid w:val="005158D2"/>
    <w:rsid w:val="005173D2"/>
    <w:rsid w:val="00525B9D"/>
    <w:rsid w:val="005278A1"/>
    <w:rsid w:val="005319F6"/>
    <w:rsid w:val="00540E14"/>
    <w:rsid w:val="00541EAB"/>
    <w:rsid w:val="00544D70"/>
    <w:rsid w:val="00547600"/>
    <w:rsid w:val="00550871"/>
    <w:rsid w:val="005534A5"/>
    <w:rsid w:val="00553534"/>
    <w:rsid w:val="00553E98"/>
    <w:rsid w:val="00554A65"/>
    <w:rsid w:val="0055503D"/>
    <w:rsid w:val="0055717B"/>
    <w:rsid w:val="00561105"/>
    <w:rsid w:val="0056389E"/>
    <w:rsid w:val="00565153"/>
    <w:rsid w:val="00565B62"/>
    <w:rsid w:val="00567F95"/>
    <w:rsid w:val="00571E15"/>
    <w:rsid w:val="005734DA"/>
    <w:rsid w:val="00575849"/>
    <w:rsid w:val="005825BE"/>
    <w:rsid w:val="00582DAF"/>
    <w:rsid w:val="005923D2"/>
    <w:rsid w:val="00593530"/>
    <w:rsid w:val="00594C2A"/>
    <w:rsid w:val="005A291A"/>
    <w:rsid w:val="005A386C"/>
    <w:rsid w:val="005A4134"/>
    <w:rsid w:val="005A59BA"/>
    <w:rsid w:val="005A68BF"/>
    <w:rsid w:val="005A6984"/>
    <w:rsid w:val="005A7B81"/>
    <w:rsid w:val="005B1A7A"/>
    <w:rsid w:val="005B3FF4"/>
    <w:rsid w:val="005B499F"/>
    <w:rsid w:val="005B5CFE"/>
    <w:rsid w:val="005B7BEB"/>
    <w:rsid w:val="005B7E00"/>
    <w:rsid w:val="005C0C06"/>
    <w:rsid w:val="005C1E79"/>
    <w:rsid w:val="005C3284"/>
    <w:rsid w:val="005C3FF5"/>
    <w:rsid w:val="005C5419"/>
    <w:rsid w:val="005C542A"/>
    <w:rsid w:val="005C7F57"/>
    <w:rsid w:val="005D3383"/>
    <w:rsid w:val="005E04B4"/>
    <w:rsid w:val="005E3BB5"/>
    <w:rsid w:val="005E5273"/>
    <w:rsid w:val="005E704A"/>
    <w:rsid w:val="005E74D2"/>
    <w:rsid w:val="005F02B1"/>
    <w:rsid w:val="005F067C"/>
    <w:rsid w:val="005F7DC1"/>
    <w:rsid w:val="00607B05"/>
    <w:rsid w:val="006124C3"/>
    <w:rsid w:val="006135A6"/>
    <w:rsid w:val="00613FA8"/>
    <w:rsid w:val="00615F4F"/>
    <w:rsid w:val="00620D68"/>
    <w:rsid w:val="00625AFE"/>
    <w:rsid w:val="00625C50"/>
    <w:rsid w:val="0062755D"/>
    <w:rsid w:val="00634832"/>
    <w:rsid w:val="00635413"/>
    <w:rsid w:val="00636D64"/>
    <w:rsid w:val="00637EE8"/>
    <w:rsid w:val="0064057F"/>
    <w:rsid w:val="0064143C"/>
    <w:rsid w:val="00641C0A"/>
    <w:rsid w:val="006420BC"/>
    <w:rsid w:val="006513DD"/>
    <w:rsid w:val="00655347"/>
    <w:rsid w:val="006613C4"/>
    <w:rsid w:val="00662526"/>
    <w:rsid w:val="00666E4A"/>
    <w:rsid w:val="00666F54"/>
    <w:rsid w:val="006676CA"/>
    <w:rsid w:val="006710C3"/>
    <w:rsid w:val="006763E3"/>
    <w:rsid w:val="00676B57"/>
    <w:rsid w:val="00676CE9"/>
    <w:rsid w:val="0067716A"/>
    <w:rsid w:val="0068364B"/>
    <w:rsid w:val="006859D4"/>
    <w:rsid w:val="00686402"/>
    <w:rsid w:val="0069029C"/>
    <w:rsid w:val="00691BC6"/>
    <w:rsid w:val="00691F9A"/>
    <w:rsid w:val="006921D0"/>
    <w:rsid w:val="00695864"/>
    <w:rsid w:val="00697F0A"/>
    <w:rsid w:val="006A29AF"/>
    <w:rsid w:val="006A34BA"/>
    <w:rsid w:val="006A386D"/>
    <w:rsid w:val="006A4CCD"/>
    <w:rsid w:val="006A5DA3"/>
    <w:rsid w:val="006A74CE"/>
    <w:rsid w:val="006B6D97"/>
    <w:rsid w:val="006C478C"/>
    <w:rsid w:val="006C550C"/>
    <w:rsid w:val="006C55DA"/>
    <w:rsid w:val="006D0F84"/>
    <w:rsid w:val="006D47A9"/>
    <w:rsid w:val="006E4B86"/>
    <w:rsid w:val="006E6E2F"/>
    <w:rsid w:val="006E7E0B"/>
    <w:rsid w:val="006F0255"/>
    <w:rsid w:val="006F0430"/>
    <w:rsid w:val="006F3E76"/>
    <w:rsid w:val="006F3F5D"/>
    <w:rsid w:val="006F3FAF"/>
    <w:rsid w:val="006F54CA"/>
    <w:rsid w:val="006F5F1C"/>
    <w:rsid w:val="006F60CF"/>
    <w:rsid w:val="006F6748"/>
    <w:rsid w:val="00702F63"/>
    <w:rsid w:val="007046DE"/>
    <w:rsid w:val="00704897"/>
    <w:rsid w:val="00706346"/>
    <w:rsid w:val="007068FC"/>
    <w:rsid w:val="007107C6"/>
    <w:rsid w:val="007109D8"/>
    <w:rsid w:val="00712E0B"/>
    <w:rsid w:val="00715F27"/>
    <w:rsid w:val="0071797E"/>
    <w:rsid w:val="00720BE1"/>
    <w:rsid w:val="00722648"/>
    <w:rsid w:val="007262A1"/>
    <w:rsid w:val="00730338"/>
    <w:rsid w:val="00737442"/>
    <w:rsid w:val="00741D9B"/>
    <w:rsid w:val="007453B3"/>
    <w:rsid w:val="00746B4F"/>
    <w:rsid w:val="00746CB2"/>
    <w:rsid w:val="0074724C"/>
    <w:rsid w:val="007513AE"/>
    <w:rsid w:val="0075230A"/>
    <w:rsid w:val="00752628"/>
    <w:rsid w:val="00752967"/>
    <w:rsid w:val="00755325"/>
    <w:rsid w:val="00756FE4"/>
    <w:rsid w:val="007602AF"/>
    <w:rsid w:val="007638AE"/>
    <w:rsid w:val="00767B98"/>
    <w:rsid w:val="00767E01"/>
    <w:rsid w:val="00771C95"/>
    <w:rsid w:val="00776B8C"/>
    <w:rsid w:val="00780459"/>
    <w:rsid w:val="00780A47"/>
    <w:rsid w:val="00780F23"/>
    <w:rsid w:val="00784717"/>
    <w:rsid w:val="00786603"/>
    <w:rsid w:val="007917BE"/>
    <w:rsid w:val="007931D1"/>
    <w:rsid w:val="007951CA"/>
    <w:rsid w:val="00795D54"/>
    <w:rsid w:val="00796E2E"/>
    <w:rsid w:val="007A0780"/>
    <w:rsid w:val="007A1449"/>
    <w:rsid w:val="007A1D8C"/>
    <w:rsid w:val="007B1869"/>
    <w:rsid w:val="007B3902"/>
    <w:rsid w:val="007C0A8F"/>
    <w:rsid w:val="007C3BD8"/>
    <w:rsid w:val="007C55A5"/>
    <w:rsid w:val="007C6118"/>
    <w:rsid w:val="007C66C1"/>
    <w:rsid w:val="007D0506"/>
    <w:rsid w:val="007D1D95"/>
    <w:rsid w:val="007D42ED"/>
    <w:rsid w:val="007D66AA"/>
    <w:rsid w:val="007E24CA"/>
    <w:rsid w:val="007E2608"/>
    <w:rsid w:val="007E5564"/>
    <w:rsid w:val="007F1253"/>
    <w:rsid w:val="007F2B1A"/>
    <w:rsid w:val="007F3710"/>
    <w:rsid w:val="007F633D"/>
    <w:rsid w:val="007F7938"/>
    <w:rsid w:val="007F7C28"/>
    <w:rsid w:val="007F7F97"/>
    <w:rsid w:val="00802FC4"/>
    <w:rsid w:val="00804B57"/>
    <w:rsid w:val="00806936"/>
    <w:rsid w:val="008119D2"/>
    <w:rsid w:val="008127B0"/>
    <w:rsid w:val="0081687C"/>
    <w:rsid w:val="00823AB4"/>
    <w:rsid w:val="0082465E"/>
    <w:rsid w:val="0082476F"/>
    <w:rsid w:val="008274D7"/>
    <w:rsid w:val="00831D0F"/>
    <w:rsid w:val="00834079"/>
    <w:rsid w:val="00835C7C"/>
    <w:rsid w:val="00836099"/>
    <w:rsid w:val="00840ABA"/>
    <w:rsid w:val="00842691"/>
    <w:rsid w:val="008429C5"/>
    <w:rsid w:val="008434C3"/>
    <w:rsid w:val="00843503"/>
    <w:rsid w:val="008445D3"/>
    <w:rsid w:val="00845023"/>
    <w:rsid w:val="00850A46"/>
    <w:rsid w:val="00850DD8"/>
    <w:rsid w:val="00850F93"/>
    <w:rsid w:val="008515EE"/>
    <w:rsid w:val="00854FD4"/>
    <w:rsid w:val="0086055D"/>
    <w:rsid w:val="0086468D"/>
    <w:rsid w:val="00872BAD"/>
    <w:rsid w:val="00880069"/>
    <w:rsid w:val="0088136E"/>
    <w:rsid w:val="008846D6"/>
    <w:rsid w:val="00890194"/>
    <w:rsid w:val="00892D21"/>
    <w:rsid w:val="00892FF7"/>
    <w:rsid w:val="008942F1"/>
    <w:rsid w:val="008A269F"/>
    <w:rsid w:val="008A4357"/>
    <w:rsid w:val="008A4768"/>
    <w:rsid w:val="008A636D"/>
    <w:rsid w:val="008B0EC2"/>
    <w:rsid w:val="008B1575"/>
    <w:rsid w:val="008B3490"/>
    <w:rsid w:val="008B47EA"/>
    <w:rsid w:val="008B60D9"/>
    <w:rsid w:val="008C027C"/>
    <w:rsid w:val="008C41FA"/>
    <w:rsid w:val="008D3151"/>
    <w:rsid w:val="008D5D8F"/>
    <w:rsid w:val="008D6EBF"/>
    <w:rsid w:val="008E2F41"/>
    <w:rsid w:val="008E7EFE"/>
    <w:rsid w:val="008F5D67"/>
    <w:rsid w:val="00900158"/>
    <w:rsid w:val="009006B7"/>
    <w:rsid w:val="009039CE"/>
    <w:rsid w:val="0091164B"/>
    <w:rsid w:val="00916516"/>
    <w:rsid w:val="0092369B"/>
    <w:rsid w:val="009251C5"/>
    <w:rsid w:val="00934959"/>
    <w:rsid w:val="0093586D"/>
    <w:rsid w:val="009405DB"/>
    <w:rsid w:val="00940734"/>
    <w:rsid w:val="00940F44"/>
    <w:rsid w:val="00941002"/>
    <w:rsid w:val="00947689"/>
    <w:rsid w:val="0095180B"/>
    <w:rsid w:val="0095377B"/>
    <w:rsid w:val="00955CBF"/>
    <w:rsid w:val="00956EC0"/>
    <w:rsid w:val="009579B5"/>
    <w:rsid w:val="0096128D"/>
    <w:rsid w:val="00963A32"/>
    <w:rsid w:val="00967616"/>
    <w:rsid w:val="00970632"/>
    <w:rsid w:val="00971150"/>
    <w:rsid w:val="00972FEE"/>
    <w:rsid w:val="00975561"/>
    <w:rsid w:val="0097645F"/>
    <w:rsid w:val="0098076E"/>
    <w:rsid w:val="00984A84"/>
    <w:rsid w:val="00984EF6"/>
    <w:rsid w:val="0098511C"/>
    <w:rsid w:val="00987FD8"/>
    <w:rsid w:val="00990B3C"/>
    <w:rsid w:val="00993D8D"/>
    <w:rsid w:val="009956C6"/>
    <w:rsid w:val="00996F81"/>
    <w:rsid w:val="009A16DD"/>
    <w:rsid w:val="009A45B0"/>
    <w:rsid w:val="009B065D"/>
    <w:rsid w:val="009B1B66"/>
    <w:rsid w:val="009B22CA"/>
    <w:rsid w:val="009B3159"/>
    <w:rsid w:val="009B57E6"/>
    <w:rsid w:val="009B7708"/>
    <w:rsid w:val="009C1643"/>
    <w:rsid w:val="009C3906"/>
    <w:rsid w:val="009C393F"/>
    <w:rsid w:val="009C57E7"/>
    <w:rsid w:val="009C6B44"/>
    <w:rsid w:val="009D1753"/>
    <w:rsid w:val="009D4308"/>
    <w:rsid w:val="009E4C0D"/>
    <w:rsid w:val="009E5E09"/>
    <w:rsid w:val="009E714C"/>
    <w:rsid w:val="009F1D7C"/>
    <w:rsid w:val="009F27F0"/>
    <w:rsid w:val="009F2819"/>
    <w:rsid w:val="009F587A"/>
    <w:rsid w:val="009F5A58"/>
    <w:rsid w:val="009F7728"/>
    <w:rsid w:val="009F7C7A"/>
    <w:rsid w:val="00A02D5F"/>
    <w:rsid w:val="00A03CC1"/>
    <w:rsid w:val="00A04BF1"/>
    <w:rsid w:val="00A13D3C"/>
    <w:rsid w:val="00A16095"/>
    <w:rsid w:val="00A16C59"/>
    <w:rsid w:val="00A1734D"/>
    <w:rsid w:val="00A222B3"/>
    <w:rsid w:val="00A24E67"/>
    <w:rsid w:val="00A336A2"/>
    <w:rsid w:val="00A364F1"/>
    <w:rsid w:val="00A44417"/>
    <w:rsid w:val="00A45C53"/>
    <w:rsid w:val="00A50A22"/>
    <w:rsid w:val="00A531FE"/>
    <w:rsid w:val="00A55155"/>
    <w:rsid w:val="00A560E5"/>
    <w:rsid w:val="00A64EE1"/>
    <w:rsid w:val="00A66DBF"/>
    <w:rsid w:val="00A67FC3"/>
    <w:rsid w:val="00A70F58"/>
    <w:rsid w:val="00A715A8"/>
    <w:rsid w:val="00A7381D"/>
    <w:rsid w:val="00A7773B"/>
    <w:rsid w:val="00A7779A"/>
    <w:rsid w:val="00A86757"/>
    <w:rsid w:val="00A9278B"/>
    <w:rsid w:val="00A9344B"/>
    <w:rsid w:val="00A937DF"/>
    <w:rsid w:val="00AA042D"/>
    <w:rsid w:val="00AA0705"/>
    <w:rsid w:val="00AA1164"/>
    <w:rsid w:val="00AA1568"/>
    <w:rsid w:val="00AA1BA4"/>
    <w:rsid w:val="00AA5A1E"/>
    <w:rsid w:val="00AB0464"/>
    <w:rsid w:val="00AB3FFA"/>
    <w:rsid w:val="00AB61BD"/>
    <w:rsid w:val="00AB6B2D"/>
    <w:rsid w:val="00AB6B88"/>
    <w:rsid w:val="00AB7C50"/>
    <w:rsid w:val="00AC24D8"/>
    <w:rsid w:val="00AC2F4D"/>
    <w:rsid w:val="00AC70C4"/>
    <w:rsid w:val="00AD23F9"/>
    <w:rsid w:val="00AD32C4"/>
    <w:rsid w:val="00AE3228"/>
    <w:rsid w:val="00AE3CE5"/>
    <w:rsid w:val="00AF01C3"/>
    <w:rsid w:val="00AF29CC"/>
    <w:rsid w:val="00AF541C"/>
    <w:rsid w:val="00AF72F1"/>
    <w:rsid w:val="00AF7BEA"/>
    <w:rsid w:val="00B0217A"/>
    <w:rsid w:val="00B03FB3"/>
    <w:rsid w:val="00B0557D"/>
    <w:rsid w:val="00B120B9"/>
    <w:rsid w:val="00B178B8"/>
    <w:rsid w:val="00B210B9"/>
    <w:rsid w:val="00B21DCB"/>
    <w:rsid w:val="00B24F0A"/>
    <w:rsid w:val="00B2533E"/>
    <w:rsid w:val="00B26EE9"/>
    <w:rsid w:val="00B27212"/>
    <w:rsid w:val="00B30C4D"/>
    <w:rsid w:val="00B31D34"/>
    <w:rsid w:val="00B323E2"/>
    <w:rsid w:val="00B32D79"/>
    <w:rsid w:val="00B366E1"/>
    <w:rsid w:val="00B37F5F"/>
    <w:rsid w:val="00B40971"/>
    <w:rsid w:val="00B41CB2"/>
    <w:rsid w:val="00B43CA5"/>
    <w:rsid w:val="00B445A4"/>
    <w:rsid w:val="00B50C4E"/>
    <w:rsid w:val="00B53468"/>
    <w:rsid w:val="00B54563"/>
    <w:rsid w:val="00B54D68"/>
    <w:rsid w:val="00B55DDD"/>
    <w:rsid w:val="00B57556"/>
    <w:rsid w:val="00B5759B"/>
    <w:rsid w:val="00B6220E"/>
    <w:rsid w:val="00B65F05"/>
    <w:rsid w:val="00B66E76"/>
    <w:rsid w:val="00B72C47"/>
    <w:rsid w:val="00B77834"/>
    <w:rsid w:val="00B84551"/>
    <w:rsid w:val="00B86CFD"/>
    <w:rsid w:val="00B86E13"/>
    <w:rsid w:val="00B91665"/>
    <w:rsid w:val="00B91FEA"/>
    <w:rsid w:val="00B92511"/>
    <w:rsid w:val="00B97019"/>
    <w:rsid w:val="00BA467D"/>
    <w:rsid w:val="00BA4AA3"/>
    <w:rsid w:val="00BA536E"/>
    <w:rsid w:val="00BB025F"/>
    <w:rsid w:val="00BB1CFE"/>
    <w:rsid w:val="00BB3539"/>
    <w:rsid w:val="00BB44DE"/>
    <w:rsid w:val="00BB6A06"/>
    <w:rsid w:val="00BC00FB"/>
    <w:rsid w:val="00BC63FD"/>
    <w:rsid w:val="00BC7826"/>
    <w:rsid w:val="00BD0D77"/>
    <w:rsid w:val="00BD37EC"/>
    <w:rsid w:val="00BD3814"/>
    <w:rsid w:val="00BD4E3C"/>
    <w:rsid w:val="00BD53FE"/>
    <w:rsid w:val="00BE1071"/>
    <w:rsid w:val="00BE5E45"/>
    <w:rsid w:val="00BE6133"/>
    <w:rsid w:val="00BF054A"/>
    <w:rsid w:val="00BF2411"/>
    <w:rsid w:val="00BF5F87"/>
    <w:rsid w:val="00BF6922"/>
    <w:rsid w:val="00BF764E"/>
    <w:rsid w:val="00BF7EB5"/>
    <w:rsid w:val="00C02583"/>
    <w:rsid w:val="00C02A7C"/>
    <w:rsid w:val="00C02EEF"/>
    <w:rsid w:val="00C02F5C"/>
    <w:rsid w:val="00C03C6C"/>
    <w:rsid w:val="00C04D89"/>
    <w:rsid w:val="00C10391"/>
    <w:rsid w:val="00C10EE2"/>
    <w:rsid w:val="00C14D7A"/>
    <w:rsid w:val="00C16227"/>
    <w:rsid w:val="00C16789"/>
    <w:rsid w:val="00C25E34"/>
    <w:rsid w:val="00C27E6B"/>
    <w:rsid w:val="00C310B9"/>
    <w:rsid w:val="00C342D5"/>
    <w:rsid w:val="00C401CD"/>
    <w:rsid w:val="00C4035A"/>
    <w:rsid w:val="00C41952"/>
    <w:rsid w:val="00C42B04"/>
    <w:rsid w:val="00C42F59"/>
    <w:rsid w:val="00C5097E"/>
    <w:rsid w:val="00C5118C"/>
    <w:rsid w:val="00C53183"/>
    <w:rsid w:val="00C55128"/>
    <w:rsid w:val="00C56DF5"/>
    <w:rsid w:val="00C570CC"/>
    <w:rsid w:val="00C60BB4"/>
    <w:rsid w:val="00C61943"/>
    <w:rsid w:val="00C63CBE"/>
    <w:rsid w:val="00C65F24"/>
    <w:rsid w:val="00C719FC"/>
    <w:rsid w:val="00C74217"/>
    <w:rsid w:val="00C87F04"/>
    <w:rsid w:val="00C915F4"/>
    <w:rsid w:val="00C92881"/>
    <w:rsid w:val="00C95730"/>
    <w:rsid w:val="00C96FB5"/>
    <w:rsid w:val="00C979D7"/>
    <w:rsid w:val="00C97AA1"/>
    <w:rsid w:val="00CB2437"/>
    <w:rsid w:val="00CB2EDD"/>
    <w:rsid w:val="00CB387D"/>
    <w:rsid w:val="00CC2810"/>
    <w:rsid w:val="00CC6705"/>
    <w:rsid w:val="00CD0331"/>
    <w:rsid w:val="00CD28CD"/>
    <w:rsid w:val="00CD3F27"/>
    <w:rsid w:val="00CD4B75"/>
    <w:rsid w:val="00CD50DA"/>
    <w:rsid w:val="00CD5CE2"/>
    <w:rsid w:val="00CD791D"/>
    <w:rsid w:val="00CE0037"/>
    <w:rsid w:val="00CE4442"/>
    <w:rsid w:val="00CE46FB"/>
    <w:rsid w:val="00CE520C"/>
    <w:rsid w:val="00CF07B3"/>
    <w:rsid w:val="00CF18F8"/>
    <w:rsid w:val="00CF4BEC"/>
    <w:rsid w:val="00CF5F3A"/>
    <w:rsid w:val="00CF6054"/>
    <w:rsid w:val="00CF6947"/>
    <w:rsid w:val="00D005FF"/>
    <w:rsid w:val="00D00948"/>
    <w:rsid w:val="00D00C1F"/>
    <w:rsid w:val="00D00C42"/>
    <w:rsid w:val="00D01E58"/>
    <w:rsid w:val="00D026F8"/>
    <w:rsid w:val="00D13DD1"/>
    <w:rsid w:val="00D16016"/>
    <w:rsid w:val="00D1679C"/>
    <w:rsid w:val="00D16FC1"/>
    <w:rsid w:val="00D20140"/>
    <w:rsid w:val="00D202F9"/>
    <w:rsid w:val="00D218A6"/>
    <w:rsid w:val="00D23722"/>
    <w:rsid w:val="00D23C64"/>
    <w:rsid w:val="00D244E3"/>
    <w:rsid w:val="00D25933"/>
    <w:rsid w:val="00D26B29"/>
    <w:rsid w:val="00D3340C"/>
    <w:rsid w:val="00D37B73"/>
    <w:rsid w:val="00D44645"/>
    <w:rsid w:val="00D46DA6"/>
    <w:rsid w:val="00D54B74"/>
    <w:rsid w:val="00D55A3A"/>
    <w:rsid w:val="00D602B5"/>
    <w:rsid w:val="00D62946"/>
    <w:rsid w:val="00D62C14"/>
    <w:rsid w:val="00D636CD"/>
    <w:rsid w:val="00D644D4"/>
    <w:rsid w:val="00D66FF2"/>
    <w:rsid w:val="00D71E39"/>
    <w:rsid w:val="00D77286"/>
    <w:rsid w:val="00D77D53"/>
    <w:rsid w:val="00D809E3"/>
    <w:rsid w:val="00D80FEA"/>
    <w:rsid w:val="00D849BC"/>
    <w:rsid w:val="00D85336"/>
    <w:rsid w:val="00D86A6A"/>
    <w:rsid w:val="00D961E3"/>
    <w:rsid w:val="00D97628"/>
    <w:rsid w:val="00DA0491"/>
    <w:rsid w:val="00DA1E21"/>
    <w:rsid w:val="00DA284A"/>
    <w:rsid w:val="00DA56E9"/>
    <w:rsid w:val="00DB05DF"/>
    <w:rsid w:val="00DB304D"/>
    <w:rsid w:val="00DB3946"/>
    <w:rsid w:val="00DB3ACA"/>
    <w:rsid w:val="00DB4220"/>
    <w:rsid w:val="00DB6F51"/>
    <w:rsid w:val="00DB7EBE"/>
    <w:rsid w:val="00DC0370"/>
    <w:rsid w:val="00DC0ABE"/>
    <w:rsid w:val="00DC1D8A"/>
    <w:rsid w:val="00DC24A7"/>
    <w:rsid w:val="00DC3601"/>
    <w:rsid w:val="00DC5BE7"/>
    <w:rsid w:val="00DC66BB"/>
    <w:rsid w:val="00DC73DB"/>
    <w:rsid w:val="00DD1823"/>
    <w:rsid w:val="00DD7A0D"/>
    <w:rsid w:val="00DE2909"/>
    <w:rsid w:val="00DE6424"/>
    <w:rsid w:val="00DE6CBB"/>
    <w:rsid w:val="00DE745D"/>
    <w:rsid w:val="00DF032B"/>
    <w:rsid w:val="00DF1F28"/>
    <w:rsid w:val="00DF4878"/>
    <w:rsid w:val="00DF52D4"/>
    <w:rsid w:val="00E0023C"/>
    <w:rsid w:val="00E05506"/>
    <w:rsid w:val="00E0551B"/>
    <w:rsid w:val="00E11319"/>
    <w:rsid w:val="00E14E45"/>
    <w:rsid w:val="00E15CF5"/>
    <w:rsid w:val="00E16169"/>
    <w:rsid w:val="00E20381"/>
    <w:rsid w:val="00E2055A"/>
    <w:rsid w:val="00E23A7E"/>
    <w:rsid w:val="00E25646"/>
    <w:rsid w:val="00E27289"/>
    <w:rsid w:val="00E2776C"/>
    <w:rsid w:val="00E27982"/>
    <w:rsid w:val="00E31D83"/>
    <w:rsid w:val="00E44BF7"/>
    <w:rsid w:val="00E529D6"/>
    <w:rsid w:val="00E52E8C"/>
    <w:rsid w:val="00E54AD4"/>
    <w:rsid w:val="00E61AA5"/>
    <w:rsid w:val="00E62BC4"/>
    <w:rsid w:val="00E66EDC"/>
    <w:rsid w:val="00E7097B"/>
    <w:rsid w:val="00E71230"/>
    <w:rsid w:val="00E71680"/>
    <w:rsid w:val="00E74D52"/>
    <w:rsid w:val="00E90334"/>
    <w:rsid w:val="00E94B32"/>
    <w:rsid w:val="00EA0DB8"/>
    <w:rsid w:val="00EA141C"/>
    <w:rsid w:val="00EA2EB9"/>
    <w:rsid w:val="00EA6CDF"/>
    <w:rsid w:val="00EA6D9C"/>
    <w:rsid w:val="00EB3E29"/>
    <w:rsid w:val="00EC0977"/>
    <w:rsid w:val="00EC2279"/>
    <w:rsid w:val="00EC4A6A"/>
    <w:rsid w:val="00EC6B3A"/>
    <w:rsid w:val="00ED25C1"/>
    <w:rsid w:val="00ED61FE"/>
    <w:rsid w:val="00EE6009"/>
    <w:rsid w:val="00EF154D"/>
    <w:rsid w:val="00EF1683"/>
    <w:rsid w:val="00EF2D12"/>
    <w:rsid w:val="00EF2F58"/>
    <w:rsid w:val="00EF5C7D"/>
    <w:rsid w:val="00F0009F"/>
    <w:rsid w:val="00F02AA0"/>
    <w:rsid w:val="00F0621A"/>
    <w:rsid w:val="00F07C59"/>
    <w:rsid w:val="00F101FA"/>
    <w:rsid w:val="00F24E6E"/>
    <w:rsid w:val="00F25EF5"/>
    <w:rsid w:val="00F30B51"/>
    <w:rsid w:val="00F33797"/>
    <w:rsid w:val="00F34BFE"/>
    <w:rsid w:val="00F43EC5"/>
    <w:rsid w:val="00F4523E"/>
    <w:rsid w:val="00F454E6"/>
    <w:rsid w:val="00F521A3"/>
    <w:rsid w:val="00F52A10"/>
    <w:rsid w:val="00F630C6"/>
    <w:rsid w:val="00F66463"/>
    <w:rsid w:val="00F7228A"/>
    <w:rsid w:val="00F800D9"/>
    <w:rsid w:val="00F80F7B"/>
    <w:rsid w:val="00F85CC5"/>
    <w:rsid w:val="00F86D0F"/>
    <w:rsid w:val="00F91689"/>
    <w:rsid w:val="00FA51CA"/>
    <w:rsid w:val="00FA7259"/>
    <w:rsid w:val="00FA726D"/>
    <w:rsid w:val="00FA7381"/>
    <w:rsid w:val="00FA7B26"/>
    <w:rsid w:val="00FB0EA6"/>
    <w:rsid w:val="00FB10DD"/>
    <w:rsid w:val="00FB60BC"/>
    <w:rsid w:val="00FC0EA9"/>
    <w:rsid w:val="00FC350B"/>
    <w:rsid w:val="00FC4A80"/>
    <w:rsid w:val="00FC697E"/>
    <w:rsid w:val="00FC7E16"/>
    <w:rsid w:val="00FD0B7E"/>
    <w:rsid w:val="00FD2962"/>
    <w:rsid w:val="00FD2DBF"/>
    <w:rsid w:val="00FD41F1"/>
    <w:rsid w:val="00FD4655"/>
    <w:rsid w:val="00FD4B3F"/>
    <w:rsid w:val="00FD5E67"/>
    <w:rsid w:val="00FD6D10"/>
    <w:rsid w:val="00FD72DE"/>
    <w:rsid w:val="00FE13F6"/>
    <w:rsid w:val="00FE2DE4"/>
    <w:rsid w:val="00FE3DB0"/>
    <w:rsid w:val="00FE3E47"/>
    <w:rsid w:val="00FE744B"/>
    <w:rsid w:val="00FF10F3"/>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E94271"/>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9B065D"/>
    <w:pPr>
      <w:keepNext/>
      <w:numPr>
        <w:numId w:val="1"/>
      </w:numPr>
      <w:spacing w:before="240" w:after="60"/>
      <w:outlineLvl w:val="0"/>
    </w:pPr>
    <w:rPr>
      <w:bCs/>
      <w:kern w:val="32"/>
      <w:szCs w:val="32"/>
    </w:rPr>
  </w:style>
  <w:style w:type="paragraph" w:styleId="Heading2">
    <w:name w:val="heading 2"/>
    <w:basedOn w:val="Normal"/>
    <w:next w:val="Normal"/>
    <w:link w:val="Heading2Char"/>
    <w:semiHidden/>
    <w:unhideWhenUsed/>
    <w:qFormat/>
    <w:rsid w:val="00A66D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link w:val="FootnoteTextChar"/>
    <w:uiPriority w:val="99"/>
    <w:semiHidden/>
    <w:rsid w:val="00635413"/>
    <w:rPr>
      <w:sz w:val="20"/>
      <w:szCs w:val="20"/>
    </w:rPr>
  </w:style>
  <w:style w:type="character" w:styleId="FootnoteReference">
    <w:name w:val="footnote reference"/>
    <w:uiPriority w:val="99"/>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uiPriority w:val="99"/>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9B065D"/>
    <w:rPr>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normaltextrun">
    <w:name w:val="normaltextrun"/>
    <w:basedOn w:val="DefaultParagraphFont"/>
    <w:rsid w:val="00281E4F"/>
  </w:style>
  <w:style w:type="paragraph" w:customStyle="1" w:styleId="Level1">
    <w:name w:val="Level 1"/>
    <w:basedOn w:val="Normal"/>
    <w:next w:val="Heading1"/>
    <w:link w:val="Level1Char"/>
    <w:rsid w:val="0011421F"/>
    <w:pPr>
      <w:keepNext/>
      <w:widowControl w:val="0"/>
      <w:spacing w:before="360"/>
      <w:ind w:left="720"/>
      <w:jc w:val="both"/>
    </w:pPr>
    <w:rPr>
      <w:rFonts w:ascii="Book Antiqua" w:hAnsi="Book Antiqua"/>
      <w:b/>
      <w:szCs w:val="20"/>
      <w:u w:val="single"/>
      <w:lang w:eastAsia="en-US"/>
    </w:rPr>
  </w:style>
  <w:style w:type="character" w:customStyle="1" w:styleId="Level1Char">
    <w:name w:val="Level 1 Char"/>
    <w:link w:val="Level1"/>
    <w:locked/>
    <w:rsid w:val="0011421F"/>
    <w:rPr>
      <w:rFonts w:ascii="Book Antiqua" w:hAnsi="Book Antiqua"/>
      <w:b/>
      <w:sz w:val="24"/>
      <w:u w:val="single"/>
      <w:lang w:val="en-AU" w:eastAsia="en-US"/>
    </w:rPr>
  </w:style>
  <w:style w:type="character" w:customStyle="1" w:styleId="Heading2Char">
    <w:name w:val="Heading 2 Char"/>
    <w:basedOn w:val="DefaultParagraphFont"/>
    <w:link w:val="Heading2"/>
    <w:semiHidden/>
    <w:rsid w:val="00A66DBF"/>
    <w:rPr>
      <w:rFonts w:asciiTheme="majorHAnsi" w:eastAsiaTheme="majorEastAsia" w:hAnsiTheme="majorHAnsi" w:cstheme="majorBidi"/>
      <w:color w:val="2E74B5" w:themeColor="accent1" w:themeShade="BF"/>
      <w:sz w:val="26"/>
      <w:szCs w:val="26"/>
      <w:lang w:val="en-AU" w:eastAsia="en-AU"/>
    </w:rPr>
  </w:style>
  <w:style w:type="paragraph" w:customStyle="1" w:styleId="Num1">
    <w:name w:val="Num 1"/>
    <w:rsid w:val="000611B8"/>
    <w:pPr>
      <w:numPr>
        <w:numId w:val="17"/>
      </w:numPr>
      <w:tabs>
        <w:tab w:val="left" w:pos="567"/>
      </w:tabs>
      <w:spacing w:before="120" w:after="120" w:line="360" w:lineRule="auto"/>
      <w:ind w:left="567" w:hanging="567"/>
    </w:pPr>
    <w:rPr>
      <w:rFonts w:ascii="Book Antiqua" w:hAnsi="Book Antiqua" w:cs="Arial"/>
      <w:sz w:val="24"/>
      <w:lang w:val="en-AU" w:eastAsia="en-US"/>
    </w:rPr>
  </w:style>
  <w:style w:type="paragraph" w:customStyle="1" w:styleId="Num2">
    <w:name w:val="Num 2"/>
    <w:rsid w:val="000611B8"/>
    <w:pPr>
      <w:numPr>
        <w:ilvl w:val="1"/>
        <w:numId w:val="17"/>
      </w:numPr>
      <w:tabs>
        <w:tab w:val="left" w:pos="1134"/>
      </w:tabs>
      <w:spacing w:before="120" w:after="120" w:line="360" w:lineRule="auto"/>
      <w:ind w:left="1134" w:hanging="567"/>
    </w:pPr>
    <w:rPr>
      <w:rFonts w:ascii="Book Antiqua" w:hAnsi="Book Antiqua" w:cs="Arial"/>
      <w:sz w:val="24"/>
      <w:lang w:val="en-AU" w:eastAsia="en-US"/>
    </w:rPr>
  </w:style>
  <w:style w:type="paragraph" w:customStyle="1" w:styleId="Indent1">
    <w:name w:val="Indent 1"/>
    <w:rsid w:val="000611B8"/>
    <w:pPr>
      <w:numPr>
        <w:ilvl w:val="2"/>
        <w:numId w:val="17"/>
      </w:numPr>
      <w:tabs>
        <w:tab w:val="clear" w:pos="2007"/>
      </w:tabs>
      <w:spacing w:before="120" w:after="120" w:line="360" w:lineRule="auto"/>
      <w:ind w:left="567" w:firstLine="0"/>
    </w:pPr>
    <w:rPr>
      <w:rFonts w:ascii="Arial" w:hAnsi="Arial" w:cs="Arial"/>
      <w:sz w:val="24"/>
      <w:lang w:val="en-AU" w:eastAsia="en-US"/>
    </w:rPr>
  </w:style>
  <w:style w:type="character" w:customStyle="1" w:styleId="FootnoteTextChar">
    <w:name w:val="Footnote Text Char"/>
    <w:basedOn w:val="DefaultParagraphFont"/>
    <w:link w:val="FootnoteText"/>
    <w:uiPriority w:val="99"/>
    <w:semiHidden/>
    <w:rsid w:val="005B7BEB"/>
    <w:rPr>
      <w:lang w:val="en-AU" w:eastAsia="en-AU"/>
    </w:rPr>
  </w:style>
  <w:style w:type="paragraph" w:styleId="Revision">
    <w:name w:val="Revision"/>
    <w:hidden/>
    <w:uiPriority w:val="99"/>
    <w:semiHidden/>
    <w:rsid w:val="00AD23F9"/>
    <w:rPr>
      <w:sz w:val="24"/>
      <w:szCs w:val="24"/>
      <w:lang w:val="en-AU" w:eastAsia="en-AU"/>
    </w:rPr>
  </w:style>
  <w:style w:type="paragraph" w:customStyle="1" w:styleId="Body">
    <w:name w:val="Body"/>
    <w:basedOn w:val="Normal"/>
    <w:rsid w:val="005C3284"/>
    <w:pPr>
      <w:autoSpaceDE w:val="0"/>
      <w:autoSpaceDN w:val="0"/>
      <w:adjustRightInd w:val="0"/>
      <w:spacing w:after="120"/>
      <w:textAlignment w:val="center"/>
    </w:pPr>
    <w:rPr>
      <w:rFonts w:ascii="Arial" w:eastAsia="Cambria" w:hAnsi="Arial" w:cs="Times-Roman"/>
      <w:color w:val="40404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7080">
      <w:bodyDiv w:val="1"/>
      <w:marLeft w:val="0"/>
      <w:marRight w:val="0"/>
      <w:marTop w:val="0"/>
      <w:marBottom w:val="0"/>
      <w:divBdr>
        <w:top w:val="none" w:sz="0" w:space="0" w:color="auto"/>
        <w:left w:val="none" w:sz="0" w:space="0" w:color="auto"/>
        <w:bottom w:val="none" w:sz="0" w:space="0" w:color="auto"/>
        <w:right w:val="none" w:sz="0" w:space="0" w:color="auto"/>
      </w:divBdr>
    </w:div>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24262222">
      <w:bodyDiv w:val="1"/>
      <w:marLeft w:val="0"/>
      <w:marRight w:val="0"/>
      <w:marTop w:val="0"/>
      <w:marBottom w:val="0"/>
      <w:divBdr>
        <w:top w:val="none" w:sz="0" w:space="0" w:color="auto"/>
        <w:left w:val="none" w:sz="0" w:space="0" w:color="auto"/>
        <w:bottom w:val="none" w:sz="0" w:space="0" w:color="auto"/>
        <w:right w:val="none" w:sz="0" w:space="0" w:color="auto"/>
      </w:divBdr>
    </w:div>
    <w:div w:id="1068117242">
      <w:bodyDiv w:val="1"/>
      <w:marLeft w:val="0"/>
      <w:marRight w:val="0"/>
      <w:marTop w:val="0"/>
      <w:marBottom w:val="0"/>
      <w:divBdr>
        <w:top w:val="none" w:sz="0" w:space="0" w:color="auto"/>
        <w:left w:val="none" w:sz="0" w:space="0" w:color="auto"/>
        <w:bottom w:val="none" w:sz="0" w:space="0" w:color="auto"/>
        <w:right w:val="none" w:sz="0" w:space="0" w:color="auto"/>
      </w:divBdr>
      <w:divsChild>
        <w:div w:id="1237668408">
          <w:marLeft w:val="0"/>
          <w:marRight w:val="0"/>
          <w:marTop w:val="0"/>
          <w:marBottom w:val="0"/>
          <w:divBdr>
            <w:top w:val="none" w:sz="0" w:space="0" w:color="auto"/>
            <w:left w:val="none" w:sz="0" w:space="0" w:color="auto"/>
            <w:bottom w:val="none" w:sz="0" w:space="0" w:color="auto"/>
            <w:right w:val="none" w:sz="0" w:space="0" w:color="auto"/>
          </w:divBdr>
          <w:divsChild>
            <w:div w:id="1230845998">
              <w:marLeft w:val="0"/>
              <w:marRight w:val="0"/>
              <w:marTop w:val="0"/>
              <w:marBottom w:val="0"/>
              <w:divBdr>
                <w:top w:val="none" w:sz="0" w:space="0" w:color="auto"/>
                <w:left w:val="none" w:sz="0" w:space="0" w:color="auto"/>
                <w:bottom w:val="none" w:sz="0" w:space="0" w:color="auto"/>
                <w:right w:val="none" w:sz="0" w:space="0" w:color="auto"/>
              </w:divBdr>
              <w:divsChild>
                <w:div w:id="75132214">
                  <w:marLeft w:val="0"/>
                  <w:marRight w:val="0"/>
                  <w:marTop w:val="0"/>
                  <w:marBottom w:val="0"/>
                  <w:divBdr>
                    <w:top w:val="none" w:sz="0" w:space="0" w:color="auto"/>
                    <w:left w:val="none" w:sz="0" w:space="0" w:color="auto"/>
                    <w:bottom w:val="none" w:sz="0" w:space="0" w:color="auto"/>
                    <w:right w:val="none" w:sz="0" w:space="0" w:color="auto"/>
                  </w:divBdr>
                  <w:divsChild>
                    <w:div w:id="383138660">
                      <w:marLeft w:val="0"/>
                      <w:marRight w:val="0"/>
                      <w:marTop w:val="0"/>
                      <w:marBottom w:val="0"/>
                      <w:divBdr>
                        <w:top w:val="none" w:sz="0" w:space="0" w:color="auto"/>
                        <w:left w:val="none" w:sz="0" w:space="0" w:color="auto"/>
                        <w:bottom w:val="none" w:sz="0" w:space="0" w:color="auto"/>
                        <w:right w:val="none" w:sz="0" w:space="0" w:color="auto"/>
                      </w:divBdr>
                      <w:divsChild>
                        <w:div w:id="2040543250">
                          <w:marLeft w:val="0"/>
                          <w:marRight w:val="0"/>
                          <w:marTop w:val="0"/>
                          <w:marBottom w:val="0"/>
                          <w:divBdr>
                            <w:top w:val="none" w:sz="0" w:space="0" w:color="auto"/>
                            <w:left w:val="none" w:sz="0" w:space="0" w:color="auto"/>
                            <w:bottom w:val="none" w:sz="0" w:space="0" w:color="auto"/>
                            <w:right w:val="none" w:sz="0" w:space="0" w:color="auto"/>
                          </w:divBdr>
                          <w:divsChild>
                            <w:div w:id="1762219224">
                              <w:marLeft w:val="0"/>
                              <w:marRight w:val="0"/>
                              <w:marTop w:val="0"/>
                              <w:marBottom w:val="0"/>
                              <w:divBdr>
                                <w:top w:val="none" w:sz="0" w:space="0" w:color="auto"/>
                                <w:left w:val="none" w:sz="0" w:space="0" w:color="auto"/>
                                <w:bottom w:val="none" w:sz="0" w:space="0" w:color="auto"/>
                                <w:right w:val="none" w:sz="0" w:space="0" w:color="auto"/>
                              </w:divBdr>
                              <w:divsChild>
                                <w:div w:id="147598188">
                                  <w:marLeft w:val="0"/>
                                  <w:marRight w:val="0"/>
                                  <w:marTop w:val="0"/>
                                  <w:marBottom w:val="0"/>
                                  <w:divBdr>
                                    <w:top w:val="none" w:sz="0" w:space="0" w:color="auto"/>
                                    <w:left w:val="none" w:sz="0" w:space="0" w:color="auto"/>
                                    <w:bottom w:val="none" w:sz="0" w:space="0" w:color="auto"/>
                                    <w:right w:val="none" w:sz="0" w:space="0" w:color="auto"/>
                                  </w:divBdr>
                                  <w:divsChild>
                                    <w:div w:id="1170289391">
                                      <w:marLeft w:val="0"/>
                                      <w:marRight w:val="0"/>
                                      <w:marTop w:val="0"/>
                                      <w:marBottom w:val="0"/>
                                      <w:divBdr>
                                        <w:top w:val="none" w:sz="0" w:space="0" w:color="auto"/>
                                        <w:left w:val="none" w:sz="0" w:space="0" w:color="auto"/>
                                        <w:bottom w:val="none" w:sz="0" w:space="0" w:color="auto"/>
                                        <w:right w:val="none" w:sz="0" w:space="0" w:color="auto"/>
                                      </w:divBdr>
                                      <w:divsChild>
                                        <w:div w:id="1169561930">
                                          <w:marLeft w:val="0"/>
                                          <w:marRight w:val="0"/>
                                          <w:marTop w:val="0"/>
                                          <w:marBottom w:val="0"/>
                                          <w:divBdr>
                                            <w:top w:val="none" w:sz="0" w:space="0" w:color="auto"/>
                                            <w:left w:val="none" w:sz="0" w:space="0" w:color="auto"/>
                                            <w:bottom w:val="none" w:sz="0" w:space="0" w:color="auto"/>
                                            <w:right w:val="none" w:sz="0" w:space="0" w:color="auto"/>
                                          </w:divBdr>
                                          <w:divsChild>
                                            <w:div w:id="2712344">
                                              <w:marLeft w:val="0"/>
                                              <w:marRight w:val="0"/>
                                              <w:marTop w:val="0"/>
                                              <w:marBottom w:val="0"/>
                                              <w:divBdr>
                                                <w:top w:val="none" w:sz="0" w:space="0" w:color="auto"/>
                                                <w:left w:val="none" w:sz="0" w:space="0" w:color="auto"/>
                                                <w:bottom w:val="none" w:sz="0" w:space="0" w:color="auto"/>
                                                <w:right w:val="none" w:sz="0" w:space="0" w:color="auto"/>
                                              </w:divBdr>
                                              <w:divsChild>
                                                <w:div w:id="1409616807">
                                                  <w:marLeft w:val="0"/>
                                                  <w:marRight w:val="0"/>
                                                  <w:marTop w:val="0"/>
                                                  <w:marBottom w:val="0"/>
                                                  <w:divBdr>
                                                    <w:top w:val="none" w:sz="0" w:space="0" w:color="auto"/>
                                                    <w:left w:val="none" w:sz="0" w:space="0" w:color="auto"/>
                                                    <w:bottom w:val="none" w:sz="0" w:space="0" w:color="auto"/>
                                                    <w:right w:val="none" w:sz="0" w:space="0" w:color="auto"/>
                                                  </w:divBdr>
                                                  <w:divsChild>
                                                    <w:div w:id="1089542041">
                                                      <w:marLeft w:val="0"/>
                                                      <w:marRight w:val="0"/>
                                                      <w:marTop w:val="0"/>
                                                      <w:marBottom w:val="0"/>
                                                      <w:divBdr>
                                                        <w:top w:val="none" w:sz="0" w:space="0" w:color="auto"/>
                                                        <w:left w:val="none" w:sz="0" w:space="0" w:color="auto"/>
                                                        <w:bottom w:val="none" w:sz="0" w:space="0" w:color="auto"/>
                                                        <w:right w:val="none" w:sz="0" w:space="0" w:color="auto"/>
                                                      </w:divBdr>
                                                      <w:divsChild>
                                                        <w:div w:id="1945527128">
                                                          <w:marLeft w:val="0"/>
                                                          <w:marRight w:val="0"/>
                                                          <w:marTop w:val="0"/>
                                                          <w:marBottom w:val="0"/>
                                                          <w:divBdr>
                                                            <w:top w:val="none" w:sz="0" w:space="0" w:color="auto"/>
                                                            <w:left w:val="none" w:sz="0" w:space="0" w:color="auto"/>
                                                            <w:bottom w:val="none" w:sz="0" w:space="0" w:color="auto"/>
                                                            <w:right w:val="none" w:sz="0" w:space="0" w:color="auto"/>
                                                          </w:divBdr>
                                                          <w:divsChild>
                                                            <w:div w:id="276839771">
                                                              <w:marLeft w:val="0"/>
                                                              <w:marRight w:val="0"/>
                                                              <w:marTop w:val="0"/>
                                                              <w:marBottom w:val="0"/>
                                                              <w:divBdr>
                                                                <w:top w:val="none" w:sz="0" w:space="0" w:color="auto"/>
                                                                <w:left w:val="none" w:sz="0" w:space="0" w:color="auto"/>
                                                                <w:bottom w:val="none" w:sz="0" w:space="0" w:color="auto"/>
                                                                <w:right w:val="none" w:sz="0" w:space="0" w:color="auto"/>
                                                              </w:divBdr>
                                                              <w:divsChild>
                                                                <w:div w:id="14960729">
                                                                  <w:marLeft w:val="0"/>
                                                                  <w:marRight w:val="0"/>
                                                                  <w:marTop w:val="0"/>
                                                                  <w:marBottom w:val="0"/>
                                                                  <w:divBdr>
                                                                    <w:top w:val="none" w:sz="0" w:space="0" w:color="auto"/>
                                                                    <w:left w:val="none" w:sz="0" w:space="0" w:color="auto"/>
                                                                    <w:bottom w:val="none" w:sz="0" w:space="0" w:color="auto"/>
                                                                    <w:right w:val="none" w:sz="0" w:space="0" w:color="auto"/>
                                                                  </w:divBdr>
                                                                  <w:divsChild>
                                                                    <w:div w:id="1139301112">
                                                                      <w:marLeft w:val="0"/>
                                                                      <w:marRight w:val="0"/>
                                                                      <w:marTop w:val="0"/>
                                                                      <w:marBottom w:val="0"/>
                                                                      <w:divBdr>
                                                                        <w:top w:val="none" w:sz="0" w:space="0" w:color="auto"/>
                                                                        <w:left w:val="none" w:sz="0" w:space="0" w:color="auto"/>
                                                                        <w:bottom w:val="none" w:sz="0" w:space="0" w:color="auto"/>
                                                                        <w:right w:val="none" w:sz="0" w:space="0" w:color="auto"/>
                                                                      </w:divBdr>
                                                                      <w:divsChild>
                                                                        <w:div w:id="2087680584">
                                                                          <w:marLeft w:val="0"/>
                                                                          <w:marRight w:val="0"/>
                                                                          <w:marTop w:val="0"/>
                                                                          <w:marBottom w:val="0"/>
                                                                          <w:divBdr>
                                                                            <w:top w:val="none" w:sz="0" w:space="0" w:color="auto"/>
                                                                            <w:left w:val="none" w:sz="0" w:space="0" w:color="auto"/>
                                                                            <w:bottom w:val="none" w:sz="0" w:space="0" w:color="auto"/>
                                                                            <w:right w:val="none" w:sz="0" w:space="0" w:color="auto"/>
                                                                          </w:divBdr>
                                                                          <w:divsChild>
                                                                            <w:div w:id="601375795">
                                                                              <w:marLeft w:val="0"/>
                                                                              <w:marRight w:val="0"/>
                                                                              <w:marTop w:val="0"/>
                                                                              <w:marBottom w:val="0"/>
                                                                              <w:divBdr>
                                                                                <w:top w:val="none" w:sz="0" w:space="0" w:color="auto"/>
                                                                                <w:left w:val="none" w:sz="0" w:space="0" w:color="auto"/>
                                                                                <w:bottom w:val="none" w:sz="0" w:space="0" w:color="auto"/>
                                                                                <w:right w:val="none" w:sz="0" w:space="0" w:color="auto"/>
                                                                              </w:divBdr>
                                                                              <w:divsChild>
                                                                                <w:div w:id="1406606632">
                                                                                  <w:marLeft w:val="0"/>
                                                                                  <w:marRight w:val="0"/>
                                                                                  <w:marTop w:val="0"/>
                                                                                  <w:marBottom w:val="0"/>
                                                                                  <w:divBdr>
                                                                                    <w:top w:val="none" w:sz="0" w:space="0" w:color="auto"/>
                                                                                    <w:left w:val="none" w:sz="0" w:space="0" w:color="auto"/>
                                                                                    <w:bottom w:val="none" w:sz="0" w:space="0" w:color="auto"/>
                                                                                    <w:right w:val="none" w:sz="0" w:space="0" w:color="auto"/>
                                                                                  </w:divBdr>
                                                                                  <w:divsChild>
                                                                                    <w:div w:id="127092720">
                                                                                      <w:marLeft w:val="0"/>
                                                                                      <w:marRight w:val="0"/>
                                                                                      <w:marTop w:val="0"/>
                                                                                      <w:marBottom w:val="120"/>
                                                                                      <w:divBdr>
                                                                                        <w:top w:val="none" w:sz="0" w:space="0" w:color="auto"/>
                                                                                        <w:left w:val="none" w:sz="0" w:space="0" w:color="auto"/>
                                                                                        <w:bottom w:val="none" w:sz="0" w:space="0" w:color="auto"/>
                                                                                        <w:right w:val="none" w:sz="0" w:space="0" w:color="auto"/>
                                                                                      </w:divBdr>
                                                                                      <w:divsChild>
                                                                                        <w:div w:id="2061174064">
                                                                                          <w:marLeft w:val="0"/>
                                                                                          <w:marRight w:val="0"/>
                                                                                          <w:marTop w:val="0"/>
                                                                                          <w:marBottom w:val="0"/>
                                                                                          <w:divBdr>
                                                                                            <w:top w:val="none" w:sz="0" w:space="0" w:color="auto"/>
                                                                                            <w:left w:val="none" w:sz="0" w:space="0" w:color="auto"/>
                                                                                            <w:bottom w:val="none" w:sz="0" w:space="0" w:color="auto"/>
                                                                                            <w:right w:val="none" w:sz="0" w:space="0" w:color="auto"/>
                                                                                          </w:divBdr>
                                                                                          <w:divsChild>
                                                                                            <w:div w:id="116686542">
                                                                                              <w:marLeft w:val="0"/>
                                                                                              <w:marRight w:val="0"/>
                                                                                              <w:marTop w:val="0"/>
                                                                                              <w:marBottom w:val="0"/>
                                                                                              <w:divBdr>
                                                                                                <w:top w:val="none" w:sz="0" w:space="0" w:color="auto"/>
                                                                                                <w:left w:val="none" w:sz="0" w:space="0" w:color="auto"/>
                                                                                                <w:bottom w:val="none" w:sz="0" w:space="0" w:color="auto"/>
                                                                                                <w:right w:val="none" w:sz="0" w:space="0" w:color="auto"/>
                                                                                              </w:divBdr>
                                                                                            </w:div>
                                                                                            <w:div w:id="1480918356">
                                                                                              <w:marLeft w:val="0"/>
                                                                                              <w:marRight w:val="0"/>
                                                                                              <w:marTop w:val="0"/>
                                                                                              <w:marBottom w:val="0"/>
                                                                                              <w:divBdr>
                                                                                                <w:top w:val="none" w:sz="0" w:space="0" w:color="auto"/>
                                                                                                <w:left w:val="none" w:sz="0" w:space="0" w:color="auto"/>
                                                                                                <w:bottom w:val="none" w:sz="0" w:space="0" w:color="auto"/>
                                                                                                <w:right w:val="none" w:sz="0" w:space="0" w:color="auto"/>
                                                                                              </w:divBdr>
                                                                                            </w:div>
                                                                                            <w:div w:id="20142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882032">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399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supremecourt.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dicialreview@supcourt.vic.gov.au"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judicialreview@supcourt.vic.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judicialreview@supcourt.vic.gov.au"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supremecourt.vic.gov.au/law-and-practice/specialist-areas-of-law/judicial-review-and-appeal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dicialreview@supcourt.vic.gov.au"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dde84cb-4b1f-4b74-b4a5-14e1a433eee1">
      <UserInfo>
        <DisplayName>Jasmina Davis</DisplayName>
        <AccountId>185</AccountId>
        <AccountType/>
      </UserInfo>
      <UserInfo>
        <DisplayName>Jennifer Sheehan</DisplayName>
        <AccountId>111</AccountId>
        <AccountType/>
      </UserInfo>
      <UserInfo>
        <DisplayName>Samantha Younane</DisplayName>
        <AccountId>156</AccountId>
        <AccountType/>
      </UserInfo>
      <UserInfo>
        <DisplayName>Kim Woronczak</DisplayName>
        <AccountId>535</AccountId>
        <AccountType/>
      </UserInfo>
      <UserInfo>
        <DisplayName>Kate Clark</DisplayName>
        <AccountId>29</AccountId>
        <AccountType/>
      </UserInfo>
      <UserInfo>
        <DisplayName>Kate Price</DisplayName>
        <AccountId>187</AccountId>
        <AccountType/>
      </UserInfo>
      <UserInfo>
        <DisplayName>Belinda Harvey</DisplayName>
        <AccountId>584</AccountId>
        <AccountType/>
      </UserInfo>
      <UserInfo>
        <DisplayName>Hannah Wetsteyn</DisplayName>
        <AccountId>582</AccountId>
        <AccountType/>
      </UserInfo>
    </SharedWithUsers>
    <FileShareCreatedBy xmlns="263eaefd-0475-4860-b86f-622cd66f4e0c" xsi:nil="true"/>
    <FileShareModifiedBy xmlns="263eaefd-0475-4860-b86f-622cd66f4e0c"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1" ma:contentTypeDescription="Create a new document." ma:contentTypeScope="" ma:versionID="226897e7c8e3fef5b8750d73f00d967e">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482114006d0d341a8d0544933ea487b9"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2.xml><?xml version="1.0" encoding="utf-8"?>
<ds:datastoreItem xmlns:ds="http://schemas.openxmlformats.org/officeDocument/2006/customXml" ds:itemID="{F53C5FFA-8516-4FEC-A1E4-38241312D513}">
  <ds:schemaRefs>
    <ds:schemaRef ds:uri="http://purl.org/dc/elements/1.1/"/>
    <ds:schemaRef ds:uri="263eaefd-0475-4860-b86f-622cd66f4e0c"/>
    <ds:schemaRef ds:uri="bdde84cb-4b1f-4b74-b4a5-14e1a433eee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8F5224E7-1BCE-479F-B6B5-D901CAF1A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A31641-FAA5-4B0A-B574-64C7DA997F7A}">
  <ds:schemaRefs>
    <ds:schemaRef ds:uri="http://schemas.openxmlformats.org/officeDocument/2006/bibliography"/>
  </ds:schemaRefs>
</ds:datastoreItem>
</file>

<file path=customXml/itemProps6.xml><?xml version="1.0" encoding="utf-8"?>
<ds:datastoreItem xmlns:ds="http://schemas.openxmlformats.org/officeDocument/2006/customXml" ds:itemID="{8CB8D567-13E5-425A-BD28-BCA3D5F4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2856</Words>
  <Characters>14473</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Practice Note SC CL 9 Judicial Review and Appeals List</vt:lpstr>
    </vt:vector>
  </TitlesOfParts>
  <Company>Supreme Court of Victoria</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9 Judicial Review and Appeals List</dc:title>
  <dc:subject/>
  <dc:creator>Supreme Court of Victoria</dc:creator>
  <cp:keywords/>
  <dc:description/>
  <cp:lastModifiedBy>Andrew Wicking</cp:lastModifiedBy>
  <cp:revision>2</cp:revision>
  <cp:lastPrinted>2018-02-28T06:28:00Z</cp:lastPrinted>
  <dcterms:created xsi:type="dcterms:W3CDTF">2018-09-18T21:01:00Z</dcterms:created>
  <dcterms:modified xsi:type="dcterms:W3CDTF">2018-09-18T21:01:00Z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