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D4D25" w14:textId="31056FEE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50030815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BA280E">
        <w:rPr>
          <w:rFonts w:ascii="Book Antiqua" w:hAnsi="Book Antiqua"/>
          <w:b/>
          <w:color w:val="000000"/>
          <w:sz w:val="28"/>
        </w:rPr>
        <w:t>7</w:t>
      </w:r>
      <w:r w:rsidR="00746423">
        <w:rPr>
          <w:rFonts w:ascii="Book Antiqua" w:hAnsi="Book Antiqua"/>
          <w:b/>
          <w:color w:val="000000"/>
          <w:sz w:val="28"/>
        </w:rPr>
        <w:t xml:space="preserve"> </w:t>
      </w:r>
    </w:p>
    <w:p w14:paraId="66779301" w14:textId="0F704BF6" w:rsidR="00271B59" w:rsidRDefault="00BA280E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Transcript in Civil Proceedings</w:t>
      </w:r>
    </w:p>
    <w:p w14:paraId="02D8B7A1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F7C716B" w14:textId="529CA425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 xml:space="preserve">o </w:t>
      </w:r>
      <w:r w:rsidR="00637C97">
        <w:rPr>
          <w:rFonts w:ascii="Book Antiqua" w:hAnsi="Book Antiqua"/>
          <w:sz w:val="24"/>
          <w:szCs w:val="24"/>
        </w:rPr>
        <w:t xml:space="preserve">set </w:t>
      </w:r>
      <w:proofErr w:type="gramStart"/>
      <w:r w:rsidR="00637C97">
        <w:rPr>
          <w:rFonts w:ascii="Book Antiqua" w:hAnsi="Book Antiqua"/>
          <w:sz w:val="24"/>
          <w:szCs w:val="24"/>
        </w:rPr>
        <w:t>out the requirement for transcript in civil proceedings</w:t>
      </w:r>
      <w:r w:rsidR="000C7098">
        <w:rPr>
          <w:rFonts w:ascii="Book Antiqua" w:hAnsi="Book Antiqua"/>
          <w:sz w:val="24"/>
          <w:szCs w:val="24"/>
        </w:rPr>
        <w:t xml:space="preserve"> in the Trial Division</w:t>
      </w:r>
      <w:r w:rsidR="00860AEC">
        <w:rPr>
          <w:rFonts w:ascii="Book Antiqua" w:hAnsi="Book Antiqua"/>
          <w:sz w:val="24"/>
          <w:szCs w:val="24"/>
        </w:rPr>
        <w:t xml:space="preserve"> and Court of Appeal</w:t>
      </w:r>
      <w:proofErr w:type="gramEnd"/>
      <w:r w:rsidR="00637C97">
        <w:rPr>
          <w:rFonts w:ascii="Book Antiqua" w:hAnsi="Book Antiqua"/>
          <w:sz w:val="24"/>
          <w:szCs w:val="24"/>
        </w:rPr>
        <w:t>.</w:t>
      </w:r>
    </w:p>
    <w:p w14:paraId="1A19A576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634B9528" w14:textId="2B3B29BC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11F403DA" w:rsidR="00FD72DE" w:rsidRPr="00637C97" w:rsidRDefault="00B72C47" w:rsidP="00E871D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1F49B8">
        <w:rPr>
          <w:rFonts w:ascii="Book Antiqua" w:hAnsi="Book Antiqua"/>
          <w:sz w:val="24"/>
          <w:szCs w:val="24"/>
        </w:rPr>
        <w:t>commences</w:t>
      </w:r>
      <w:r w:rsidR="005F0A8E">
        <w:rPr>
          <w:rFonts w:ascii="Book Antiqua" w:hAnsi="Book Antiqua"/>
          <w:sz w:val="24"/>
          <w:szCs w:val="24"/>
        </w:rPr>
        <w:t xml:space="preserve"> on </w:t>
      </w:r>
      <w:r w:rsidR="001F49B8">
        <w:rPr>
          <w:rFonts w:ascii="Book Antiqua" w:hAnsi="Book Antiqua"/>
          <w:sz w:val="24"/>
          <w:szCs w:val="24"/>
        </w:rPr>
        <w:t>1 July</w:t>
      </w:r>
      <w:r w:rsidR="00D76EB2">
        <w:rPr>
          <w:rFonts w:ascii="Book Antiqua" w:hAnsi="Book Antiqua"/>
          <w:sz w:val="24"/>
          <w:szCs w:val="24"/>
        </w:rPr>
        <w:t xml:space="preserve"> 2018</w:t>
      </w:r>
      <w:r w:rsidR="00746423">
        <w:rPr>
          <w:rFonts w:ascii="Book Antiqua" w:hAnsi="Book Antiqua"/>
          <w:sz w:val="24"/>
          <w:szCs w:val="24"/>
        </w:rPr>
        <w:t xml:space="preserve"> </w:t>
      </w:r>
      <w:r w:rsidR="00A77607">
        <w:rPr>
          <w:rFonts w:ascii="Book Antiqua" w:hAnsi="Book Antiqua"/>
          <w:sz w:val="24"/>
          <w:szCs w:val="24"/>
        </w:rPr>
        <w:t>and</w:t>
      </w:r>
      <w:r w:rsidR="00EF1D53">
        <w:rPr>
          <w:rFonts w:ascii="Book Antiqua" w:hAnsi="Book Antiqua"/>
          <w:sz w:val="24"/>
          <w:szCs w:val="24"/>
        </w:rPr>
        <w:t>, as revised,</w:t>
      </w:r>
      <w:r w:rsidR="00A77607">
        <w:rPr>
          <w:rFonts w:ascii="Book Antiqua" w:hAnsi="Book Antiqua"/>
          <w:sz w:val="24"/>
          <w:szCs w:val="24"/>
        </w:rPr>
        <w:t xml:space="preserve"> </w:t>
      </w:r>
      <w:r w:rsidRPr="00277B7B">
        <w:rPr>
          <w:rFonts w:ascii="Book Antiqua" w:hAnsi="Book Antiqua"/>
          <w:sz w:val="24"/>
          <w:szCs w:val="24"/>
        </w:rPr>
        <w:t>appl</w:t>
      </w:r>
      <w:r w:rsidR="00E871D6">
        <w:rPr>
          <w:rFonts w:ascii="Book Antiqua" w:hAnsi="Book Antiqua"/>
          <w:sz w:val="24"/>
          <w:szCs w:val="24"/>
        </w:rPr>
        <w:t xml:space="preserve">ies </w:t>
      </w:r>
      <w:r w:rsidRPr="00277B7B">
        <w:rPr>
          <w:rFonts w:ascii="Book Antiqua" w:hAnsi="Book Antiqua"/>
          <w:sz w:val="24"/>
          <w:szCs w:val="24"/>
        </w:rPr>
        <w:t xml:space="preserve">to </w:t>
      </w:r>
      <w:r w:rsidR="00BA280E" w:rsidRPr="00BA280E">
        <w:rPr>
          <w:rFonts w:ascii="Book Antiqua" w:hAnsi="Book Antiqua"/>
          <w:sz w:val="24"/>
          <w:szCs w:val="24"/>
        </w:rPr>
        <w:t xml:space="preserve">all civil proceedings in the </w:t>
      </w:r>
      <w:r w:rsidR="000C7098">
        <w:rPr>
          <w:rFonts w:ascii="Book Antiqua" w:hAnsi="Book Antiqua"/>
          <w:sz w:val="24"/>
          <w:szCs w:val="24"/>
        </w:rPr>
        <w:t xml:space="preserve">Trial Division </w:t>
      </w:r>
      <w:r w:rsidR="00860AEC">
        <w:rPr>
          <w:rFonts w:ascii="Book Antiqua" w:hAnsi="Book Antiqua"/>
          <w:sz w:val="24"/>
          <w:szCs w:val="24"/>
        </w:rPr>
        <w:t xml:space="preserve">and Court of Appeal </w:t>
      </w:r>
      <w:r w:rsidR="000C7098">
        <w:rPr>
          <w:rFonts w:ascii="Book Antiqua" w:hAnsi="Book Antiqua"/>
          <w:sz w:val="24"/>
          <w:szCs w:val="24"/>
        </w:rPr>
        <w:t xml:space="preserve">of the </w:t>
      </w:r>
      <w:r w:rsidR="00BA280E" w:rsidRPr="00BA280E">
        <w:rPr>
          <w:rFonts w:ascii="Book Antiqua" w:hAnsi="Book Antiqua"/>
          <w:sz w:val="24"/>
          <w:szCs w:val="24"/>
        </w:rPr>
        <w:t>Supreme Court of Victoria whether</w:t>
      </w:r>
      <w:r w:rsidR="00BA280E">
        <w:rPr>
          <w:rFonts w:ascii="Book Antiqua" w:hAnsi="Book Antiqua"/>
          <w:sz w:val="24"/>
          <w:szCs w:val="24"/>
        </w:rPr>
        <w:t xml:space="preserve"> </w:t>
      </w:r>
      <w:r w:rsidR="00BA280E" w:rsidRPr="00BA280E">
        <w:rPr>
          <w:rFonts w:ascii="Book Antiqua" w:hAnsi="Book Antiqua"/>
          <w:sz w:val="24"/>
          <w:szCs w:val="24"/>
        </w:rPr>
        <w:t>heard in Melbourne or on circuit</w:t>
      </w:r>
      <w:r w:rsidR="00637C97">
        <w:rPr>
          <w:rFonts w:ascii="Book Antiqua" w:hAnsi="Book Antiqua"/>
          <w:sz w:val="24"/>
          <w:szCs w:val="24"/>
        </w:rPr>
        <w:t xml:space="preserve">. </w:t>
      </w:r>
    </w:p>
    <w:p w14:paraId="3555EE5D" w14:textId="77777777" w:rsidR="006C550C" w:rsidRPr="007917BE" w:rsidRDefault="006C550C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B41410B" w14:textId="055630B2" w:rsidR="00B72C47" w:rsidRPr="007917BE" w:rsidRDefault="00B72C47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50FDD10D" w14:textId="4F727F6A" w:rsidR="007917BE" w:rsidRDefault="006F60CF" w:rsidP="000C7098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Practice Note:</w:t>
      </w:r>
    </w:p>
    <w:p w14:paraId="5A46F2EA" w14:textId="75C431A7" w:rsidR="006F60CF" w:rsidRDefault="00A77607" w:rsidP="000C7098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b/>
          <w:i/>
          <w:sz w:val="24"/>
          <w:szCs w:val="24"/>
        </w:rPr>
        <w:t>p</w:t>
      </w:r>
      <w:r w:rsidR="000C7098">
        <w:rPr>
          <w:rFonts w:ascii="Book Antiqua" w:hAnsi="Book Antiqua"/>
          <w:b/>
          <w:i/>
          <w:sz w:val="24"/>
          <w:szCs w:val="24"/>
        </w:rPr>
        <w:t>referred</w:t>
      </w:r>
      <w:proofErr w:type="gramEnd"/>
      <w:r w:rsidR="000C7098">
        <w:rPr>
          <w:rFonts w:ascii="Book Antiqua" w:hAnsi="Book Antiqua"/>
          <w:b/>
          <w:i/>
          <w:sz w:val="24"/>
          <w:szCs w:val="24"/>
        </w:rPr>
        <w:t xml:space="preserve"> </w:t>
      </w:r>
      <w:r w:rsidR="00075326">
        <w:rPr>
          <w:rFonts w:ascii="Book Antiqua" w:hAnsi="Book Antiqua"/>
          <w:b/>
          <w:i/>
          <w:sz w:val="24"/>
          <w:szCs w:val="24"/>
        </w:rPr>
        <w:t>supplier</w:t>
      </w:r>
      <w:r w:rsidR="000C7098">
        <w:rPr>
          <w:rFonts w:ascii="Book Antiqua" w:hAnsi="Book Antiqua"/>
          <w:b/>
          <w:i/>
          <w:sz w:val="24"/>
          <w:szCs w:val="24"/>
        </w:rPr>
        <w:t xml:space="preserve"> </w:t>
      </w:r>
      <w:r w:rsidR="00357036">
        <w:rPr>
          <w:rFonts w:ascii="Book Antiqua" w:hAnsi="Book Antiqua"/>
          <w:sz w:val="24"/>
          <w:szCs w:val="24"/>
        </w:rPr>
        <w:t xml:space="preserve">means </w:t>
      </w:r>
      <w:proofErr w:type="spellStart"/>
      <w:r w:rsidR="00860AEC">
        <w:rPr>
          <w:rFonts w:ascii="Book Antiqua" w:hAnsi="Book Antiqua"/>
          <w:sz w:val="24"/>
          <w:szCs w:val="24"/>
        </w:rPr>
        <w:t>Auscript</w:t>
      </w:r>
      <w:proofErr w:type="spellEnd"/>
      <w:r w:rsidR="00860AEC">
        <w:rPr>
          <w:rFonts w:ascii="Book Antiqua" w:hAnsi="Book Antiqua"/>
          <w:sz w:val="24"/>
          <w:szCs w:val="24"/>
        </w:rPr>
        <w:t xml:space="preserve"> Australasia Pty Ltd</w:t>
      </w:r>
    </w:p>
    <w:p w14:paraId="65FDDDB5" w14:textId="77777777" w:rsidR="00B72C47" w:rsidRPr="007917BE" w:rsidRDefault="00B72C47" w:rsidP="00CD0331">
      <w:pPr>
        <w:spacing w:before="120" w:after="120"/>
        <w:jc w:val="both"/>
        <w:rPr>
          <w:rFonts w:ascii="Book Antiqua" w:hAnsi="Book Antiqua"/>
        </w:rPr>
      </w:pPr>
    </w:p>
    <w:p w14:paraId="61C860F0" w14:textId="1E2EFF82" w:rsidR="00C02583" w:rsidRPr="007917BE" w:rsidRDefault="00075326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TRANSCRIPT ARRANGEMENTS</w:t>
      </w:r>
    </w:p>
    <w:p w14:paraId="08001275" w14:textId="54F2BC9F" w:rsidR="00075326" w:rsidRDefault="00075326" w:rsidP="00EB3EB4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75326">
        <w:rPr>
          <w:rFonts w:ascii="Book Antiqua" w:hAnsi="Book Antiqua"/>
          <w:sz w:val="24"/>
          <w:szCs w:val="24"/>
        </w:rPr>
        <w:t xml:space="preserve">Pursuant to s 130(3A) of the </w:t>
      </w:r>
      <w:r w:rsidRPr="00075326">
        <w:rPr>
          <w:rFonts w:ascii="Book Antiqua" w:hAnsi="Book Antiqua"/>
          <w:i/>
          <w:sz w:val="24"/>
          <w:szCs w:val="24"/>
        </w:rPr>
        <w:t>Evidence (Miscellaneous Provisions) Act 1958</w:t>
      </w:r>
      <w:r>
        <w:rPr>
          <w:rStyle w:val="FootnoteReference"/>
          <w:rFonts w:ascii="Book Antiqua" w:hAnsi="Book Antiqua"/>
          <w:sz w:val="24"/>
          <w:szCs w:val="24"/>
        </w:rPr>
        <w:footnoteReference w:id="2"/>
      </w:r>
      <w:r w:rsidRPr="00075326">
        <w:rPr>
          <w:rFonts w:ascii="Book Antiqua" w:hAnsi="Book Antiqua"/>
          <w:sz w:val="24"/>
          <w:szCs w:val="24"/>
        </w:rPr>
        <w:t xml:space="preserve"> an agreement has been entered into with the preferred </w:t>
      </w:r>
      <w:r>
        <w:rPr>
          <w:rFonts w:ascii="Book Antiqua" w:hAnsi="Book Antiqua"/>
          <w:sz w:val="24"/>
          <w:szCs w:val="24"/>
        </w:rPr>
        <w:t xml:space="preserve">supplier </w:t>
      </w:r>
      <w:r w:rsidRPr="00075326">
        <w:rPr>
          <w:rFonts w:ascii="Book Antiqua" w:hAnsi="Book Antiqua"/>
          <w:sz w:val="24"/>
          <w:szCs w:val="24"/>
        </w:rPr>
        <w:t>for the provision of recording and</w:t>
      </w:r>
      <w:r>
        <w:rPr>
          <w:rFonts w:ascii="Book Antiqua" w:hAnsi="Book Antiqua"/>
          <w:sz w:val="24"/>
          <w:szCs w:val="24"/>
        </w:rPr>
        <w:t xml:space="preserve"> </w:t>
      </w:r>
      <w:r w:rsidRPr="00075326">
        <w:rPr>
          <w:rFonts w:ascii="Book Antiqua" w:hAnsi="Book Antiqua"/>
          <w:sz w:val="24"/>
          <w:szCs w:val="24"/>
        </w:rPr>
        <w:t xml:space="preserve">transcription services to the </w:t>
      </w:r>
      <w:r>
        <w:rPr>
          <w:rFonts w:ascii="Book Antiqua" w:hAnsi="Book Antiqua"/>
          <w:sz w:val="24"/>
          <w:szCs w:val="24"/>
        </w:rPr>
        <w:t>Supreme C</w:t>
      </w:r>
      <w:r w:rsidRPr="00075326">
        <w:rPr>
          <w:rFonts w:ascii="Book Antiqua" w:hAnsi="Book Antiqua"/>
          <w:sz w:val="24"/>
          <w:szCs w:val="24"/>
        </w:rPr>
        <w:t>ourt</w:t>
      </w:r>
      <w:r>
        <w:rPr>
          <w:rFonts w:ascii="Book Antiqua" w:hAnsi="Book Antiqua"/>
          <w:sz w:val="24"/>
          <w:szCs w:val="24"/>
        </w:rPr>
        <w:t xml:space="preserve">. </w:t>
      </w:r>
    </w:p>
    <w:p w14:paraId="0C0CE0D7" w14:textId="5FA58A3D" w:rsidR="00075326" w:rsidRDefault="00075326" w:rsidP="00EB3EB4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75326">
        <w:rPr>
          <w:rFonts w:ascii="Book Antiqua" w:hAnsi="Book Antiqua"/>
          <w:sz w:val="24"/>
          <w:szCs w:val="24"/>
        </w:rPr>
        <w:t xml:space="preserve">Transcription services in the Supreme Court are therefore to </w:t>
      </w:r>
      <w:proofErr w:type="gramStart"/>
      <w:r w:rsidRPr="00075326">
        <w:rPr>
          <w:rFonts w:ascii="Book Antiqua" w:hAnsi="Book Antiqua"/>
          <w:sz w:val="24"/>
          <w:szCs w:val="24"/>
        </w:rPr>
        <w:t>be provided</w:t>
      </w:r>
      <w:proofErr w:type="gramEnd"/>
      <w:r w:rsidRPr="00075326">
        <w:rPr>
          <w:rFonts w:ascii="Book Antiqua" w:hAnsi="Book Antiqua"/>
          <w:sz w:val="24"/>
          <w:szCs w:val="24"/>
        </w:rPr>
        <w:t xml:space="preserve"> through the preferred </w:t>
      </w:r>
      <w:r>
        <w:rPr>
          <w:rFonts w:ascii="Book Antiqua" w:hAnsi="Book Antiqua"/>
          <w:sz w:val="24"/>
          <w:szCs w:val="24"/>
        </w:rPr>
        <w:t>supplier</w:t>
      </w:r>
      <w:r w:rsidRPr="00075326">
        <w:rPr>
          <w:rFonts w:ascii="Book Antiqua" w:hAnsi="Book Antiqua"/>
          <w:sz w:val="24"/>
          <w:szCs w:val="24"/>
        </w:rPr>
        <w:t xml:space="preserve"> unless a party to the legal proceeding shows grounds to the satisfaction of the Court</w:t>
      </w:r>
      <w:r>
        <w:rPr>
          <w:rFonts w:ascii="Book Antiqua" w:hAnsi="Book Antiqua"/>
          <w:sz w:val="24"/>
          <w:szCs w:val="24"/>
        </w:rPr>
        <w:t xml:space="preserve"> </w:t>
      </w:r>
      <w:r w:rsidRPr="00075326">
        <w:rPr>
          <w:rFonts w:ascii="Book Antiqua" w:hAnsi="Book Antiqua"/>
          <w:sz w:val="24"/>
          <w:szCs w:val="24"/>
        </w:rPr>
        <w:t>that another person should record and transcribe the</w:t>
      </w:r>
      <w:r>
        <w:rPr>
          <w:rFonts w:ascii="Book Antiqua" w:hAnsi="Book Antiqua"/>
          <w:sz w:val="24"/>
          <w:szCs w:val="24"/>
        </w:rPr>
        <w:t xml:space="preserve"> </w:t>
      </w:r>
      <w:r w:rsidRPr="00075326">
        <w:rPr>
          <w:rFonts w:ascii="Book Antiqua" w:hAnsi="Book Antiqua"/>
          <w:sz w:val="24"/>
          <w:szCs w:val="24"/>
        </w:rPr>
        <w:t xml:space="preserve">evidence and </w:t>
      </w:r>
      <w:r>
        <w:rPr>
          <w:rFonts w:ascii="Book Antiqua" w:hAnsi="Book Antiqua"/>
          <w:sz w:val="24"/>
          <w:szCs w:val="24"/>
        </w:rPr>
        <w:t>a direction is made to that effect.</w:t>
      </w:r>
    </w:p>
    <w:p w14:paraId="5357EC98" w14:textId="52DBCB51" w:rsidR="00075326" w:rsidRDefault="00075326" w:rsidP="0007532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BA280E">
        <w:rPr>
          <w:rFonts w:ascii="Book Antiqua" w:hAnsi="Book Antiqua"/>
          <w:sz w:val="24"/>
          <w:szCs w:val="24"/>
        </w:rPr>
        <w:t>The</w:t>
      </w:r>
      <w:r>
        <w:rPr>
          <w:rFonts w:ascii="Book Antiqua" w:hAnsi="Book Antiqua"/>
          <w:sz w:val="24"/>
          <w:szCs w:val="24"/>
        </w:rPr>
        <w:t>re is a</w:t>
      </w:r>
      <w:r w:rsidR="00860AEC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 xml:space="preserve"> </w:t>
      </w:r>
      <w:r w:rsidR="00860AEC">
        <w:rPr>
          <w:rFonts w:ascii="Book Antiqua" w:hAnsi="Book Antiqua"/>
          <w:sz w:val="24"/>
          <w:szCs w:val="24"/>
        </w:rPr>
        <w:t>agreement</w:t>
      </w:r>
      <w:r w:rsidRPr="00BA280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 place </w:t>
      </w:r>
      <w:r w:rsidRPr="00BA280E">
        <w:rPr>
          <w:rFonts w:ascii="Book Antiqua" w:hAnsi="Book Antiqua"/>
          <w:sz w:val="24"/>
          <w:szCs w:val="24"/>
        </w:rPr>
        <w:t xml:space="preserve">with </w:t>
      </w:r>
      <w:r>
        <w:rPr>
          <w:rFonts w:ascii="Book Antiqua" w:hAnsi="Book Antiqua"/>
          <w:sz w:val="24"/>
          <w:szCs w:val="24"/>
        </w:rPr>
        <w:t xml:space="preserve">the </w:t>
      </w:r>
      <w:r w:rsidRPr="00BA280E">
        <w:rPr>
          <w:rFonts w:ascii="Book Antiqua" w:hAnsi="Book Antiqua"/>
          <w:sz w:val="24"/>
          <w:szCs w:val="24"/>
        </w:rPr>
        <w:t>preferred service</w:t>
      </w:r>
      <w:r>
        <w:rPr>
          <w:rFonts w:ascii="Book Antiqua" w:hAnsi="Book Antiqua"/>
          <w:sz w:val="24"/>
          <w:szCs w:val="24"/>
        </w:rPr>
        <w:t xml:space="preserve"> provider</w:t>
      </w:r>
      <w:r w:rsidRPr="00D96AEE">
        <w:rPr>
          <w:rFonts w:ascii="Book Antiqua" w:hAnsi="Book Antiqua"/>
          <w:sz w:val="24"/>
          <w:szCs w:val="24"/>
        </w:rPr>
        <w:t xml:space="preserve"> for the provision of transcript in civil</w:t>
      </w:r>
      <w:r>
        <w:rPr>
          <w:rFonts w:ascii="Book Antiqua" w:hAnsi="Book Antiqua"/>
          <w:sz w:val="24"/>
          <w:szCs w:val="24"/>
        </w:rPr>
        <w:t xml:space="preserve"> </w:t>
      </w:r>
      <w:r w:rsidRPr="00D96AEE">
        <w:rPr>
          <w:rFonts w:ascii="Book Antiqua" w:hAnsi="Book Antiqua"/>
          <w:sz w:val="24"/>
          <w:szCs w:val="24"/>
        </w:rPr>
        <w:t xml:space="preserve">proceedings in the Court. </w:t>
      </w:r>
      <w:r w:rsidR="00FE4D48">
        <w:rPr>
          <w:rFonts w:ascii="Book Antiqua" w:hAnsi="Book Antiqua"/>
          <w:sz w:val="24"/>
          <w:szCs w:val="24"/>
        </w:rPr>
        <w:t xml:space="preserve"> </w:t>
      </w:r>
      <w:r w:rsidRPr="00D96AEE">
        <w:rPr>
          <w:rFonts w:ascii="Book Antiqua" w:hAnsi="Book Antiqua"/>
          <w:sz w:val="24"/>
          <w:szCs w:val="24"/>
        </w:rPr>
        <w:t>The principal objective of the agreement is to ensure that transcript</w:t>
      </w:r>
      <w:r>
        <w:rPr>
          <w:rFonts w:ascii="Book Antiqua" w:hAnsi="Book Antiqua"/>
          <w:sz w:val="24"/>
          <w:szCs w:val="24"/>
        </w:rPr>
        <w:t xml:space="preserve"> </w:t>
      </w:r>
      <w:r w:rsidRPr="00D96AEE">
        <w:rPr>
          <w:rFonts w:ascii="Book Antiqua" w:hAnsi="Book Antiqua"/>
          <w:sz w:val="24"/>
          <w:szCs w:val="24"/>
        </w:rPr>
        <w:t>of high quality is provided to the Court and to the parties at reasonable cost.</w:t>
      </w:r>
      <w:r w:rsidR="004774CC">
        <w:rPr>
          <w:rFonts w:ascii="Book Antiqua" w:hAnsi="Book Antiqua"/>
          <w:sz w:val="24"/>
          <w:szCs w:val="24"/>
        </w:rPr>
        <w:t xml:space="preserve"> </w:t>
      </w:r>
      <w:r w:rsidR="00FE4D48">
        <w:rPr>
          <w:rFonts w:ascii="Book Antiqua" w:hAnsi="Book Antiqua"/>
          <w:sz w:val="24"/>
          <w:szCs w:val="24"/>
        </w:rPr>
        <w:t xml:space="preserve"> </w:t>
      </w:r>
    </w:p>
    <w:p w14:paraId="0E9439FB" w14:textId="77777777" w:rsidR="004774CC" w:rsidRPr="00D96AEE" w:rsidRDefault="004774CC" w:rsidP="004774CC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AE2E62B" w14:textId="77777777" w:rsidR="00075326" w:rsidRPr="00BA280E" w:rsidRDefault="00075326" w:rsidP="00075326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TRIALS</w:t>
      </w:r>
    </w:p>
    <w:p w14:paraId="6339B449" w14:textId="5A1ADC41" w:rsidR="005B002F" w:rsidRDefault="00075326" w:rsidP="0007532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 ensur</w:t>
      </w:r>
      <w:r w:rsidR="005B002F">
        <w:rPr>
          <w:rFonts w:ascii="Book Antiqua" w:hAnsi="Book Antiqua"/>
          <w:sz w:val="24"/>
          <w:szCs w:val="24"/>
        </w:rPr>
        <w:t xml:space="preserve">e the efficient conduct of </w:t>
      </w:r>
      <w:r w:rsidR="0045649A">
        <w:rPr>
          <w:rFonts w:ascii="Book Antiqua" w:hAnsi="Book Antiqua"/>
          <w:sz w:val="24"/>
          <w:szCs w:val="24"/>
        </w:rPr>
        <w:t>proceedings</w:t>
      </w:r>
      <w:r w:rsidR="005B002F">
        <w:rPr>
          <w:rFonts w:ascii="Book Antiqua" w:hAnsi="Book Antiqua"/>
          <w:sz w:val="24"/>
          <w:szCs w:val="24"/>
        </w:rPr>
        <w:t xml:space="preserve"> the Court has determined that transcript is required for all trials.</w:t>
      </w:r>
    </w:p>
    <w:p w14:paraId="7DA4ED76" w14:textId="0800ED95" w:rsidR="00075326" w:rsidRDefault="00075326" w:rsidP="0007532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gramStart"/>
      <w:r w:rsidRPr="00D96AEE">
        <w:rPr>
          <w:rFonts w:ascii="Book Antiqua" w:hAnsi="Book Antiqua"/>
          <w:sz w:val="24"/>
          <w:szCs w:val="24"/>
        </w:rPr>
        <w:t>Subject to any con</w:t>
      </w:r>
      <w:r>
        <w:rPr>
          <w:rFonts w:ascii="Book Antiqua" w:hAnsi="Book Antiqua"/>
          <w:sz w:val="24"/>
          <w:szCs w:val="24"/>
        </w:rPr>
        <w:t>trary order</w:t>
      </w:r>
      <w:r w:rsidRPr="00D96AEE">
        <w:rPr>
          <w:rFonts w:ascii="Book Antiqua" w:hAnsi="Book Antiqua"/>
          <w:sz w:val="24"/>
          <w:szCs w:val="24"/>
        </w:rPr>
        <w:t>, a hearing date for the trial will not be fixed unless the parties' solicitors, or the litigant if unrepresented, have signed and delivered a purchase order form to the preferred supp</w:t>
      </w:r>
      <w:r>
        <w:rPr>
          <w:rFonts w:ascii="Book Antiqua" w:hAnsi="Book Antiqua"/>
          <w:sz w:val="24"/>
          <w:szCs w:val="24"/>
        </w:rPr>
        <w:t xml:space="preserve">lier (or, </w:t>
      </w:r>
      <w:r w:rsidRPr="00D96AEE">
        <w:rPr>
          <w:rFonts w:ascii="Book Antiqua" w:hAnsi="Book Antiqua"/>
          <w:sz w:val="24"/>
          <w:szCs w:val="24"/>
        </w:rPr>
        <w:t>entered into a contract with another licensed supplier</w:t>
      </w:r>
      <w:r>
        <w:rPr>
          <w:rFonts w:ascii="Book Antiqua" w:hAnsi="Book Antiqua"/>
          <w:sz w:val="24"/>
          <w:szCs w:val="24"/>
        </w:rPr>
        <w:t xml:space="preserve"> pursuant to a direction given by the Court under s 130(3A) of the </w:t>
      </w:r>
      <w:r w:rsidRPr="00444A0B">
        <w:rPr>
          <w:rFonts w:ascii="Book Antiqua" w:hAnsi="Book Antiqua"/>
          <w:i/>
          <w:sz w:val="24"/>
          <w:szCs w:val="24"/>
        </w:rPr>
        <w:t>Evidence (Miscellaneous Provisions) Act 1958</w:t>
      </w:r>
      <w:r w:rsidR="005B002F">
        <w:rPr>
          <w:rFonts w:ascii="Book Antiqua" w:hAnsi="Book Antiqua"/>
          <w:sz w:val="24"/>
          <w:szCs w:val="24"/>
        </w:rPr>
        <w:t>)</w:t>
      </w:r>
      <w:r w:rsidRPr="00D96AEE">
        <w:rPr>
          <w:rFonts w:ascii="Book Antiqua" w:hAnsi="Book Antiqua"/>
          <w:sz w:val="24"/>
          <w:szCs w:val="24"/>
        </w:rPr>
        <w:t xml:space="preserve"> for the provision of </w:t>
      </w:r>
      <w:r w:rsidR="0045649A">
        <w:rPr>
          <w:rFonts w:ascii="Book Antiqua" w:hAnsi="Book Antiqua"/>
          <w:sz w:val="24"/>
          <w:szCs w:val="24"/>
        </w:rPr>
        <w:t xml:space="preserve">recording and </w:t>
      </w:r>
      <w:r w:rsidRPr="00D96AEE">
        <w:rPr>
          <w:rFonts w:ascii="Book Antiqua" w:hAnsi="Book Antiqua"/>
          <w:sz w:val="24"/>
          <w:szCs w:val="24"/>
        </w:rPr>
        <w:t>transcription services</w:t>
      </w:r>
      <w:r>
        <w:rPr>
          <w:rFonts w:ascii="Book Antiqua" w:hAnsi="Book Antiqua"/>
          <w:sz w:val="24"/>
          <w:szCs w:val="24"/>
        </w:rPr>
        <w:t xml:space="preserve"> </w:t>
      </w:r>
      <w:r w:rsidRPr="00D96AEE">
        <w:rPr>
          <w:rFonts w:ascii="Book Antiqua" w:hAnsi="Book Antiqua"/>
          <w:sz w:val="24"/>
          <w:szCs w:val="24"/>
        </w:rPr>
        <w:t xml:space="preserve">in accordance with the </w:t>
      </w:r>
      <w:r w:rsidR="00860AEC">
        <w:rPr>
          <w:rFonts w:ascii="Book Antiqua" w:hAnsi="Book Antiqua"/>
          <w:sz w:val="24"/>
          <w:szCs w:val="24"/>
        </w:rPr>
        <w:t>agreement</w:t>
      </w:r>
      <w:r w:rsidRPr="00D96AEE">
        <w:rPr>
          <w:rFonts w:ascii="Book Antiqua" w:hAnsi="Book Antiqua"/>
          <w:sz w:val="24"/>
          <w:szCs w:val="24"/>
        </w:rPr>
        <w:t>.</w:t>
      </w:r>
      <w:proofErr w:type="gramEnd"/>
    </w:p>
    <w:p w14:paraId="337C6E9D" w14:textId="77777777" w:rsidR="004774CC" w:rsidRPr="00D96AEE" w:rsidRDefault="004774CC" w:rsidP="004774CC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1E46A448" w14:textId="1C424EFE" w:rsidR="00075326" w:rsidRDefault="005B002F" w:rsidP="00075326">
      <w:pPr>
        <w:pStyle w:val="Heading1"/>
      </w:pPr>
      <w:r>
        <w:t>OTHER HEARINGS</w:t>
      </w:r>
    </w:p>
    <w:p w14:paraId="4BDDFE62" w14:textId="763762E6" w:rsidR="00EB3EB4" w:rsidRDefault="0023486F" w:rsidP="00E871D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Practice N</w:t>
      </w:r>
      <w:r w:rsidR="005B002F">
        <w:rPr>
          <w:rFonts w:ascii="Book Antiqua" w:hAnsi="Book Antiqua"/>
          <w:sz w:val="24"/>
          <w:szCs w:val="24"/>
        </w:rPr>
        <w:t xml:space="preserve">otes in relation to particular </w:t>
      </w:r>
      <w:r w:rsidR="008F2B15">
        <w:rPr>
          <w:rFonts w:ascii="Book Antiqua" w:hAnsi="Book Antiqua"/>
          <w:sz w:val="24"/>
          <w:szCs w:val="24"/>
        </w:rPr>
        <w:t xml:space="preserve">divisions, </w:t>
      </w:r>
      <w:r w:rsidR="005B002F">
        <w:rPr>
          <w:rFonts w:ascii="Book Antiqua" w:hAnsi="Book Antiqua"/>
          <w:sz w:val="24"/>
          <w:szCs w:val="24"/>
        </w:rPr>
        <w:t>lists and proceedings indicate whe</w:t>
      </w:r>
      <w:r w:rsidR="004774CC">
        <w:rPr>
          <w:rFonts w:ascii="Book Antiqua" w:hAnsi="Book Antiqua"/>
          <w:sz w:val="24"/>
          <w:szCs w:val="24"/>
        </w:rPr>
        <w:t>n</w:t>
      </w:r>
      <w:r w:rsidR="005B002F">
        <w:rPr>
          <w:rFonts w:ascii="Book Antiqua" w:hAnsi="Book Antiqua"/>
          <w:sz w:val="24"/>
          <w:szCs w:val="24"/>
        </w:rPr>
        <w:t xml:space="preserve"> transcript is required </w:t>
      </w:r>
      <w:r w:rsidR="00EB3EB4">
        <w:rPr>
          <w:rFonts w:ascii="Book Antiqua" w:hAnsi="Book Antiqua"/>
          <w:sz w:val="24"/>
          <w:szCs w:val="24"/>
        </w:rPr>
        <w:t xml:space="preserve">as a matter of course for directions hearings, interlocutory applications and other hearings. </w:t>
      </w:r>
      <w:r w:rsidR="00BA280E" w:rsidRPr="00BA280E">
        <w:rPr>
          <w:rFonts w:ascii="Book Antiqua" w:hAnsi="Book Antiqua"/>
          <w:sz w:val="24"/>
          <w:szCs w:val="24"/>
        </w:rPr>
        <w:t xml:space="preserve"> </w:t>
      </w:r>
    </w:p>
    <w:p w14:paraId="5EE99052" w14:textId="77777777" w:rsidR="00290EAB" w:rsidRDefault="00290EAB" w:rsidP="00290EAB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79145CB1" w14:textId="74265732" w:rsidR="00BA280E" w:rsidRPr="00BA280E" w:rsidRDefault="00290EAB" w:rsidP="00D96AEE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COSTS</w:t>
      </w:r>
    </w:p>
    <w:p w14:paraId="171757D6" w14:textId="6AAF5923" w:rsidR="00290EAB" w:rsidRPr="00290EAB" w:rsidRDefault="00290EAB" w:rsidP="00290EAB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Pr="00BA280E">
        <w:rPr>
          <w:rFonts w:ascii="Book Antiqua" w:hAnsi="Book Antiqua"/>
          <w:sz w:val="24"/>
          <w:szCs w:val="24"/>
        </w:rPr>
        <w:t>he cost of transcript and incidental expenses shall be borne by the parties</w:t>
      </w:r>
      <w:r>
        <w:rPr>
          <w:rFonts w:ascii="Book Antiqua" w:hAnsi="Book Antiqua"/>
          <w:sz w:val="24"/>
          <w:szCs w:val="24"/>
        </w:rPr>
        <w:t xml:space="preserve"> in the first instance</w:t>
      </w:r>
      <w:r w:rsidRPr="00BA280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="0023486F">
        <w:rPr>
          <w:rFonts w:ascii="Book Antiqua" w:hAnsi="Book Antiqua"/>
          <w:sz w:val="24"/>
          <w:szCs w:val="24"/>
        </w:rPr>
        <w:t xml:space="preserve"> </w:t>
      </w:r>
      <w:r w:rsidRPr="00290EAB">
        <w:rPr>
          <w:rFonts w:ascii="Book Antiqua" w:hAnsi="Book Antiqua"/>
          <w:sz w:val="24"/>
          <w:szCs w:val="24"/>
        </w:rPr>
        <w:t>The solicitor, or the litigant if unrepresented, signing the purchase order shall pay the preferred supplier the cost of all transcript provided pursuant to a purchase order.</w:t>
      </w:r>
    </w:p>
    <w:p w14:paraId="61B5EE8B" w14:textId="77777777" w:rsidR="00290EAB" w:rsidRDefault="00290EAB" w:rsidP="00290EAB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E871D6">
        <w:rPr>
          <w:rFonts w:ascii="Book Antiqua" w:hAnsi="Book Antiqua"/>
          <w:sz w:val="24"/>
          <w:szCs w:val="24"/>
        </w:rPr>
        <w:t xml:space="preserve">The ultimate burden of the cost of provision of transcript to the parties and the Court </w:t>
      </w:r>
      <w:proofErr w:type="gramStart"/>
      <w:r w:rsidRPr="00E871D6">
        <w:rPr>
          <w:rFonts w:ascii="Book Antiqua" w:hAnsi="Book Antiqua"/>
          <w:sz w:val="24"/>
          <w:szCs w:val="24"/>
        </w:rPr>
        <w:t>will be dealt with</w:t>
      </w:r>
      <w:proofErr w:type="gramEnd"/>
      <w:r w:rsidRPr="00E871D6">
        <w:rPr>
          <w:rFonts w:ascii="Book Antiqua" w:hAnsi="Book Antiqua"/>
          <w:sz w:val="24"/>
          <w:szCs w:val="24"/>
        </w:rPr>
        <w:t xml:space="preserve"> as part of the costs of the proceeding.</w:t>
      </w:r>
    </w:p>
    <w:p w14:paraId="3B472806" w14:textId="71D2CAD7" w:rsidR="00BA280E" w:rsidRPr="00167002" w:rsidRDefault="00BA280E" w:rsidP="00167002">
      <w:pPr>
        <w:spacing w:before="120" w:after="120"/>
        <w:jc w:val="both"/>
        <w:rPr>
          <w:rFonts w:ascii="Book Antiqua" w:hAnsi="Book Antiqua"/>
        </w:rPr>
      </w:pPr>
    </w:p>
    <w:p w14:paraId="7D9E02E3" w14:textId="26991436" w:rsidR="00BA280E" w:rsidRPr="00BA280E" w:rsidRDefault="0042675F" w:rsidP="00D96AEE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CONTACTS</w:t>
      </w:r>
      <w:r w:rsidR="00A77607">
        <w:rPr>
          <w:rFonts w:ascii="Book Antiqua" w:hAnsi="Book Antiqua"/>
          <w:szCs w:val="24"/>
        </w:rPr>
        <w:t xml:space="preserve"> </w:t>
      </w:r>
    </w:p>
    <w:p w14:paraId="59A922DF" w14:textId="17DCEBF8" w:rsidR="0042675F" w:rsidRPr="0042675F" w:rsidRDefault="00860AEC" w:rsidP="0042675F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Auscript</w:t>
      </w:r>
      <w:proofErr w:type="spellEnd"/>
      <w:r>
        <w:rPr>
          <w:rFonts w:ascii="Book Antiqua" w:hAnsi="Book Antiqua"/>
          <w:sz w:val="24"/>
          <w:szCs w:val="24"/>
        </w:rPr>
        <w:t xml:space="preserve"> Australasia Pty Ltd</w:t>
      </w:r>
      <w:r w:rsidR="0042675F" w:rsidRPr="0042675F">
        <w:rPr>
          <w:rFonts w:ascii="Book Antiqua" w:hAnsi="Book Antiqua"/>
          <w:sz w:val="24"/>
          <w:szCs w:val="24"/>
        </w:rPr>
        <w:t xml:space="preserve"> may be contacted via:</w:t>
      </w:r>
    </w:p>
    <w:p w14:paraId="7DBC7AF2" w14:textId="076D9921" w:rsidR="0042675F" w:rsidRPr="003F6D20" w:rsidRDefault="00860AEC" w:rsidP="0042675F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Website</w:t>
      </w:r>
      <w:r w:rsidR="0042675F" w:rsidRPr="003F6D20">
        <w:rPr>
          <w:rFonts w:ascii="Book Antiqua" w:hAnsi="Book Antiqua"/>
          <w:sz w:val="24"/>
          <w:szCs w:val="24"/>
        </w:rPr>
        <w:t xml:space="preserve">: </w:t>
      </w:r>
      <w:hyperlink r:id="rId14" w:history="1">
        <w:r w:rsidR="001F49B8" w:rsidRPr="00E92873">
          <w:rPr>
            <w:rStyle w:val="Hyperlink"/>
            <w:rFonts w:ascii="Book Antiqua" w:hAnsi="Book Antiqua"/>
            <w:sz w:val="24"/>
            <w:szCs w:val="24"/>
          </w:rPr>
          <w:t>www.auscript.com</w:t>
        </w:r>
      </w:hyperlink>
      <w:r w:rsidR="001F49B8">
        <w:rPr>
          <w:rFonts w:ascii="Book Antiqua" w:hAnsi="Book Antiqua"/>
          <w:sz w:val="24"/>
          <w:szCs w:val="24"/>
        </w:rPr>
        <w:t xml:space="preserve"> </w:t>
      </w:r>
    </w:p>
    <w:p w14:paraId="42C58AF4" w14:textId="4F938122" w:rsidR="0042675F" w:rsidRPr="003F6D20" w:rsidRDefault="0042675F" w:rsidP="0042675F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3F6D20">
        <w:rPr>
          <w:rFonts w:ascii="Book Antiqua" w:hAnsi="Book Antiqua"/>
          <w:sz w:val="24"/>
          <w:szCs w:val="24"/>
        </w:rPr>
        <w:t xml:space="preserve">Phone: (03) </w:t>
      </w:r>
      <w:r w:rsidR="00A976C5">
        <w:rPr>
          <w:rFonts w:ascii="Book Antiqua" w:hAnsi="Book Antiqua"/>
          <w:sz w:val="24"/>
          <w:szCs w:val="24"/>
        </w:rPr>
        <w:t>9672 5601</w:t>
      </w:r>
    </w:p>
    <w:p w14:paraId="57A443FF" w14:textId="6E8A3EA2" w:rsidR="006F60CF" w:rsidRPr="00477DED" w:rsidRDefault="00A77607" w:rsidP="00477DED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477DED">
        <w:rPr>
          <w:rFonts w:ascii="Book Antiqua" w:hAnsi="Book Antiqua"/>
          <w:sz w:val="24"/>
          <w:szCs w:val="24"/>
        </w:rPr>
        <w:t>Enquiries in relation to technical matters may be directed to the In</w:t>
      </w:r>
      <w:r w:rsidR="00477DED" w:rsidRPr="00477DED">
        <w:rPr>
          <w:rFonts w:ascii="Book Antiqua" w:hAnsi="Book Antiqua"/>
          <w:sz w:val="24"/>
          <w:szCs w:val="24"/>
        </w:rPr>
        <w:t xml:space="preserve"> Court Technology Unit on (03) 9603 2410</w:t>
      </w:r>
    </w:p>
    <w:p w14:paraId="0561F72D" w14:textId="77777777" w:rsidR="00DC24A7" w:rsidRPr="007917BE" w:rsidRDefault="00DC24A7" w:rsidP="00D96AEE">
      <w:pPr>
        <w:spacing w:before="120" w:after="120"/>
        <w:jc w:val="both"/>
        <w:rPr>
          <w:rFonts w:ascii="Book Antiqua" w:hAnsi="Book Antiqua"/>
        </w:rPr>
      </w:pPr>
    </w:p>
    <w:p w14:paraId="2A06942D" w14:textId="27F46ABE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54E10128" w14:textId="37202FB3" w:rsidR="00277B7B" w:rsidRDefault="005F0A8E" w:rsidP="008B4165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A77607">
        <w:rPr>
          <w:rFonts w:ascii="Book Antiqua" w:hAnsi="Book Antiqua"/>
        </w:rPr>
        <w:t xml:space="preserve"> January 2017</w:t>
      </w:r>
      <w:r w:rsidR="00277B7B" w:rsidRPr="00277B7B">
        <w:rPr>
          <w:rFonts w:ascii="Book Antiqua" w:hAnsi="Book Antiqua"/>
        </w:rPr>
        <w:t>: Practice Note</w:t>
      </w:r>
      <w:r>
        <w:rPr>
          <w:rFonts w:ascii="Book Antiqua" w:hAnsi="Book Antiqua"/>
        </w:rPr>
        <w:t xml:space="preserve"> </w:t>
      </w:r>
      <w:r w:rsidR="00860AEC">
        <w:rPr>
          <w:rFonts w:ascii="Book Antiqua" w:hAnsi="Book Antiqua"/>
        </w:rPr>
        <w:t xml:space="preserve">Gen 7 </w:t>
      </w:r>
      <w:r>
        <w:rPr>
          <w:rFonts w:ascii="Book Antiqua" w:hAnsi="Book Antiqua"/>
        </w:rPr>
        <w:t>was issued on 30</w:t>
      </w:r>
      <w:r w:rsidR="00277B7B">
        <w:rPr>
          <w:rFonts w:ascii="Book Antiqua" w:hAnsi="Book Antiqua"/>
        </w:rPr>
        <w:t xml:space="preserve"> J</w:t>
      </w:r>
      <w:r w:rsidR="00A77607">
        <w:rPr>
          <w:rFonts w:ascii="Book Antiqua" w:hAnsi="Book Antiqua"/>
        </w:rPr>
        <w:t>anuary 2017</w:t>
      </w:r>
      <w:r w:rsidR="00277B7B">
        <w:rPr>
          <w:rFonts w:ascii="Book Antiqua" w:hAnsi="Book Antiqua"/>
        </w:rPr>
        <w:t xml:space="preserve"> and </w:t>
      </w:r>
      <w:r w:rsidR="00277B7B" w:rsidRPr="00277B7B">
        <w:rPr>
          <w:rFonts w:ascii="Book Antiqua" w:hAnsi="Book Antiqua"/>
        </w:rPr>
        <w:t>replace</w:t>
      </w:r>
      <w:r w:rsidR="00277B7B">
        <w:rPr>
          <w:rFonts w:ascii="Book Antiqua" w:hAnsi="Book Antiqua"/>
        </w:rPr>
        <w:t>d</w:t>
      </w:r>
      <w:r w:rsidR="00D96AEE">
        <w:rPr>
          <w:rFonts w:ascii="Book Antiqua" w:hAnsi="Book Antiqua"/>
        </w:rPr>
        <w:t xml:space="preserve"> Practi</w:t>
      </w:r>
      <w:r w:rsidR="00167002">
        <w:rPr>
          <w:rFonts w:ascii="Book Antiqua" w:hAnsi="Book Antiqua"/>
        </w:rPr>
        <w:t xml:space="preserve">ce Note </w:t>
      </w:r>
      <w:r w:rsidR="00D96AEE">
        <w:rPr>
          <w:rFonts w:ascii="Book Antiqua" w:hAnsi="Book Antiqua"/>
        </w:rPr>
        <w:t>No 3 of 2002</w:t>
      </w:r>
    </w:p>
    <w:p w14:paraId="02098324" w14:textId="44BCA1A9" w:rsidR="001F49B8" w:rsidRDefault="001F49B8" w:rsidP="001F49B8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29 June 2018: </w:t>
      </w:r>
      <w:r w:rsidR="00AC35F4">
        <w:rPr>
          <w:rFonts w:ascii="Book Antiqua" w:hAnsi="Book Antiqua"/>
        </w:rPr>
        <w:t xml:space="preserve">Practice Note Gen 7 </w:t>
      </w:r>
      <w:proofErr w:type="gramStart"/>
      <w:r w:rsidR="00AC35F4">
        <w:rPr>
          <w:rFonts w:ascii="Book Antiqua" w:hAnsi="Book Antiqua"/>
        </w:rPr>
        <w:t>was reissued</w:t>
      </w:r>
      <w:proofErr w:type="gramEnd"/>
      <w:r w:rsidR="00AC35F4">
        <w:rPr>
          <w:rFonts w:ascii="Book Antiqua" w:hAnsi="Book Antiqua"/>
        </w:rPr>
        <w:t xml:space="preserve"> with a</w:t>
      </w:r>
      <w:r>
        <w:rPr>
          <w:rFonts w:ascii="Book Antiqua" w:hAnsi="Book Antiqua"/>
        </w:rPr>
        <w:t>mendments to paragraphs 1, 2, 3, 4, 5</w:t>
      </w:r>
      <w:r w:rsidR="009C5385">
        <w:rPr>
          <w:rFonts w:ascii="Book Antiqua" w:hAnsi="Book Antiqua"/>
        </w:rPr>
        <w:t>, 6</w:t>
      </w:r>
      <w:bookmarkStart w:id="0" w:name="_GoBack"/>
      <w:bookmarkEnd w:id="0"/>
      <w:r>
        <w:rPr>
          <w:rFonts w:ascii="Book Antiqua" w:hAnsi="Book Antiqua"/>
        </w:rPr>
        <w:t xml:space="preserve"> and 8</w:t>
      </w:r>
      <w:r w:rsidR="00AC35F4">
        <w:rPr>
          <w:rFonts w:ascii="Book Antiqua" w:hAnsi="Book Antiqua"/>
        </w:rPr>
        <w:t xml:space="preserve"> replacing the version issued on 30 January 2017</w:t>
      </w:r>
      <w:r>
        <w:rPr>
          <w:rFonts w:ascii="Book Antiqua" w:hAnsi="Book Antiqua"/>
        </w:rPr>
        <w:t>.</w:t>
      </w:r>
    </w:p>
    <w:p w14:paraId="5898F368" w14:textId="77777777" w:rsidR="00A77607" w:rsidRPr="007917BE" w:rsidRDefault="00A77607" w:rsidP="00A77607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D242B">
        <w:rPr>
          <w:rFonts w:ascii="Book Antiqua" w:hAnsi="Book Antiqua"/>
        </w:rPr>
        <w:t>Vivienne Macgillivray</w:t>
      </w:r>
    </w:p>
    <w:p w14:paraId="7EBED350" w14:textId="77777777" w:rsidR="00A77607" w:rsidRPr="007917BE" w:rsidRDefault="00A77607" w:rsidP="00A77607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7DDF0621" w14:textId="44FD5DD5" w:rsidR="00AB3FFA" w:rsidRPr="007917BE" w:rsidRDefault="008B4165" w:rsidP="00A77607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29 June 2018</w:t>
      </w:r>
    </w:p>
    <w:sectPr w:rsidR="00AB3FFA" w:rsidRPr="007917BE" w:rsidSect="0038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BCAA" w14:textId="77777777" w:rsidR="00AF35BA" w:rsidRDefault="00AF35BA">
      <w:r>
        <w:separator/>
      </w:r>
    </w:p>
  </w:endnote>
  <w:endnote w:type="continuationSeparator" w:id="0">
    <w:p w14:paraId="5C71C689" w14:textId="77777777" w:rsidR="00AF35BA" w:rsidRDefault="00AF35BA">
      <w:r>
        <w:continuationSeparator/>
      </w:r>
    </w:p>
  </w:endnote>
  <w:endnote w:type="continuationNotice" w:id="1">
    <w:p w14:paraId="3D3D7687" w14:textId="77777777" w:rsidR="00AF35BA" w:rsidRDefault="00AF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37C9" w14:textId="77777777" w:rsidR="002A52A5" w:rsidRDefault="002A5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3478" w14:textId="6C6E3A04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385">
      <w:rPr>
        <w:noProof/>
      </w:rPr>
      <w:t>2</w:t>
    </w:r>
    <w:r>
      <w:rPr>
        <w:noProof/>
      </w:rPr>
      <w:fldChar w:fldCharType="end"/>
    </w:r>
  </w:p>
  <w:p w14:paraId="77F17E56" w14:textId="77777777" w:rsidR="002D6E79" w:rsidRDefault="002D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6097" w14:textId="77777777" w:rsidR="002A52A5" w:rsidRDefault="002A5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877D" w14:textId="77777777" w:rsidR="00AF35BA" w:rsidRDefault="00AF35BA">
      <w:r>
        <w:separator/>
      </w:r>
    </w:p>
  </w:footnote>
  <w:footnote w:type="continuationSeparator" w:id="0">
    <w:p w14:paraId="7F43FBFC" w14:textId="77777777" w:rsidR="00AF35BA" w:rsidRDefault="00AF35BA">
      <w:r>
        <w:continuationSeparator/>
      </w:r>
    </w:p>
  </w:footnote>
  <w:footnote w:type="continuationNotice" w:id="1">
    <w:p w14:paraId="68A5B133" w14:textId="77777777" w:rsidR="00AF35BA" w:rsidRDefault="00AF35BA"/>
  </w:footnote>
  <w:footnote w:id="2">
    <w:p w14:paraId="61333263" w14:textId="7312AF03" w:rsidR="00075326" w:rsidRDefault="00075326">
      <w:pPr>
        <w:pStyle w:val="FootnoteText"/>
      </w:pPr>
      <w:r>
        <w:rPr>
          <w:rStyle w:val="FootnoteReference"/>
        </w:rPr>
        <w:footnoteRef/>
      </w:r>
      <w:r>
        <w:t xml:space="preserve"> NB By virtue </w:t>
      </w:r>
      <w:r w:rsidR="0045649A">
        <w:t xml:space="preserve">Administrative Arrangements Order (No233) 2016 </w:t>
      </w:r>
      <w:r>
        <w:t>effective from 1 July 2016 the C</w:t>
      </w:r>
      <w:r w:rsidR="0045649A">
        <w:t xml:space="preserve">hief </w:t>
      </w:r>
      <w:r>
        <w:t>E</w:t>
      </w:r>
      <w:r w:rsidR="0045649A">
        <w:t xml:space="preserve">xecutive </w:t>
      </w:r>
      <w:r>
        <w:t>O</w:t>
      </w:r>
      <w:r w:rsidR="0045649A">
        <w:t>fficer</w:t>
      </w:r>
      <w:r>
        <w:t xml:space="preserve"> of Court Services Victoria has the functions of the Secretary of the Department of Justice under s</w:t>
      </w:r>
      <w:r w:rsidR="0045649A">
        <w:t xml:space="preserve">130(3A) of the </w:t>
      </w:r>
      <w:r w:rsidR="0045649A" w:rsidRPr="0045649A">
        <w:rPr>
          <w:i/>
        </w:rPr>
        <w:t>Evidence (Miscellaneous Provisions) Act 1958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5351" w14:textId="77777777" w:rsidR="002A52A5" w:rsidRDefault="002A5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A669" w14:textId="535E2FA8" w:rsidR="002A52A5" w:rsidRDefault="002A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0F8E" w14:textId="77777777" w:rsidR="002A52A5" w:rsidRDefault="002A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07131B"/>
    <w:multiLevelType w:val="hybridMultilevel"/>
    <w:tmpl w:val="37FABA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4"/>
  </w:num>
  <w:num w:numId="5">
    <w:abstractNumId w:val="7"/>
  </w:num>
  <w:num w:numId="6">
    <w:abstractNumId w:val="20"/>
  </w:num>
  <w:num w:numId="7">
    <w:abstractNumId w:val="22"/>
  </w:num>
  <w:num w:numId="8">
    <w:abstractNumId w:val="16"/>
  </w:num>
  <w:num w:numId="9">
    <w:abstractNumId w:val="2"/>
  </w:num>
  <w:num w:numId="10">
    <w:abstractNumId w:val="13"/>
  </w:num>
  <w:num w:numId="11">
    <w:abstractNumId w:val="17"/>
  </w:num>
  <w:num w:numId="12">
    <w:abstractNumId w:val="19"/>
  </w:num>
  <w:num w:numId="13">
    <w:abstractNumId w:val="4"/>
  </w:num>
  <w:num w:numId="14">
    <w:abstractNumId w:val="3"/>
  </w:num>
  <w:num w:numId="15">
    <w:abstractNumId w:val="10"/>
  </w:num>
  <w:num w:numId="16">
    <w:abstractNumId w:val="0"/>
  </w:num>
  <w:num w:numId="17">
    <w:abstractNumId w:val="8"/>
  </w:num>
  <w:num w:numId="18">
    <w:abstractNumId w:val="21"/>
  </w:num>
  <w:num w:numId="19">
    <w:abstractNumId w:val="6"/>
  </w:num>
  <w:num w:numId="20">
    <w:abstractNumId w:val="5"/>
  </w:num>
  <w:num w:numId="21">
    <w:abstractNumId w:val="12"/>
  </w:num>
  <w:num w:numId="22">
    <w:abstractNumId w:val="11"/>
  </w:num>
  <w:num w:numId="23">
    <w:abstractNumId w:val="14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64FB2"/>
    <w:rsid w:val="00070CA2"/>
    <w:rsid w:val="00070D66"/>
    <w:rsid w:val="00071A96"/>
    <w:rsid w:val="00073139"/>
    <w:rsid w:val="00073769"/>
    <w:rsid w:val="00075326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098"/>
    <w:rsid w:val="000C75E1"/>
    <w:rsid w:val="000D07F1"/>
    <w:rsid w:val="000D3250"/>
    <w:rsid w:val="000D5E28"/>
    <w:rsid w:val="000D7A64"/>
    <w:rsid w:val="000E12FA"/>
    <w:rsid w:val="000E524A"/>
    <w:rsid w:val="000F1398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67002"/>
    <w:rsid w:val="001716EF"/>
    <w:rsid w:val="0018061B"/>
    <w:rsid w:val="00186E37"/>
    <w:rsid w:val="001913C5"/>
    <w:rsid w:val="00194089"/>
    <w:rsid w:val="00194A80"/>
    <w:rsid w:val="001950DC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C634B"/>
    <w:rsid w:val="001E0318"/>
    <w:rsid w:val="001F49B8"/>
    <w:rsid w:val="00207367"/>
    <w:rsid w:val="00216DCF"/>
    <w:rsid w:val="00217758"/>
    <w:rsid w:val="00217E88"/>
    <w:rsid w:val="002218C5"/>
    <w:rsid w:val="00222544"/>
    <w:rsid w:val="0022666D"/>
    <w:rsid w:val="0023426A"/>
    <w:rsid w:val="0023486F"/>
    <w:rsid w:val="00234B7B"/>
    <w:rsid w:val="00241A4E"/>
    <w:rsid w:val="00245746"/>
    <w:rsid w:val="00247EA1"/>
    <w:rsid w:val="00247F50"/>
    <w:rsid w:val="002572C2"/>
    <w:rsid w:val="0026005D"/>
    <w:rsid w:val="00265BF9"/>
    <w:rsid w:val="00271B59"/>
    <w:rsid w:val="00275A5A"/>
    <w:rsid w:val="00277B7B"/>
    <w:rsid w:val="002812ED"/>
    <w:rsid w:val="0028130B"/>
    <w:rsid w:val="00290EAB"/>
    <w:rsid w:val="002A52A5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8E0"/>
    <w:rsid w:val="00353E4C"/>
    <w:rsid w:val="00356593"/>
    <w:rsid w:val="00356969"/>
    <w:rsid w:val="00357036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14B77"/>
    <w:rsid w:val="0042138B"/>
    <w:rsid w:val="0042675F"/>
    <w:rsid w:val="00434BEE"/>
    <w:rsid w:val="004361F0"/>
    <w:rsid w:val="00441431"/>
    <w:rsid w:val="00444A0B"/>
    <w:rsid w:val="00454495"/>
    <w:rsid w:val="00455D46"/>
    <w:rsid w:val="0045649A"/>
    <w:rsid w:val="00461361"/>
    <w:rsid w:val="00471414"/>
    <w:rsid w:val="00474F94"/>
    <w:rsid w:val="004774CC"/>
    <w:rsid w:val="00477DED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002B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002F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5F0A8E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C97"/>
    <w:rsid w:val="00637EE8"/>
    <w:rsid w:val="0064057F"/>
    <w:rsid w:val="0064143C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D5418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42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215BE"/>
    <w:rsid w:val="00823AB4"/>
    <w:rsid w:val="0082465E"/>
    <w:rsid w:val="0082476F"/>
    <w:rsid w:val="00826A21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60AEC"/>
    <w:rsid w:val="00872BAD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165"/>
    <w:rsid w:val="008B47EA"/>
    <w:rsid w:val="008C027C"/>
    <w:rsid w:val="008C41FA"/>
    <w:rsid w:val="008D6EBF"/>
    <w:rsid w:val="008E2F41"/>
    <w:rsid w:val="008F2B15"/>
    <w:rsid w:val="009106F1"/>
    <w:rsid w:val="0091164B"/>
    <w:rsid w:val="00912443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1150"/>
    <w:rsid w:val="00974053"/>
    <w:rsid w:val="00975561"/>
    <w:rsid w:val="0098076E"/>
    <w:rsid w:val="00984A84"/>
    <w:rsid w:val="00987FD8"/>
    <w:rsid w:val="00990B3C"/>
    <w:rsid w:val="00993D8D"/>
    <w:rsid w:val="009956C6"/>
    <w:rsid w:val="00996F81"/>
    <w:rsid w:val="009A0C30"/>
    <w:rsid w:val="009A16DD"/>
    <w:rsid w:val="009A45B0"/>
    <w:rsid w:val="009B1B66"/>
    <w:rsid w:val="009B3159"/>
    <w:rsid w:val="009B7708"/>
    <w:rsid w:val="009C3906"/>
    <w:rsid w:val="009C393F"/>
    <w:rsid w:val="009C5385"/>
    <w:rsid w:val="009C6B44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64EE1"/>
    <w:rsid w:val="00A67FC3"/>
    <w:rsid w:val="00A715A8"/>
    <w:rsid w:val="00A77607"/>
    <w:rsid w:val="00A7773B"/>
    <w:rsid w:val="00A7779A"/>
    <w:rsid w:val="00A86757"/>
    <w:rsid w:val="00A9278B"/>
    <w:rsid w:val="00A937DF"/>
    <w:rsid w:val="00A976C5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C35F4"/>
    <w:rsid w:val="00AD32C4"/>
    <w:rsid w:val="00AE3228"/>
    <w:rsid w:val="00AE3CE5"/>
    <w:rsid w:val="00AF29CC"/>
    <w:rsid w:val="00AF35BA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280E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53C8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470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6EB2"/>
    <w:rsid w:val="00D77286"/>
    <w:rsid w:val="00D77D53"/>
    <w:rsid w:val="00D809E3"/>
    <w:rsid w:val="00D80FEA"/>
    <w:rsid w:val="00D85336"/>
    <w:rsid w:val="00D86A6A"/>
    <w:rsid w:val="00D90FA6"/>
    <w:rsid w:val="00D961E3"/>
    <w:rsid w:val="00D96AEE"/>
    <w:rsid w:val="00D97628"/>
    <w:rsid w:val="00DA0491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5"/>
    <w:rsid w:val="00E16169"/>
    <w:rsid w:val="00E20381"/>
    <w:rsid w:val="00E2055A"/>
    <w:rsid w:val="00E20C5E"/>
    <w:rsid w:val="00E23A7E"/>
    <w:rsid w:val="00E25646"/>
    <w:rsid w:val="00E27289"/>
    <w:rsid w:val="00E2776C"/>
    <w:rsid w:val="00E27982"/>
    <w:rsid w:val="00E52E8C"/>
    <w:rsid w:val="00E54AD4"/>
    <w:rsid w:val="00E56526"/>
    <w:rsid w:val="00E61AA5"/>
    <w:rsid w:val="00E62BC4"/>
    <w:rsid w:val="00E66EDC"/>
    <w:rsid w:val="00E74D52"/>
    <w:rsid w:val="00E871D6"/>
    <w:rsid w:val="00E90334"/>
    <w:rsid w:val="00EA0DB8"/>
    <w:rsid w:val="00EA141C"/>
    <w:rsid w:val="00EA2EB9"/>
    <w:rsid w:val="00EA6CDF"/>
    <w:rsid w:val="00EB3EB4"/>
    <w:rsid w:val="00EC0977"/>
    <w:rsid w:val="00EC4A6A"/>
    <w:rsid w:val="00EC6B3A"/>
    <w:rsid w:val="00ED25C1"/>
    <w:rsid w:val="00ED61FE"/>
    <w:rsid w:val="00EE6009"/>
    <w:rsid w:val="00EF154D"/>
    <w:rsid w:val="00EF1683"/>
    <w:rsid w:val="00EF1D53"/>
    <w:rsid w:val="00EF2F58"/>
    <w:rsid w:val="00EF5C7D"/>
    <w:rsid w:val="00F0009F"/>
    <w:rsid w:val="00F0621A"/>
    <w:rsid w:val="00F07C59"/>
    <w:rsid w:val="00F24E6E"/>
    <w:rsid w:val="00F25EF5"/>
    <w:rsid w:val="00F33797"/>
    <w:rsid w:val="00F43EC5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4D48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uscrip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9" ma:contentTypeDescription="Create a new document." ma:contentTypeScope="" ma:versionID="fd6e178f3c84e428f07a72f808ccbb0a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6db6542bac248780420748ee41ba040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45FD-2D1D-4CF5-A856-038F710DA077}"/>
</file>

<file path=customXml/itemProps2.xml><?xml version="1.0" encoding="utf-8"?>
<ds:datastoreItem xmlns:ds="http://schemas.openxmlformats.org/officeDocument/2006/customXml" ds:itemID="{F53C5FFA-8516-4FEC-A1E4-38241312D5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dde84cb-4b1f-4b74-b4a5-14e1a433eee1"/>
    <ds:schemaRef ds:uri="1d13ceb3-a5b0-49fd-a602-5dc949c352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7063DE-5A9E-46EB-BE84-F5B13E9A39F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EC4100-9872-4D0D-B71D-C63A813A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Emma C. Poole</cp:lastModifiedBy>
  <cp:revision>2</cp:revision>
  <cp:lastPrinted>2015-02-18T22:34:00Z</cp:lastPrinted>
  <dcterms:created xsi:type="dcterms:W3CDTF">2018-06-28T07:29:00Z</dcterms:created>
  <dcterms:modified xsi:type="dcterms:W3CDTF">2018-06-28T07:29:00Z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0x010100FC344B925675ED46837EB14F9BF5688C</vt:lpwstr>
  </property>
</Properties>
</file>