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3CFB4" w14:textId="77777777" w:rsidR="00690574" w:rsidRPr="00035740" w:rsidRDefault="00690574" w:rsidP="00690574">
      <w:pPr>
        <w:spacing w:after="0" w:line="276" w:lineRule="auto"/>
        <w:contextualSpacing/>
        <w:jc w:val="center"/>
        <w:rPr>
          <w:rFonts w:ascii="Book Antiqua" w:eastAsia="Calibri" w:hAnsi="Book Antiqua" w:cs="Arial"/>
          <w:b/>
          <w:sz w:val="24"/>
          <w:szCs w:val="24"/>
        </w:rPr>
      </w:pPr>
      <w:r w:rsidRPr="00035740">
        <w:rPr>
          <w:rFonts w:ascii="Book Antiqua" w:hAnsi="Book Antiqua" w:cs="Times New Roman"/>
          <w:noProof/>
          <w:sz w:val="24"/>
          <w:szCs w:val="24"/>
          <w:lang w:eastAsia="en-AU"/>
        </w:rPr>
        <w:drawing>
          <wp:inline distT="0" distB="0" distL="0" distR="0" wp14:anchorId="44837254" wp14:editId="01C5EB84">
            <wp:extent cx="1123950" cy="1123950"/>
            <wp:effectExtent l="0" t="0" r="0" b="0"/>
            <wp:docPr id="3" name="Picture 3" descr="http://confluence-scv/download/attachments/1082116/SCV_RGB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fluence-scv/download/attachments/1082116/SCV_RGB_B.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4333F898" w14:textId="77777777" w:rsidR="00690574" w:rsidRPr="00035740" w:rsidRDefault="00690574" w:rsidP="00690574">
      <w:pPr>
        <w:spacing w:after="0"/>
        <w:jc w:val="center"/>
        <w:rPr>
          <w:rFonts w:ascii="Book Antiqua" w:eastAsia="Times New Roman" w:hAnsi="Book Antiqua" w:cs="Times New Roman"/>
          <w:b/>
          <w:bCs/>
          <w:sz w:val="24"/>
          <w:szCs w:val="24"/>
        </w:rPr>
      </w:pPr>
      <w:r w:rsidRPr="00035740">
        <w:rPr>
          <w:rFonts w:ascii="Book Antiqua" w:eastAsia="Times New Roman" w:hAnsi="Book Antiqua" w:cs="Times New Roman"/>
          <w:b/>
          <w:bCs/>
          <w:sz w:val="24"/>
          <w:szCs w:val="24"/>
        </w:rPr>
        <w:t>Notice to the Profession</w:t>
      </w:r>
    </w:p>
    <w:p w14:paraId="3BD4AEA5" w14:textId="77777777" w:rsidR="00690574" w:rsidRPr="00035740" w:rsidRDefault="00690574" w:rsidP="00690574">
      <w:pPr>
        <w:spacing w:after="0"/>
        <w:jc w:val="center"/>
        <w:rPr>
          <w:rFonts w:ascii="Book Antiqua" w:hAnsi="Book Antiqua" w:cs="Times New Roman"/>
          <w:b/>
          <w:sz w:val="24"/>
          <w:szCs w:val="24"/>
        </w:rPr>
      </w:pPr>
    </w:p>
    <w:p w14:paraId="693CB818" w14:textId="77777777" w:rsidR="00690574" w:rsidRPr="00035740" w:rsidRDefault="00690574" w:rsidP="00690574">
      <w:pPr>
        <w:spacing w:after="0"/>
        <w:jc w:val="center"/>
        <w:rPr>
          <w:rFonts w:ascii="Book Antiqua" w:eastAsia="Times New Roman" w:hAnsi="Book Antiqua" w:cs="Times New Roman"/>
          <w:b/>
          <w:bCs/>
          <w:sz w:val="24"/>
          <w:szCs w:val="24"/>
        </w:rPr>
      </w:pPr>
      <w:r w:rsidRPr="00035740">
        <w:rPr>
          <w:rFonts w:ascii="Book Antiqua" w:eastAsia="Times New Roman" w:hAnsi="Book Antiqua" w:cs="Times New Roman"/>
          <w:b/>
          <w:bCs/>
          <w:sz w:val="24"/>
          <w:szCs w:val="24"/>
        </w:rPr>
        <w:t>Fast Track Pilot</w:t>
      </w:r>
    </w:p>
    <w:p w14:paraId="596F6DD9" w14:textId="77777777" w:rsidR="00690574" w:rsidRPr="00035740" w:rsidRDefault="00690574" w:rsidP="00690574">
      <w:pPr>
        <w:spacing w:after="0"/>
        <w:jc w:val="center"/>
        <w:rPr>
          <w:rFonts w:ascii="Book Antiqua" w:eastAsia="Times New Roman" w:hAnsi="Book Antiqua" w:cs="Times New Roman"/>
          <w:b/>
          <w:bCs/>
          <w:sz w:val="24"/>
          <w:szCs w:val="24"/>
        </w:rPr>
      </w:pPr>
      <w:r w:rsidRPr="00035740">
        <w:rPr>
          <w:rFonts w:ascii="Book Antiqua" w:eastAsia="Times New Roman" w:hAnsi="Book Antiqua" w:cs="Times New Roman"/>
          <w:b/>
          <w:bCs/>
          <w:sz w:val="24"/>
          <w:szCs w:val="24"/>
        </w:rPr>
        <w:t>Motor Vehicle Accident Damages Proceedings</w:t>
      </w:r>
    </w:p>
    <w:p w14:paraId="22D604B6" w14:textId="77777777" w:rsidR="00690574" w:rsidRPr="00035740" w:rsidRDefault="00690574" w:rsidP="00787DA7">
      <w:pPr>
        <w:spacing w:after="0" w:line="276" w:lineRule="auto"/>
        <w:contextualSpacing/>
        <w:jc w:val="both"/>
        <w:rPr>
          <w:rFonts w:ascii="Book Antiqua" w:eastAsia="Calibri" w:hAnsi="Book Antiqua" w:cs="Arial"/>
          <w:b/>
          <w:sz w:val="24"/>
          <w:szCs w:val="24"/>
        </w:rPr>
      </w:pPr>
    </w:p>
    <w:p w14:paraId="077F7CA8" w14:textId="77777777" w:rsidR="00787DA7" w:rsidRPr="00035740" w:rsidRDefault="00787DA7" w:rsidP="00787DA7">
      <w:pPr>
        <w:numPr>
          <w:ilvl w:val="0"/>
          <w:numId w:val="1"/>
        </w:numPr>
        <w:spacing w:after="0" w:line="276" w:lineRule="auto"/>
        <w:contextualSpacing/>
        <w:jc w:val="both"/>
        <w:rPr>
          <w:rFonts w:ascii="Book Antiqua" w:eastAsia="Calibri" w:hAnsi="Book Antiqua" w:cs="Arial"/>
          <w:b/>
          <w:sz w:val="24"/>
          <w:szCs w:val="24"/>
        </w:rPr>
      </w:pPr>
      <w:r w:rsidRPr="00035740">
        <w:rPr>
          <w:rFonts w:ascii="Book Antiqua" w:eastAsia="Calibri" w:hAnsi="Book Antiqua" w:cs="Arial"/>
          <w:b/>
          <w:sz w:val="24"/>
          <w:szCs w:val="24"/>
        </w:rPr>
        <w:t>Introduction</w:t>
      </w:r>
    </w:p>
    <w:p w14:paraId="40DDF7E5" w14:textId="77777777" w:rsidR="00787DA7" w:rsidRPr="00035740" w:rsidRDefault="00787DA7" w:rsidP="00787DA7">
      <w:pPr>
        <w:spacing w:after="0" w:line="276" w:lineRule="auto"/>
        <w:jc w:val="both"/>
        <w:rPr>
          <w:rFonts w:ascii="Book Antiqua" w:eastAsia="Calibri" w:hAnsi="Book Antiqua" w:cs="Arial"/>
          <w:b/>
          <w:sz w:val="24"/>
          <w:szCs w:val="24"/>
        </w:rPr>
      </w:pPr>
    </w:p>
    <w:p w14:paraId="1E7BF53E" w14:textId="77777777" w:rsidR="00A869C0" w:rsidRPr="00035740" w:rsidRDefault="00A869C0" w:rsidP="00A869C0">
      <w:pPr>
        <w:numPr>
          <w:ilvl w:val="1"/>
          <w:numId w:val="1"/>
        </w:numPr>
        <w:tabs>
          <w:tab w:val="left" w:pos="1440"/>
        </w:tabs>
        <w:spacing w:after="0" w:line="276" w:lineRule="auto"/>
        <w:contextualSpacing/>
        <w:jc w:val="both"/>
        <w:rPr>
          <w:rFonts w:ascii="Book Antiqua" w:eastAsia="Times New Roman" w:hAnsi="Book Antiqua" w:cs="Arial"/>
          <w:sz w:val="24"/>
          <w:szCs w:val="24"/>
        </w:rPr>
      </w:pPr>
      <w:r w:rsidRPr="00035740">
        <w:rPr>
          <w:rFonts w:ascii="Book Antiqua" w:eastAsia="Times New Roman" w:hAnsi="Book Antiqua" w:cs="Arial"/>
          <w:sz w:val="24"/>
          <w:szCs w:val="24"/>
        </w:rPr>
        <w:t>The Chief Justice has authorised the issue of the following Notice to the Profession.</w:t>
      </w:r>
    </w:p>
    <w:p w14:paraId="147C1854" w14:textId="77777777" w:rsidR="00A869C0" w:rsidRPr="00035740" w:rsidRDefault="00A869C0" w:rsidP="00A869C0">
      <w:pPr>
        <w:tabs>
          <w:tab w:val="left" w:pos="1440"/>
        </w:tabs>
        <w:spacing w:after="0" w:line="276" w:lineRule="auto"/>
        <w:ind w:left="792"/>
        <w:contextualSpacing/>
        <w:jc w:val="both"/>
        <w:rPr>
          <w:rFonts w:ascii="Book Antiqua" w:eastAsia="Times New Roman" w:hAnsi="Book Antiqua" w:cs="Arial"/>
          <w:sz w:val="24"/>
          <w:szCs w:val="24"/>
        </w:rPr>
      </w:pPr>
    </w:p>
    <w:p w14:paraId="77BE08F5" w14:textId="77777777" w:rsidR="00787DA7" w:rsidRPr="00035740" w:rsidRDefault="00787DA7" w:rsidP="00787DA7">
      <w:pPr>
        <w:numPr>
          <w:ilvl w:val="1"/>
          <w:numId w:val="1"/>
        </w:numPr>
        <w:tabs>
          <w:tab w:val="left" w:pos="1440"/>
        </w:tabs>
        <w:spacing w:after="0" w:line="276" w:lineRule="auto"/>
        <w:contextualSpacing/>
        <w:jc w:val="both"/>
        <w:rPr>
          <w:rFonts w:ascii="Book Antiqua" w:eastAsia="Times New Roman" w:hAnsi="Book Antiqua" w:cs="Arial"/>
          <w:sz w:val="24"/>
          <w:szCs w:val="24"/>
        </w:rPr>
      </w:pPr>
      <w:r w:rsidRPr="00035740">
        <w:rPr>
          <w:rFonts w:ascii="Book Antiqua" w:eastAsia="Times New Roman" w:hAnsi="Book Antiqua" w:cs="Arial"/>
          <w:sz w:val="24"/>
          <w:szCs w:val="24"/>
        </w:rPr>
        <w:t>The Court acknowledges that parties to claims for damages in respect of death or personal injury related to a motor vehicle accident (</w:t>
      </w:r>
      <w:r w:rsidRPr="00035740">
        <w:rPr>
          <w:rFonts w:ascii="Book Antiqua" w:eastAsia="Times New Roman" w:hAnsi="Book Antiqua" w:cs="Arial"/>
          <w:b/>
          <w:sz w:val="24"/>
          <w:szCs w:val="24"/>
        </w:rPr>
        <w:t>MVA Proceedings</w:t>
      </w:r>
      <w:r w:rsidRPr="00035740">
        <w:rPr>
          <w:rFonts w:ascii="Book Antiqua" w:eastAsia="Times New Roman" w:hAnsi="Book Antiqua" w:cs="Arial"/>
          <w:sz w:val="24"/>
          <w:szCs w:val="24"/>
        </w:rPr>
        <w:t>) may have engaged in pre-litigation alternative dispute resolution processes pursuant to the Transport Accident Act Common Law Protocols (</w:t>
      </w:r>
      <w:r w:rsidRPr="00035740">
        <w:rPr>
          <w:rFonts w:ascii="Book Antiqua" w:eastAsia="Times New Roman" w:hAnsi="Book Antiqua" w:cs="Arial"/>
          <w:b/>
          <w:bCs/>
          <w:sz w:val="24"/>
          <w:szCs w:val="24"/>
        </w:rPr>
        <w:t>Protocols</w:t>
      </w:r>
      <w:r w:rsidRPr="00035740">
        <w:rPr>
          <w:rFonts w:ascii="Book Antiqua" w:eastAsia="Times New Roman" w:hAnsi="Book Antiqua" w:cs="Arial"/>
          <w:sz w:val="24"/>
          <w:szCs w:val="24"/>
        </w:rPr>
        <w:t>).</w:t>
      </w:r>
    </w:p>
    <w:p w14:paraId="506A92EB" w14:textId="77777777" w:rsidR="00787DA7" w:rsidRPr="00035740" w:rsidRDefault="00787DA7" w:rsidP="00787DA7">
      <w:pPr>
        <w:tabs>
          <w:tab w:val="left" w:pos="1440"/>
        </w:tabs>
        <w:spacing w:after="0" w:line="276" w:lineRule="auto"/>
        <w:ind w:left="360"/>
        <w:jc w:val="both"/>
        <w:rPr>
          <w:rFonts w:ascii="Book Antiqua" w:eastAsia="Times New Roman" w:hAnsi="Book Antiqua" w:cs="Arial"/>
          <w:sz w:val="24"/>
          <w:szCs w:val="24"/>
        </w:rPr>
      </w:pPr>
    </w:p>
    <w:p w14:paraId="23931B36" w14:textId="77777777" w:rsidR="00787DA7" w:rsidRPr="00035740" w:rsidRDefault="00787DA7" w:rsidP="00787DA7">
      <w:pPr>
        <w:numPr>
          <w:ilvl w:val="1"/>
          <w:numId w:val="1"/>
        </w:numPr>
        <w:tabs>
          <w:tab w:val="left" w:pos="1440"/>
        </w:tabs>
        <w:spacing w:after="0" w:line="276" w:lineRule="auto"/>
        <w:contextualSpacing/>
        <w:jc w:val="both"/>
        <w:rPr>
          <w:rFonts w:ascii="Book Antiqua" w:eastAsia="Times New Roman" w:hAnsi="Book Antiqua" w:cs="Arial"/>
          <w:sz w:val="24"/>
          <w:szCs w:val="24"/>
        </w:rPr>
      </w:pPr>
      <w:r w:rsidRPr="00035740">
        <w:rPr>
          <w:rFonts w:ascii="Book Antiqua" w:eastAsia="Times New Roman" w:hAnsi="Book Antiqua" w:cs="Arial"/>
          <w:sz w:val="24"/>
          <w:szCs w:val="24"/>
        </w:rPr>
        <w:t>In recognition of the work that is undertaken and material exchanged by the parties as a result of participation in the Protocols, the Supreme Court is introducing a pilot ‘fast-track’ case management procedure (</w:t>
      </w:r>
      <w:r w:rsidRPr="00035740">
        <w:rPr>
          <w:rFonts w:ascii="Book Antiqua" w:eastAsia="Times New Roman" w:hAnsi="Book Antiqua" w:cs="Arial"/>
          <w:b/>
          <w:bCs/>
          <w:sz w:val="24"/>
          <w:szCs w:val="24"/>
        </w:rPr>
        <w:t>Pilot</w:t>
      </w:r>
      <w:r w:rsidRPr="00035740">
        <w:rPr>
          <w:rFonts w:ascii="Book Antiqua" w:eastAsia="Times New Roman" w:hAnsi="Book Antiqua" w:cs="Arial"/>
          <w:bCs/>
          <w:sz w:val="24"/>
          <w:szCs w:val="24"/>
        </w:rPr>
        <w:t>)</w:t>
      </w:r>
      <w:r w:rsidRPr="00035740">
        <w:rPr>
          <w:rFonts w:ascii="Book Antiqua" w:eastAsia="Times New Roman" w:hAnsi="Book Antiqua" w:cs="Arial"/>
          <w:sz w:val="24"/>
          <w:szCs w:val="24"/>
        </w:rPr>
        <w:t xml:space="preserve"> for single defendant, quantum only MVA Proceedings where the parties have participated in the Protocols. The Pilot is aimed at expediting the hearing and determination of such cases. From 1 January 2019, unless the Court otherwise directs, these cases will follow the procedure outlined below.  </w:t>
      </w:r>
    </w:p>
    <w:p w14:paraId="5D87B84A" w14:textId="77777777" w:rsidR="00787DA7" w:rsidRPr="00035740" w:rsidRDefault="00787DA7" w:rsidP="00787DA7">
      <w:pPr>
        <w:tabs>
          <w:tab w:val="left" w:pos="1440"/>
        </w:tabs>
        <w:spacing w:after="0" w:line="276" w:lineRule="auto"/>
        <w:ind w:left="360"/>
        <w:jc w:val="both"/>
        <w:rPr>
          <w:rFonts w:ascii="Book Antiqua" w:eastAsia="Calibri" w:hAnsi="Book Antiqua" w:cs="Arial"/>
          <w:sz w:val="24"/>
          <w:szCs w:val="24"/>
        </w:rPr>
      </w:pPr>
    </w:p>
    <w:p w14:paraId="3AB5C846" w14:textId="77777777" w:rsidR="00787DA7" w:rsidRPr="00035740" w:rsidRDefault="00787DA7" w:rsidP="00787DA7">
      <w:pPr>
        <w:numPr>
          <w:ilvl w:val="1"/>
          <w:numId w:val="1"/>
        </w:numPr>
        <w:tabs>
          <w:tab w:val="left" w:pos="1440"/>
        </w:tabs>
        <w:spacing w:after="0" w:line="276" w:lineRule="auto"/>
        <w:contextualSpacing/>
        <w:jc w:val="both"/>
        <w:rPr>
          <w:rFonts w:ascii="Book Antiqua" w:eastAsia="Times New Roman" w:hAnsi="Book Antiqua" w:cs="Arial"/>
          <w:sz w:val="24"/>
          <w:szCs w:val="24"/>
        </w:rPr>
      </w:pPr>
      <w:r w:rsidRPr="00035740">
        <w:rPr>
          <w:rFonts w:ascii="Book Antiqua" w:eastAsia="Times New Roman" w:hAnsi="Book Antiqua" w:cs="Arial"/>
          <w:sz w:val="24"/>
          <w:szCs w:val="24"/>
        </w:rPr>
        <w:t>The Pilot will be reviewed after an initial trial period of 12 months.</w:t>
      </w:r>
    </w:p>
    <w:p w14:paraId="6AD0F3A7" w14:textId="77777777" w:rsidR="00787DA7" w:rsidRPr="00035740" w:rsidRDefault="00787DA7" w:rsidP="00787DA7">
      <w:pPr>
        <w:tabs>
          <w:tab w:val="left" w:pos="1440"/>
        </w:tabs>
        <w:spacing w:after="0" w:line="276" w:lineRule="auto"/>
        <w:ind w:left="360"/>
        <w:jc w:val="both"/>
        <w:rPr>
          <w:rFonts w:ascii="Book Antiqua" w:eastAsia="Calibri" w:hAnsi="Book Antiqua" w:cs="Arial"/>
          <w:sz w:val="24"/>
          <w:szCs w:val="24"/>
        </w:rPr>
      </w:pPr>
    </w:p>
    <w:p w14:paraId="6D203FC8" w14:textId="77777777" w:rsidR="00787DA7" w:rsidRPr="00035740" w:rsidRDefault="00787DA7" w:rsidP="00787DA7">
      <w:pPr>
        <w:numPr>
          <w:ilvl w:val="0"/>
          <w:numId w:val="1"/>
        </w:numPr>
        <w:spacing w:after="0" w:line="276" w:lineRule="auto"/>
        <w:contextualSpacing/>
        <w:jc w:val="both"/>
        <w:rPr>
          <w:rFonts w:ascii="Book Antiqua" w:eastAsia="Calibri" w:hAnsi="Book Antiqua" w:cs="Arial"/>
          <w:b/>
          <w:sz w:val="24"/>
          <w:szCs w:val="24"/>
        </w:rPr>
      </w:pPr>
      <w:r w:rsidRPr="00035740">
        <w:rPr>
          <w:rFonts w:ascii="Book Antiqua" w:eastAsia="Calibri" w:hAnsi="Book Antiqua" w:cs="Arial"/>
          <w:b/>
          <w:sz w:val="24"/>
          <w:szCs w:val="24"/>
        </w:rPr>
        <w:t>Fast Track Pilot – Criteria</w:t>
      </w:r>
    </w:p>
    <w:p w14:paraId="093BCE13" w14:textId="77777777" w:rsidR="00787DA7" w:rsidRPr="00035740" w:rsidRDefault="00787DA7" w:rsidP="00787DA7">
      <w:pPr>
        <w:spacing w:after="0" w:line="276" w:lineRule="auto"/>
        <w:ind w:left="360"/>
        <w:contextualSpacing/>
        <w:jc w:val="both"/>
        <w:rPr>
          <w:rFonts w:ascii="Book Antiqua" w:eastAsia="Calibri" w:hAnsi="Book Antiqua" w:cs="Arial"/>
          <w:b/>
          <w:sz w:val="24"/>
          <w:szCs w:val="24"/>
        </w:rPr>
      </w:pPr>
    </w:p>
    <w:p w14:paraId="565D7077" w14:textId="77777777" w:rsidR="00787DA7" w:rsidRPr="00035740" w:rsidRDefault="00787DA7" w:rsidP="00787DA7">
      <w:pPr>
        <w:numPr>
          <w:ilvl w:val="1"/>
          <w:numId w:val="1"/>
        </w:numPr>
        <w:tabs>
          <w:tab w:val="left" w:pos="1440"/>
        </w:tabs>
        <w:spacing w:after="0" w:line="276" w:lineRule="auto"/>
        <w:contextualSpacing/>
        <w:jc w:val="both"/>
        <w:rPr>
          <w:rFonts w:ascii="Book Antiqua" w:eastAsia="Times New Roman" w:hAnsi="Book Antiqua" w:cs="Arial"/>
          <w:sz w:val="24"/>
          <w:szCs w:val="24"/>
        </w:rPr>
      </w:pPr>
      <w:r w:rsidRPr="00035740">
        <w:rPr>
          <w:rFonts w:ascii="Book Antiqua" w:eastAsia="Times New Roman" w:hAnsi="Book Antiqua" w:cs="Arial"/>
          <w:sz w:val="24"/>
          <w:szCs w:val="24"/>
        </w:rPr>
        <w:t>A MVA Proceeding will be eligible for entry into the Pilot if it meets all of the following criteria:</w:t>
      </w:r>
    </w:p>
    <w:p w14:paraId="59B05C98" w14:textId="77777777" w:rsidR="00787DA7" w:rsidRPr="00035740" w:rsidRDefault="00787DA7" w:rsidP="00787DA7">
      <w:pPr>
        <w:tabs>
          <w:tab w:val="left" w:pos="1440"/>
        </w:tabs>
        <w:spacing w:after="0" w:line="276" w:lineRule="auto"/>
        <w:ind w:left="720"/>
        <w:jc w:val="both"/>
        <w:rPr>
          <w:rFonts w:ascii="Book Antiqua" w:eastAsia="Calibri" w:hAnsi="Book Antiqua" w:cs="Arial"/>
          <w:sz w:val="24"/>
          <w:szCs w:val="24"/>
        </w:rPr>
      </w:pPr>
    </w:p>
    <w:p w14:paraId="5DDD2B7A" w14:textId="77777777" w:rsidR="00787DA7" w:rsidRPr="00035740" w:rsidRDefault="00787DA7" w:rsidP="00787DA7">
      <w:pPr>
        <w:numPr>
          <w:ilvl w:val="0"/>
          <w:numId w:val="2"/>
        </w:numPr>
        <w:spacing w:after="200" w:line="360"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t>managed in the Personal Injuries List or, where appropriate, the Civil Circuit List;</w:t>
      </w:r>
    </w:p>
    <w:p w14:paraId="08D9D59E" w14:textId="77777777" w:rsidR="00787DA7" w:rsidRPr="00035740" w:rsidRDefault="00787DA7" w:rsidP="00787DA7">
      <w:pPr>
        <w:numPr>
          <w:ilvl w:val="0"/>
          <w:numId w:val="2"/>
        </w:numPr>
        <w:spacing w:after="200" w:line="360"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t>claim is for injury and/or death against a single Transport Accident Commission indemnified defendant;</w:t>
      </w:r>
    </w:p>
    <w:p w14:paraId="27E4D043" w14:textId="77777777" w:rsidR="00787DA7" w:rsidRPr="00035740" w:rsidRDefault="00787DA7" w:rsidP="00787DA7">
      <w:pPr>
        <w:numPr>
          <w:ilvl w:val="0"/>
          <w:numId w:val="2"/>
        </w:numPr>
        <w:spacing w:after="200" w:line="360"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lastRenderedPageBreak/>
        <w:t>the parties participated in the Protocols prior to commencement of the proceeding;</w:t>
      </w:r>
    </w:p>
    <w:p w14:paraId="10166738" w14:textId="77777777" w:rsidR="00787DA7" w:rsidRPr="00035740" w:rsidRDefault="00787DA7" w:rsidP="00787DA7">
      <w:pPr>
        <w:numPr>
          <w:ilvl w:val="0"/>
          <w:numId w:val="2"/>
        </w:numPr>
        <w:spacing w:after="200" w:line="360"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t>liability, including contributory negligence, is not in issue; and</w:t>
      </w:r>
    </w:p>
    <w:p w14:paraId="468290C2" w14:textId="77777777" w:rsidR="00787DA7" w:rsidRPr="00035740" w:rsidRDefault="00787DA7" w:rsidP="00787DA7">
      <w:pPr>
        <w:numPr>
          <w:ilvl w:val="0"/>
          <w:numId w:val="2"/>
        </w:numPr>
        <w:spacing w:after="200" w:line="360"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t>the only matter for the Court’s determination is the quantum of damages.</w:t>
      </w:r>
      <w:r w:rsidRPr="00035740">
        <w:rPr>
          <w:rFonts w:ascii="Book Antiqua" w:eastAsia="Arial" w:hAnsi="Book Antiqua" w:cs="Times New Roman"/>
          <w:color w:val="404040"/>
          <w:sz w:val="24"/>
          <w:szCs w:val="24"/>
          <w:vertAlign w:val="superscript"/>
        </w:rPr>
        <w:footnoteReference w:id="1"/>
      </w:r>
    </w:p>
    <w:p w14:paraId="19F82BE9" w14:textId="77777777" w:rsidR="00787DA7" w:rsidRPr="00035740" w:rsidRDefault="00787DA7" w:rsidP="00787DA7">
      <w:pPr>
        <w:spacing w:after="200" w:line="276" w:lineRule="auto"/>
        <w:ind w:left="720"/>
        <w:contextualSpacing/>
        <w:rPr>
          <w:rFonts w:ascii="Book Antiqua" w:eastAsia="Times New Roman" w:hAnsi="Book Antiqua" w:cs="Arial"/>
          <w:sz w:val="24"/>
          <w:szCs w:val="24"/>
        </w:rPr>
      </w:pPr>
    </w:p>
    <w:p w14:paraId="60B93D6B" w14:textId="77777777" w:rsidR="00787DA7" w:rsidRPr="00035740" w:rsidRDefault="00787DA7" w:rsidP="00787DA7">
      <w:pPr>
        <w:numPr>
          <w:ilvl w:val="1"/>
          <w:numId w:val="1"/>
        </w:numPr>
        <w:tabs>
          <w:tab w:val="left" w:pos="1440"/>
        </w:tabs>
        <w:spacing w:after="0" w:line="276" w:lineRule="auto"/>
        <w:contextualSpacing/>
        <w:jc w:val="both"/>
        <w:rPr>
          <w:rFonts w:ascii="Book Antiqua" w:eastAsia="Times New Roman" w:hAnsi="Book Antiqua" w:cs="Arial"/>
          <w:sz w:val="24"/>
          <w:szCs w:val="24"/>
        </w:rPr>
      </w:pPr>
      <w:r w:rsidRPr="00035740">
        <w:rPr>
          <w:rFonts w:ascii="Book Antiqua" w:eastAsia="Times New Roman" w:hAnsi="Book Antiqua" w:cs="Arial"/>
          <w:sz w:val="24"/>
          <w:szCs w:val="24"/>
        </w:rPr>
        <w:t>Despite meeting the above criteria, the Court may refuse to enter a proceeding into the Pilot if it considers it unsuitable for management within the Pilot’s procedures.</w:t>
      </w:r>
    </w:p>
    <w:p w14:paraId="3D761F6B" w14:textId="77777777" w:rsidR="00787DA7" w:rsidRPr="00035740" w:rsidRDefault="00787DA7" w:rsidP="00787DA7">
      <w:pPr>
        <w:tabs>
          <w:tab w:val="left" w:pos="1440"/>
        </w:tabs>
        <w:spacing w:after="0" w:line="276" w:lineRule="auto"/>
        <w:jc w:val="both"/>
        <w:rPr>
          <w:rFonts w:ascii="Book Antiqua" w:eastAsia="Calibri" w:hAnsi="Book Antiqua" w:cs="Arial"/>
          <w:sz w:val="24"/>
          <w:szCs w:val="24"/>
        </w:rPr>
      </w:pPr>
    </w:p>
    <w:p w14:paraId="77A014C6" w14:textId="77777777" w:rsidR="00787DA7" w:rsidRPr="00035740" w:rsidRDefault="00787DA7" w:rsidP="00787DA7">
      <w:pPr>
        <w:numPr>
          <w:ilvl w:val="0"/>
          <w:numId w:val="1"/>
        </w:numPr>
        <w:spacing w:after="0" w:line="276" w:lineRule="auto"/>
        <w:contextualSpacing/>
        <w:jc w:val="both"/>
        <w:rPr>
          <w:rFonts w:ascii="Book Antiqua" w:eastAsia="Calibri" w:hAnsi="Book Antiqua" w:cs="Arial"/>
          <w:b/>
          <w:sz w:val="24"/>
          <w:szCs w:val="24"/>
        </w:rPr>
      </w:pPr>
      <w:r w:rsidRPr="00035740">
        <w:rPr>
          <w:rFonts w:ascii="Book Antiqua" w:eastAsia="Calibri" w:hAnsi="Book Antiqua" w:cs="Arial"/>
          <w:b/>
          <w:sz w:val="24"/>
          <w:szCs w:val="24"/>
        </w:rPr>
        <w:t>Fast Track Pilot - Procedure</w:t>
      </w:r>
    </w:p>
    <w:p w14:paraId="5349E604" w14:textId="77777777" w:rsidR="00787DA7" w:rsidRPr="00035740" w:rsidRDefault="00787DA7" w:rsidP="00787DA7">
      <w:pPr>
        <w:tabs>
          <w:tab w:val="left" w:pos="1440"/>
        </w:tabs>
        <w:spacing w:after="0" w:line="276" w:lineRule="auto"/>
        <w:ind w:left="360"/>
        <w:contextualSpacing/>
        <w:jc w:val="both"/>
        <w:rPr>
          <w:rFonts w:ascii="Book Antiqua" w:eastAsia="Calibri" w:hAnsi="Book Antiqua" w:cs="Arial"/>
          <w:b/>
          <w:sz w:val="24"/>
          <w:szCs w:val="24"/>
        </w:rPr>
      </w:pPr>
    </w:p>
    <w:p w14:paraId="550A0B7B" w14:textId="77777777" w:rsidR="00787DA7" w:rsidRPr="00035740" w:rsidRDefault="00787DA7" w:rsidP="00787DA7">
      <w:pPr>
        <w:tabs>
          <w:tab w:val="left" w:pos="1440"/>
        </w:tabs>
        <w:spacing w:after="0" w:line="276" w:lineRule="auto"/>
        <w:ind w:firstLine="360"/>
        <w:jc w:val="both"/>
        <w:rPr>
          <w:rFonts w:ascii="Book Antiqua" w:eastAsia="Times New Roman" w:hAnsi="Book Antiqua" w:cs="Arial"/>
          <w:i/>
          <w:iCs/>
          <w:sz w:val="24"/>
          <w:szCs w:val="24"/>
        </w:rPr>
      </w:pPr>
      <w:r w:rsidRPr="00035740">
        <w:rPr>
          <w:rFonts w:ascii="Book Antiqua" w:eastAsia="Times New Roman" w:hAnsi="Book Antiqua" w:cs="Arial"/>
          <w:i/>
          <w:iCs/>
          <w:sz w:val="24"/>
          <w:szCs w:val="24"/>
        </w:rPr>
        <w:t xml:space="preserve">Notification to the Court </w:t>
      </w:r>
    </w:p>
    <w:p w14:paraId="7D675A54" w14:textId="77777777" w:rsidR="00787DA7" w:rsidRPr="00035740" w:rsidRDefault="00787DA7" w:rsidP="00787DA7">
      <w:pPr>
        <w:tabs>
          <w:tab w:val="left" w:pos="1440"/>
        </w:tabs>
        <w:spacing w:after="0" w:line="276" w:lineRule="auto"/>
        <w:ind w:left="360"/>
        <w:contextualSpacing/>
        <w:jc w:val="both"/>
        <w:rPr>
          <w:rFonts w:ascii="Book Antiqua" w:eastAsia="Calibri" w:hAnsi="Book Antiqua" w:cs="Arial"/>
          <w:sz w:val="24"/>
          <w:szCs w:val="24"/>
        </w:rPr>
      </w:pPr>
    </w:p>
    <w:p w14:paraId="010130E5" w14:textId="77777777" w:rsidR="00787DA7" w:rsidRPr="00035740" w:rsidRDefault="00787DA7" w:rsidP="00787DA7">
      <w:pPr>
        <w:numPr>
          <w:ilvl w:val="1"/>
          <w:numId w:val="1"/>
        </w:numPr>
        <w:tabs>
          <w:tab w:val="left" w:pos="1440"/>
        </w:tabs>
        <w:spacing w:after="0" w:line="276" w:lineRule="auto"/>
        <w:contextualSpacing/>
        <w:jc w:val="both"/>
        <w:rPr>
          <w:rFonts w:ascii="Book Antiqua" w:eastAsia="Calibri" w:hAnsi="Book Antiqua" w:cs="Arial"/>
          <w:sz w:val="24"/>
          <w:szCs w:val="24"/>
        </w:rPr>
      </w:pPr>
      <w:r w:rsidRPr="00035740">
        <w:rPr>
          <w:rFonts w:ascii="Book Antiqua" w:eastAsia="Calibri" w:hAnsi="Book Antiqua" w:cs="Arial"/>
          <w:sz w:val="24"/>
          <w:szCs w:val="24"/>
        </w:rPr>
        <w:t xml:space="preserve">The plaintiff’s </w:t>
      </w:r>
      <w:r w:rsidR="00EC15A0" w:rsidRPr="00035740">
        <w:rPr>
          <w:rFonts w:ascii="Book Antiqua" w:eastAsia="Calibri" w:hAnsi="Book Antiqua" w:cs="Arial"/>
          <w:sz w:val="24"/>
          <w:szCs w:val="24"/>
        </w:rPr>
        <w:t xml:space="preserve">legal representative </w:t>
      </w:r>
      <w:r w:rsidRPr="00035740">
        <w:rPr>
          <w:rFonts w:ascii="Book Antiqua" w:eastAsia="Calibri" w:hAnsi="Book Antiqua" w:cs="Arial"/>
          <w:sz w:val="24"/>
          <w:szCs w:val="24"/>
        </w:rPr>
        <w:t xml:space="preserve">in a MVA Proceeding which they consider to be eligible for the Pilot, shall </w:t>
      </w:r>
      <w:r w:rsidR="00D10272" w:rsidRPr="00035740">
        <w:rPr>
          <w:rFonts w:ascii="Book Antiqua" w:eastAsia="Calibri" w:hAnsi="Book Antiqua" w:cs="Arial"/>
          <w:sz w:val="24"/>
          <w:szCs w:val="24"/>
        </w:rPr>
        <w:t xml:space="preserve">request entry into the ‘MVA Fast Track Pilot’ </w:t>
      </w:r>
      <w:r w:rsidRPr="00035740">
        <w:rPr>
          <w:rFonts w:ascii="Book Antiqua" w:eastAsia="Calibri" w:hAnsi="Book Antiqua" w:cs="Arial"/>
          <w:sz w:val="24"/>
          <w:szCs w:val="24"/>
        </w:rPr>
        <w:t xml:space="preserve">via email to </w:t>
      </w:r>
      <w:r w:rsidR="007D023A">
        <w:rPr>
          <w:rFonts w:ascii="Book Antiqua" w:eastAsia="Calibri" w:hAnsi="Book Antiqua" w:cs="Times New Roman"/>
          <w:sz w:val="24"/>
          <w:szCs w:val="24"/>
        </w:rPr>
        <w:fldChar w:fldCharType="begin"/>
      </w:r>
      <w:r w:rsidR="007D023A">
        <w:rPr>
          <w:rFonts w:ascii="Book Antiqua" w:eastAsia="Calibri" w:hAnsi="Book Antiqua" w:cs="Times New Roman"/>
          <w:sz w:val="24"/>
          <w:szCs w:val="24"/>
        </w:rPr>
        <w:instrText xml:space="preserve"> HYPERLINK "mailto:personal.injuries@supcourt.vic.gov.au" </w:instrText>
      </w:r>
      <w:r w:rsidR="007D023A">
        <w:rPr>
          <w:rFonts w:ascii="Book Antiqua" w:eastAsia="Calibri" w:hAnsi="Book Antiqua" w:cs="Times New Roman"/>
          <w:sz w:val="24"/>
          <w:szCs w:val="24"/>
        </w:rPr>
      </w:r>
      <w:r w:rsidR="007D023A">
        <w:rPr>
          <w:rFonts w:ascii="Book Antiqua" w:eastAsia="Calibri" w:hAnsi="Book Antiqua" w:cs="Times New Roman"/>
          <w:sz w:val="24"/>
          <w:szCs w:val="24"/>
        </w:rPr>
        <w:fldChar w:fldCharType="separate"/>
      </w:r>
      <w:r w:rsidRPr="007D023A">
        <w:rPr>
          <w:rStyle w:val="Hyperlink"/>
          <w:rFonts w:ascii="Book Antiqua" w:eastAsia="Calibri" w:hAnsi="Book Antiqua" w:cs="Times New Roman"/>
          <w:sz w:val="24"/>
          <w:szCs w:val="24"/>
        </w:rPr>
        <w:t>personal.injuries@supcourt.vic.gov.au</w:t>
      </w:r>
      <w:r w:rsidR="007D023A">
        <w:rPr>
          <w:rFonts w:ascii="Book Antiqua" w:eastAsia="Calibri" w:hAnsi="Book Antiqua" w:cs="Times New Roman"/>
          <w:sz w:val="24"/>
          <w:szCs w:val="24"/>
        </w:rPr>
        <w:fldChar w:fldCharType="end"/>
      </w:r>
      <w:r w:rsidR="007D023A">
        <w:rPr>
          <w:rFonts w:ascii="Book Antiqua" w:eastAsia="Calibri" w:hAnsi="Book Antiqua" w:cs="Arial"/>
          <w:sz w:val="24"/>
          <w:szCs w:val="24"/>
        </w:rPr>
        <w:t xml:space="preserve"> or </w:t>
      </w:r>
      <w:hyperlink r:id="rId13" w:history="1">
        <w:r w:rsidRPr="007D023A">
          <w:rPr>
            <w:rStyle w:val="Hyperlink"/>
            <w:rFonts w:ascii="Book Antiqua" w:eastAsia="Calibri" w:hAnsi="Book Antiqua" w:cs="Times New Roman"/>
            <w:sz w:val="24"/>
            <w:szCs w:val="24"/>
          </w:rPr>
          <w:t>civil.circuits@supcourt.vic.gov.au</w:t>
        </w:r>
      </w:hyperlink>
      <w:bookmarkStart w:id="0" w:name="_GoBack"/>
      <w:bookmarkEnd w:id="0"/>
      <w:r w:rsidR="00764A8B" w:rsidRPr="00035740">
        <w:rPr>
          <w:rFonts w:ascii="Book Antiqua" w:eastAsia="Calibri" w:hAnsi="Book Antiqua" w:cs="Times New Roman"/>
          <w:sz w:val="24"/>
          <w:szCs w:val="24"/>
        </w:rPr>
        <w:t xml:space="preserve"> depending on the specialist list within which the proceeding is managed</w:t>
      </w:r>
      <w:r w:rsidR="00D10272" w:rsidRPr="00035740">
        <w:rPr>
          <w:rFonts w:ascii="Book Antiqua" w:eastAsia="Calibri" w:hAnsi="Book Antiqua" w:cs="Times New Roman"/>
          <w:sz w:val="24"/>
          <w:szCs w:val="24"/>
        </w:rPr>
        <w:t>.</w:t>
      </w:r>
    </w:p>
    <w:p w14:paraId="25BD75B8" w14:textId="77777777" w:rsidR="00E14919" w:rsidRPr="00035740" w:rsidRDefault="00E14919" w:rsidP="00E14919">
      <w:pPr>
        <w:tabs>
          <w:tab w:val="left" w:pos="1440"/>
        </w:tabs>
        <w:spacing w:after="0" w:line="276" w:lineRule="auto"/>
        <w:ind w:left="792"/>
        <w:contextualSpacing/>
        <w:jc w:val="both"/>
        <w:rPr>
          <w:rFonts w:ascii="Book Antiqua" w:eastAsia="Calibri" w:hAnsi="Book Antiqua" w:cs="Arial"/>
          <w:sz w:val="24"/>
          <w:szCs w:val="24"/>
        </w:rPr>
      </w:pPr>
    </w:p>
    <w:p w14:paraId="7059D3FB" w14:textId="77777777" w:rsidR="00EC15A0" w:rsidRPr="00035740" w:rsidRDefault="00EC15A0" w:rsidP="00E14919">
      <w:pPr>
        <w:numPr>
          <w:ilvl w:val="1"/>
          <w:numId w:val="1"/>
        </w:numPr>
        <w:tabs>
          <w:tab w:val="left" w:pos="1440"/>
        </w:tabs>
        <w:spacing w:after="0" w:line="276" w:lineRule="auto"/>
        <w:contextualSpacing/>
        <w:jc w:val="both"/>
        <w:rPr>
          <w:rFonts w:ascii="Book Antiqua" w:eastAsia="Calibri" w:hAnsi="Book Antiqua" w:cs="Arial"/>
          <w:sz w:val="24"/>
          <w:szCs w:val="24"/>
        </w:rPr>
      </w:pPr>
      <w:r w:rsidRPr="00035740">
        <w:rPr>
          <w:rFonts w:ascii="Book Antiqua" w:eastAsia="Calibri" w:hAnsi="Book Antiqua" w:cs="Arial"/>
          <w:sz w:val="24"/>
          <w:szCs w:val="24"/>
        </w:rPr>
        <w:t xml:space="preserve">The email must be copied to the legal representative of the </w:t>
      </w:r>
      <w:r w:rsidR="00142440" w:rsidRPr="00035740">
        <w:rPr>
          <w:rFonts w:ascii="Book Antiqua" w:eastAsia="Calibri" w:hAnsi="Book Antiqua" w:cs="Arial"/>
          <w:sz w:val="24"/>
          <w:szCs w:val="24"/>
        </w:rPr>
        <w:t>d</w:t>
      </w:r>
      <w:r w:rsidRPr="00035740">
        <w:rPr>
          <w:rFonts w:ascii="Book Antiqua" w:eastAsia="Calibri" w:hAnsi="Book Antiqua" w:cs="Arial"/>
          <w:sz w:val="24"/>
          <w:szCs w:val="24"/>
        </w:rPr>
        <w:t xml:space="preserve">efendant, or, in the event that service has not yet been effected on the </w:t>
      </w:r>
      <w:r w:rsidR="00142440" w:rsidRPr="00035740">
        <w:rPr>
          <w:rFonts w:ascii="Book Antiqua" w:eastAsia="Calibri" w:hAnsi="Book Antiqua" w:cs="Arial"/>
          <w:sz w:val="24"/>
          <w:szCs w:val="24"/>
        </w:rPr>
        <w:t>d</w:t>
      </w:r>
      <w:r w:rsidRPr="00035740">
        <w:rPr>
          <w:rFonts w:ascii="Book Antiqua" w:eastAsia="Calibri" w:hAnsi="Book Antiqua" w:cs="Arial"/>
          <w:sz w:val="24"/>
          <w:szCs w:val="24"/>
        </w:rPr>
        <w:t>efendant, to the TAC</w:t>
      </w:r>
      <w:r w:rsidR="00D10272" w:rsidRPr="00035740">
        <w:rPr>
          <w:rFonts w:ascii="Book Antiqua" w:eastAsia="Calibri" w:hAnsi="Book Antiqua" w:cs="Arial"/>
          <w:sz w:val="24"/>
          <w:szCs w:val="24"/>
        </w:rPr>
        <w:t>,</w:t>
      </w:r>
      <w:r w:rsidRPr="00035740">
        <w:rPr>
          <w:rFonts w:ascii="Book Antiqua" w:eastAsia="Calibri" w:hAnsi="Book Antiqua" w:cs="Arial"/>
          <w:sz w:val="24"/>
          <w:szCs w:val="24"/>
        </w:rPr>
        <w:t xml:space="preserve"> and </w:t>
      </w:r>
      <w:r w:rsidR="00764A8B" w:rsidRPr="00035740">
        <w:rPr>
          <w:rFonts w:ascii="Book Antiqua" w:eastAsia="Calibri" w:hAnsi="Book Antiqua" w:cs="Arial"/>
          <w:sz w:val="24"/>
          <w:szCs w:val="24"/>
        </w:rPr>
        <w:t xml:space="preserve">must </w:t>
      </w:r>
      <w:r w:rsidRPr="00035740">
        <w:rPr>
          <w:rFonts w:ascii="Book Antiqua" w:eastAsia="Calibri" w:hAnsi="Book Antiqua" w:cs="Arial"/>
          <w:sz w:val="24"/>
          <w:szCs w:val="24"/>
        </w:rPr>
        <w:t>attach a copy of the certificate referred to in clause 16.6 of the Protocols.</w:t>
      </w:r>
    </w:p>
    <w:p w14:paraId="41263C1B" w14:textId="77777777" w:rsidR="00C13F19" w:rsidRPr="00035740" w:rsidRDefault="00C13F19" w:rsidP="00C13F19">
      <w:pPr>
        <w:tabs>
          <w:tab w:val="left" w:pos="1440"/>
        </w:tabs>
        <w:spacing w:after="0" w:line="276" w:lineRule="auto"/>
        <w:ind w:left="792"/>
        <w:contextualSpacing/>
        <w:jc w:val="both"/>
        <w:rPr>
          <w:rFonts w:ascii="Book Antiqua" w:eastAsia="Calibri" w:hAnsi="Book Antiqua" w:cs="Arial"/>
          <w:sz w:val="24"/>
          <w:szCs w:val="24"/>
        </w:rPr>
      </w:pPr>
    </w:p>
    <w:p w14:paraId="72DCBA09" w14:textId="77777777" w:rsidR="00C13F19" w:rsidRPr="00035740" w:rsidRDefault="00C13F19" w:rsidP="00E14919">
      <w:pPr>
        <w:numPr>
          <w:ilvl w:val="1"/>
          <w:numId w:val="1"/>
        </w:numPr>
        <w:tabs>
          <w:tab w:val="left" w:pos="1440"/>
        </w:tabs>
        <w:spacing w:after="0" w:line="276" w:lineRule="auto"/>
        <w:contextualSpacing/>
        <w:jc w:val="both"/>
        <w:rPr>
          <w:rFonts w:ascii="Book Antiqua" w:eastAsia="Calibri" w:hAnsi="Book Antiqua" w:cs="Arial"/>
          <w:sz w:val="24"/>
          <w:szCs w:val="24"/>
        </w:rPr>
      </w:pPr>
      <w:r w:rsidRPr="00035740">
        <w:rPr>
          <w:rFonts w:ascii="Book Antiqua" w:eastAsia="Calibri" w:hAnsi="Book Antiqua" w:cs="Arial"/>
          <w:sz w:val="24"/>
          <w:szCs w:val="24"/>
        </w:rPr>
        <w:t>If service has not yet been effected on the defendant, the plaintiff’s legal representative must also ensure that the TAC has been provided with copies of all court documents filed in the proceeding.</w:t>
      </w:r>
    </w:p>
    <w:p w14:paraId="18D9F07F" w14:textId="77777777" w:rsidR="00787DA7" w:rsidRPr="00035740" w:rsidRDefault="00787DA7" w:rsidP="00787DA7">
      <w:pPr>
        <w:tabs>
          <w:tab w:val="left" w:pos="1440"/>
        </w:tabs>
        <w:spacing w:after="0" w:line="276" w:lineRule="auto"/>
        <w:ind w:left="360"/>
        <w:jc w:val="both"/>
        <w:rPr>
          <w:rFonts w:ascii="Book Antiqua" w:eastAsia="Calibri" w:hAnsi="Book Antiqua" w:cs="Arial"/>
          <w:sz w:val="24"/>
          <w:szCs w:val="24"/>
        </w:rPr>
      </w:pPr>
    </w:p>
    <w:p w14:paraId="7BEBEA1C" w14:textId="77777777" w:rsidR="00787DA7" w:rsidRPr="00035740" w:rsidRDefault="00787DA7" w:rsidP="00787DA7">
      <w:pPr>
        <w:numPr>
          <w:ilvl w:val="1"/>
          <w:numId w:val="1"/>
        </w:numPr>
        <w:tabs>
          <w:tab w:val="left" w:pos="1440"/>
        </w:tabs>
        <w:spacing w:after="0" w:line="276" w:lineRule="auto"/>
        <w:contextualSpacing/>
        <w:jc w:val="both"/>
        <w:rPr>
          <w:rFonts w:ascii="Book Antiqua" w:eastAsia="Calibri" w:hAnsi="Book Antiqua" w:cs="Arial"/>
          <w:sz w:val="24"/>
          <w:szCs w:val="24"/>
        </w:rPr>
      </w:pPr>
      <w:r w:rsidRPr="00035740">
        <w:rPr>
          <w:rFonts w:ascii="Book Antiqua" w:eastAsia="Calibri" w:hAnsi="Book Antiqua" w:cs="Arial"/>
          <w:sz w:val="24"/>
          <w:szCs w:val="24"/>
        </w:rPr>
        <w:t xml:space="preserve">Upon receipt of the above email, the Court will list the proceeding for a </w:t>
      </w:r>
      <w:r w:rsidR="009B292F" w:rsidRPr="00035740">
        <w:rPr>
          <w:rFonts w:ascii="Book Antiqua" w:eastAsia="Calibri" w:hAnsi="Book Antiqua" w:cs="Arial"/>
          <w:sz w:val="24"/>
          <w:szCs w:val="24"/>
        </w:rPr>
        <w:t>Case Management Conference</w:t>
      </w:r>
      <w:r w:rsidRPr="00035740">
        <w:rPr>
          <w:rFonts w:ascii="Book Antiqua" w:eastAsia="Calibri" w:hAnsi="Book Antiqua" w:cs="Arial"/>
          <w:sz w:val="24"/>
          <w:szCs w:val="24"/>
        </w:rPr>
        <w:t xml:space="preserve">. </w:t>
      </w:r>
    </w:p>
    <w:p w14:paraId="24813A4C" w14:textId="77777777" w:rsidR="00787DA7" w:rsidRPr="00035740" w:rsidRDefault="00787DA7" w:rsidP="00787DA7">
      <w:pPr>
        <w:tabs>
          <w:tab w:val="left" w:pos="1440"/>
        </w:tabs>
        <w:spacing w:after="0" w:line="276" w:lineRule="auto"/>
        <w:ind w:left="360"/>
        <w:jc w:val="both"/>
        <w:rPr>
          <w:rFonts w:ascii="Book Antiqua" w:eastAsia="Calibri" w:hAnsi="Book Antiqua" w:cs="Arial"/>
          <w:sz w:val="24"/>
          <w:szCs w:val="24"/>
        </w:rPr>
      </w:pPr>
    </w:p>
    <w:p w14:paraId="0CA62E7C" w14:textId="77777777" w:rsidR="00787DA7" w:rsidRPr="00035740" w:rsidRDefault="00787DA7" w:rsidP="00787DA7">
      <w:pPr>
        <w:numPr>
          <w:ilvl w:val="1"/>
          <w:numId w:val="1"/>
        </w:numPr>
        <w:tabs>
          <w:tab w:val="left" w:pos="1440"/>
        </w:tabs>
        <w:spacing w:after="0" w:line="276" w:lineRule="auto"/>
        <w:contextualSpacing/>
        <w:jc w:val="both"/>
        <w:rPr>
          <w:rFonts w:ascii="Book Antiqua" w:eastAsia="Calibri" w:hAnsi="Book Antiqua" w:cs="Arial"/>
          <w:sz w:val="24"/>
          <w:szCs w:val="24"/>
        </w:rPr>
      </w:pPr>
      <w:r w:rsidRPr="00035740">
        <w:rPr>
          <w:rFonts w:ascii="Book Antiqua" w:eastAsia="Calibri" w:hAnsi="Book Antiqua" w:cs="Arial"/>
          <w:sz w:val="24"/>
          <w:szCs w:val="24"/>
        </w:rPr>
        <w:t xml:space="preserve">No later than two days before the </w:t>
      </w:r>
      <w:r w:rsidR="00142440" w:rsidRPr="00035740">
        <w:rPr>
          <w:rFonts w:ascii="Book Antiqua" w:eastAsia="Calibri" w:hAnsi="Book Antiqua" w:cs="Arial"/>
          <w:sz w:val="24"/>
          <w:szCs w:val="24"/>
        </w:rPr>
        <w:t>Case Management Conference</w:t>
      </w:r>
      <w:r w:rsidRPr="00035740">
        <w:rPr>
          <w:rFonts w:ascii="Book Antiqua" w:eastAsia="Calibri" w:hAnsi="Book Antiqua" w:cs="Arial"/>
          <w:sz w:val="24"/>
          <w:szCs w:val="24"/>
        </w:rPr>
        <w:t>, the parties</w:t>
      </w:r>
      <w:r w:rsidR="00026E89" w:rsidRPr="00035740">
        <w:rPr>
          <w:rStyle w:val="FootnoteReference"/>
          <w:rFonts w:ascii="Book Antiqua" w:eastAsia="Calibri" w:hAnsi="Book Antiqua" w:cs="Arial"/>
          <w:sz w:val="24"/>
          <w:szCs w:val="24"/>
        </w:rPr>
        <w:footnoteReference w:id="2"/>
      </w:r>
      <w:r w:rsidRPr="00035740">
        <w:rPr>
          <w:rFonts w:ascii="Book Antiqua" w:eastAsia="Calibri" w:hAnsi="Book Antiqua" w:cs="Arial"/>
          <w:sz w:val="24"/>
          <w:szCs w:val="24"/>
        </w:rPr>
        <w:t xml:space="preserve"> are to file a joint memorandum which:</w:t>
      </w:r>
    </w:p>
    <w:p w14:paraId="5E51F95A" w14:textId="77777777" w:rsidR="00787DA7" w:rsidRPr="00035740" w:rsidRDefault="00787DA7" w:rsidP="00787DA7">
      <w:pPr>
        <w:tabs>
          <w:tab w:val="left" w:pos="1440"/>
        </w:tabs>
        <w:spacing w:after="0" w:line="276" w:lineRule="auto"/>
        <w:ind w:left="792"/>
        <w:contextualSpacing/>
        <w:jc w:val="both"/>
        <w:rPr>
          <w:rFonts w:ascii="Book Antiqua" w:eastAsia="Calibri" w:hAnsi="Book Antiqua" w:cs="Arial"/>
          <w:sz w:val="24"/>
          <w:szCs w:val="24"/>
        </w:rPr>
      </w:pPr>
    </w:p>
    <w:p w14:paraId="09D7D547" w14:textId="77777777" w:rsidR="00787DA7" w:rsidRPr="00035740" w:rsidRDefault="00787DA7" w:rsidP="00787DA7">
      <w:pPr>
        <w:numPr>
          <w:ilvl w:val="0"/>
          <w:numId w:val="2"/>
        </w:numPr>
        <w:spacing w:after="200" w:line="360"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t>includes a list of documents used/relied upon in the Protocols which the parties intend to rely upon in the proceeding;</w:t>
      </w:r>
    </w:p>
    <w:p w14:paraId="381DC7A1" w14:textId="77777777" w:rsidR="009B292F" w:rsidRPr="00035740" w:rsidRDefault="009B292F" w:rsidP="00787DA7">
      <w:pPr>
        <w:numPr>
          <w:ilvl w:val="0"/>
          <w:numId w:val="2"/>
        </w:numPr>
        <w:spacing w:after="200" w:line="360"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t>outlines any additional evidence that the parties propose to obtain prior to trial;</w:t>
      </w:r>
    </w:p>
    <w:p w14:paraId="69804639" w14:textId="77777777" w:rsidR="00787DA7" w:rsidRPr="00035740" w:rsidRDefault="00787DA7" w:rsidP="00787DA7">
      <w:pPr>
        <w:numPr>
          <w:ilvl w:val="0"/>
          <w:numId w:val="2"/>
        </w:numPr>
        <w:spacing w:after="200" w:line="360"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lastRenderedPageBreak/>
        <w:t>confirms that the defendant admits breach of a duty of care to the plaintiff and that contributory negligence or other defences relating to liability are not in issue;</w:t>
      </w:r>
    </w:p>
    <w:p w14:paraId="7912F7A2" w14:textId="77777777" w:rsidR="00787DA7" w:rsidRPr="00035740" w:rsidRDefault="00787DA7" w:rsidP="00787DA7">
      <w:pPr>
        <w:numPr>
          <w:ilvl w:val="0"/>
          <w:numId w:val="2"/>
        </w:numPr>
        <w:spacing w:after="200" w:line="360"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t xml:space="preserve">confirms that the only issues for determination by the Court </w:t>
      </w:r>
      <w:r w:rsidR="00026E89" w:rsidRPr="00035740">
        <w:rPr>
          <w:rFonts w:ascii="Book Antiqua" w:eastAsia="Times New Roman" w:hAnsi="Book Antiqua" w:cs="Arial"/>
          <w:sz w:val="24"/>
          <w:szCs w:val="24"/>
        </w:rPr>
        <w:t xml:space="preserve">at trial </w:t>
      </w:r>
      <w:r w:rsidRPr="00035740">
        <w:rPr>
          <w:rFonts w:ascii="Book Antiqua" w:eastAsia="Times New Roman" w:hAnsi="Book Antiqua" w:cs="Arial"/>
          <w:sz w:val="24"/>
          <w:szCs w:val="24"/>
        </w:rPr>
        <w:t>are the damage sustained by the plaintiff as a result of the breach of duty (if applicable) and/or the quantum of damages;</w:t>
      </w:r>
    </w:p>
    <w:p w14:paraId="67B2F683" w14:textId="77777777" w:rsidR="00026E89" w:rsidRPr="00035740" w:rsidRDefault="00787DA7" w:rsidP="00787DA7">
      <w:pPr>
        <w:numPr>
          <w:ilvl w:val="0"/>
          <w:numId w:val="2"/>
        </w:numPr>
        <w:spacing w:after="200" w:line="360"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t>provides particulars of the scope of the dispute</w:t>
      </w:r>
      <w:r w:rsidR="00026E89" w:rsidRPr="00035740">
        <w:rPr>
          <w:rFonts w:ascii="Book Antiqua" w:eastAsia="Times New Roman" w:hAnsi="Book Antiqua" w:cs="Arial"/>
          <w:sz w:val="24"/>
          <w:szCs w:val="24"/>
        </w:rPr>
        <w:t>; and</w:t>
      </w:r>
    </w:p>
    <w:p w14:paraId="57A7F8BF" w14:textId="77777777" w:rsidR="00D10272" w:rsidRPr="00035740" w:rsidRDefault="00026E89" w:rsidP="00142440">
      <w:pPr>
        <w:numPr>
          <w:ilvl w:val="0"/>
          <w:numId w:val="2"/>
        </w:numPr>
        <w:tabs>
          <w:tab w:val="left" w:pos="1440"/>
        </w:tabs>
        <w:spacing w:after="0" w:line="276" w:lineRule="auto"/>
        <w:contextualSpacing/>
        <w:jc w:val="both"/>
        <w:rPr>
          <w:rFonts w:ascii="Book Antiqua" w:eastAsia="Calibri" w:hAnsi="Book Antiqua" w:cs="Arial"/>
          <w:sz w:val="24"/>
          <w:szCs w:val="24"/>
        </w:rPr>
      </w:pPr>
      <w:r w:rsidRPr="00035740">
        <w:rPr>
          <w:rFonts w:ascii="Book Antiqua" w:eastAsia="Times New Roman" w:hAnsi="Book Antiqua" w:cs="Arial"/>
          <w:sz w:val="24"/>
          <w:szCs w:val="24"/>
        </w:rPr>
        <w:t>outlines any proposed or anticipated interlo</w:t>
      </w:r>
      <w:r w:rsidR="00636504" w:rsidRPr="00035740">
        <w:rPr>
          <w:rFonts w:ascii="Book Antiqua" w:eastAsia="Times New Roman" w:hAnsi="Book Antiqua" w:cs="Arial"/>
          <w:sz w:val="24"/>
          <w:szCs w:val="24"/>
        </w:rPr>
        <w:t xml:space="preserve">cutory applications, including </w:t>
      </w:r>
      <w:r w:rsidRPr="00035740">
        <w:rPr>
          <w:rFonts w:ascii="Book Antiqua" w:eastAsia="Times New Roman" w:hAnsi="Book Antiqua" w:cs="Arial"/>
          <w:sz w:val="24"/>
          <w:szCs w:val="24"/>
        </w:rPr>
        <w:t>for substituted service</w:t>
      </w:r>
      <w:r w:rsidR="00787DA7" w:rsidRPr="00035740">
        <w:rPr>
          <w:rFonts w:ascii="Book Antiqua" w:eastAsia="Times New Roman" w:hAnsi="Book Antiqua" w:cs="Arial"/>
          <w:sz w:val="24"/>
          <w:szCs w:val="24"/>
        </w:rPr>
        <w:t>.</w:t>
      </w:r>
    </w:p>
    <w:p w14:paraId="61FEAC93" w14:textId="77777777" w:rsidR="00787DA7" w:rsidRPr="00035740" w:rsidRDefault="00787DA7" w:rsidP="00787DA7">
      <w:pPr>
        <w:tabs>
          <w:tab w:val="left" w:pos="1440"/>
        </w:tabs>
        <w:spacing w:after="0" w:line="276" w:lineRule="auto"/>
        <w:ind w:left="360"/>
        <w:jc w:val="both"/>
        <w:rPr>
          <w:rFonts w:ascii="Book Antiqua" w:eastAsia="Calibri" w:hAnsi="Book Antiqua" w:cs="Arial"/>
          <w:sz w:val="24"/>
          <w:szCs w:val="24"/>
        </w:rPr>
      </w:pPr>
    </w:p>
    <w:p w14:paraId="022F608B" w14:textId="77777777" w:rsidR="00787DA7" w:rsidRPr="00035740" w:rsidRDefault="00142440" w:rsidP="00787DA7">
      <w:pPr>
        <w:tabs>
          <w:tab w:val="left" w:pos="1440"/>
        </w:tabs>
        <w:spacing w:after="0" w:line="276" w:lineRule="auto"/>
        <w:ind w:firstLine="360"/>
        <w:jc w:val="both"/>
        <w:rPr>
          <w:rFonts w:ascii="Book Antiqua" w:eastAsia="Times New Roman" w:hAnsi="Book Antiqua" w:cs="Arial"/>
          <w:i/>
          <w:iCs/>
          <w:sz w:val="24"/>
          <w:szCs w:val="24"/>
        </w:rPr>
      </w:pPr>
      <w:r w:rsidRPr="00035740">
        <w:rPr>
          <w:rFonts w:ascii="Book Antiqua" w:eastAsia="Times New Roman" w:hAnsi="Book Antiqua" w:cs="Arial"/>
          <w:i/>
          <w:iCs/>
          <w:sz w:val="24"/>
          <w:szCs w:val="24"/>
        </w:rPr>
        <w:t>Case Management Conference</w:t>
      </w:r>
    </w:p>
    <w:p w14:paraId="6E975F81" w14:textId="77777777" w:rsidR="00787DA7" w:rsidRPr="00035740" w:rsidRDefault="00787DA7" w:rsidP="00787DA7">
      <w:pPr>
        <w:tabs>
          <w:tab w:val="left" w:pos="1440"/>
        </w:tabs>
        <w:spacing w:after="0" w:line="276" w:lineRule="auto"/>
        <w:ind w:left="360"/>
        <w:jc w:val="both"/>
        <w:rPr>
          <w:rFonts w:ascii="Book Antiqua" w:eastAsia="Calibri" w:hAnsi="Book Antiqua" w:cs="Arial"/>
          <w:sz w:val="24"/>
          <w:szCs w:val="24"/>
        </w:rPr>
      </w:pPr>
    </w:p>
    <w:p w14:paraId="4037BBBF" w14:textId="77777777" w:rsidR="00787DA7" w:rsidRPr="00035740" w:rsidRDefault="00787DA7" w:rsidP="00787DA7">
      <w:pPr>
        <w:numPr>
          <w:ilvl w:val="1"/>
          <w:numId w:val="1"/>
        </w:numPr>
        <w:tabs>
          <w:tab w:val="left" w:pos="1440"/>
        </w:tabs>
        <w:spacing w:after="0" w:line="276" w:lineRule="auto"/>
        <w:contextualSpacing/>
        <w:jc w:val="both"/>
        <w:rPr>
          <w:rFonts w:ascii="Book Antiqua" w:eastAsia="Calibri" w:hAnsi="Book Antiqua" w:cs="Arial"/>
          <w:sz w:val="24"/>
          <w:szCs w:val="24"/>
        </w:rPr>
      </w:pPr>
      <w:r w:rsidRPr="00035740">
        <w:rPr>
          <w:rFonts w:ascii="Book Antiqua" w:eastAsia="Calibri" w:hAnsi="Book Antiqua" w:cs="Arial"/>
          <w:sz w:val="24"/>
          <w:szCs w:val="24"/>
        </w:rPr>
        <w:t xml:space="preserve">Attendance at the </w:t>
      </w:r>
      <w:r w:rsidR="0010102E" w:rsidRPr="00035740">
        <w:rPr>
          <w:rFonts w:ascii="Book Antiqua" w:eastAsia="Calibri" w:hAnsi="Book Antiqua" w:cs="Arial"/>
          <w:sz w:val="24"/>
          <w:szCs w:val="24"/>
        </w:rPr>
        <w:t>Case Management Conference</w:t>
      </w:r>
      <w:r w:rsidRPr="00035740">
        <w:rPr>
          <w:rFonts w:ascii="Book Antiqua" w:eastAsia="Calibri" w:hAnsi="Book Antiqua" w:cs="Arial"/>
          <w:sz w:val="24"/>
          <w:szCs w:val="24"/>
        </w:rPr>
        <w:t xml:space="preserve"> is mandatory. The Court will consider making orders on the papers only in special circumstances. </w:t>
      </w:r>
    </w:p>
    <w:p w14:paraId="352A5DBD" w14:textId="77777777" w:rsidR="00787DA7" w:rsidRPr="00035740" w:rsidRDefault="00787DA7" w:rsidP="00787DA7">
      <w:pPr>
        <w:spacing w:after="200" w:line="276" w:lineRule="auto"/>
        <w:ind w:left="360"/>
        <w:contextualSpacing/>
        <w:rPr>
          <w:rFonts w:ascii="Book Antiqua" w:eastAsia="Calibri" w:hAnsi="Book Antiqua" w:cs="Arial"/>
          <w:sz w:val="24"/>
          <w:szCs w:val="24"/>
        </w:rPr>
      </w:pPr>
    </w:p>
    <w:p w14:paraId="355ADCD9" w14:textId="77777777" w:rsidR="00787DA7" w:rsidRPr="00035740" w:rsidRDefault="00787DA7" w:rsidP="00787DA7">
      <w:pPr>
        <w:numPr>
          <w:ilvl w:val="1"/>
          <w:numId w:val="1"/>
        </w:numPr>
        <w:tabs>
          <w:tab w:val="left" w:pos="1440"/>
        </w:tabs>
        <w:spacing w:after="0" w:line="276" w:lineRule="auto"/>
        <w:contextualSpacing/>
        <w:jc w:val="both"/>
        <w:rPr>
          <w:rFonts w:ascii="Book Antiqua" w:eastAsia="Times New Roman" w:hAnsi="Book Antiqua" w:cs="Arial"/>
          <w:sz w:val="24"/>
          <w:szCs w:val="24"/>
        </w:rPr>
      </w:pPr>
      <w:r w:rsidRPr="00035740">
        <w:rPr>
          <w:rFonts w:ascii="Book Antiqua" w:eastAsia="Calibri" w:hAnsi="Book Antiqua" w:cs="Arial"/>
          <w:sz w:val="24"/>
          <w:szCs w:val="24"/>
        </w:rPr>
        <w:t xml:space="preserve">At the </w:t>
      </w:r>
      <w:r w:rsidR="0010102E" w:rsidRPr="00035740">
        <w:rPr>
          <w:rFonts w:ascii="Book Antiqua" w:eastAsia="Calibri" w:hAnsi="Book Antiqua" w:cs="Arial"/>
          <w:sz w:val="24"/>
          <w:szCs w:val="24"/>
        </w:rPr>
        <w:t>Case Management Conference</w:t>
      </w:r>
      <w:r w:rsidRPr="00035740">
        <w:rPr>
          <w:rFonts w:ascii="Book Antiqua" w:eastAsia="Calibri" w:hAnsi="Book Antiqua" w:cs="Arial"/>
          <w:sz w:val="24"/>
          <w:szCs w:val="24"/>
        </w:rPr>
        <w:t>, the Court will fix an expedited timetable. The orders that the Court will make will usually be limited to:</w:t>
      </w:r>
    </w:p>
    <w:p w14:paraId="79D74BB8" w14:textId="77777777" w:rsidR="00787DA7" w:rsidRPr="00035740" w:rsidRDefault="00787DA7" w:rsidP="00787DA7">
      <w:pPr>
        <w:tabs>
          <w:tab w:val="left" w:pos="1440"/>
        </w:tabs>
        <w:spacing w:after="0" w:line="276" w:lineRule="auto"/>
        <w:ind w:left="792"/>
        <w:contextualSpacing/>
        <w:jc w:val="both"/>
        <w:rPr>
          <w:rFonts w:ascii="Book Antiqua" w:eastAsia="Times New Roman" w:hAnsi="Book Antiqua" w:cs="Arial"/>
          <w:sz w:val="24"/>
          <w:szCs w:val="24"/>
        </w:rPr>
      </w:pPr>
    </w:p>
    <w:p w14:paraId="5380B858" w14:textId="77777777" w:rsidR="00787DA7" w:rsidRPr="00035740" w:rsidRDefault="00787DA7" w:rsidP="00787DA7">
      <w:pPr>
        <w:numPr>
          <w:ilvl w:val="0"/>
          <w:numId w:val="2"/>
        </w:numPr>
        <w:spacing w:after="200" w:line="360"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t>the filing of a defence (if necessary);</w:t>
      </w:r>
    </w:p>
    <w:p w14:paraId="0C2CF465" w14:textId="77777777" w:rsidR="00787DA7" w:rsidRPr="00035740" w:rsidRDefault="00787DA7" w:rsidP="00787DA7">
      <w:pPr>
        <w:numPr>
          <w:ilvl w:val="0"/>
          <w:numId w:val="2"/>
        </w:numPr>
        <w:spacing w:after="200" w:line="360"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t>discovery (of a limited nature, if at all);</w:t>
      </w:r>
    </w:p>
    <w:p w14:paraId="33A873CD" w14:textId="77777777" w:rsidR="0010102E" w:rsidRPr="00035740" w:rsidRDefault="0010102E" w:rsidP="00787DA7">
      <w:pPr>
        <w:numPr>
          <w:ilvl w:val="0"/>
          <w:numId w:val="2"/>
        </w:numPr>
        <w:spacing w:after="200" w:line="360"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t>setting time limits for the making of any proposed interlocutory applications;</w:t>
      </w:r>
    </w:p>
    <w:p w14:paraId="606F4049" w14:textId="77777777" w:rsidR="00787DA7" w:rsidRPr="00035740" w:rsidRDefault="00787DA7" w:rsidP="00787DA7">
      <w:pPr>
        <w:numPr>
          <w:ilvl w:val="0"/>
          <w:numId w:val="2"/>
        </w:numPr>
        <w:spacing w:after="200" w:line="360"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t>exchange of expert reports pertaining to damage/damages. Note:</w:t>
      </w:r>
    </w:p>
    <w:p w14:paraId="27020EEE" w14:textId="77777777" w:rsidR="00787DA7" w:rsidRPr="00035740" w:rsidRDefault="00787DA7" w:rsidP="00787DA7">
      <w:pPr>
        <w:numPr>
          <w:ilvl w:val="0"/>
          <w:numId w:val="3"/>
        </w:numPr>
        <w:spacing w:after="200" w:line="360"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t>it will be expected that parties should, where possible, rely on expert material exchanged during the Protocols provided that such material is in a form which can be admitted into evidence; and</w:t>
      </w:r>
    </w:p>
    <w:p w14:paraId="15039535" w14:textId="77777777" w:rsidR="00787DA7" w:rsidRPr="00035740" w:rsidRDefault="00787DA7" w:rsidP="00787DA7">
      <w:pPr>
        <w:numPr>
          <w:ilvl w:val="0"/>
          <w:numId w:val="3"/>
        </w:numPr>
        <w:spacing w:after="200" w:line="360"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t xml:space="preserve">the Court may make orders in relation to expert evidence pursuant to its powers under Part 4.6 of the </w:t>
      </w:r>
      <w:r w:rsidRPr="00035740">
        <w:rPr>
          <w:rFonts w:ascii="Book Antiqua" w:eastAsia="Times New Roman" w:hAnsi="Book Antiqua" w:cs="Arial"/>
          <w:i/>
          <w:sz w:val="24"/>
          <w:szCs w:val="24"/>
        </w:rPr>
        <w:t>Civil Procedure Act 2010</w:t>
      </w:r>
      <w:r w:rsidR="00764A8B" w:rsidRPr="00035740">
        <w:rPr>
          <w:rFonts w:ascii="Book Antiqua" w:eastAsia="Times New Roman" w:hAnsi="Book Antiqua" w:cs="Arial"/>
          <w:sz w:val="24"/>
          <w:szCs w:val="24"/>
        </w:rPr>
        <w:t xml:space="preserve"> (Vic);</w:t>
      </w:r>
    </w:p>
    <w:p w14:paraId="457FD670" w14:textId="77777777" w:rsidR="00787DA7" w:rsidRPr="00035740" w:rsidRDefault="00787DA7" w:rsidP="00787DA7">
      <w:pPr>
        <w:numPr>
          <w:ilvl w:val="0"/>
          <w:numId w:val="2"/>
        </w:numPr>
        <w:spacing w:after="200" w:line="360"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t>referral to court-arranged mediation;</w:t>
      </w:r>
    </w:p>
    <w:p w14:paraId="54526BC4" w14:textId="77777777" w:rsidR="00787DA7" w:rsidRPr="00035740" w:rsidRDefault="00787DA7" w:rsidP="00787DA7">
      <w:pPr>
        <w:numPr>
          <w:ilvl w:val="0"/>
          <w:numId w:val="2"/>
        </w:numPr>
        <w:spacing w:after="200" w:line="360"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t>fixing a trial date within 3-6 months and a Final Directions Hearing.</w:t>
      </w:r>
    </w:p>
    <w:p w14:paraId="78FD1950" w14:textId="77777777" w:rsidR="00764A8B" w:rsidRPr="00035740" w:rsidRDefault="00764A8B" w:rsidP="00764A8B">
      <w:pPr>
        <w:spacing w:after="200" w:line="360" w:lineRule="auto"/>
        <w:ind w:left="1224"/>
        <w:contextualSpacing/>
        <w:rPr>
          <w:rFonts w:ascii="Book Antiqua" w:eastAsia="Times New Roman" w:hAnsi="Book Antiqua" w:cs="Arial"/>
          <w:sz w:val="24"/>
          <w:szCs w:val="24"/>
        </w:rPr>
      </w:pPr>
    </w:p>
    <w:p w14:paraId="20C10D79" w14:textId="77777777" w:rsidR="00787DA7" w:rsidRPr="00035740" w:rsidRDefault="00787DA7" w:rsidP="00787DA7">
      <w:pPr>
        <w:spacing w:after="200" w:line="276" w:lineRule="auto"/>
        <w:ind w:left="360"/>
        <w:rPr>
          <w:rFonts w:ascii="Book Antiqua" w:eastAsia="Times New Roman" w:hAnsi="Book Antiqua" w:cs="Arial"/>
          <w:i/>
          <w:iCs/>
          <w:sz w:val="24"/>
          <w:szCs w:val="24"/>
        </w:rPr>
      </w:pPr>
      <w:r w:rsidRPr="00035740">
        <w:rPr>
          <w:rFonts w:ascii="Book Antiqua" w:eastAsia="Times New Roman" w:hAnsi="Book Antiqua" w:cs="Arial"/>
          <w:i/>
          <w:iCs/>
          <w:sz w:val="24"/>
          <w:szCs w:val="24"/>
        </w:rPr>
        <w:t>Interlocutory disputes</w:t>
      </w:r>
    </w:p>
    <w:p w14:paraId="292E94BA" w14:textId="77777777" w:rsidR="00787DA7" w:rsidRPr="00035740" w:rsidRDefault="00787DA7" w:rsidP="00787DA7">
      <w:pPr>
        <w:numPr>
          <w:ilvl w:val="1"/>
          <w:numId w:val="1"/>
        </w:numPr>
        <w:spacing w:after="200" w:line="276"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t>Parties are encouraged to bring any unresolved interlocutory disputes before the Court at an early stage.</w:t>
      </w:r>
    </w:p>
    <w:p w14:paraId="7B0C7F21" w14:textId="77777777" w:rsidR="00787DA7" w:rsidRPr="00035740" w:rsidRDefault="00787DA7" w:rsidP="00787DA7">
      <w:pPr>
        <w:spacing w:after="200" w:line="276" w:lineRule="auto"/>
        <w:ind w:left="792"/>
        <w:contextualSpacing/>
        <w:rPr>
          <w:rFonts w:ascii="Book Antiqua" w:eastAsia="Times New Roman" w:hAnsi="Book Antiqua" w:cs="Arial"/>
          <w:sz w:val="24"/>
          <w:szCs w:val="24"/>
        </w:rPr>
      </w:pPr>
    </w:p>
    <w:p w14:paraId="297613D8" w14:textId="77777777" w:rsidR="00787DA7" w:rsidRPr="00035740" w:rsidRDefault="00787DA7" w:rsidP="00787DA7">
      <w:pPr>
        <w:numPr>
          <w:ilvl w:val="1"/>
          <w:numId w:val="1"/>
        </w:numPr>
        <w:spacing w:after="200" w:line="276" w:lineRule="auto"/>
        <w:contextualSpacing/>
        <w:rPr>
          <w:rFonts w:ascii="Book Antiqua" w:eastAsia="Times New Roman" w:hAnsi="Book Antiqua" w:cs="Arial"/>
          <w:sz w:val="24"/>
          <w:szCs w:val="24"/>
        </w:rPr>
      </w:pPr>
      <w:r w:rsidRPr="00035740">
        <w:rPr>
          <w:rFonts w:ascii="Book Antiqua" w:eastAsia="Times New Roman" w:hAnsi="Book Antiqua" w:cs="Arial"/>
          <w:sz w:val="24"/>
          <w:szCs w:val="24"/>
        </w:rPr>
        <w:lastRenderedPageBreak/>
        <w:t>The usual procedures for making interlocutory applications in the Personal Injuries and Civil Circuit Lists (set out in Practice Notes SC CL 3 and SC CL 1 respectively) apply to cases in the Pilot.</w:t>
      </w:r>
    </w:p>
    <w:p w14:paraId="31E40CE0" w14:textId="77777777" w:rsidR="00787DA7" w:rsidRPr="00035740" w:rsidRDefault="00787DA7" w:rsidP="00787DA7">
      <w:pPr>
        <w:spacing w:after="200" w:line="276" w:lineRule="auto"/>
        <w:ind w:left="792"/>
        <w:contextualSpacing/>
        <w:rPr>
          <w:rFonts w:ascii="Book Antiqua" w:eastAsia="Times New Roman" w:hAnsi="Book Antiqua" w:cs="Arial"/>
          <w:sz w:val="24"/>
          <w:szCs w:val="24"/>
        </w:rPr>
      </w:pPr>
    </w:p>
    <w:p w14:paraId="14CECB30" w14:textId="77777777" w:rsidR="00787DA7" w:rsidRPr="00035740" w:rsidRDefault="00787DA7" w:rsidP="00787DA7">
      <w:pPr>
        <w:spacing w:after="200" w:line="276" w:lineRule="auto"/>
        <w:ind w:left="360"/>
        <w:rPr>
          <w:rFonts w:ascii="Book Antiqua" w:eastAsia="Times New Roman" w:hAnsi="Book Antiqua" w:cs="Arial"/>
          <w:i/>
          <w:sz w:val="24"/>
          <w:szCs w:val="24"/>
        </w:rPr>
      </w:pPr>
      <w:r w:rsidRPr="00035740">
        <w:rPr>
          <w:rFonts w:ascii="Book Antiqua" w:eastAsia="Times New Roman" w:hAnsi="Book Antiqua" w:cs="Arial"/>
          <w:i/>
          <w:sz w:val="24"/>
          <w:szCs w:val="24"/>
        </w:rPr>
        <w:t>Re-fixing trial dates</w:t>
      </w:r>
    </w:p>
    <w:p w14:paraId="5C55B3CC" w14:textId="77777777" w:rsidR="00787DA7" w:rsidRPr="00035740" w:rsidRDefault="00787DA7" w:rsidP="00AB0968">
      <w:pPr>
        <w:numPr>
          <w:ilvl w:val="1"/>
          <w:numId w:val="1"/>
        </w:numPr>
        <w:spacing w:after="200" w:line="276" w:lineRule="auto"/>
        <w:ind w:left="900" w:hanging="540"/>
        <w:contextualSpacing/>
        <w:rPr>
          <w:rFonts w:ascii="Book Antiqua" w:eastAsia="Times New Roman" w:hAnsi="Book Antiqua" w:cs="Arial"/>
          <w:sz w:val="24"/>
          <w:szCs w:val="24"/>
        </w:rPr>
      </w:pPr>
      <w:r w:rsidRPr="00035740">
        <w:rPr>
          <w:rFonts w:ascii="Book Antiqua" w:eastAsia="Times New Roman" w:hAnsi="Book Antiqua" w:cs="Arial"/>
          <w:sz w:val="24"/>
          <w:szCs w:val="24"/>
        </w:rPr>
        <w:t>Should a party, despite their best endeavours, not be ready for the trial date fixed by the expedited timetable, they should request a date for the making of an application to vacate the trial by emailing a completed “Interlocutory Application Information Form” (available on the relevant List webpage of the Court’s website) to the relevant List inbox.</w:t>
      </w:r>
    </w:p>
    <w:p w14:paraId="5EDF7E43" w14:textId="77777777" w:rsidR="00787DA7" w:rsidRPr="00035740" w:rsidRDefault="00787DA7" w:rsidP="00787DA7">
      <w:pPr>
        <w:spacing w:after="200" w:line="276" w:lineRule="auto"/>
        <w:ind w:left="792"/>
        <w:contextualSpacing/>
        <w:rPr>
          <w:rFonts w:ascii="Book Antiqua" w:eastAsia="Times New Roman" w:hAnsi="Book Antiqua" w:cs="Arial"/>
          <w:sz w:val="24"/>
          <w:szCs w:val="24"/>
        </w:rPr>
      </w:pPr>
    </w:p>
    <w:p w14:paraId="3EFBB26C" w14:textId="77777777" w:rsidR="00787DA7" w:rsidRPr="00035740" w:rsidRDefault="00787DA7" w:rsidP="00787DA7">
      <w:pPr>
        <w:numPr>
          <w:ilvl w:val="1"/>
          <w:numId w:val="1"/>
        </w:numPr>
        <w:spacing w:after="200" w:line="276" w:lineRule="auto"/>
        <w:ind w:left="900" w:hanging="540"/>
        <w:contextualSpacing/>
        <w:rPr>
          <w:rFonts w:ascii="Book Antiqua" w:eastAsia="Times New Roman" w:hAnsi="Book Antiqua" w:cs="Arial"/>
          <w:sz w:val="24"/>
          <w:szCs w:val="24"/>
        </w:rPr>
      </w:pPr>
      <w:r w:rsidRPr="00035740">
        <w:rPr>
          <w:rFonts w:ascii="Book Antiqua" w:eastAsia="Times New Roman" w:hAnsi="Book Antiqua" w:cs="Arial"/>
          <w:sz w:val="24"/>
          <w:szCs w:val="24"/>
        </w:rPr>
        <w:t>Such applications will need to be made on notice to the other party and supported by affidavit material however a summons will not be required.</w:t>
      </w:r>
    </w:p>
    <w:p w14:paraId="58F8AA28" w14:textId="77777777" w:rsidR="00787DA7" w:rsidRPr="00035740" w:rsidRDefault="00787DA7" w:rsidP="00787DA7">
      <w:pPr>
        <w:spacing w:after="200" w:line="276" w:lineRule="auto"/>
        <w:ind w:left="792"/>
        <w:contextualSpacing/>
        <w:rPr>
          <w:rFonts w:ascii="Book Antiqua" w:eastAsia="Times New Roman" w:hAnsi="Book Antiqua" w:cs="Arial"/>
          <w:sz w:val="24"/>
          <w:szCs w:val="24"/>
        </w:rPr>
      </w:pPr>
    </w:p>
    <w:p w14:paraId="56A4A0F7" w14:textId="77777777" w:rsidR="00787DA7" w:rsidRPr="00035740" w:rsidRDefault="00787DA7" w:rsidP="00787DA7">
      <w:pPr>
        <w:numPr>
          <w:ilvl w:val="1"/>
          <w:numId w:val="1"/>
        </w:numPr>
        <w:spacing w:after="200" w:line="276" w:lineRule="auto"/>
        <w:ind w:left="900" w:hanging="540"/>
        <w:contextualSpacing/>
        <w:rPr>
          <w:rFonts w:ascii="Book Antiqua" w:eastAsia="Times New Roman" w:hAnsi="Book Antiqua" w:cs="Arial"/>
          <w:sz w:val="24"/>
          <w:szCs w:val="24"/>
        </w:rPr>
      </w:pPr>
      <w:r w:rsidRPr="00035740">
        <w:rPr>
          <w:rFonts w:ascii="Book Antiqua" w:eastAsia="Times New Roman" w:hAnsi="Book Antiqua" w:cs="Arial"/>
          <w:sz w:val="24"/>
          <w:szCs w:val="24"/>
        </w:rPr>
        <w:t xml:space="preserve">While the proceeding will exit the Pilot upon vacation of the trial date, the Court will aim to minimise any prejudice which may otherwise be occasioned by participation in the Pilot when allocating a new trial date.  </w:t>
      </w:r>
    </w:p>
    <w:p w14:paraId="04BFF4CF" w14:textId="77777777" w:rsidR="00787DA7" w:rsidRPr="00035740" w:rsidRDefault="00787DA7" w:rsidP="00787DA7">
      <w:pPr>
        <w:spacing w:after="200" w:line="276" w:lineRule="auto"/>
        <w:ind w:left="900"/>
        <w:contextualSpacing/>
        <w:rPr>
          <w:rFonts w:ascii="Book Antiqua" w:eastAsia="Times New Roman" w:hAnsi="Book Antiqua" w:cs="Arial"/>
          <w:sz w:val="24"/>
          <w:szCs w:val="24"/>
        </w:rPr>
      </w:pPr>
    </w:p>
    <w:p w14:paraId="531F4AD7" w14:textId="77777777" w:rsidR="00787DA7" w:rsidRPr="00035740" w:rsidRDefault="00787DA7" w:rsidP="00787DA7">
      <w:pPr>
        <w:numPr>
          <w:ilvl w:val="0"/>
          <w:numId w:val="1"/>
        </w:numPr>
        <w:spacing w:after="0" w:line="276" w:lineRule="auto"/>
        <w:contextualSpacing/>
        <w:jc w:val="both"/>
        <w:rPr>
          <w:rFonts w:ascii="Book Antiqua" w:eastAsia="Calibri" w:hAnsi="Book Antiqua" w:cs="Arial"/>
          <w:b/>
          <w:sz w:val="24"/>
          <w:szCs w:val="24"/>
        </w:rPr>
      </w:pPr>
      <w:r w:rsidRPr="00035740">
        <w:rPr>
          <w:rFonts w:ascii="Book Antiqua" w:eastAsia="Calibri" w:hAnsi="Book Antiqua" w:cs="Arial"/>
          <w:b/>
          <w:sz w:val="24"/>
          <w:szCs w:val="24"/>
        </w:rPr>
        <w:t>Further information</w:t>
      </w:r>
    </w:p>
    <w:p w14:paraId="7287094C" w14:textId="77777777" w:rsidR="00787DA7" w:rsidRPr="00035740" w:rsidRDefault="00787DA7" w:rsidP="00787DA7">
      <w:pPr>
        <w:spacing w:after="0" w:line="276" w:lineRule="auto"/>
        <w:ind w:left="360"/>
        <w:contextualSpacing/>
        <w:jc w:val="both"/>
        <w:rPr>
          <w:rFonts w:ascii="Book Antiqua" w:eastAsia="Calibri" w:hAnsi="Book Antiqua" w:cs="Arial"/>
          <w:sz w:val="24"/>
          <w:szCs w:val="24"/>
        </w:rPr>
      </w:pPr>
    </w:p>
    <w:p w14:paraId="417C97BA" w14:textId="77777777" w:rsidR="00787DA7" w:rsidRPr="00035740" w:rsidRDefault="00787DA7" w:rsidP="00787DA7">
      <w:pPr>
        <w:numPr>
          <w:ilvl w:val="1"/>
          <w:numId w:val="1"/>
        </w:numPr>
        <w:tabs>
          <w:tab w:val="left" w:pos="1440"/>
        </w:tabs>
        <w:spacing w:after="0" w:line="276" w:lineRule="auto"/>
        <w:contextualSpacing/>
        <w:jc w:val="both"/>
        <w:rPr>
          <w:rFonts w:ascii="Book Antiqua" w:eastAsia="Times New Roman" w:hAnsi="Book Antiqua" w:cs="Arial"/>
          <w:sz w:val="24"/>
          <w:szCs w:val="24"/>
        </w:rPr>
      </w:pPr>
      <w:r w:rsidRPr="00035740">
        <w:rPr>
          <w:rFonts w:ascii="Book Antiqua" w:eastAsia="Times New Roman" w:hAnsi="Book Antiqua" w:cs="Arial"/>
          <w:sz w:val="24"/>
          <w:szCs w:val="24"/>
        </w:rPr>
        <w:t>The Court will seek feedback from parties participating in the Pilot at the conclusion of a proceeding.</w:t>
      </w:r>
    </w:p>
    <w:p w14:paraId="63D5A2CB" w14:textId="77777777" w:rsidR="00787DA7" w:rsidRPr="00035740" w:rsidRDefault="00787DA7" w:rsidP="00787DA7">
      <w:pPr>
        <w:tabs>
          <w:tab w:val="left" w:pos="1440"/>
        </w:tabs>
        <w:spacing w:after="0" w:line="276" w:lineRule="auto"/>
        <w:ind w:left="360"/>
        <w:jc w:val="both"/>
        <w:rPr>
          <w:rFonts w:ascii="Book Antiqua" w:eastAsia="Times New Roman" w:hAnsi="Book Antiqua" w:cs="Arial"/>
          <w:sz w:val="24"/>
          <w:szCs w:val="24"/>
        </w:rPr>
      </w:pPr>
    </w:p>
    <w:p w14:paraId="15D338FD" w14:textId="77777777" w:rsidR="00787DA7" w:rsidRPr="00035740" w:rsidRDefault="00787DA7" w:rsidP="00787DA7">
      <w:pPr>
        <w:numPr>
          <w:ilvl w:val="1"/>
          <w:numId w:val="1"/>
        </w:numPr>
        <w:tabs>
          <w:tab w:val="left" w:pos="1440"/>
        </w:tabs>
        <w:spacing w:after="0" w:line="276" w:lineRule="auto"/>
        <w:contextualSpacing/>
        <w:jc w:val="both"/>
        <w:rPr>
          <w:rFonts w:ascii="Book Antiqua" w:eastAsia="Calibri" w:hAnsi="Book Antiqua" w:cs="Arial"/>
          <w:sz w:val="24"/>
          <w:szCs w:val="24"/>
        </w:rPr>
      </w:pPr>
      <w:r w:rsidRPr="00035740">
        <w:rPr>
          <w:rFonts w:ascii="Book Antiqua" w:eastAsia="Times New Roman" w:hAnsi="Book Antiqua" w:cs="Arial"/>
          <w:sz w:val="24"/>
          <w:szCs w:val="24"/>
        </w:rPr>
        <w:t xml:space="preserve">If parties have any queries concerning the Pilot generally or wish to provide feedback during the course of a Pilot proceeding, they are encouraged to contact the Court via email to </w:t>
      </w:r>
      <w:hyperlink r:id="rId14" w:history="1">
        <w:r w:rsidRPr="00035740">
          <w:rPr>
            <w:rFonts w:ascii="Book Antiqua" w:eastAsia="Calibri" w:hAnsi="Book Antiqua" w:cs="Arial"/>
            <w:color w:val="0000FF"/>
            <w:sz w:val="24"/>
            <w:szCs w:val="24"/>
            <w:u w:val="single"/>
          </w:rPr>
          <w:t>personal.injuries@supcourt.vic.gov.au</w:t>
        </w:r>
      </w:hyperlink>
      <w:r w:rsidRPr="00035740">
        <w:rPr>
          <w:rFonts w:ascii="Book Antiqua" w:eastAsia="Calibri" w:hAnsi="Book Antiqua" w:cs="Arial"/>
          <w:sz w:val="24"/>
          <w:szCs w:val="24"/>
        </w:rPr>
        <w:t xml:space="preserve"> and include ‘MVA Fast Track Pilot’ in the subject line of the email.</w:t>
      </w:r>
    </w:p>
    <w:p w14:paraId="633E0352" w14:textId="77777777" w:rsidR="00B13B90" w:rsidRPr="00035740" w:rsidRDefault="00B13B90">
      <w:pPr>
        <w:rPr>
          <w:rFonts w:ascii="Book Antiqua" w:hAnsi="Book Antiqua"/>
          <w:sz w:val="24"/>
          <w:szCs w:val="24"/>
        </w:rPr>
      </w:pPr>
    </w:p>
    <w:p w14:paraId="5D125095" w14:textId="77777777" w:rsidR="00035740" w:rsidRPr="00035740" w:rsidRDefault="00035740" w:rsidP="00035740">
      <w:pPr>
        <w:spacing w:before="120" w:after="120"/>
        <w:ind w:left="720" w:hanging="720"/>
        <w:jc w:val="right"/>
        <w:rPr>
          <w:rFonts w:ascii="Book Antiqua" w:hAnsi="Book Antiqua" w:cs="Arial"/>
          <w:sz w:val="24"/>
          <w:szCs w:val="24"/>
        </w:rPr>
      </w:pPr>
      <w:r w:rsidRPr="00035740">
        <w:rPr>
          <w:rFonts w:ascii="Book Antiqua" w:hAnsi="Book Antiqua" w:cs="Arial"/>
          <w:sz w:val="24"/>
          <w:szCs w:val="24"/>
        </w:rPr>
        <w:t>Vivienne Macgillivray</w:t>
      </w:r>
    </w:p>
    <w:p w14:paraId="22AA3E45" w14:textId="77777777" w:rsidR="00035740" w:rsidRPr="00035740" w:rsidRDefault="00035740" w:rsidP="00035740">
      <w:pPr>
        <w:spacing w:before="120" w:after="120"/>
        <w:ind w:left="720" w:hanging="720"/>
        <w:jc w:val="right"/>
        <w:rPr>
          <w:rFonts w:ascii="Book Antiqua" w:hAnsi="Book Antiqua" w:cs="Arial"/>
          <w:sz w:val="24"/>
          <w:szCs w:val="24"/>
        </w:rPr>
      </w:pPr>
      <w:r w:rsidRPr="00035740">
        <w:rPr>
          <w:rFonts w:ascii="Book Antiqua" w:hAnsi="Book Antiqua" w:cs="Arial"/>
          <w:sz w:val="24"/>
          <w:szCs w:val="24"/>
        </w:rPr>
        <w:t>Executive Associate to the Chief Justice</w:t>
      </w:r>
    </w:p>
    <w:p w14:paraId="7823A43F" w14:textId="77777777" w:rsidR="00035740" w:rsidRPr="00035740" w:rsidRDefault="00065243" w:rsidP="00035740">
      <w:pPr>
        <w:spacing w:before="120" w:after="120"/>
        <w:ind w:left="720" w:hanging="720"/>
        <w:jc w:val="right"/>
        <w:rPr>
          <w:rFonts w:ascii="Book Antiqua" w:hAnsi="Book Antiqua" w:cs="Arial"/>
          <w:sz w:val="24"/>
          <w:szCs w:val="24"/>
        </w:rPr>
      </w:pPr>
      <w:r>
        <w:rPr>
          <w:rFonts w:ascii="Book Antiqua" w:hAnsi="Book Antiqua" w:cs="Arial"/>
          <w:sz w:val="24"/>
          <w:szCs w:val="24"/>
        </w:rPr>
        <w:t xml:space="preserve">23 </w:t>
      </w:r>
      <w:r w:rsidR="00035740" w:rsidRPr="00065243">
        <w:rPr>
          <w:rFonts w:ascii="Book Antiqua" w:hAnsi="Book Antiqua" w:cs="Arial"/>
          <w:sz w:val="24"/>
          <w:szCs w:val="24"/>
        </w:rPr>
        <w:t>October 2018</w:t>
      </w:r>
    </w:p>
    <w:p w14:paraId="0A60F429" w14:textId="77777777" w:rsidR="00035740" w:rsidRPr="00035740" w:rsidRDefault="00035740">
      <w:pPr>
        <w:rPr>
          <w:rFonts w:ascii="Book Antiqua" w:hAnsi="Book Antiqua"/>
          <w:sz w:val="24"/>
          <w:szCs w:val="24"/>
        </w:rPr>
      </w:pPr>
    </w:p>
    <w:sectPr w:rsidR="00035740" w:rsidRPr="00035740" w:rsidSect="00F0276C">
      <w:headerReference w:type="default" r:id="rId15"/>
      <w:footerReference w:type="default" r:id="rId16"/>
      <w:pgSz w:w="11900" w:h="16840"/>
      <w:pgMar w:top="720" w:right="743" w:bottom="1418" w:left="1440" w:header="709" w:footer="851"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A5CC1" w14:textId="77777777" w:rsidR="00CF68A4" w:rsidRDefault="00CF68A4" w:rsidP="00787DA7">
      <w:pPr>
        <w:spacing w:after="0" w:line="240" w:lineRule="auto"/>
      </w:pPr>
      <w:r>
        <w:separator/>
      </w:r>
    </w:p>
  </w:endnote>
  <w:endnote w:type="continuationSeparator" w:id="0">
    <w:p w14:paraId="0814ABA3" w14:textId="77777777" w:rsidR="00CF68A4" w:rsidRDefault="00CF68A4" w:rsidP="0078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805094"/>
      <w:docPartObj>
        <w:docPartGallery w:val="Page Numbers (Bottom of Page)"/>
        <w:docPartUnique/>
      </w:docPartObj>
    </w:sdtPr>
    <w:sdtEndPr>
      <w:rPr>
        <w:noProof/>
      </w:rPr>
    </w:sdtEndPr>
    <w:sdtContent>
      <w:p w14:paraId="39118422" w14:textId="77777777" w:rsidR="00035740" w:rsidRDefault="00035740">
        <w:pPr>
          <w:pStyle w:val="Footer"/>
          <w:jc w:val="right"/>
        </w:pPr>
        <w:r>
          <w:fldChar w:fldCharType="begin"/>
        </w:r>
        <w:r>
          <w:instrText xml:space="preserve"> PAGE   \* MERGEFORMAT </w:instrText>
        </w:r>
        <w:r>
          <w:fldChar w:fldCharType="separate"/>
        </w:r>
        <w:r w:rsidR="007D023A">
          <w:rPr>
            <w:noProof/>
          </w:rPr>
          <w:t>2</w:t>
        </w:r>
        <w:r>
          <w:rPr>
            <w:noProof/>
          </w:rPr>
          <w:fldChar w:fldCharType="end"/>
        </w:r>
      </w:p>
    </w:sdtContent>
  </w:sdt>
  <w:p w14:paraId="7006E331" w14:textId="77777777" w:rsidR="008B163A" w:rsidRDefault="007D023A" w:rsidP="00BF1BCC">
    <w:pPr>
      <w:pStyle w:val="Footer"/>
      <w:tabs>
        <w:tab w:val="right" w:pos="9360"/>
      </w:tabs>
      <w:rPr>
        <w:noProof/>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3E64A" w14:textId="77777777" w:rsidR="00CF68A4" w:rsidRDefault="00CF68A4" w:rsidP="00787DA7">
      <w:pPr>
        <w:spacing w:after="0" w:line="240" w:lineRule="auto"/>
      </w:pPr>
      <w:r>
        <w:separator/>
      </w:r>
    </w:p>
  </w:footnote>
  <w:footnote w:type="continuationSeparator" w:id="0">
    <w:p w14:paraId="1FE94FCA" w14:textId="77777777" w:rsidR="00CF68A4" w:rsidRDefault="00CF68A4" w:rsidP="00787DA7">
      <w:pPr>
        <w:spacing w:after="0" w:line="240" w:lineRule="auto"/>
      </w:pPr>
      <w:r>
        <w:continuationSeparator/>
      </w:r>
    </w:p>
  </w:footnote>
  <w:footnote w:id="1">
    <w:p w14:paraId="41B73897" w14:textId="77777777" w:rsidR="00787DA7" w:rsidRPr="00035740" w:rsidRDefault="00787DA7" w:rsidP="00787DA7">
      <w:pPr>
        <w:pStyle w:val="FootnoteText"/>
        <w:rPr>
          <w:rFonts w:ascii="Book Antiqua" w:hAnsi="Book Antiqua"/>
        </w:rPr>
      </w:pPr>
      <w:r>
        <w:rPr>
          <w:rStyle w:val="FootnoteReference"/>
        </w:rPr>
        <w:footnoteRef/>
      </w:r>
      <w:r>
        <w:t xml:space="preserve"> </w:t>
      </w:r>
      <w:r w:rsidRPr="00035740">
        <w:rPr>
          <w:rFonts w:ascii="Book Antiqua" w:hAnsi="Book Antiqua"/>
        </w:rPr>
        <w:t>Cases involving causation disputes arising out of the nature and/or extent of the plaintiff’s injuries may be considered for entry.</w:t>
      </w:r>
    </w:p>
  </w:footnote>
  <w:footnote w:id="2">
    <w:p w14:paraId="2D02DB76" w14:textId="77777777" w:rsidR="00026E89" w:rsidRDefault="00026E89">
      <w:pPr>
        <w:pStyle w:val="FootnoteText"/>
      </w:pPr>
      <w:r w:rsidRPr="00035740">
        <w:rPr>
          <w:rStyle w:val="FootnoteReference"/>
          <w:rFonts w:ascii="Book Antiqua" w:hAnsi="Book Antiqua"/>
        </w:rPr>
        <w:footnoteRef/>
      </w:r>
      <w:r w:rsidRPr="00035740">
        <w:rPr>
          <w:rFonts w:ascii="Book Antiqua" w:hAnsi="Book Antiqua"/>
        </w:rPr>
        <w:t xml:space="preserve"> </w:t>
      </w:r>
      <w:r w:rsidRPr="00035740">
        <w:rPr>
          <w:rFonts w:ascii="Book Antiqua" w:eastAsia="Calibri" w:hAnsi="Book Antiqua" w:cs="Arial"/>
        </w:rPr>
        <w:t xml:space="preserve">If service has not </w:t>
      </w:r>
      <w:r w:rsidR="00142440" w:rsidRPr="00035740">
        <w:rPr>
          <w:rFonts w:ascii="Book Antiqua" w:eastAsia="Calibri" w:hAnsi="Book Antiqua" w:cs="Arial"/>
        </w:rPr>
        <w:t xml:space="preserve">yet </w:t>
      </w:r>
      <w:r w:rsidRPr="00035740">
        <w:rPr>
          <w:rFonts w:ascii="Book Antiqua" w:eastAsia="Calibri" w:hAnsi="Book Antiqua" w:cs="Arial"/>
        </w:rPr>
        <w:t xml:space="preserve">been effected on the </w:t>
      </w:r>
      <w:r w:rsidR="00142440" w:rsidRPr="00035740">
        <w:rPr>
          <w:rFonts w:ascii="Book Antiqua" w:eastAsia="Calibri" w:hAnsi="Book Antiqua" w:cs="Arial"/>
        </w:rPr>
        <w:t>d</w:t>
      </w:r>
      <w:r w:rsidRPr="00035740">
        <w:rPr>
          <w:rFonts w:ascii="Book Antiqua" w:eastAsia="Calibri" w:hAnsi="Book Antiqua" w:cs="Arial"/>
        </w:rPr>
        <w:t xml:space="preserve">efendant, the joint memorandum is to be completed by the </w:t>
      </w:r>
      <w:r w:rsidR="00142440" w:rsidRPr="00035740">
        <w:rPr>
          <w:rFonts w:ascii="Book Antiqua" w:eastAsia="Calibri" w:hAnsi="Book Antiqua" w:cs="Arial"/>
        </w:rPr>
        <w:t>p</w:t>
      </w:r>
      <w:r w:rsidRPr="00035740">
        <w:rPr>
          <w:rFonts w:ascii="Book Antiqua" w:eastAsia="Calibri" w:hAnsi="Book Antiqua" w:cs="Arial"/>
        </w:rPr>
        <w:t>laintiff’s legal representative and the TAC.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138F6" w14:textId="77777777" w:rsidR="008B163A" w:rsidRPr="005E5367" w:rsidRDefault="00690574" w:rsidP="33A5F0C2">
    <w:pPr>
      <w:pStyle w:val="Header"/>
      <w:jc w:val="right"/>
      <w:rPr>
        <w:sz w:val="18"/>
        <w:szCs w:val="18"/>
      </w:rPr>
    </w:pPr>
    <w:bookmarkStart w:id="1" w:name="OLE_LINK1"/>
    <w:bookmarkStart w:id="2" w:name="OLE_LINK2"/>
    <w:bookmarkStart w:id="3" w:name="_Hlk362347926"/>
    <w:r>
      <w:rPr>
        <w:sz w:val="20"/>
        <w:szCs w:val="20"/>
      </w:rPr>
      <w:t xml:space="preserve">      </w:t>
    </w:r>
    <w:r w:rsidRPr="005E5367">
      <w:rPr>
        <w:sz w:val="18"/>
        <w:szCs w:val="18"/>
      </w:rPr>
      <w:t xml:space="preserve">Supreme Court of </w:t>
    </w:r>
    <w:smartTag w:uri="urn:schemas-microsoft-com:office:smarttags" w:element="place">
      <w:smartTag w:uri="urn:schemas-microsoft-com:office:smarttags" w:element="State">
        <w:r w:rsidRPr="005E5367">
          <w:rPr>
            <w:sz w:val="18"/>
            <w:szCs w:val="18"/>
          </w:rPr>
          <w:t>Victoria</w:t>
        </w:r>
      </w:smartTag>
    </w:smartTag>
  </w:p>
  <w:p w14:paraId="71830517" w14:textId="77777777" w:rsidR="008B163A" w:rsidRPr="00834F25" w:rsidRDefault="00690574" w:rsidP="00536815">
    <w:pPr>
      <w:pStyle w:val="Header"/>
      <w:jc w:val="right"/>
      <w:rPr>
        <w:sz w:val="20"/>
        <w:szCs w:val="20"/>
      </w:rPr>
    </w:pPr>
    <w:r>
      <w:rPr>
        <w:noProof/>
        <w:sz w:val="20"/>
        <w:szCs w:val="20"/>
        <w:lang w:eastAsia="en-AU"/>
      </w:rPr>
      <mc:AlternateContent>
        <mc:Choice Requires="wps">
          <w:drawing>
            <wp:anchor distT="0" distB="0" distL="114300" distR="114300" simplePos="0" relativeHeight="251656704" behindDoc="0" locked="1" layoutInCell="1" allowOverlap="1" wp14:anchorId="6CA23A2F" wp14:editId="269F20BA">
              <wp:simplePos x="0" y="0"/>
              <wp:positionH relativeFrom="column">
                <wp:posOffset>0</wp:posOffset>
              </wp:positionH>
              <wp:positionV relativeFrom="page">
                <wp:posOffset>685165</wp:posOffset>
              </wp:positionV>
              <wp:extent cx="6172200" cy="0"/>
              <wp:effectExtent l="9525" t="8890" r="9525" b="10160"/>
              <wp:wrapSquare wrapText="bothSides"/>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981E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58D4E"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3.95pt" to="486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" strokecolor="#981e32" strokeweight="1pt">
              <w10:wrap type="square" anchory="page"/>
              <w10:anchorlock/>
            </v:line>
          </w:pict>
        </mc:Fallback>
      </mc:AlternateContent>
    </w:r>
  </w:p>
  <w:bookmarkEnd w:id="1"/>
  <w:bookmarkEnd w:id="2"/>
  <w:bookmarkEnd w:id="3"/>
  <w:p w14:paraId="4A672762" w14:textId="77777777" w:rsidR="008B163A" w:rsidRPr="004D32DB" w:rsidRDefault="007D023A" w:rsidP="00F66FFB">
    <w:pPr>
      <w:pStyle w:val="Header"/>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432E8"/>
    <w:multiLevelType w:val="multilevel"/>
    <w:tmpl w:val="78C0F36A"/>
    <w:lvl w:ilvl="0">
      <w:start w:val="1"/>
      <w:numFmt w:val="bullet"/>
      <w:lvlText w:val=""/>
      <w:lvlJc w:val="left"/>
      <w:pPr>
        <w:ind w:left="1224" w:hanging="432"/>
      </w:pPr>
      <w:rPr>
        <w:rFonts w:ascii="Symbol" w:hAnsi="Symbol" w:hint="default"/>
        <w:sz w:val="20"/>
      </w:rPr>
    </w:lvl>
    <w:lvl w:ilvl="1">
      <w:start w:val="1"/>
      <w:numFmt w:val="decimal"/>
      <w:lvlText w:val="%2."/>
      <w:lvlJc w:val="left"/>
      <w:pPr>
        <w:ind w:left="1368" w:hanging="576"/>
      </w:pPr>
      <w:rPr>
        <w:rFonts w:hint="default"/>
      </w:rPr>
    </w:lvl>
    <w:lvl w:ilvl="2">
      <w:start w:val="1"/>
      <w:numFmt w:val="decimal"/>
      <w:lvlText w:val="%1.%2.%3"/>
      <w:lvlJc w:val="left"/>
      <w:pPr>
        <w:ind w:left="1512" w:hanging="720"/>
      </w:pPr>
      <w:rPr>
        <w:rFonts w:cs="Times New Roman" w:hint="default"/>
      </w:rPr>
    </w:lvl>
    <w:lvl w:ilvl="3">
      <w:start w:val="1"/>
      <w:numFmt w:val="decimal"/>
      <w:lvlText w:val="%1.%2.%3.%4"/>
      <w:lvlJc w:val="left"/>
      <w:pPr>
        <w:ind w:left="1656" w:hanging="864"/>
      </w:pPr>
      <w:rPr>
        <w:rFonts w:cs="Times New Roman" w:hint="default"/>
      </w:rPr>
    </w:lvl>
    <w:lvl w:ilvl="4">
      <w:start w:val="1"/>
      <w:numFmt w:val="decimal"/>
      <w:lvlText w:val="%5."/>
      <w:lvlJc w:val="left"/>
      <w:pPr>
        <w:ind w:left="1800" w:hanging="1008"/>
      </w:pPr>
      <w:rPr>
        <w:rFonts w:hint="default"/>
      </w:rPr>
    </w:lvl>
    <w:lvl w:ilvl="5">
      <w:start w:val="1"/>
      <w:numFmt w:val="decimal"/>
      <w:lvlText w:val="%1.%2.%3.%4.%5.%6"/>
      <w:lvlJc w:val="left"/>
      <w:pPr>
        <w:ind w:left="1944" w:hanging="1152"/>
      </w:pPr>
      <w:rPr>
        <w:rFonts w:cs="Times New Roman" w:hint="default"/>
      </w:rPr>
    </w:lvl>
    <w:lvl w:ilvl="6">
      <w:start w:val="1"/>
      <w:numFmt w:val="decimal"/>
      <w:lvlText w:val="%1.%2.%3.%4.%5.%6.%7"/>
      <w:lvlJc w:val="left"/>
      <w:pPr>
        <w:ind w:left="2088" w:hanging="1296"/>
      </w:pPr>
      <w:rPr>
        <w:rFonts w:cs="Times New Roman" w:hint="default"/>
      </w:rPr>
    </w:lvl>
    <w:lvl w:ilvl="7">
      <w:start w:val="1"/>
      <w:numFmt w:val="decimal"/>
      <w:lvlText w:val="%1.%2.%3.%4.%5.%6.%7.%8"/>
      <w:lvlJc w:val="left"/>
      <w:pPr>
        <w:ind w:left="2232" w:hanging="1440"/>
      </w:pPr>
      <w:rPr>
        <w:rFonts w:cs="Times New Roman" w:hint="default"/>
      </w:rPr>
    </w:lvl>
    <w:lvl w:ilvl="8">
      <w:start w:val="1"/>
      <w:numFmt w:val="decimal"/>
      <w:lvlText w:val="%1.%2.%3.%4.%5.%6.%7.%8.%9"/>
      <w:lvlJc w:val="left"/>
      <w:pPr>
        <w:ind w:left="2376" w:hanging="1584"/>
      </w:pPr>
      <w:rPr>
        <w:rFonts w:cs="Times New Roman" w:hint="default"/>
      </w:rPr>
    </w:lvl>
  </w:abstractNum>
  <w:abstractNum w:abstractNumId="1" w15:restartNumberingAfterBreak="0">
    <w:nsid w:val="50742DB9"/>
    <w:multiLevelType w:val="multilevel"/>
    <w:tmpl w:val="B66CDFE0"/>
    <w:lvl w:ilvl="0">
      <w:start w:val="1"/>
      <w:numFmt w:val="bullet"/>
      <w:lvlText w:val="o"/>
      <w:lvlJc w:val="left"/>
      <w:pPr>
        <w:ind w:left="1656" w:hanging="432"/>
      </w:pPr>
      <w:rPr>
        <w:rFonts w:ascii="Courier New" w:hAnsi="Courier New" w:hint="default"/>
        <w:sz w:val="20"/>
      </w:rPr>
    </w:lvl>
    <w:lvl w:ilvl="1">
      <w:start w:val="1"/>
      <w:numFmt w:val="decimal"/>
      <w:lvlText w:val="%2."/>
      <w:lvlJc w:val="left"/>
      <w:pPr>
        <w:ind w:left="1800" w:hanging="576"/>
      </w:pPr>
      <w:rPr>
        <w:rFonts w:hint="default"/>
      </w:rPr>
    </w:lvl>
    <w:lvl w:ilvl="2">
      <w:start w:val="1"/>
      <w:numFmt w:val="decimal"/>
      <w:lvlText w:val="%1.%2.%3"/>
      <w:lvlJc w:val="left"/>
      <w:pPr>
        <w:ind w:left="1944" w:hanging="720"/>
      </w:pPr>
      <w:rPr>
        <w:rFonts w:cs="Times New Roman" w:hint="default"/>
      </w:rPr>
    </w:lvl>
    <w:lvl w:ilvl="3">
      <w:start w:val="1"/>
      <w:numFmt w:val="decimal"/>
      <w:lvlText w:val="%1.%2.%3.%4"/>
      <w:lvlJc w:val="left"/>
      <w:pPr>
        <w:ind w:left="2088" w:hanging="864"/>
      </w:pPr>
      <w:rPr>
        <w:rFonts w:cs="Times New Roman" w:hint="default"/>
      </w:rPr>
    </w:lvl>
    <w:lvl w:ilvl="4">
      <w:start w:val="1"/>
      <w:numFmt w:val="decimal"/>
      <w:lvlText w:val="%5."/>
      <w:lvlJc w:val="left"/>
      <w:pPr>
        <w:ind w:left="2232" w:hanging="1008"/>
      </w:pPr>
      <w:rPr>
        <w:rFonts w:hint="default"/>
      </w:rPr>
    </w:lvl>
    <w:lvl w:ilvl="5">
      <w:start w:val="1"/>
      <w:numFmt w:val="decimal"/>
      <w:lvlText w:val="%1.%2.%3.%4.%5.%6"/>
      <w:lvlJc w:val="left"/>
      <w:pPr>
        <w:ind w:left="2376" w:hanging="1152"/>
      </w:pPr>
      <w:rPr>
        <w:rFonts w:cs="Times New Roman" w:hint="default"/>
      </w:rPr>
    </w:lvl>
    <w:lvl w:ilvl="6">
      <w:start w:val="1"/>
      <w:numFmt w:val="decimal"/>
      <w:lvlText w:val="%1.%2.%3.%4.%5.%6.%7"/>
      <w:lvlJc w:val="left"/>
      <w:pPr>
        <w:ind w:left="2520" w:hanging="1296"/>
      </w:pPr>
      <w:rPr>
        <w:rFonts w:cs="Times New Roman" w:hint="default"/>
      </w:rPr>
    </w:lvl>
    <w:lvl w:ilvl="7">
      <w:start w:val="1"/>
      <w:numFmt w:val="decimal"/>
      <w:lvlText w:val="%1.%2.%3.%4.%5.%6.%7.%8"/>
      <w:lvlJc w:val="left"/>
      <w:pPr>
        <w:ind w:left="2664" w:hanging="1440"/>
      </w:pPr>
      <w:rPr>
        <w:rFonts w:cs="Times New Roman" w:hint="default"/>
      </w:rPr>
    </w:lvl>
    <w:lvl w:ilvl="8">
      <w:start w:val="1"/>
      <w:numFmt w:val="decimal"/>
      <w:lvlText w:val="%1.%2.%3.%4.%5.%6.%7.%8.%9"/>
      <w:lvlJc w:val="left"/>
      <w:pPr>
        <w:ind w:left="2808" w:hanging="1584"/>
      </w:pPr>
      <w:rPr>
        <w:rFonts w:cs="Times New Roman" w:hint="default"/>
      </w:rPr>
    </w:lvl>
  </w:abstractNum>
  <w:abstractNum w:abstractNumId="2" w15:restartNumberingAfterBreak="0">
    <w:nsid w:val="745C452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A7"/>
    <w:rsid w:val="00026E89"/>
    <w:rsid w:val="00035740"/>
    <w:rsid w:val="00062A1E"/>
    <w:rsid w:val="00065243"/>
    <w:rsid w:val="0010102E"/>
    <w:rsid w:val="0010541D"/>
    <w:rsid w:val="00142440"/>
    <w:rsid w:val="001B66A5"/>
    <w:rsid w:val="001B7336"/>
    <w:rsid w:val="002A008E"/>
    <w:rsid w:val="002B26BB"/>
    <w:rsid w:val="00425FCD"/>
    <w:rsid w:val="00435B2F"/>
    <w:rsid w:val="005C3F38"/>
    <w:rsid w:val="00604CF7"/>
    <w:rsid w:val="00636504"/>
    <w:rsid w:val="00690574"/>
    <w:rsid w:val="00764A8B"/>
    <w:rsid w:val="00787DA7"/>
    <w:rsid w:val="007A1E42"/>
    <w:rsid w:val="007D023A"/>
    <w:rsid w:val="009873D3"/>
    <w:rsid w:val="009B292F"/>
    <w:rsid w:val="009E2D25"/>
    <w:rsid w:val="009F643F"/>
    <w:rsid w:val="00A869C0"/>
    <w:rsid w:val="00AB0968"/>
    <w:rsid w:val="00B13B90"/>
    <w:rsid w:val="00B7502B"/>
    <w:rsid w:val="00C13F19"/>
    <w:rsid w:val="00C33CE0"/>
    <w:rsid w:val="00CF68A4"/>
    <w:rsid w:val="00D10272"/>
    <w:rsid w:val="00E14919"/>
    <w:rsid w:val="00EC15A0"/>
    <w:rsid w:val="00F36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6E6D10CC"/>
  <w15:chartTrackingRefBased/>
  <w15:docId w15:val="{AF9ADA55-B138-4945-94C4-95883FF2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DA7"/>
  </w:style>
  <w:style w:type="paragraph" w:styleId="Footer">
    <w:name w:val="footer"/>
    <w:basedOn w:val="Normal"/>
    <w:link w:val="FooterChar"/>
    <w:uiPriority w:val="99"/>
    <w:unhideWhenUsed/>
    <w:rsid w:val="00787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DA7"/>
  </w:style>
  <w:style w:type="paragraph" w:styleId="FootnoteText">
    <w:name w:val="footnote text"/>
    <w:basedOn w:val="Normal"/>
    <w:link w:val="FootnoteTextChar"/>
    <w:semiHidden/>
    <w:rsid w:val="00787DA7"/>
    <w:pPr>
      <w:spacing w:after="0" w:line="240" w:lineRule="auto"/>
    </w:pPr>
    <w:rPr>
      <w:rFonts w:ascii="Arial" w:eastAsia="Times New Roman" w:hAnsi="Arial" w:cs="Times New Roman"/>
      <w:color w:val="404040"/>
      <w:sz w:val="20"/>
      <w:szCs w:val="20"/>
    </w:rPr>
  </w:style>
  <w:style w:type="character" w:customStyle="1" w:styleId="FootnoteTextChar">
    <w:name w:val="Footnote Text Char"/>
    <w:basedOn w:val="DefaultParagraphFont"/>
    <w:link w:val="FootnoteText"/>
    <w:semiHidden/>
    <w:rsid w:val="00787DA7"/>
    <w:rPr>
      <w:rFonts w:ascii="Arial" w:eastAsia="Times New Roman" w:hAnsi="Arial" w:cs="Times New Roman"/>
      <w:color w:val="404040"/>
      <w:sz w:val="20"/>
      <w:szCs w:val="20"/>
    </w:rPr>
  </w:style>
  <w:style w:type="character" w:styleId="FootnoteReference">
    <w:name w:val="footnote reference"/>
    <w:basedOn w:val="DefaultParagraphFont"/>
    <w:uiPriority w:val="99"/>
    <w:semiHidden/>
    <w:unhideWhenUsed/>
    <w:rsid w:val="00787DA7"/>
    <w:rPr>
      <w:vertAlign w:val="superscript"/>
    </w:rPr>
  </w:style>
  <w:style w:type="paragraph" w:styleId="BalloonText">
    <w:name w:val="Balloon Text"/>
    <w:basedOn w:val="Normal"/>
    <w:link w:val="BalloonTextChar"/>
    <w:uiPriority w:val="99"/>
    <w:semiHidden/>
    <w:unhideWhenUsed/>
    <w:rsid w:val="00EC1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5A0"/>
    <w:rPr>
      <w:rFonts w:ascii="Segoe UI" w:hAnsi="Segoe UI" w:cs="Segoe UI"/>
      <w:sz w:val="18"/>
      <w:szCs w:val="18"/>
    </w:rPr>
  </w:style>
  <w:style w:type="character" w:styleId="CommentReference">
    <w:name w:val="annotation reference"/>
    <w:basedOn w:val="DefaultParagraphFont"/>
    <w:uiPriority w:val="99"/>
    <w:semiHidden/>
    <w:unhideWhenUsed/>
    <w:rsid w:val="00E14919"/>
    <w:rPr>
      <w:sz w:val="16"/>
      <w:szCs w:val="16"/>
    </w:rPr>
  </w:style>
  <w:style w:type="paragraph" w:styleId="CommentText">
    <w:name w:val="annotation text"/>
    <w:basedOn w:val="Normal"/>
    <w:link w:val="CommentTextChar"/>
    <w:uiPriority w:val="99"/>
    <w:semiHidden/>
    <w:unhideWhenUsed/>
    <w:rsid w:val="00E14919"/>
    <w:pPr>
      <w:spacing w:line="240" w:lineRule="auto"/>
    </w:pPr>
    <w:rPr>
      <w:sz w:val="20"/>
      <w:szCs w:val="20"/>
    </w:rPr>
  </w:style>
  <w:style w:type="character" w:customStyle="1" w:styleId="CommentTextChar">
    <w:name w:val="Comment Text Char"/>
    <w:basedOn w:val="DefaultParagraphFont"/>
    <w:link w:val="CommentText"/>
    <w:uiPriority w:val="99"/>
    <w:semiHidden/>
    <w:rsid w:val="00E14919"/>
    <w:rPr>
      <w:sz w:val="20"/>
      <w:szCs w:val="20"/>
    </w:rPr>
  </w:style>
  <w:style w:type="paragraph" w:styleId="CommentSubject">
    <w:name w:val="annotation subject"/>
    <w:basedOn w:val="CommentText"/>
    <w:next w:val="CommentText"/>
    <w:link w:val="CommentSubjectChar"/>
    <w:uiPriority w:val="99"/>
    <w:semiHidden/>
    <w:unhideWhenUsed/>
    <w:rsid w:val="00E14919"/>
    <w:rPr>
      <w:b/>
      <w:bCs/>
    </w:rPr>
  </w:style>
  <w:style w:type="character" w:customStyle="1" w:styleId="CommentSubjectChar">
    <w:name w:val="Comment Subject Char"/>
    <w:basedOn w:val="CommentTextChar"/>
    <w:link w:val="CommentSubject"/>
    <w:uiPriority w:val="99"/>
    <w:semiHidden/>
    <w:rsid w:val="00E14919"/>
    <w:rPr>
      <w:b/>
      <w:bCs/>
      <w:sz w:val="20"/>
      <w:szCs w:val="20"/>
    </w:rPr>
  </w:style>
  <w:style w:type="character" w:styleId="Hyperlink">
    <w:name w:val="Hyperlink"/>
    <w:basedOn w:val="DefaultParagraphFont"/>
    <w:uiPriority w:val="99"/>
    <w:unhideWhenUsed/>
    <w:rsid w:val="007D02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vil.circuits@supcourt.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confluence-scv/download/attachments/1082116/SCV_RGB_B.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sonal.injuries@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1" ma:contentTypeDescription="Create a new document." ma:contentTypeScope="" ma:versionID="226897e7c8e3fef5b8750d73f00d967e">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482114006d0d341a8d0544933ea487b9"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D7F80-62F8-42C4-B338-30239482B4A5}">
  <ds:schemaRefs>
    <ds:schemaRef ds:uri="http://schemas.microsoft.com/sharepoint/v3/contenttype/forms"/>
  </ds:schemaRefs>
</ds:datastoreItem>
</file>

<file path=customXml/itemProps2.xml><?xml version="1.0" encoding="utf-8"?>
<ds:datastoreItem xmlns:ds="http://schemas.openxmlformats.org/officeDocument/2006/customXml" ds:itemID="{806F924A-3A7B-49D9-87FD-5E0DC23F14A9}">
  <ds:schemaRefs>
    <ds:schemaRef ds:uri="http://purl.org/dc/elements/1.1/"/>
    <ds:schemaRef ds:uri="http://schemas.microsoft.com/office/2006/metadata/properties"/>
    <ds:schemaRef ds:uri="http://purl.org/dc/terms/"/>
    <ds:schemaRef ds:uri="263eaefd-0475-4860-b86f-622cd66f4e0c"/>
    <ds:schemaRef ds:uri="http://schemas.microsoft.com/office/2006/documentManagement/types"/>
    <ds:schemaRef ds:uri="http://schemas.openxmlformats.org/package/2006/metadata/core-properties"/>
    <ds:schemaRef ds:uri="http://schemas.microsoft.com/office/infopath/2007/PartnerControls"/>
    <ds:schemaRef ds:uri="bdde84cb-4b1f-4b74-b4a5-14e1a433eee1"/>
    <ds:schemaRef ds:uri="http://www.w3.org/XML/1998/namespace"/>
    <ds:schemaRef ds:uri="http://purl.org/dc/dcmitype/"/>
  </ds:schemaRefs>
</ds:datastoreItem>
</file>

<file path=customXml/itemProps3.xml><?xml version="1.0" encoding="utf-8"?>
<ds:datastoreItem xmlns:ds="http://schemas.openxmlformats.org/officeDocument/2006/customXml" ds:itemID="{4CDF69B7-1DCE-45E9-9220-B0AEBA4E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21D81-2835-472E-9144-D987F43E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5348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Clark</dc:creator>
  <cp:keywords/>
  <dc:description/>
  <cp:lastModifiedBy>Andrew Wicking</cp:lastModifiedBy>
  <cp:revision>2</cp:revision>
  <dcterms:created xsi:type="dcterms:W3CDTF">2018-10-22T23:14:00Z</dcterms:created>
  <dcterms:modified xsi:type="dcterms:W3CDTF">2018-10-22T23:14:00Z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