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8260E" w14:textId="77777777" w:rsidR="00270D25" w:rsidRPr="007D49F6" w:rsidRDefault="00270D25" w:rsidP="00270D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9F6"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2C70A212" wp14:editId="78064ACD">
            <wp:extent cx="1123950" cy="1123950"/>
            <wp:effectExtent l="0" t="0" r="0" b="0"/>
            <wp:docPr id="1" name="Picture 1" descr="http://confluence-scv/download/attachments/1082116/SCV_RGB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fluence-scv/download/attachments/1082116/SCV_RGB_B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8C57E" w14:textId="77777777" w:rsidR="00BF7AC3" w:rsidRPr="007D49F6" w:rsidRDefault="00BF7AC3" w:rsidP="00270D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FD6DE2" w14:textId="77777777" w:rsidR="00270D25" w:rsidRPr="007D49F6" w:rsidRDefault="00270D25" w:rsidP="00270D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49F6">
        <w:rPr>
          <w:rFonts w:ascii="Times New Roman" w:hAnsi="Times New Roman" w:cs="Times New Roman"/>
          <w:b/>
          <w:sz w:val="36"/>
          <w:szCs w:val="36"/>
        </w:rPr>
        <w:t>Summary of Judgment</w:t>
      </w:r>
    </w:p>
    <w:p w14:paraId="378B2478" w14:textId="5D2E9A6E" w:rsidR="00270D25" w:rsidRPr="00F44D4F" w:rsidRDefault="00963491" w:rsidP="00270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D4F">
        <w:rPr>
          <w:rFonts w:ascii="Times New Roman" w:hAnsi="Times New Roman" w:cs="Times New Roman"/>
          <w:b/>
          <w:i/>
          <w:sz w:val="24"/>
          <w:szCs w:val="24"/>
        </w:rPr>
        <w:t xml:space="preserve">Mirboo Ridge Pty Ltd &amp; </w:t>
      </w:r>
      <w:proofErr w:type="spellStart"/>
      <w:r w:rsidRPr="00F44D4F">
        <w:rPr>
          <w:rFonts w:ascii="Times New Roman" w:hAnsi="Times New Roman" w:cs="Times New Roman"/>
          <w:b/>
          <w:i/>
          <w:sz w:val="24"/>
          <w:szCs w:val="24"/>
        </w:rPr>
        <w:t>ors</w:t>
      </w:r>
      <w:proofErr w:type="spellEnd"/>
      <w:r w:rsidRPr="00F44D4F">
        <w:rPr>
          <w:rFonts w:ascii="Times New Roman" w:hAnsi="Times New Roman" w:cs="Times New Roman"/>
          <w:b/>
          <w:i/>
          <w:sz w:val="24"/>
          <w:szCs w:val="24"/>
        </w:rPr>
        <w:t xml:space="preserve"> v Minister for Resources </w:t>
      </w:r>
      <w:bookmarkStart w:id="0" w:name="VSCyearDate"/>
      <w:r w:rsidR="00791FA0" w:rsidRPr="00F44D4F">
        <w:rPr>
          <w:rFonts w:ascii="Times New Roman" w:hAnsi="Times New Roman" w:cs="Times New Roman"/>
          <w:b/>
          <w:i/>
          <w:sz w:val="24"/>
          <w:szCs w:val="24"/>
        </w:rPr>
        <w:t>[</w:t>
      </w:r>
      <w:bookmarkEnd w:id="0"/>
      <w:r w:rsidR="00791FA0" w:rsidRPr="00F44D4F">
        <w:rPr>
          <w:rFonts w:ascii="Times New Roman" w:hAnsi="Times New Roman" w:cs="Times New Roman"/>
          <w:b/>
          <w:i/>
          <w:sz w:val="24"/>
          <w:szCs w:val="24"/>
        </w:rPr>
        <w:t xml:space="preserve">2018] VSC </w:t>
      </w:r>
      <w:bookmarkStart w:id="1" w:name="COVvsc"/>
      <w:bookmarkEnd w:id="1"/>
      <w:r w:rsidR="00BD1FAF">
        <w:rPr>
          <w:rFonts w:ascii="Times New Roman" w:hAnsi="Times New Roman" w:cs="Times New Roman"/>
          <w:b/>
          <w:i/>
          <w:sz w:val="24"/>
          <w:szCs w:val="24"/>
        </w:rPr>
        <w:t>557</w:t>
      </w:r>
    </w:p>
    <w:p w14:paraId="7FA6A932" w14:textId="56496922" w:rsidR="00F44D4F" w:rsidRDefault="00822AA5" w:rsidP="00822AA5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September 2018</w:t>
      </w:r>
    </w:p>
    <w:p w14:paraId="6EB163EF" w14:textId="77777777" w:rsidR="00822AA5" w:rsidRDefault="00822AA5" w:rsidP="00131D76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</w:rPr>
      </w:pPr>
    </w:p>
    <w:p w14:paraId="0EB0B533" w14:textId="77777777" w:rsidR="00040F97" w:rsidRDefault="0002371B" w:rsidP="00131D76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</w:rPr>
      </w:pPr>
      <w:r w:rsidRPr="00F44D4F">
        <w:rPr>
          <w:rFonts w:ascii="Times New Roman" w:hAnsi="Times New Roman" w:cs="Times New Roman"/>
        </w:rPr>
        <w:t>T</w:t>
      </w:r>
      <w:r w:rsidR="00647564" w:rsidRPr="00F44D4F">
        <w:rPr>
          <w:rFonts w:ascii="Times New Roman" w:hAnsi="Times New Roman" w:cs="Times New Roman"/>
        </w:rPr>
        <w:t xml:space="preserve">he Supreme Court of Victoria </w:t>
      </w:r>
      <w:r w:rsidR="00040F97">
        <w:rPr>
          <w:rFonts w:ascii="Times New Roman" w:hAnsi="Times New Roman" w:cs="Times New Roman"/>
        </w:rPr>
        <w:t>has</w:t>
      </w:r>
      <w:r w:rsidRPr="00F44D4F">
        <w:rPr>
          <w:rFonts w:ascii="Times New Roman" w:hAnsi="Times New Roman" w:cs="Times New Roman"/>
        </w:rPr>
        <w:t xml:space="preserve"> </w:t>
      </w:r>
      <w:r w:rsidR="008E789A" w:rsidRPr="00F44D4F">
        <w:rPr>
          <w:rFonts w:ascii="Times New Roman" w:hAnsi="Times New Roman" w:cs="Times New Roman"/>
        </w:rPr>
        <w:t>rejected a claim by subsidiaries of resource</w:t>
      </w:r>
      <w:r w:rsidR="00040F97">
        <w:rPr>
          <w:rFonts w:ascii="Times New Roman" w:hAnsi="Times New Roman" w:cs="Times New Roman"/>
        </w:rPr>
        <w:t>s group</w:t>
      </w:r>
      <w:r w:rsidR="008E789A" w:rsidRPr="00F44D4F">
        <w:rPr>
          <w:rFonts w:ascii="Times New Roman" w:hAnsi="Times New Roman" w:cs="Times New Roman"/>
        </w:rPr>
        <w:t xml:space="preserve"> Lakes Oil that </w:t>
      </w:r>
      <w:r w:rsidR="00963491" w:rsidRPr="00F44D4F">
        <w:rPr>
          <w:rFonts w:ascii="Times New Roman" w:hAnsi="Times New Roman" w:cs="Times New Roman"/>
        </w:rPr>
        <w:t xml:space="preserve">measures </w:t>
      </w:r>
      <w:r w:rsidR="00040F97">
        <w:rPr>
          <w:rFonts w:ascii="Times New Roman" w:hAnsi="Times New Roman" w:cs="Times New Roman"/>
        </w:rPr>
        <w:t>taken b</w:t>
      </w:r>
      <w:r w:rsidR="00963491" w:rsidRPr="00F44D4F">
        <w:rPr>
          <w:rFonts w:ascii="Times New Roman" w:hAnsi="Times New Roman" w:cs="Times New Roman"/>
        </w:rPr>
        <w:t xml:space="preserve">y the Victorian government </w:t>
      </w:r>
      <w:r w:rsidR="008E789A" w:rsidRPr="00F44D4F">
        <w:rPr>
          <w:rFonts w:ascii="Times New Roman" w:hAnsi="Times New Roman" w:cs="Times New Roman"/>
        </w:rPr>
        <w:t xml:space="preserve">to </w:t>
      </w:r>
      <w:r w:rsidR="00963491" w:rsidRPr="00F44D4F">
        <w:rPr>
          <w:rFonts w:ascii="Times New Roman" w:hAnsi="Times New Roman" w:cs="Times New Roman"/>
        </w:rPr>
        <w:t xml:space="preserve">implement </w:t>
      </w:r>
      <w:r w:rsidR="008E789A" w:rsidRPr="00F44D4F">
        <w:rPr>
          <w:rFonts w:ascii="Times New Roman" w:hAnsi="Times New Roman" w:cs="Times New Roman"/>
        </w:rPr>
        <w:t xml:space="preserve">a </w:t>
      </w:r>
      <w:r w:rsidR="00963491" w:rsidRPr="00F44D4F">
        <w:rPr>
          <w:rFonts w:ascii="Times New Roman" w:hAnsi="Times New Roman" w:cs="Times New Roman"/>
        </w:rPr>
        <w:t>state</w:t>
      </w:r>
      <w:r w:rsidR="00E00AAF" w:rsidRPr="00F44D4F">
        <w:rPr>
          <w:rFonts w:ascii="Times New Roman" w:hAnsi="Times New Roman" w:cs="Times New Roman"/>
        </w:rPr>
        <w:t>-</w:t>
      </w:r>
      <w:r w:rsidR="00963491" w:rsidRPr="00F44D4F">
        <w:rPr>
          <w:rFonts w:ascii="Times New Roman" w:hAnsi="Times New Roman" w:cs="Times New Roman"/>
        </w:rPr>
        <w:t>wide moratorium on onshore petroleum exploration</w:t>
      </w:r>
      <w:r w:rsidR="008E789A" w:rsidRPr="00F44D4F">
        <w:rPr>
          <w:rFonts w:ascii="Times New Roman" w:hAnsi="Times New Roman" w:cs="Times New Roman"/>
        </w:rPr>
        <w:t xml:space="preserve"> were unlawful or ineffective</w:t>
      </w:r>
      <w:r w:rsidR="00963491" w:rsidRPr="00F44D4F">
        <w:rPr>
          <w:rFonts w:ascii="Times New Roman" w:hAnsi="Times New Roman" w:cs="Times New Roman"/>
        </w:rPr>
        <w:t>.</w:t>
      </w:r>
    </w:p>
    <w:p w14:paraId="77678BD3" w14:textId="77777777" w:rsidR="00040F97" w:rsidRDefault="00040F97" w:rsidP="00131D76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</w:rPr>
      </w:pPr>
    </w:p>
    <w:p w14:paraId="2D476453" w14:textId="31B356F7" w:rsidR="00040F97" w:rsidRDefault="00040F97" w:rsidP="00131D76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F44D4F">
        <w:rPr>
          <w:rFonts w:ascii="Times New Roman" w:hAnsi="Times New Roman" w:cs="Times New Roman"/>
        </w:rPr>
        <w:t>he moratorium</w:t>
      </w:r>
      <w:r>
        <w:rPr>
          <w:rFonts w:ascii="Times New Roman" w:hAnsi="Times New Roman" w:cs="Times New Roman"/>
        </w:rPr>
        <w:t xml:space="preserve">, first announced in August 2012, </w:t>
      </w:r>
      <w:r w:rsidRPr="00F44D4F">
        <w:rPr>
          <w:rFonts w:ascii="Times New Roman" w:hAnsi="Times New Roman" w:cs="Times New Roman"/>
        </w:rPr>
        <w:t>initially applied only to hydraulic fracturing (‘fracking’)</w:t>
      </w:r>
      <w:r>
        <w:rPr>
          <w:rFonts w:ascii="Times New Roman" w:hAnsi="Times New Roman" w:cs="Times New Roman"/>
        </w:rPr>
        <w:t xml:space="preserve">, and </w:t>
      </w:r>
      <w:r w:rsidRPr="00F44D4F">
        <w:rPr>
          <w:rFonts w:ascii="Times New Roman" w:hAnsi="Times New Roman" w:cs="Times New Roman"/>
        </w:rPr>
        <w:t xml:space="preserve">was implemented through government policy rather than changes to the </w:t>
      </w:r>
      <w:r w:rsidRPr="00F44D4F">
        <w:rPr>
          <w:rFonts w:ascii="Times New Roman" w:hAnsi="Times New Roman" w:cs="Times New Roman"/>
          <w:i/>
        </w:rPr>
        <w:t>Petroleum Act</w:t>
      </w:r>
      <w:r w:rsidR="00265769">
        <w:rPr>
          <w:rFonts w:ascii="Times New Roman" w:hAnsi="Times New Roman" w:cs="Times New Roman"/>
          <w:i/>
        </w:rPr>
        <w:t xml:space="preserve"> 1998</w:t>
      </w:r>
      <w:r w:rsidRPr="00F44D4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F44D4F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government widened the </w:t>
      </w:r>
      <w:r w:rsidRPr="00F44D4F">
        <w:rPr>
          <w:rFonts w:ascii="Times New Roman" w:hAnsi="Times New Roman" w:cs="Times New Roman"/>
        </w:rPr>
        <w:t xml:space="preserve">moratorium in 2014 to include </w:t>
      </w:r>
      <w:r w:rsidRPr="00F44D4F">
        <w:rPr>
          <w:rFonts w:ascii="Times New Roman" w:hAnsi="Times New Roman" w:cs="Times New Roman"/>
          <w:i/>
        </w:rPr>
        <w:t>all</w:t>
      </w:r>
      <w:r w:rsidRPr="00F44D4F">
        <w:rPr>
          <w:rFonts w:ascii="Times New Roman" w:hAnsi="Times New Roman" w:cs="Times New Roman"/>
        </w:rPr>
        <w:t xml:space="preserve"> onshore gas exploration activities</w:t>
      </w:r>
      <w:r>
        <w:rPr>
          <w:rFonts w:ascii="Times New Roman" w:hAnsi="Times New Roman" w:cs="Times New Roman"/>
        </w:rPr>
        <w:t xml:space="preserve">. In March 2017, the Victorian Parliament </w:t>
      </w:r>
      <w:r w:rsidRPr="00F44D4F">
        <w:rPr>
          <w:rFonts w:ascii="Times New Roman" w:hAnsi="Times New Roman" w:cs="Times New Roman"/>
        </w:rPr>
        <w:t xml:space="preserve">enacted the </w:t>
      </w:r>
      <w:r w:rsidRPr="00F44D4F">
        <w:rPr>
          <w:rFonts w:ascii="Times New Roman" w:hAnsi="Times New Roman" w:cs="Times New Roman"/>
          <w:i/>
        </w:rPr>
        <w:t>Resources Legislation Amendment (Fracking Ban) Act 2017</w:t>
      </w:r>
      <w:r w:rsidRPr="00F44D4F">
        <w:rPr>
          <w:rFonts w:ascii="Times New Roman" w:hAnsi="Times New Roman" w:cs="Times New Roman"/>
        </w:rPr>
        <w:t xml:space="preserve"> (Vic) (the </w:t>
      </w:r>
      <w:r w:rsidRPr="00F44D4F">
        <w:rPr>
          <w:rFonts w:ascii="Times New Roman" w:hAnsi="Times New Roman" w:cs="Times New Roman"/>
          <w:i/>
        </w:rPr>
        <w:t>‘Fracking Ban Act’</w:t>
      </w:r>
      <w:r w:rsidRPr="00F44D4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="00DB45CE" w:rsidRPr="006B0568">
        <w:rPr>
          <w:rFonts w:ascii="Times New Roman" w:hAnsi="Times New Roman" w:cs="Times New Roman"/>
        </w:rPr>
        <w:t xml:space="preserve">amending the </w:t>
      </w:r>
      <w:r w:rsidR="00DB45CE" w:rsidRPr="006B0568">
        <w:rPr>
          <w:rFonts w:ascii="Times New Roman" w:hAnsi="Times New Roman" w:cs="Times New Roman"/>
          <w:i/>
        </w:rPr>
        <w:t>Petroleum Act 1998</w:t>
      </w:r>
      <w:r w:rsidR="00DB45C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which effectively extended the ban until 30 June 2020.</w:t>
      </w:r>
    </w:p>
    <w:p w14:paraId="2A4DDC85" w14:textId="77777777" w:rsidR="00040F97" w:rsidRDefault="00040F97" w:rsidP="00131D76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</w:rPr>
      </w:pPr>
    </w:p>
    <w:p w14:paraId="20296F92" w14:textId="66DF021A" w:rsidR="00040F97" w:rsidRDefault="00963491" w:rsidP="00131D76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</w:rPr>
      </w:pPr>
      <w:r w:rsidRPr="00F44D4F">
        <w:rPr>
          <w:rFonts w:ascii="Times New Roman" w:hAnsi="Times New Roman" w:cs="Times New Roman"/>
        </w:rPr>
        <w:t xml:space="preserve">The resource companies </w:t>
      </w:r>
      <w:r w:rsidR="00040F97" w:rsidRPr="00F44D4F">
        <w:rPr>
          <w:rFonts w:ascii="Times New Roman" w:hAnsi="Times New Roman" w:cs="Times New Roman"/>
        </w:rPr>
        <w:t xml:space="preserve">held six ‘authorities’ to explore for petroleum gas in </w:t>
      </w:r>
      <w:r w:rsidR="00265769">
        <w:rPr>
          <w:rFonts w:ascii="Times New Roman" w:hAnsi="Times New Roman" w:cs="Times New Roman"/>
        </w:rPr>
        <w:t xml:space="preserve">certain </w:t>
      </w:r>
      <w:r w:rsidR="00040F97" w:rsidRPr="00F44D4F">
        <w:rPr>
          <w:rFonts w:ascii="Times New Roman" w:hAnsi="Times New Roman" w:cs="Times New Roman"/>
        </w:rPr>
        <w:t xml:space="preserve">onshore areas in </w:t>
      </w:r>
      <w:r w:rsidR="00265769">
        <w:rPr>
          <w:rFonts w:ascii="Times New Roman" w:hAnsi="Times New Roman" w:cs="Times New Roman"/>
        </w:rPr>
        <w:t xml:space="preserve">south-western </w:t>
      </w:r>
      <w:r w:rsidR="00040F97" w:rsidRPr="00F44D4F">
        <w:rPr>
          <w:rFonts w:ascii="Times New Roman" w:hAnsi="Times New Roman" w:cs="Times New Roman"/>
        </w:rPr>
        <w:t xml:space="preserve">Victoria and Gippsland. </w:t>
      </w:r>
      <w:r w:rsidR="00040F97">
        <w:rPr>
          <w:rFonts w:ascii="Times New Roman" w:hAnsi="Times New Roman" w:cs="Times New Roman"/>
        </w:rPr>
        <w:t xml:space="preserve">These authorities </w:t>
      </w:r>
      <w:r w:rsidR="00265769">
        <w:rPr>
          <w:rFonts w:ascii="Times New Roman" w:hAnsi="Times New Roman" w:cs="Times New Roman"/>
        </w:rPr>
        <w:t xml:space="preserve">were </w:t>
      </w:r>
      <w:r w:rsidR="00040F97">
        <w:rPr>
          <w:rFonts w:ascii="Times New Roman" w:hAnsi="Times New Roman" w:cs="Times New Roman"/>
        </w:rPr>
        <w:t>g</w:t>
      </w:r>
      <w:r w:rsidR="00040F97" w:rsidRPr="00F44D4F">
        <w:rPr>
          <w:rFonts w:ascii="Times New Roman" w:hAnsi="Times New Roman" w:cs="Times New Roman"/>
        </w:rPr>
        <w:t xml:space="preserve">ranted </w:t>
      </w:r>
      <w:r w:rsidR="00040F97">
        <w:rPr>
          <w:rFonts w:ascii="Times New Roman" w:hAnsi="Times New Roman" w:cs="Times New Roman"/>
        </w:rPr>
        <w:t xml:space="preserve">between 2002 and 2013 </w:t>
      </w:r>
      <w:r w:rsidR="00040F97" w:rsidRPr="00F44D4F">
        <w:rPr>
          <w:rFonts w:ascii="Times New Roman" w:hAnsi="Times New Roman" w:cs="Times New Roman"/>
        </w:rPr>
        <w:t xml:space="preserve">under the </w:t>
      </w:r>
      <w:r w:rsidR="00040F97" w:rsidRPr="00F44D4F">
        <w:rPr>
          <w:rFonts w:ascii="Times New Roman" w:hAnsi="Times New Roman" w:cs="Times New Roman"/>
          <w:i/>
        </w:rPr>
        <w:t>Petroleum Act 1998</w:t>
      </w:r>
      <w:r w:rsidR="00040F97">
        <w:rPr>
          <w:rFonts w:ascii="Times New Roman" w:hAnsi="Times New Roman" w:cs="Times New Roman"/>
        </w:rPr>
        <w:t>.</w:t>
      </w:r>
      <w:r w:rsidR="00265769">
        <w:rPr>
          <w:rFonts w:ascii="Times New Roman" w:hAnsi="Times New Roman" w:cs="Times New Roman"/>
        </w:rPr>
        <w:t xml:space="preserve"> </w:t>
      </w:r>
      <w:r w:rsidR="00040F97">
        <w:rPr>
          <w:rFonts w:ascii="Times New Roman" w:hAnsi="Times New Roman" w:cs="Times New Roman"/>
        </w:rPr>
        <w:t xml:space="preserve">The companies asked the </w:t>
      </w:r>
      <w:r w:rsidR="005A736F" w:rsidRPr="00F44D4F">
        <w:rPr>
          <w:rFonts w:ascii="Times New Roman" w:hAnsi="Times New Roman" w:cs="Times New Roman"/>
        </w:rPr>
        <w:t xml:space="preserve">Court </w:t>
      </w:r>
      <w:r w:rsidR="00DF018F" w:rsidRPr="00F44D4F">
        <w:rPr>
          <w:rFonts w:ascii="Times New Roman" w:hAnsi="Times New Roman" w:cs="Times New Roman"/>
        </w:rPr>
        <w:t xml:space="preserve">to find </w:t>
      </w:r>
      <w:r w:rsidR="004461DD" w:rsidRPr="00F44D4F">
        <w:rPr>
          <w:rFonts w:ascii="Times New Roman" w:hAnsi="Times New Roman" w:cs="Times New Roman"/>
        </w:rPr>
        <w:t xml:space="preserve">that </w:t>
      </w:r>
      <w:r w:rsidR="00DF018F" w:rsidRPr="00F44D4F">
        <w:rPr>
          <w:rFonts w:ascii="Times New Roman" w:hAnsi="Times New Roman" w:cs="Times New Roman"/>
        </w:rPr>
        <w:t xml:space="preserve">the changes introduced by the </w:t>
      </w:r>
      <w:r w:rsidR="00DF018F" w:rsidRPr="00F44D4F">
        <w:rPr>
          <w:rFonts w:ascii="Times New Roman" w:hAnsi="Times New Roman" w:cs="Times New Roman"/>
          <w:i/>
        </w:rPr>
        <w:t xml:space="preserve">Fracking Ban Act </w:t>
      </w:r>
      <w:r w:rsidR="00DF018F" w:rsidRPr="00F44D4F">
        <w:rPr>
          <w:rFonts w:ascii="Times New Roman" w:hAnsi="Times New Roman" w:cs="Times New Roman"/>
        </w:rPr>
        <w:t xml:space="preserve">did </w:t>
      </w:r>
      <w:r w:rsidR="00DF018F" w:rsidRPr="00F44D4F">
        <w:rPr>
          <w:rFonts w:ascii="Times New Roman" w:hAnsi="Times New Roman" w:cs="Times New Roman"/>
          <w:i/>
        </w:rPr>
        <w:t>not</w:t>
      </w:r>
      <w:r w:rsidR="00DF018F" w:rsidRPr="00F44D4F">
        <w:rPr>
          <w:rFonts w:ascii="Times New Roman" w:hAnsi="Times New Roman" w:cs="Times New Roman"/>
        </w:rPr>
        <w:t xml:space="preserve"> prevent </w:t>
      </w:r>
      <w:r w:rsidR="00040F97">
        <w:rPr>
          <w:rFonts w:ascii="Times New Roman" w:hAnsi="Times New Roman" w:cs="Times New Roman"/>
        </w:rPr>
        <w:t xml:space="preserve">them </w:t>
      </w:r>
      <w:r w:rsidR="00DF018F" w:rsidRPr="00F44D4F">
        <w:rPr>
          <w:rFonts w:ascii="Times New Roman" w:hAnsi="Times New Roman" w:cs="Times New Roman"/>
        </w:rPr>
        <w:t xml:space="preserve">from carrying out ‘minimum work requirements’ </w:t>
      </w:r>
      <w:r w:rsidR="00040F97">
        <w:rPr>
          <w:rFonts w:ascii="Times New Roman" w:hAnsi="Times New Roman" w:cs="Times New Roman"/>
        </w:rPr>
        <w:t xml:space="preserve">that were </w:t>
      </w:r>
      <w:r w:rsidR="00DF018F" w:rsidRPr="00F44D4F">
        <w:rPr>
          <w:rFonts w:ascii="Times New Roman" w:hAnsi="Times New Roman" w:cs="Times New Roman"/>
        </w:rPr>
        <w:t>already permitted under the</w:t>
      </w:r>
      <w:r w:rsidR="00040F97">
        <w:rPr>
          <w:rFonts w:ascii="Times New Roman" w:hAnsi="Times New Roman" w:cs="Times New Roman"/>
        </w:rPr>
        <w:t xml:space="preserve">ir </w:t>
      </w:r>
      <w:r w:rsidR="00DF018F" w:rsidRPr="00F44D4F">
        <w:rPr>
          <w:rFonts w:ascii="Times New Roman" w:hAnsi="Times New Roman" w:cs="Times New Roman"/>
        </w:rPr>
        <w:t xml:space="preserve">authorities. They also </w:t>
      </w:r>
      <w:r w:rsidR="00040F97">
        <w:rPr>
          <w:rFonts w:ascii="Times New Roman" w:hAnsi="Times New Roman" w:cs="Times New Roman"/>
        </w:rPr>
        <w:t xml:space="preserve">submitted </w:t>
      </w:r>
      <w:r w:rsidR="00DF018F" w:rsidRPr="00F44D4F">
        <w:rPr>
          <w:rFonts w:ascii="Times New Roman" w:hAnsi="Times New Roman" w:cs="Times New Roman"/>
        </w:rPr>
        <w:t xml:space="preserve">that </w:t>
      </w:r>
      <w:r w:rsidR="004461DD" w:rsidRPr="00F44D4F">
        <w:rPr>
          <w:rFonts w:ascii="Times New Roman" w:hAnsi="Times New Roman" w:cs="Times New Roman"/>
        </w:rPr>
        <w:t xml:space="preserve">the Minister’s implementation of the moratorium </w:t>
      </w:r>
      <w:r w:rsidR="00040F97">
        <w:rPr>
          <w:rFonts w:ascii="Times New Roman" w:hAnsi="Times New Roman" w:cs="Times New Roman"/>
        </w:rPr>
        <w:t xml:space="preserve">before </w:t>
      </w:r>
      <w:r w:rsidR="004461DD" w:rsidRPr="00F44D4F">
        <w:rPr>
          <w:rFonts w:ascii="Times New Roman" w:hAnsi="Times New Roman" w:cs="Times New Roman"/>
        </w:rPr>
        <w:t>March 2017 had been unlawful</w:t>
      </w:r>
      <w:r w:rsidR="00DF018F" w:rsidRPr="00F44D4F">
        <w:rPr>
          <w:rFonts w:ascii="Times New Roman" w:hAnsi="Times New Roman" w:cs="Times New Roman"/>
        </w:rPr>
        <w:t>.</w:t>
      </w:r>
    </w:p>
    <w:p w14:paraId="26377B42" w14:textId="77777777" w:rsidR="00040F97" w:rsidRDefault="00040F97" w:rsidP="00131D76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</w:rPr>
      </w:pPr>
    </w:p>
    <w:p w14:paraId="533EC6CC" w14:textId="3AD56A07" w:rsidR="00CA7EA3" w:rsidRPr="00F44D4F" w:rsidRDefault="00DF018F" w:rsidP="00131D76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</w:rPr>
      </w:pPr>
      <w:r w:rsidRPr="00F44D4F">
        <w:rPr>
          <w:rFonts w:ascii="Times New Roman" w:hAnsi="Times New Roman" w:cs="Times New Roman"/>
        </w:rPr>
        <w:t xml:space="preserve">Justice Cameron Macaulay </w:t>
      </w:r>
      <w:r w:rsidR="00040F97">
        <w:rPr>
          <w:rFonts w:ascii="Times New Roman" w:hAnsi="Times New Roman" w:cs="Times New Roman"/>
        </w:rPr>
        <w:t xml:space="preserve">rejected the companies’ claim and found </w:t>
      </w:r>
      <w:r w:rsidRPr="00F44D4F">
        <w:rPr>
          <w:rFonts w:ascii="Times New Roman" w:hAnsi="Times New Roman" w:cs="Times New Roman"/>
        </w:rPr>
        <w:t xml:space="preserve">the 2017 legislative changes prohibited </w:t>
      </w:r>
      <w:r w:rsidRPr="00F44D4F">
        <w:rPr>
          <w:rFonts w:ascii="Times New Roman" w:hAnsi="Times New Roman" w:cs="Times New Roman"/>
          <w:i/>
        </w:rPr>
        <w:t>all</w:t>
      </w:r>
      <w:r w:rsidRPr="00F44D4F">
        <w:rPr>
          <w:rFonts w:ascii="Times New Roman" w:hAnsi="Times New Roman" w:cs="Times New Roman"/>
        </w:rPr>
        <w:t xml:space="preserve"> petroleum exploration work within the moratorium period. </w:t>
      </w:r>
      <w:r w:rsidR="00040F97">
        <w:rPr>
          <w:rFonts w:ascii="Times New Roman" w:hAnsi="Times New Roman" w:cs="Times New Roman"/>
        </w:rPr>
        <w:t>His Honour said t</w:t>
      </w:r>
      <w:r w:rsidR="00CA7EA3" w:rsidRPr="00F44D4F">
        <w:rPr>
          <w:rFonts w:ascii="Times New Roman" w:hAnsi="Times New Roman" w:cs="Times New Roman"/>
        </w:rPr>
        <w:t>he purpose behind the change was to ‘introduce a comprehensive moratorium on petroleu</w:t>
      </w:r>
      <w:bookmarkStart w:id="2" w:name="_GoBack"/>
      <w:bookmarkEnd w:id="2"/>
      <w:r w:rsidR="00CA7EA3" w:rsidRPr="00F44D4F">
        <w:rPr>
          <w:rFonts w:ascii="Times New Roman" w:hAnsi="Times New Roman" w:cs="Times New Roman"/>
        </w:rPr>
        <w:t>m exploration and production activities, otherwise allowed under existing authorities, with a recognition that such a moratorium would impact existing rights’.</w:t>
      </w:r>
    </w:p>
    <w:p w14:paraId="45F37824" w14:textId="77777777" w:rsidR="00CA7EA3" w:rsidRPr="00F44D4F" w:rsidRDefault="00CA7EA3" w:rsidP="00131D76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</w:rPr>
      </w:pPr>
    </w:p>
    <w:p w14:paraId="44C5887F" w14:textId="74247EA3" w:rsidR="00963491" w:rsidRPr="00F44D4F" w:rsidRDefault="00DB45CE" w:rsidP="00131D76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judge </w:t>
      </w:r>
      <w:r w:rsidR="00214462">
        <w:rPr>
          <w:rFonts w:ascii="Times New Roman" w:hAnsi="Times New Roman" w:cs="Times New Roman"/>
        </w:rPr>
        <w:t>said</w:t>
      </w:r>
      <w:r>
        <w:rPr>
          <w:rFonts w:ascii="Times New Roman" w:hAnsi="Times New Roman" w:cs="Times New Roman"/>
        </w:rPr>
        <w:t xml:space="preserve"> that determining whether or not </w:t>
      </w:r>
      <w:r w:rsidR="006B0568">
        <w:rPr>
          <w:rFonts w:ascii="Times New Roman" w:hAnsi="Times New Roman" w:cs="Times New Roman"/>
        </w:rPr>
        <w:t xml:space="preserve">the </w:t>
      </w:r>
      <w:r w:rsidR="00516E8C" w:rsidRPr="00F44D4F">
        <w:rPr>
          <w:rFonts w:ascii="Times New Roman" w:hAnsi="Times New Roman" w:cs="Times New Roman"/>
        </w:rPr>
        <w:t xml:space="preserve">Minister’s implementation of the </w:t>
      </w:r>
      <w:r>
        <w:rPr>
          <w:rFonts w:ascii="Times New Roman" w:hAnsi="Times New Roman" w:cs="Times New Roman"/>
        </w:rPr>
        <w:t xml:space="preserve">moratorium before </w:t>
      </w:r>
      <w:r w:rsidR="00516E8C" w:rsidRPr="00F44D4F">
        <w:rPr>
          <w:rFonts w:ascii="Times New Roman" w:hAnsi="Times New Roman" w:cs="Times New Roman"/>
        </w:rPr>
        <w:t>March 2017</w:t>
      </w:r>
      <w:r>
        <w:rPr>
          <w:rFonts w:ascii="Times New Roman" w:hAnsi="Times New Roman" w:cs="Times New Roman"/>
        </w:rPr>
        <w:t xml:space="preserve"> </w:t>
      </w:r>
      <w:r w:rsidR="00923116">
        <w:rPr>
          <w:rFonts w:ascii="Times New Roman" w:hAnsi="Times New Roman" w:cs="Times New Roman"/>
        </w:rPr>
        <w:t xml:space="preserve">was lawful </w:t>
      </w:r>
      <w:r>
        <w:rPr>
          <w:rFonts w:ascii="Times New Roman" w:hAnsi="Times New Roman" w:cs="Times New Roman"/>
        </w:rPr>
        <w:t xml:space="preserve">would produce no real consequence </w:t>
      </w:r>
      <w:r w:rsidR="00214462">
        <w:rPr>
          <w:rFonts w:ascii="Times New Roman" w:hAnsi="Times New Roman" w:cs="Times New Roman"/>
        </w:rPr>
        <w:t xml:space="preserve">and, for that reason, </w:t>
      </w:r>
      <w:r w:rsidR="00516E8C" w:rsidRPr="00F44D4F">
        <w:rPr>
          <w:rFonts w:ascii="Times New Roman" w:hAnsi="Times New Roman" w:cs="Times New Roman"/>
        </w:rPr>
        <w:t>dismissed that aspect of the claim</w:t>
      </w:r>
      <w:r w:rsidR="00214462">
        <w:rPr>
          <w:rFonts w:ascii="Times New Roman" w:hAnsi="Times New Roman" w:cs="Times New Roman"/>
        </w:rPr>
        <w:t>.</w:t>
      </w:r>
      <w:r w:rsidR="00516E8C" w:rsidRPr="00F44D4F">
        <w:rPr>
          <w:rFonts w:ascii="Times New Roman" w:hAnsi="Times New Roman" w:cs="Times New Roman"/>
        </w:rPr>
        <w:t xml:space="preserve">  </w:t>
      </w:r>
      <w:r w:rsidR="00DF018F" w:rsidRPr="00F44D4F">
        <w:rPr>
          <w:rFonts w:ascii="Times New Roman" w:hAnsi="Times New Roman" w:cs="Times New Roman"/>
        </w:rPr>
        <w:t xml:space="preserve">  </w:t>
      </w:r>
    </w:p>
    <w:p w14:paraId="2E6BFDA7" w14:textId="5094225B" w:rsidR="00516E8C" w:rsidRPr="00F44D4F" w:rsidRDefault="00516E8C" w:rsidP="00131D76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</w:rPr>
      </w:pPr>
    </w:p>
    <w:p w14:paraId="5DF6E55B" w14:textId="4468F3D6" w:rsidR="00516E8C" w:rsidRPr="00F44D4F" w:rsidRDefault="00516E8C" w:rsidP="00131D76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</w:rPr>
      </w:pPr>
      <w:r w:rsidRPr="00F44D4F">
        <w:rPr>
          <w:rFonts w:ascii="Times New Roman" w:hAnsi="Times New Roman" w:cs="Times New Roman"/>
        </w:rPr>
        <w:t xml:space="preserve">After the </w:t>
      </w:r>
      <w:r w:rsidR="00265769">
        <w:rPr>
          <w:rFonts w:ascii="Times New Roman" w:hAnsi="Times New Roman" w:cs="Times New Roman"/>
        </w:rPr>
        <w:t xml:space="preserve">March 2017 </w:t>
      </w:r>
      <w:r w:rsidRPr="00F44D4F">
        <w:rPr>
          <w:rFonts w:ascii="Times New Roman" w:hAnsi="Times New Roman" w:cs="Times New Roman"/>
        </w:rPr>
        <w:t>legislative changes</w:t>
      </w:r>
      <w:r w:rsidR="00265769">
        <w:rPr>
          <w:rFonts w:ascii="Times New Roman" w:hAnsi="Times New Roman" w:cs="Times New Roman"/>
        </w:rPr>
        <w:t xml:space="preserve">, </w:t>
      </w:r>
      <w:r w:rsidRPr="00F44D4F">
        <w:rPr>
          <w:rFonts w:ascii="Times New Roman" w:hAnsi="Times New Roman" w:cs="Times New Roman"/>
        </w:rPr>
        <w:t xml:space="preserve">the Minister varied the </w:t>
      </w:r>
      <w:r w:rsidR="00265769">
        <w:rPr>
          <w:rFonts w:ascii="Times New Roman" w:hAnsi="Times New Roman" w:cs="Times New Roman"/>
        </w:rPr>
        <w:t xml:space="preserve">companies’ </w:t>
      </w:r>
      <w:r w:rsidRPr="00F44D4F">
        <w:rPr>
          <w:rFonts w:ascii="Times New Roman" w:hAnsi="Times New Roman" w:cs="Times New Roman"/>
        </w:rPr>
        <w:t>six authorities</w:t>
      </w:r>
      <w:r w:rsidR="00265769">
        <w:rPr>
          <w:rFonts w:ascii="Times New Roman" w:hAnsi="Times New Roman" w:cs="Times New Roman"/>
        </w:rPr>
        <w:t xml:space="preserve"> with the intention of clarifying t</w:t>
      </w:r>
      <w:r w:rsidR="008D549A" w:rsidRPr="00F44D4F">
        <w:rPr>
          <w:rFonts w:ascii="Times New Roman" w:hAnsi="Times New Roman" w:cs="Times New Roman"/>
        </w:rPr>
        <w:t>hat petroleum exploration was neither required nor permitted during the statutory moratorium</w:t>
      </w:r>
      <w:r w:rsidR="00E00AAF" w:rsidRPr="00F44D4F">
        <w:rPr>
          <w:rFonts w:ascii="Times New Roman" w:hAnsi="Times New Roman" w:cs="Times New Roman"/>
        </w:rPr>
        <w:t xml:space="preserve"> period</w:t>
      </w:r>
      <w:r w:rsidR="008D549A" w:rsidRPr="00F44D4F">
        <w:rPr>
          <w:rFonts w:ascii="Times New Roman" w:hAnsi="Times New Roman" w:cs="Times New Roman"/>
        </w:rPr>
        <w:t xml:space="preserve">. </w:t>
      </w:r>
      <w:r w:rsidR="00265769">
        <w:rPr>
          <w:rFonts w:ascii="Times New Roman" w:hAnsi="Times New Roman" w:cs="Times New Roman"/>
        </w:rPr>
        <w:t xml:space="preserve">Justice Macaulay found </w:t>
      </w:r>
      <w:r w:rsidR="008D549A" w:rsidRPr="00F44D4F">
        <w:rPr>
          <w:rFonts w:ascii="Times New Roman" w:hAnsi="Times New Roman" w:cs="Times New Roman"/>
        </w:rPr>
        <w:t xml:space="preserve">those variations </w:t>
      </w:r>
      <w:r w:rsidR="00265769">
        <w:rPr>
          <w:rFonts w:ascii="Times New Roman" w:hAnsi="Times New Roman" w:cs="Times New Roman"/>
        </w:rPr>
        <w:t xml:space="preserve">were not validly made, but noted that such a </w:t>
      </w:r>
      <w:r w:rsidR="008D549A" w:rsidRPr="00F44D4F">
        <w:rPr>
          <w:rFonts w:ascii="Times New Roman" w:hAnsi="Times New Roman" w:cs="Times New Roman"/>
        </w:rPr>
        <w:t xml:space="preserve">finding was of little practical consequence </w:t>
      </w:r>
      <w:r w:rsidR="00265769">
        <w:rPr>
          <w:rFonts w:ascii="Times New Roman" w:hAnsi="Times New Roman" w:cs="Times New Roman"/>
        </w:rPr>
        <w:t xml:space="preserve">considering </w:t>
      </w:r>
      <w:r w:rsidR="008D549A" w:rsidRPr="00F44D4F">
        <w:rPr>
          <w:rFonts w:ascii="Times New Roman" w:hAnsi="Times New Roman" w:cs="Times New Roman"/>
        </w:rPr>
        <w:t xml:space="preserve">his decision </w:t>
      </w:r>
      <w:r w:rsidR="00265769">
        <w:rPr>
          <w:rFonts w:ascii="Times New Roman" w:hAnsi="Times New Roman" w:cs="Times New Roman"/>
        </w:rPr>
        <w:t xml:space="preserve">regarding </w:t>
      </w:r>
      <w:r w:rsidR="008D549A" w:rsidRPr="00F44D4F">
        <w:rPr>
          <w:rFonts w:ascii="Times New Roman" w:hAnsi="Times New Roman" w:cs="Times New Roman"/>
        </w:rPr>
        <w:t xml:space="preserve">the meaning and effect of the changes </w:t>
      </w:r>
      <w:r w:rsidR="00265769">
        <w:rPr>
          <w:rFonts w:ascii="Times New Roman" w:hAnsi="Times New Roman" w:cs="Times New Roman"/>
        </w:rPr>
        <w:t>made under</w:t>
      </w:r>
      <w:r w:rsidR="008D549A" w:rsidRPr="00F44D4F">
        <w:rPr>
          <w:rFonts w:ascii="Times New Roman" w:hAnsi="Times New Roman" w:cs="Times New Roman"/>
        </w:rPr>
        <w:t xml:space="preserve"> the</w:t>
      </w:r>
      <w:r w:rsidR="00265769">
        <w:rPr>
          <w:rFonts w:ascii="Times New Roman" w:hAnsi="Times New Roman" w:cs="Times New Roman"/>
        </w:rPr>
        <w:t xml:space="preserve"> </w:t>
      </w:r>
      <w:r w:rsidR="009E4692">
        <w:rPr>
          <w:rFonts w:ascii="Times New Roman" w:hAnsi="Times New Roman" w:cs="Times New Roman"/>
        </w:rPr>
        <w:t>2017</w:t>
      </w:r>
      <w:r w:rsidR="009E4692" w:rsidRPr="00F44D4F">
        <w:rPr>
          <w:rFonts w:ascii="Times New Roman" w:hAnsi="Times New Roman" w:cs="Times New Roman"/>
        </w:rPr>
        <w:t xml:space="preserve"> </w:t>
      </w:r>
      <w:r w:rsidR="008D549A" w:rsidRPr="00F44D4F">
        <w:rPr>
          <w:rFonts w:ascii="Times New Roman" w:hAnsi="Times New Roman" w:cs="Times New Roman"/>
          <w:i/>
        </w:rPr>
        <w:t>Fracking Ban Act</w:t>
      </w:r>
      <w:r w:rsidR="008D549A" w:rsidRPr="00F44D4F">
        <w:rPr>
          <w:rFonts w:ascii="Times New Roman" w:hAnsi="Times New Roman" w:cs="Times New Roman"/>
        </w:rPr>
        <w:t xml:space="preserve">. </w:t>
      </w:r>
    </w:p>
    <w:p w14:paraId="082127F6" w14:textId="28F9553A" w:rsidR="00963491" w:rsidRPr="00F44D4F" w:rsidRDefault="00963491" w:rsidP="00131D76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</w:rPr>
      </w:pPr>
    </w:p>
    <w:p w14:paraId="51C5CDAF" w14:textId="14C41674" w:rsidR="0023337C" w:rsidRPr="0023337C" w:rsidRDefault="00376FD3" w:rsidP="00CC5794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44D4F">
        <w:rPr>
          <w:rFonts w:ascii="Times New Roman" w:hAnsi="Times New Roman" w:cs="Times New Roman"/>
          <w:b/>
          <w:bCs/>
        </w:rPr>
        <w:t>NOTE</w:t>
      </w:r>
      <w:r w:rsidRPr="00F44D4F">
        <w:rPr>
          <w:rFonts w:ascii="Times New Roman" w:hAnsi="Times New Roman" w:cs="Times New Roman"/>
          <w:b/>
        </w:rPr>
        <w:t>: This summary is necessarily incomplete. The only authoritative pronouncement of the Court’s reasons and conclusions is that contained in the published reasons for judgment.</w:t>
      </w:r>
    </w:p>
    <w:sectPr w:rsidR="0023337C" w:rsidRPr="0023337C" w:rsidSect="00792C16">
      <w:headerReference w:type="default" r:id="rId13"/>
      <w:footerReference w:type="default" r:id="rId14"/>
      <w:footerReference w:type="first" r:id="rId15"/>
      <w:pgSz w:w="11906" w:h="16838"/>
      <w:pgMar w:top="128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2747A" w14:textId="77777777" w:rsidR="009823E4" w:rsidRDefault="009823E4" w:rsidP="00270D25">
      <w:pPr>
        <w:spacing w:after="0" w:line="240" w:lineRule="auto"/>
      </w:pPr>
      <w:r>
        <w:separator/>
      </w:r>
    </w:p>
  </w:endnote>
  <w:endnote w:type="continuationSeparator" w:id="0">
    <w:p w14:paraId="681C54EF" w14:textId="77777777" w:rsidR="009823E4" w:rsidRDefault="009823E4" w:rsidP="0027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171071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8A45F3" w14:textId="3639915C" w:rsidR="009823E4" w:rsidRPr="00376FD3" w:rsidRDefault="00792C16" w:rsidP="00792C16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 w:rsidRPr="00376FD3">
          <w:rPr>
            <w:rFonts w:ascii="Times New Roman" w:hAnsi="Times New Roman" w:cs="Times New Roman"/>
            <w:sz w:val="20"/>
            <w:szCs w:val="20"/>
          </w:rPr>
          <w:t xml:space="preserve">Summary of Judgment </w:t>
        </w:r>
        <w:r w:rsidR="00376FD3">
          <w:rPr>
            <w:rFonts w:ascii="Times New Roman" w:hAnsi="Times New Roman" w:cs="Times New Roman"/>
            <w:sz w:val="20"/>
            <w:szCs w:val="20"/>
          </w:rPr>
          <w:t>–</w:t>
        </w:r>
        <w:r w:rsidRPr="00376FD3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376FD3">
          <w:rPr>
            <w:rFonts w:ascii="Times New Roman" w:hAnsi="Times New Roman" w:cs="Times New Roman"/>
            <w:i/>
            <w:sz w:val="20"/>
            <w:szCs w:val="20"/>
          </w:rPr>
          <w:t xml:space="preserve">XXX </w:t>
        </w:r>
        <w:r w:rsidRPr="00376FD3">
          <w:rPr>
            <w:rFonts w:ascii="Times New Roman" w:hAnsi="Times New Roman" w:cs="Times New Roman"/>
            <w:i/>
            <w:sz w:val="20"/>
            <w:szCs w:val="20"/>
          </w:rPr>
          <w:t>v XXX</w:t>
        </w:r>
        <w:r w:rsidRPr="00376FD3">
          <w:rPr>
            <w:rFonts w:ascii="Times New Roman" w:hAnsi="Times New Roman" w:cs="Times New Roman"/>
            <w:sz w:val="20"/>
            <w:szCs w:val="20"/>
          </w:rPr>
          <w:t xml:space="preserve"> [2016] VSCA XXX </w:t>
        </w:r>
        <w:r w:rsidRPr="00376FD3">
          <w:rPr>
            <w:rFonts w:ascii="Times New Roman" w:hAnsi="Times New Roman" w:cs="Times New Roman"/>
            <w:sz w:val="20"/>
            <w:szCs w:val="20"/>
          </w:rPr>
          <w:tab/>
          <w:t xml:space="preserve">Page </w: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instrText xml:space="preserve"> PAGE  \* Arabic  \* MERGEFORMAT </w:instrTex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BD1FAF">
          <w:rPr>
            <w:rFonts w:ascii="Times New Roman" w:hAnsi="Times New Roman" w:cs="Times New Roman"/>
            <w:bCs/>
            <w:noProof/>
            <w:sz w:val="20"/>
            <w:szCs w:val="20"/>
          </w:rPr>
          <w:t>2</w: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Pr="00376FD3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instrText xml:space="preserve"> NUMPAGES  \* Arabic  \* MERGEFORMAT </w:instrTex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7A0D98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p>
    </w:sdtContent>
  </w:sdt>
  <w:p w14:paraId="76AA787B" w14:textId="77777777" w:rsidR="009823E4" w:rsidRDefault="009823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36908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0A3C5" w14:textId="7AB34FE1" w:rsidR="00792C16" w:rsidRPr="00792C16" w:rsidRDefault="00792C16" w:rsidP="00792C16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92C16">
          <w:rPr>
            <w:rFonts w:ascii="Times New Roman" w:hAnsi="Times New Roman" w:cs="Times New Roman"/>
            <w:sz w:val="20"/>
            <w:szCs w:val="20"/>
          </w:rPr>
          <w:tab/>
        </w:r>
        <w:r w:rsidRPr="00376FD3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instrText xml:space="preserve"> PAGE  \* Arabic  \* MERGEFORMAT </w:instrTex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7A0D98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Pr="00376FD3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instrText xml:space="preserve"> NUMPAGES  \* Arabic  \* MERGEFORMAT </w:instrTex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7A0D98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p>
    </w:sdtContent>
  </w:sdt>
  <w:p w14:paraId="4CB77EA7" w14:textId="77777777" w:rsidR="00792C16" w:rsidRDefault="00792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E789E" w14:textId="77777777" w:rsidR="009823E4" w:rsidRDefault="009823E4" w:rsidP="00270D25">
      <w:pPr>
        <w:spacing w:after="0" w:line="240" w:lineRule="auto"/>
      </w:pPr>
      <w:r>
        <w:separator/>
      </w:r>
    </w:p>
  </w:footnote>
  <w:footnote w:type="continuationSeparator" w:id="0">
    <w:p w14:paraId="58FE6BA4" w14:textId="77777777" w:rsidR="009823E4" w:rsidRDefault="009823E4" w:rsidP="0027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37692" w14:textId="646DC967" w:rsidR="00792C16" w:rsidRPr="00792C16" w:rsidRDefault="00A609FC" w:rsidP="00792C1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Supreme Court of </w:t>
    </w:r>
    <w:r w:rsidRPr="00A609FC">
      <w:rPr>
        <w:rFonts w:ascii="Times New Roman" w:hAnsi="Times New Roman" w:cs="Times New Roman"/>
        <w:sz w:val="20"/>
        <w:szCs w:val="20"/>
      </w:rPr>
      <w:t>Victoria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792C16">
      <w:rPr>
        <w:rFonts w:ascii="Times New Roman" w:hAnsi="Times New Roman" w:cs="Times New Roman"/>
        <w:sz w:val="20"/>
        <w:szCs w:val="20"/>
      </w:rPr>
      <w:fldChar w:fldCharType="begin"/>
    </w:r>
    <w:r w:rsidR="00792C16">
      <w:rPr>
        <w:rFonts w:ascii="Times New Roman" w:hAnsi="Times New Roman" w:cs="Times New Roman"/>
        <w:sz w:val="20"/>
        <w:szCs w:val="20"/>
      </w:rPr>
      <w:instrText xml:space="preserve"> DATE \@ "d MMMM yyyy" </w:instrText>
    </w:r>
    <w:r w:rsidR="00792C16">
      <w:rPr>
        <w:rFonts w:ascii="Times New Roman" w:hAnsi="Times New Roman" w:cs="Times New Roman"/>
        <w:sz w:val="20"/>
        <w:szCs w:val="20"/>
      </w:rPr>
      <w:fldChar w:fldCharType="separate"/>
    </w:r>
    <w:r w:rsidR="007A0D98">
      <w:rPr>
        <w:rFonts w:ascii="Times New Roman" w:hAnsi="Times New Roman" w:cs="Times New Roman"/>
        <w:noProof/>
        <w:sz w:val="20"/>
        <w:szCs w:val="20"/>
      </w:rPr>
      <w:t>21 September 2018</w:t>
    </w:r>
    <w:r w:rsidR="00792C16">
      <w:rPr>
        <w:rFonts w:ascii="Times New Roman" w:hAnsi="Times New Roman" w:cs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1411"/>
    <w:multiLevelType w:val="hybridMultilevel"/>
    <w:tmpl w:val="208290DA"/>
    <w:lvl w:ilvl="0" w:tplc="0C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0" w:hanging="360"/>
      </w:pPr>
    </w:lvl>
    <w:lvl w:ilvl="2" w:tplc="0C09001B" w:tentative="1">
      <w:start w:val="1"/>
      <w:numFmt w:val="lowerRoman"/>
      <w:lvlText w:val="%3."/>
      <w:lvlJc w:val="right"/>
      <w:pPr>
        <w:ind w:left="720" w:hanging="180"/>
      </w:pPr>
    </w:lvl>
    <w:lvl w:ilvl="3" w:tplc="0C09000F" w:tentative="1">
      <w:start w:val="1"/>
      <w:numFmt w:val="decimal"/>
      <w:lvlText w:val="%4."/>
      <w:lvlJc w:val="left"/>
      <w:pPr>
        <w:ind w:left="1440" w:hanging="360"/>
      </w:pPr>
    </w:lvl>
    <w:lvl w:ilvl="4" w:tplc="0C090019" w:tentative="1">
      <w:start w:val="1"/>
      <w:numFmt w:val="lowerLetter"/>
      <w:lvlText w:val="%5."/>
      <w:lvlJc w:val="left"/>
      <w:pPr>
        <w:ind w:left="2160" w:hanging="360"/>
      </w:pPr>
    </w:lvl>
    <w:lvl w:ilvl="5" w:tplc="0C09001B" w:tentative="1">
      <w:start w:val="1"/>
      <w:numFmt w:val="lowerRoman"/>
      <w:lvlText w:val="%6."/>
      <w:lvlJc w:val="right"/>
      <w:pPr>
        <w:ind w:left="2880" w:hanging="180"/>
      </w:pPr>
    </w:lvl>
    <w:lvl w:ilvl="6" w:tplc="0C09000F" w:tentative="1">
      <w:start w:val="1"/>
      <w:numFmt w:val="decimal"/>
      <w:lvlText w:val="%7."/>
      <w:lvlJc w:val="left"/>
      <w:pPr>
        <w:ind w:left="3600" w:hanging="360"/>
      </w:pPr>
    </w:lvl>
    <w:lvl w:ilvl="7" w:tplc="0C090019" w:tentative="1">
      <w:start w:val="1"/>
      <w:numFmt w:val="lowerLetter"/>
      <w:lvlText w:val="%8."/>
      <w:lvlJc w:val="left"/>
      <w:pPr>
        <w:ind w:left="4320" w:hanging="360"/>
      </w:pPr>
    </w:lvl>
    <w:lvl w:ilvl="8" w:tplc="0C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17DA477F"/>
    <w:multiLevelType w:val="hybridMultilevel"/>
    <w:tmpl w:val="2C24B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522F0"/>
    <w:multiLevelType w:val="hybridMultilevel"/>
    <w:tmpl w:val="1EACF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43228"/>
    <w:multiLevelType w:val="hybridMultilevel"/>
    <w:tmpl w:val="C284FA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4363C"/>
    <w:multiLevelType w:val="hybridMultilevel"/>
    <w:tmpl w:val="D85CE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14953"/>
    <w:multiLevelType w:val="hybridMultilevel"/>
    <w:tmpl w:val="65806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B5880"/>
    <w:multiLevelType w:val="hybridMultilevel"/>
    <w:tmpl w:val="FAF88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B63A0"/>
    <w:multiLevelType w:val="hybridMultilevel"/>
    <w:tmpl w:val="66207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F2"/>
    <w:rsid w:val="0002371B"/>
    <w:rsid w:val="00040F97"/>
    <w:rsid w:val="000454A2"/>
    <w:rsid w:val="00054B4C"/>
    <w:rsid w:val="00071B54"/>
    <w:rsid w:val="00075BC5"/>
    <w:rsid w:val="00080004"/>
    <w:rsid w:val="00082E94"/>
    <w:rsid w:val="000A32D8"/>
    <w:rsid w:val="000A71AC"/>
    <w:rsid w:val="000B4C00"/>
    <w:rsid w:val="000B50D6"/>
    <w:rsid w:val="000D44DD"/>
    <w:rsid w:val="0010305C"/>
    <w:rsid w:val="00106D9C"/>
    <w:rsid w:val="00131D76"/>
    <w:rsid w:val="00157399"/>
    <w:rsid w:val="001670FE"/>
    <w:rsid w:val="001730CA"/>
    <w:rsid w:val="001E56E4"/>
    <w:rsid w:val="00214462"/>
    <w:rsid w:val="00215381"/>
    <w:rsid w:val="00230F7F"/>
    <w:rsid w:val="0023337C"/>
    <w:rsid w:val="00237CC5"/>
    <w:rsid w:val="00252E3F"/>
    <w:rsid w:val="00254605"/>
    <w:rsid w:val="00260F42"/>
    <w:rsid w:val="00264AB9"/>
    <w:rsid w:val="00265769"/>
    <w:rsid w:val="00270D25"/>
    <w:rsid w:val="00292EA1"/>
    <w:rsid w:val="0029684F"/>
    <w:rsid w:val="002B3DD3"/>
    <w:rsid w:val="002C4DA3"/>
    <w:rsid w:val="002D0D4B"/>
    <w:rsid w:val="002D19B9"/>
    <w:rsid w:val="002D50B7"/>
    <w:rsid w:val="00305B20"/>
    <w:rsid w:val="0034416C"/>
    <w:rsid w:val="00346DDB"/>
    <w:rsid w:val="003501F8"/>
    <w:rsid w:val="0036016E"/>
    <w:rsid w:val="0037198F"/>
    <w:rsid w:val="00376FD3"/>
    <w:rsid w:val="0038456B"/>
    <w:rsid w:val="003940A7"/>
    <w:rsid w:val="003A48BD"/>
    <w:rsid w:val="003B2916"/>
    <w:rsid w:val="003C797F"/>
    <w:rsid w:val="003F2550"/>
    <w:rsid w:val="00422DB0"/>
    <w:rsid w:val="00433C65"/>
    <w:rsid w:val="004461DD"/>
    <w:rsid w:val="00466C0D"/>
    <w:rsid w:val="004A60CC"/>
    <w:rsid w:val="004A7684"/>
    <w:rsid w:val="004C1E8C"/>
    <w:rsid w:val="004C7A58"/>
    <w:rsid w:val="004E17E9"/>
    <w:rsid w:val="005033B3"/>
    <w:rsid w:val="005062E1"/>
    <w:rsid w:val="005115C5"/>
    <w:rsid w:val="005121E2"/>
    <w:rsid w:val="00513E05"/>
    <w:rsid w:val="00516E8C"/>
    <w:rsid w:val="005273A8"/>
    <w:rsid w:val="0052758A"/>
    <w:rsid w:val="005306A2"/>
    <w:rsid w:val="00540D3A"/>
    <w:rsid w:val="00564BAA"/>
    <w:rsid w:val="00567016"/>
    <w:rsid w:val="00585DCD"/>
    <w:rsid w:val="005A10F0"/>
    <w:rsid w:val="005A736F"/>
    <w:rsid w:val="005C7732"/>
    <w:rsid w:val="005C7A0C"/>
    <w:rsid w:val="005F1AF2"/>
    <w:rsid w:val="00603012"/>
    <w:rsid w:val="006041D7"/>
    <w:rsid w:val="00606BDD"/>
    <w:rsid w:val="0064588C"/>
    <w:rsid w:val="00647564"/>
    <w:rsid w:val="00656564"/>
    <w:rsid w:val="00656738"/>
    <w:rsid w:val="00656C33"/>
    <w:rsid w:val="0066652C"/>
    <w:rsid w:val="006B0568"/>
    <w:rsid w:val="006D6614"/>
    <w:rsid w:val="006E0A8E"/>
    <w:rsid w:val="006E1515"/>
    <w:rsid w:val="00717A86"/>
    <w:rsid w:val="00750C38"/>
    <w:rsid w:val="00767785"/>
    <w:rsid w:val="00791FA0"/>
    <w:rsid w:val="00792C16"/>
    <w:rsid w:val="007A0D98"/>
    <w:rsid w:val="007B438D"/>
    <w:rsid w:val="007B54F2"/>
    <w:rsid w:val="007B5DF8"/>
    <w:rsid w:val="007B7F06"/>
    <w:rsid w:val="007C1D16"/>
    <w:rsid w:val="007D29D4"/>
    <w:rsid w:val="007D3ECB"/>
    <w:rsid w:val="007D49F6"/>
    <w:rsid w:val="007E175B"/>
    <w:rsid w:val="007F680C"/>
    <w:rsid w:val="008010EF"/>
    <w:rsid w:val="008043C3"/>
    <w:rsid w:val="00806DD6"/>
    <w:rsid w:val="008117D9"/>
    <w:rsid w:val="0081362F"/>
    <w:rsid w:val="008165DA"/>
    <w:rsid w:val="00822AA5"/>
    <w:rsid w:val="00853A3B"/>
    <w:rsid w:val="00864402"/>
    <w:rsid w:val="00874810"/>
    <w:rsid w:val="00881ED0"/>
    <w:rsid w:val="008D549A"/>
    <w:rsid w:val="008E789A"/>
    <w:rsid w:val="009034E0"/>
    <w:rsid w:val="0091375D"/>
    <w:rsid w:val="00923116"/>
    <w:rsid w:val="00950064"/>
    <w:rsid w:val="00950249"/>
    <w:rsid w:val="00951DBF"/>
    <w:rsid w:val="00963491"/>
    <w:rsid w:val="0096608C"/>
    <w:rsid w:val="00972906"/>
    <w:rsid w:val="00973024"/>
    <w:rsid w:val="00981951"/>
    <w:rsid w:val="009823E4"/>
    <w:rsid w:val="009A230B"/>
    <w:rsid w:val="009B6AA8"/>
    <w:rsid w:val="009E008E"/>
    <w:rsid w:val="009E4692"/>
    <w:rsid w:val="009F1402"/>
    <w:rsid w:val="00A02F28"/>
    <w:rsid w:val="00A03861"/>
    <w:rsid w:val="00A05697"/>
    <w:rsid w:val="00A1178A"/>
    <w:rsid w:val="00A47510"/>
    <w:rsid w:val="00A56F14"/>
    <w:rsid w:val="00A609FC"/>
    <w:rsid w:val="00A629F0"/>
    <w:rsid w:val="00A63A35"/>
    <w:rsid w:val="00A92DFC"/>
    <w:rsid w:val="00AA1ED1"/>
    <w:rsid w:val="00AF3018"/>
    <w:rsid w:val="00B133B0"/>
    <w:rsid w:val="00B13C09"/>
    <w:rsid w:val="00B2423B"/>
    <w:rsid w:val="00B2517B"/>
    <w:rsid w:val="00B30595"/>
    <w:rsid w:val="00B50375"/>
    <w:rsid w:val="00B5578D"/>
    <w:rsid w:val="00B65004"/>
    <w:rsid w:val="00B8480B"/>
    <w:rsid w:val="00BC022E"/>
    <w:rsid w:val="00BC57C6"/>
    <w:rsid w:val="00BD1FAF"/>
    <w:rsid w:val="00BD6E46"/>
    <w:rsid w:val="00BE049D"/>
    <w:rsid w:val="00BF58A9"/>
    <w:rsid w:val="00BF6A90"/>
    <w:rsid w:val="00BF7AC3"/>
    <w:rsid w:val="00BF7E13"/>
    <w:rsid w:val="00C033C2"/>
    <w:rsid w:val="00C53C9E"/>
    <w:rsid w:val="00C96892"/>
    <w:rsid w:val="00CA788C"/>
    <w:rsid w:val="00CA7EA3"/>
    <w:rsid w:val="00CC2FDB"/>
    <w:rsid w:val="00CC5794"/>
    <w:rsid w:val="00CD39D5"/>
    <w:rsid w:val="00CF2112"/>
    <w:rsid w:val="00D065D6"/>
    <w:rsid w:val="00D137C0"/>
    <w:rsid w:val="00D1750B"/>
    <w:rsid w:val="00D2329C"/>
    <w:rsid w:val="00D32BF3"/>
    <w:rsid w:val="00D37F0C"/>
    <w:rsid w:val="00D40552"/>
    <w:rsid w:val="00D85977"/>
    <w:rsid w:val="00DB45CE"/>
    <w:rsid w:val="00DC4A24"/>
    <w:rsid w:val="00DD7C88"/>
    <w:rsid w:val="00DE170A"/>
    <w:rsid w:val="00DF018F"/>
    <w:rsid w:val="00DF368C"/>
    <w:rsid w:val="00DF3844"/>
    <w:rsid w:val="00DF5752"/>
    <w:rsid w:val="00E00AAF"/>
    <w:rsid w:val="00E03333"/>
    <w:rsid w:val="00E04FA5"/>
    <w:rsid w:val="00E11E9F"/>
    <w:rsid w:val="00E24AB3"/>
    <w:rsid w:val="00E45DC2"/>
    <w:rsid w:val="00E622E0"/>
    <w:rsid w:val="00E85145"/>
    <w:rsid w:val="00EB1FB1"/>
    <w:rsid w:val="00EC589B"/>
    <w:rsid w:val="00ED2493"/>
    <w:rsid w:val="00EF7F68"/>
    <w:rsid w:val="00F01A7C"/>
    <w:rsid w:val="00F34D48"/>
    <w:rsid w:val="00F44D4F"/>
    <w:rsid w:val="00F773D5"/>
    <w:rsid w:val="00F84702"/>
    <w:rsid w:val="00F942C4"/>
    <w:rsid w:val="00FB08B3"/>
    <w:rsid w:val="00FB1A5C"/>
    <w:rsid w:val="00FD0ADF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07B50"/>
  <w15:docId w15:val="{FC2A8F50-472E-41D7-9962-AEB4D7D6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2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D25"/>
  </w:style>
  <w:style w:type="paragraph" w:styleId="Footer">
    <w:name w:val="footer"/>
    <w:basedOn w:val="Normal"/>
    <w:link w:val="FooterChar"/>
    <w:uiPriority w:val="99"/>
    <w:unhideWhenUsed/>
    <w:rsid w:val="00270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D25"/>
  </w:style>
  <w:style w:type="character" w:styleId="CommentReference">
    <w:name w:val="annotation reference"/>
    <w:basedOn w:val="DefaultParagraphFont"/>
    <w:uiPriority w:val="99"/>
    <w:semiHidden/>
    <w:unhideWhenUsed/>
    <w:rsid w:val="00E85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14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7E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E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7E13"/>
    <w:rPr>
      <w:vertAlign w:val="superscript"/>
    </w:rPr>
  </w:style>
  <w:style w:type="paragraph" w:styleId="Revision">
    <w:name w:val="Revision"/>
    <w:hidden/>
    <w:uiPriority w:val="99"/>
    <w:semiHidden/>
    <w:rsid w:val="00791F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confluence-scv/download/attachments/1082116/SCV_RGB_B.jp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4B925675ED46837EB14F9BF5688C" ma:contentTypeVersion="11" ma:contentTypeDescription="Create a new document." ma:contentTypeScope="" ma:versionID="226897e7c8e3fef5b8750d73f00d967e">
  <xsd:schema xmlns:xsd="http://www.w3.org/2001/XMLSchema" xmlns:xs="http://www.w3.org/2001/XMLSchema" xmlns:p="http://schemas.microsoft.com/office/2006/metadata/properties" xmlns:ns2="263eaefd-0475-4860-b86f-622cd66f4e0c" xmlns:ns3="bdde84cb-4b1f-4b74-b4a5-14e1a433eee1" targetNamespace="http://schemas.microsoft.com/office/2006/metadata/properties" ma:root="true" ma:fieldsID="482114006d0d341a8d0544933ea487b9" ns2:_="" ns3:_="">
    <xsd:import namespace="263eaefd-0475-4860-b86f-622cd66f4e0c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FileShareCreatedBy" minOccurs="0"/>
                <xsd:element ref="ns2:FileShareModifiedBy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aefd-0475-4860-b86f-622cd66f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FileShareCreatedBy" ma:index="11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12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263eaefd-0475-4860-b86f-622cd66f4e0c" xsi:nil="true"/>
    <FileShareModifiedBy xmlns="263eaefd-0475-4860-b86f-622cd66f4e0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6974B-2607-470C-906F-76A0E8DC0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2E64F-F936-4B5C-9BCC-213DD3C44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eaefd-0475-4860-b86f-622cd66f4e0c"/>
    <ds:schemaRef ds:uri="bdde84cb-4b1f-4b74-b4a5-14e1a433e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778CE8-96B1-4651-9B76-5C03E9F3D972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263eaefd-0475-4860-b86f-622cd66f4e0c"/>
    <ds:schemaRef ds:uri="bdde84cb-4b1f-4b74-b4a5-14e1a433eee1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256DA1-6ACC-47EE-BE25-AC5D435D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Victoria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Murphy</dc:creator>
  <cp:keywords/>
  <dc:description/>
  <cp:lastModifiedBy>Bronwyn Gardiner</cp:lastModifiedBy>
  <cp:revision>5</cp:revision>
  <cp:lastPrinted>2018-09-21T06:42:00Z</cp:lastPrinted>
  <dcterms:created xsi:type="dcterms:W3CDTF">2018-09-21T05:22:00Z</dcterms:created>
  <dcterms:modified xsi:type="dcterms:W3CDTF">2018-09-21T06:42:00Z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0x010100FC344B925675ED46837EB14F9BF5688C</vt:lpwstr>
  </property>
</Properties>
</file>