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3355" w14:textId="77777777" w:rsidR="4969318E" w:rsidRDefault="4969318E" w:rsidP="4969318E">
      <w:pPr>
        <w:jc w:val="center"/>
      </w:pPr>
      <w:r>
        <w:rPr>
          <w:noProof/>
          <w:lang w:val="en-AU" w:eastAsia="en-AU"/>
        </w:rPr>
        <w:drawing>
          <wp:inline distT="0" distB="0" distL="0" distR="0" wp14:anchorId="05DF3355" wp14:editId="5EC0EFDC">
            <wp:extent cx="914400" cy="914400"/>
            <wp:effectExtent l="0" t="0" r="0" b="0"/>
            <wp:docPr id="1148156836" name="picture" title="Court Crest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7DD10FA" w14:textId="77777777" w:rsidR="4969318E" w:rsidRDefault="4969318E" w:rsidP="4969318E">
      <w:r w:rsidRPr="4969318E">
        <w:rPr>
          <w:rFonts w:ascii="Book Antiqua" w:eastAsia="Book Antiqua" w:hAnsi="Book Antiqua" w:cs="Book Antiqua"/>
        </w:rPr>
        <w:t xml:space="preserve"> </w:t>
      </w:r>
    </w:p>
    <w:p w14:paraId="76E1437F" w14:textId="77777777" w:rsidR="4969318E" w:rsidRDefault="4969318E" w:rsidP="4969318E">
      <w:pPr>
        <w:jc w:val="center"/>
      </w:pPr>
      <w:r w:rsidRPr="4969318E">
        <w:rPr>
          <w:rFonts w:ascii="Book Antiqua" w:eastAsia="Book Antiqua" w:hAnsi="Book Antiqua" w:cs="Book Antiqua"/>
          <w:b/>
          <w:bCs/>
        </w:rPr>
        <w:t>Summary of Judgment</w:t>
      </w:r>
    </w:p>
    <w:p w14:paraId="3AE768EE" w14:textId="77777777" w:rsidR="4969318E" w:rsidRDefault="4969318E" w:rsidP="4969318E">
      <w:pPr>
        <w:jc w:val="center"/>
      </w:pPr>
      <w:r w:rsidRPr="4969318E">
        <w:rPr>
          <w:rFonts w:ascii="Book Antiqua" w:eastAsia="Book Antiqua" w:hAnsi="Book Antiqua" w:cs="Book Antiqua"/>
          <w:b/>
          <w:bCs/>
          <w:i/>
          <w:iCs/>
          <w:caps/>
          <w:u w:val="single"/>
        </w:rPr>
        <w:t xml:space="preserve">AB </w:t>
      </w:r>
      <w:r w:rsidRPr="4969318E">
        <w:rPr>
          <w:rFonts w:ascii="Book Antiqua" w:eastAsia="Book Antiqua" w:hAnsi="Book Antiqua" w:cs="Book Antiqua"/>
          <w:b/>
          <w:bCs/>
          <w:i/>
          <w:iCs/>
          <w:u w:val="single"/>
        </w:rPr>
        <w:t>v</w:t>
      </w:r>
      <w:r w:rsidRPr="4969318E">
        <w:rPr>
          <w:rFonts w:ascii="Book Antiqua" w:eastAsia="Book Antiqua" w:hAnsi="Book Antiqua" w:cs="Book Antiqua"/>
          <w:b/>
          <w:bCs/>
          <w:i/>
          <w:iCs/>
          <w:caps/>
          <w:u w:val="single"/>
        </w:rPr>
        <w:t xml:space="preserve"> CD </w:t>
      </w:r>
      <w:r w:rsidRPr="4969318E">
        <w:rPr>
          <w:rFonts w:ascii="Book Antiqua" w:eastAsia="Book Antiqua" w:hAnsi="Book Antiqua" w:cs="Book Antiqua"/>
          <w:b/>
          <w:bCs/>
          <w:i/>
          <w:iCs/>
          <w:u w:val="single"/>
        </w:rPr>
        <w:t>and</w:t>
      </w:r>
      <w:r w:rsidRPr="4969318E">
        <w:rPr>
          <w:rFonts w:ascii="Book Antiqua" w:eastAsia="Book Antiqua" w:hAnsi="Book Antiqua" w:cs="Book Antiqua"/>
          <w:b/>
          <w:bCs/>
          <w:i/>
          <w:iCs/>
          <w:caps/>
          <w:u w:val="single"/>
        </w:rPr>
        <w:t xml:space="preserve"> EF</w:t>
      </w:r>
    </w:p>
    <w:p w14:paraId="5AB14DCC" w14:textId="77777777" w:rsidR="4969318E" w:rsidRDefault="4969318E" w:rsidP="4969318E">
      <w:pPr>
        <w:jc w:val="center"/>
      </w:pPr>
      <w:r w:rsidRPr="4969318E">
        <w:rPr>
          <w:rFonts w:ascii="Book Antiqua" w:eastAsia="Book Antiqua" w:hAnsi="Book Antiqua" w:cs="Book Antiqua"/>
          <w:b/>
          <w:bCs/>
          <w:u w:val="single"/>
        </w:rPr>
        <w:t xml:space="preserve"> </w:t>
      </w:r>
    </w:p>
    <w:p w14:paraId="402A3E58" w14:textId="3BBCBE6A" w:rsidR="00317CEC" w:rsidRDefault="00317CEC" w:rsidP="4969318E">
      <w:pPr>
        <w:jc w:val="center"/>
        <w:rPr>
          <w:rFonts w:ascii="Book Antiqua" w:eastAsia="Book Antiqua" w:hAnsi="Book Antiqua" w:cs="Book Antiqua"/>
          <w:b/>
          <w:bCs/>
          <w:caps/>
        </w:rPr>
      </w:pPr>
      <w:r>
        <w:rPr>
          <w:rFonts w:ascii="Book Antiqua" w:eastAsia="Book Antiqua" w:hAnsi="Book Antiqua" w:cs="Book Antiqua"/>
          <w:b/>
          <w:bCs/>
          <w:caps/>
        </w:rPr>
        <w:t>[2017] VSC 350</w:t>
      </w:r>
    </w:p>
    <w:p w14:paraId="52E1AA5E" w14:textId="3DE90687" w:rsidR="00D4240F" w:rsidRDefault="00D4240F" w:rsidP="4969318E">
      <w:pPr>
        <w:jc w:val="center"/>
        <w:rPr>
          <w:rFonts w:ascii="Book Antiqua" w:eastAsia="Book Antiqua" w:hAnsi="Book Antiqua" w:cs="Book Antiqua"/>
          <w:b/>
          <w:bCs/>
          <w:caps/>
        </w:rPr>
      </w:pPr>
      <w:r>
        <w:rPr>
          <w:rFonts w:ascii="Book Antiqua" w:eastAsia="Book Antiqua" w:hAnsi="Book Antiqua" w:cs="Book Antiqua"/>
          <w:b/>
          <w:bCs/>
          <w:caps/>
        </w:rPr>
        <w:t>[2017] VSC 351</w:t>
      </w:r>
      <w:bookmarkStart w:id="0" w:name="_GoBack"/>
      <w:bookmarkEnd w:id="0"/>
    </w:p>
    <w:p w14:paraId="5F02750E" w14:textId="130EF719" w:rsidR="4969318E" w:rsidRDefault="4969318E" w:rsidP="4969318E">
      <w:pPr>
        <w:jc w:val="center"/>
      </w:pPr>
      <w:r w:rsidRPr="4969318E">
        <w:rPr>
          <w:rFonts w:ascii="Book Antiqua" w:eastAsia="Book Antiqua" w:hAnsi="Book Antiqua" w:cs="Book Antiqua"/>
          <w:b/>
          <w:bCs/>
          <w:caps/>
        </w:rPr>
        <w:t>[2017] VSCA 338</w:t>
      </w:r>
    </w:p>
    <w:p w14:paraId="7C519424" w14:textId="77777777" w:rsidR="4969318E" w:rsidRDefault="4969318E" w:rsidP="4969318E">
      <w:pPr>
        <w:jc w:val="center"/>
      </w:pPr>
      <w:r w:rsidRPr="4969318E">
        <w:rPr>
          <w:rFonts w:ascii="Book Antiqua" w:eastAsia="Book Antiqua" w:hAnsi="Book Antiqua" w:cs="Book Antiqua"/>
          <w:b/>
          <w:bCs/>
          <w:u w:val="single"/>
        </w:rPr>
        <w:t xml:space="preserve"> </w:t>
      </w:r>
    </w:p>
    <w:p w14:paraId="60AD2528" w14:textId="77777777" w:rsidR="4969318E" w:rsidRDefault="4969318E" w:rsidP="4969318E">
      <w:pPr>
        <w:jc w:val="center"/>
      </w:pPr>
      <w:r w:rsidRPr="4969318E">
        <w:rPr>
          <w:rFonts w:ascii="Book Antiqua" w:eastAsia="Book Antiqua" w:hAnsi="Book Antiqua" w:cs="Book Antiqua"/>
          <w:b/>
          <w:bCs/>
          <w:u w:val="single"/>
        </w:rPr>
        <w:t>3 December 2018</w:t>
      </w:r>
    </w:p>
    <w:p w14:paraId="6D7767F0" w14:textId="77777777" w:rsidR="4969318E" w:rsidRDefault="4969318E" w:rsidP="4969318E">
      <w:pPr>
        <w:jc w:val="center"/>
      </w:pPr>
      <w:r w:rsidRPr="4969318E">
        <w:rPr>
          <w:rFonts w:ascii="Book Antiqua" w:eastAsia="Book Antiqua" w:hAnsi="Book Antiqua" w:cs="Book Antiqua"/>
          <w:b/>
          <w:bCs/>
          <w:u w:val="single"/>
        </w:rPr>
        <w:t xml:space="preserve"> </w:t>
      </w:r>
    </w:p>
    <w:p w14:paraId="18DB5E6C" w14:textId="77777777" w:rsidR="4969318E" w:rsidRDefault="4969318E" w:rsidP="4969318E">
      <w:pPr>
        <w:jc w:val="both"/>
      </w:pPr>
      <w:r w:rsidRPr="4969318E">
        <w:rPr>
          <w:rFonts w:ascii="Book Antiqua" w:eastAsia="Book Antiqua" w:hAnsi="Book Antiqua" w:cs="Book Antiqua"/>
        </w:rPr>
        <w:t>The Court of Appeal today lifted a suppression order in respect of a decision of the Court (Ferguson</w:t>
      </w:r>
      <w:r w:rsidR="003461C1">
        <w:rPr>
          <w:rFonts w:ascii="Book Antiqua" w:eastAsia="Book Antiqua" w:hAnsi="Book Antiqua" w:cs="Book Antiqua"/>
        </w:rPr>
        <w:t xml:space="preserve"> CJ,</w:t>
      </w:r>
      <w:r w:rsidRPr="4969318E">
        <w:rPr>
          <w:rFonts w:ascii="Book Antiqua" w:eastAsia="Book Antiqua" w:hAnsi="Book Antiqua" w:cs="Book Antiqua"/>
        </w:rPr>
        <w:t xml:space="preserve"> </w:t>
      </w:r>
      <w:r w:rsidR="003461C1">
        <w:rPr>
          <w:rFonts w:ascii="Book Antiqua" w:eastAsia="Book Antiqua" w:hAnsi="Book Antiqua" w:cs="Book Antiqua"/>
        </w:rPr>
        <w:t>Osborn and</w:t>
      </w:r>
      <w:r w:rsidR="003461C1" w:rsidRPr="4969318E">
        <w:rPr>
          <w:rFonts w:ascii="Book Antiqua" w:eastAsia="Book Antiqua" w:hAnsi="Book Antiqua" w:cs="Book Antiqua"/>
        </w:rPr>
        <w:t xml:space="preserve"> </w:t>
      </w:r>
      <w:r w:rsidRPr="4969318E">
        <w:rPr>
          <w:rFonts w:ascii="Book Antiqua" w:eastAsia="Book Antiqua" w:hAnsi="Book Antiqua" w:cs="Book Antiqua"/>
        </w:rPr>
        <w:t>McLeish JJA) made on 21 November 2017, in respect of which the High Court revoked a grant of special leave to appeal on 5 November 2018.  The lifting of the suppression order coincides with the High Court</w:t>
      </w:r>
      <w:r w:rsidR="008C7468">
        <w:rPr>
          <w:rFonts w:ascii="Book Antiqua" w:eastAsia="Book Antiqua" w:hAnsi="Book Antiqua" w:cs="Book Antiqua"/>
        </w:rPr>
        <w:t xml:space="preserve"> lifting a suppression order and publishing</w:t>
      </w:r>
      <w:r w:rsidRPr="4969318E">
        <w:rPr>
          <w:rFonts w:ascii="Book Antiqua" w:eastAsia="Book Antiqua" w:hAnsi="Book Antiqua" w:cs="Book Antiqua"/>
        </w:rPr>
        <w:t xml:space="preserve"> its reasons for revoking special leave.</w:t>
      </w:r>
    </w:p>
    <w:p w14:paraId="32C20F01" w14:textId="77777777" w:rsidR="4969318E" w:rsidRDefault="4969318E" w:rsidP="4969318E">
      <w:pPr>
        <w:jc w:val="both"/>
      </w:pPr>
      <w:r w:rsidRPr="4969318E">
        <w:rPr>
          <w:rFonts w:ascii="Book Antiqua" w:eastAsia="Book Antiqua" w:hAnsi="Book Antiqua" w:cs="Book Antiqua"/>
        </w:rPr>
        <w:t>By its decision, the Court of Appeal dismissed an appeal brought against a decision made by Ginnane J in two proceedings which have also been the subject of suppression orders.</w:t>
      </w:r>
    </w:p>
    <w:p w14:paraId="59C674ED" w14:textId="77777777" w:rsidR="4969318E" w:rsidRDefault="4969318E" w:rsidP="4969318E">
      <w:pPr>
        <w:jc w:val="both"/>
        <w:rPr>
          <w:rFonts w:ascii="Book Antiqua" w:eastAsia="Book Antiqua" w:hAnsi="Book Antiqua" w:cs="Book Antiqua"/>
        </w:rPr>
      </w:pPr>
      <w:r w:rsidRPr="4969318E">
        <w:rPr>
          <w:rFonts w:ascii="Book Antiqua" w:eastAsia="Book Antiqua" w:hAnsi="Book Antiqua" w:cs="Book Antiqua"/>
        </w:rPr>
        <w:t xml:space="preserve">In the principal proceeding, the Chief Commissioner of Police sought to restrain the Director of Public Prosecutions from making certain disclosures to Mr Tony Mokbel and six of his associates.  After the conviction of those persons on various serious offences, a report prepared on behalf of the Independent Broad-based Anti-corruption Commission recommended that the Director consider whether any prosecutions had resulted in a miscarriage of justice as a result of </w:t>
      </w:r>
      <w:r w:rsidR="008C7468">
        <w:rPr>
          <w:rFonts w:ascii="Book Antiqua" w:eastAsia="Book Antiqua" w:hAnsi="Book Antiqua" w:cs="Book Antiqua"/>
        </w:rPr>
        <w:t>the conduct of a barrister acting for those persons</w:t>
      </w:r>
      <w:r w:rsidRPr="4969318E">
        <w:rPr>
          <w:rFonts w:ascii="Book Antiqua" w:eastAsia="Book Antiqua" w:hAnsi="Book Antiqua" w:cs="Book Antiqua"/>
        </w:rPr>
        <w:t>.</w:t>
      </w:r>
    </w:p>
    <w:p w14:paraId="2D808097" w14:textId="77777777" w:rsidR="4969318E" w:rsidRDefault="4969318E" w:rsidP="4969318E">
      <w:pPr>
        <w:jc w:val="both"/>
        <w:rPr>
          <w:rFonts w:ascii="Book Antiqua" w:eastAsia="Book Antiqua" w:hAnsi="Book Antiqua" w:cs="Book Antiqua"/>
        </w:rPr>
      </w:pPr>
      <w:r w:rsidRPr="4969318E">
        <w:rPr>
          <w:rFonts w:ascii="Book Antiqua" w:eastAsia="Book Antiqua" w:hAnsi="Book Antiqua" w:cs="Book Antiqua"/>
        </w:rPr>
        <w:t xml:space="preserve">The then Director formed the view that his duty of disclosure as a prosecutor required him to inform the seven persons that the barrister had given information to police about them at the same time as she was acting for them and that she had provided information to police about other persons for whom she acted, who then made statements against particular persons among the seven.  The Chief Commissioner of Police, together with the barrister, sought to </w:t>
      </w:r>
      <w:r w:rsidR="008C7468">
        <w:rPr>
          <w:rFonts w:ascii="Book Antiqua" w:eastAsia="Book Antiqua" w:hAnsi="Book Antiqua" w:cs="Book Antiqua"/>
        </w:rPr>
        <w:t>prevent</w:t>
      </w:r>
      <w:r w:rsidRPr="4969318E">
        <w:rPr>
          <w:rFonts w:ascii="Book Antiqua" w:eastAsia="Book Antiqua" w:hAnsi="Book Antiqua" w:cs="Book Antiqua"/>
        </w:rPr>
        <w:t xml:space="preserve"> such disclosures.  It was argued that disclosure would place the barrister and her children at extreme risk of death or other harm and deter future potential informers from giving confidential assistance to police.</w:t>
      </w:r>
    </w:p>
    <w:p w14:paraId="35D1E830" w14:textId="77777777" w:rsidR="4969318E" w:rsidRDefault="4969318E" w:rsidP="4969318E">
      <w:pPr>
        <w:jc w:val="both"/>
        <w:rPr>
          <w:rFonts w:ascii="Book Antiqua" w:eastAsia="Book Antiqua" w:hAnsi="Book Antiqua" w:cs="Book Antiqua"/>
        </w:rPr>
      </w:pPr>
      <w:r w:rsidRPr="4969318E">
        <w:rPr>
          <w:rFonts w:ascii="Book Antiqua" w:eastAsia="Book Antiqua" w:hAnsi="Book Antiqua" w:cs="Book Antiqua"/>
        </w:rPr>
        <w:lastRenderedPageBreak/>
        <w:t>The Court of Appeal held that the trial judge had properly taken account of the risks posed to the barrister and her children, as well as the risk of deterring future informers, and weighed them against the public interest in the right to a fair trial with the assistance of independent legal advice.  The Court of Appeal upheld the trial judge’s conclusion that the public interest in disclosure of the information outweighed those risks, so that the disclosures were not protected by public interest immunity, which normally prevents the identification of police informers.  The Court observed that it must ensure that its processes are used fairly by the State for the administration of justice, and that public confidence in the courts depends on maintaining the integrity and fairness of court processes.</w:t>
      </w:r>
    </w:p>
    <w:p w14:paraId="50C55047" w14:textId="77777777" w:rsidR="4969318E" w:rsidRDefault="4969318E" w:rsidP="4969318E">
      <w:pPr>
        <w:jc w:val="both"/>
        <w:rPr>
          <w:rFonts w:ascii="Book Antiqua" w:eastAsia="Book Antiqua" w:hAnsi="Book Antiqua" w:cs="Book Antiqua"/>
        </w:rPr>
      </w:pPr>
      <w:r w:rsidRPr="4969318E">
        <w:rPr>
          <w:rFonts w:ascii="Book Antiqua" w:eastAsia="Book Antiqua" w:hAnsi="Book Antiqua" w:cs="Book Antiqua"/>
        </w:rPr>
        <w:t xml:space="preserve">The Court of Appeal also upheld the trial judge’s dismissal of the second proceeding, in which the barrister sought to </w:t>
      </w:r>
      <w:r w:rsidR="008C7468">
        <w:rPr>
          <w:rFonts w:ascii="Book Antiqua" w:eastAsia="Book Antiqua" w:hAnsi="Book Antiqua" w:cs="Book Antiqua"/>
        </w:rPr>
        <w:t>prevent</w:t>
      </w:r>
      <w:r w:rsidRPr="4969318E">
        <w:rPr>
          <w:rFonts w:ascii="Book Antiqua" w:eastAsia="Book Antiqua" w:hAnsi="Book Antiqua" w:cs="Book Antiqua"/>
        </w:rPr>
        <w:t xml:space="preserve"> the disclosures on the basis that they amounted to a breach of confidence.  Among other things, the Court agreed with the trial judge that the disclosures would reveal the real likelihood of a serious misdeed of public importance on the part of the barrister and Victoria Police.</w:t>
      </w:r>
    </w:p>
    <w:p w14:paraId="3CA5A1A3" w14:textId="77777777" w:rsidR="4969318E" w:rsidRDefault="4969318E" w:rsidP="4969318E">
      <w:pPr>
        <w:jc w:val="both"/>
      </w:pPr>
      <w:r w:rsidRPr="4969318E">
        <w:rPr>
          <w:rFonts w:ascii="Book Antiqua" w:eastAsia="Book Antiqua" w:hAnsi="Book Antiqua" w:cs="Book Antiqua"/>
        </w:rPr>
        <w:t xml:space="preserve">The Court has published a version of its reasons for decision which has been redacted to a limited extent, primarily in order to protect the safety of </w:t>
      </w:r>
      <w:r w:rsidR="008C7468">
        <w:rPr>
          <w:rFonts w:ascii="Book Antiqua" w:eastAsia="Book Antiqua" w:hAnsi="Book Antiqua" w:cs="Book Antiqua"/>
        </w:rPr>
        <w:t>persons</w:t>
      </w:r>
      <w:r w:rsidRPr="4969318E">
        <w:rPr>
          <w:rFonts w:ascii="Book Antiqua" w:eastAsia="Book Antiqua" w:hAnsi="Book Antiqua" w:cs="Book Antiqua"/>
        </w:rPr>
        <w:t xml:space="preserve"> and in order to preserve the confidential nature of the witness protection program.  The reasons of the trial judge will be published on the same basis.  </w:t>
      </w:r>
      <w:r w:rsidRPr="0058647E">
        <w:rPr>
          <w:rFonts w:ascii="Book Antiqua" w:eastAsia="Book Antiqua" w:hAnsi="Book Antiqua" w:cs="Book Antiqua"/>
          <w:b/>
        </w:rPr>
        <w:t>The Court has also made an order, consistent with corresponding orders made by the High Court, having the effect of prohibiting publication of the barrister’s name</w:t>
      </w:r>
      <w:r w:rsidR="008C7468">
        <w:rPr>
          <w:rFonts w:ascii="Book Antiqua" w:eastAsia="Book Antiqua" w:hAnsi="Book Antiqua" w:cs="Book Antiqua"/>
          <w:b/>
        </w:rPr>
        <w:t xml:space="preserve"> or image in connection with the proceedings</w:t>
      </w:r>
      <w:r w:rsidR="003461C1" w:rsidRPr="0058647E">
        <w:rPr>
          <w:rFonts w:ascii="Book Antiqua" w:eastAsia="Book Antiqua" w:hAnsi="Book Antiqua" w:cs="Book Antiqua"/>
          <w:b/>
        </w:rPr>
        <w:t>,</w:t>
      </w:r>
      <w:r w:rsidRPr="0058647E">
        <w:rPr>
          <w:rFonts w:ascii="Book Antiqua" w:eastAsia="Book Antiqua" w:hAnsi="Book Antiqua" w:cs="Book Antiqua"/>
          <w:b/>
        </w:rPr>
        <w:t xml:space="preserve"> until 5 February 2019.</w:t>
      </w:r>
    </w:p>
    <w:p w14:paraId="3936CEFE" w14:textId="77777777" w:rsidR="4969318E" w:rsidRDefault="003461C1" w:rsidP="4969318E">
      <w:pPr>
        <w:jc w:val="both"/>
      </w:pPr>
      <w:r>
        <w:rPr>
          <w:rFonts w:ascii="Book Antiqua" w:eastAsia="Book Antiqua" w:hAnsi="Book Antiqua" w:cs="Book Antiqua"/>
        </w:rPr>
        <w:t>Also</w:t>
      </w:r>
      <w:r w:rsidR="4969318E" w:rsidRPr="4969318E">
        <w:rPr>
          <w:rFonts w:ascii="Book Antiqua" w:eastAsia="Book Antiqua" w:hAnsi="Book Antiqua" w:cs="Book Antiqua"/>
        </w:rPr>
        <w:t xml:space="preserve"> consistently with orders made by the High Court, the Court’s files in respect of the appeal and the trial are to remain closed until 5 February 2019, and more limited suppression orders are in place, so as to enable the parties to make applications in respect of the limited redaction of material on those files before that date.</w:t>
      </w:r>
    </w:p>
    <w:p w14:paraId="06AFCBE1" w14:textId="77777777" w:rsidR="4969318E" w:rsidRDefault="4969318E" w:rsidP="4969318E">
      <w:pPr>
        <w:jc w:val="center"/>
      </w:pPr>
      <w:r w:rsidRPr="4969318E">
        <w:rPr>
          <w:rFonts w:ascii="Book Antiqua" w:eastAsia="Book Antiqua" w:hAnsi="Book Antiqua" w:cs="Book Antiqua"/>
        </w:rPr>
        <w:t>---</w:t>
      </w:r>
    </w:p>
    <w:p w14:paraId="212D35E8" w14:textId="77777777" w:rsidR="4969318E" w:rsidRDefault="4969318E" w:rsidP="4969318E">
      <w:pPr>
        <w:jc w:val="both"/>
      </w:pPr>
      <w:r w:rsidRPr="4969318E">
        <w:rPr>
          <w:rFonts w:ascii="Book Antiqua" w:eastAsia="Book Antiqua" w:hAnsi="Book Antiqua" w:cs="Book Antiqua"/>
          <w:b/>
          <w:bCs/>
          <w:lang w:val="en"/>
        </w:rPr>
        <w:t>NOTE</w:t>
      </w:r>
      <w:r w:rsidRPr="4969318E">
        <w:rPr>
          <w:rFonts w:ascii="Book Antiqua" w:eastAsia="Book Antiqua" w:hAnsi="Book Antiqua" w:cs="Book Antiqua"/>
          <w:lang w:val="en"/>
        </w:rPr>
        <w:t>:  This summary is necessarily incomplete. It is not intended as a substitute for the Court’s reasons or to be used in any later consideration of the Court’s reasons.  The only authoritative pronouncement of the Court’s reasons and conclusions is that contained in the published reasons for judgment.</w:t>
      </w:r>
    </w:p>
    <w:p w14:paraId="5E79BD7A" w14:textId="77777777" w:rsidR="4969318E" w:rsidRDefault="4969318E" w:rsidP="4969318E">
      <w:pPr>
        <w:ind w:left="720"/>
        <w:jc w:val="both"/>
      </w:pPr>
      <w:r w:rsidRPr="4969318E">
        <w:rPr>
          <w:rFonts w:ascii="Book Antiqua" w:eastAsia="Book Antiqua" w:hAnsi="Book Antiqua" w:cs="Book Antiqua"/>
        </w:rPr>
        <w:t xml:space="preserve"> </w:t>
      </w:r>
    </w:p>
    <w:p w14:paraId="7F66D3FF" w14:textId="77777777" w:rsidR="4969318E" w:rsidRDefault="4969318E" w:rsidP="4969318E">
      <w:pPr>
        <w:ind w:left="720"/>
        <w:jc w:val="both"/>
      </w:pPr>
      <w:r w:rsidRPr="4969318E">
        <w:rPr>
          <w:rFonts w:ascii="Book Antiqua" w:eastAsia="Book Antiqua" w:hAnsi="Book Antiqua" w:cs="Book Antiqua"/>
        </w:rPr>
        <w:t xml:space="preserve"> </w:t>
      </w:r>
    </w:p>
    <w:p w14:paraId="26DFE64F" w14:textId="77777777" w:rsidR="4969318E" w:rsidRDefault="4969318E" w:rsidP="4969318E">
      <w:r w:rsidRPr="4969318E">
        <w:rPr>
          <w:rFonts w:ascii="Book Antiqua" w:eastAsia="Book Antiqua" w:hAnsi="Book Antiqua" w:cs="Book Antiqua"/>
        </w:rPr>
        <w:t xml:space="preserve"> </w:t>
      </w:r>
    </w:p>
    <w:p w14:paraId="76932429" w14:textId="77777777" w:rsidR="4969318E" w:rsidRDefault="4969318E" w:rsidP="4969318E"/>
    <w:sectPr w:rsidR="4969318E" w:rsidSect="00B77D50">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A59B" w14:textId="77777777" w:rsidR="00A174ED" w:rsidRDefault="00A174ED" w:rsidP="00B77D50">
      <w:pPr>
        <w:spacing w:after="0" w:line="240" w:lineRule="auto"/>
      </w:pPr>
      <w:r>
        <w:separator/>
      </w:r>
    </w:p>
  </w:endnote>
  <w:endnote w:type="continuationSeparator" w:id="0">
    <w:p w14:paraId="1A7A0090" w14:textId="77777777" w:rsidR="00A174ED" w:rsidRDefault="00A174ED" w:rsidP="00B7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BCAA" w14:textId="77777777" w:rsidR="00A174ED" w:rsidRDefault="00A174ED" w:rsidP="00B77D50">
      <w:pPr>
        <w:spacing w:after="0" w:line="240" w:lineRule="auto"/>
      </w:pPr>
      <w:r>
        <w:separator/>
      </w:r>
    </w:p>
  </w:footnote>
  <w:footnote w:type="continuationSeparator" w:id="0">
    <w:p w14:paraId="4B62D41A" w14:textId="77777777" w:rsidR="00A174ED" w:rsidRDefault="00A174ED" w:rsidP="00B7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1270749099"/>
      <w:docPartObj>
        <w:docPartGallery w:val="Page Numbers (Top of Page)"/>
        <w:docPartUnique/>
      </w:docPartObj>
    </w:sdtPr>
    <w:sdtEndPr>
      <w:rPr>
        <w:noProof/>
      </w:rPr>
    </w:sdtEndPr>
    <w:sdtContent>
      <w:p w14:paraId="6B824491" w14:textId="79E9E82F" w:rsidR="00B77D50" w:rsidRPr="00B77D50" w:rsidRDefault="00B77D50">
        <w:pPr>
          <w:pStyle w:val="Header"/>
          <w:jc w:val="center"/>
          <w:rPr>
            <w:rFonts w:ascii="Book Antiqua" w:hAnsi="Book Antiqua"/>
          </w:rPr>
        </w:pPr>
        <w:r w:rsidRPr="00B77D50">
          <w:rPr>
            <w:rFonts w:ascii="Book Antiqua" w:hAnsi="Book Antiqua"/>
          </w:rPr>
          <w:fldChar w:fldCharType="begin"/>
        </w:r>
        <w:r w:rsidRPr="00B77D50">
          <w:rPr>
            <w:rFonts w:ascii="Book Antiqua" w:hAnsi="Book Antiqua"/>
          </w:rPr>
          <w:instrText xml:space="preserve"> PAGE   \* MERGEFORMAT </w:instrText>
        </w:r>
        <w:r w:rsidRPr="00B77D50">
          <w:rPr>
            <w:rFonts w:ascii="Book Antiqua" w:hAnsi="Book Antiqua"/>
          </w:rPr>
          <w:fldChar w:fldCharType="separate"/>
        </w:r>
        <w:r w:rsidR="00D4240F">
          <w:rPr>
            <w:rFonts w:ascii="Book Antiqua" w:hAnsi="Book Antiqua"/>
            <w:noProof/>
          </w:rPr>
          <w:t>2</w:t>
        </w:r>
        <w:r w:rsidRPr="00B77D50">
          <w:rPr>
            <w:rFonts w:ascii="Book Antiqua" w:hAnsi="Book Antiqua"/>
            <w:noProof/>
          </w:rPr>
          <w:fldChar w:fldCharType="end"/>
        </w:r>
      </w:p>
    </w:sdtContent>
  </w:sdt>
  <w:p w14:paraId="7F8D5B8B" w14:textId="77777777" w:rsidR="00B77D50" w:rsidRDefault="00B77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48C41C"/>
    <w:rsid w:val="002455E7"/>
    <w:rsid w:val="003169CD"/>
    <w:rsid w:val="00317CEC"/>
    <w:rsid w:val="003461C1"/>
    <w:rsid w:val="0058647E"/>
    <w:rsid w:val="007F7E62"/>
    <w:rsid w:val="008C7468"/>
    <w:rsid w:val="00A174ED"/>
    <w:rsid w:val="00B77D50"/>
    <w:rsid w:val="00BC1C6F"/>
    <w:rsid w:val="00D4240F"/>
    <w:rsid w:val="0C48C41C"/>
    <w:rsid w:val="4969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4E827"/>
  <w15:chartTrackingRefBased/>
  <w15:docId w15:val="{52AB1D4F-52A2-4C67-A777-BB8B8860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E7"/>
    <w:rPr>
      <w:rFonts w:ascii="Segoe UI" w:hAnsi="Segoe UI" w:cs="Segoe UI"/>
      <w:sz w:val="18"/>
      <w:szCs w:val="18"/>
    </w:rPr>
  </w:style>
  <w:style w:type="paragraph" w:styleId="Header">
    <w:name w:val="header"/>
    <w:basedOn w:val="Normal"/>
    <w:link w:val="HeaderChar"/>
    <w:uiPriority w:val="99"/>
    <w:unhideWhenUsed/>
    <w:rsid w:val="00B7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D50"/>
  </w:style>
  <w:style w:type="paragraph" w:styleId="Footer">
    <w:name w:val="footer"/>
    <w:basedOn w:val="Normal"/>
    <w:link w:val="FooterChar"/>
    <w:uiPriority w:val="99"/>
    <w:unhideWhenUsed/>
    <w:rsid w:val="00B7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486193FE-3EA2-43F7-9308-EA17EED30661}"/>
</file>

<file path=customXml/itemProps2.xml><?xml version="1.0" encoding="utf-8"?>
<ds:datastoreItem xmlns:ds="http://schemas.openxmlformats.org/officeDocument/2006/customXml" ds:itemID="{55422B90-EC19-4DA0-8F1B-91D81FA5BD87}">
  <ds:schemaRefs>
    <ds:schemaRef ds:uri="http://schemas.microsoft.com/sharepoint/v3/contenttype/forms"/>
  </ds:schemaRefs>
</ds:datastoreItem>
</file>

<file path=customXml/itemProps3.xml><?xml version="1.0" encoding="utf-8"?>
<ds:datastoreItem xmlns:ds="http://schemas.openxmlformats.org/officeDocument/2006/customXml" ds:itemID="{F47C85B9-E291-461C-AEE9-4359FFC9CA74}">
  <ds:schemaRefs>
    <ds:schemaRef ds:uri="http://purl.org/dc/terms/"/>
    <ds:schemaRef ds:uri="http://schemas.openxmlformats.org/package/2006/metadata/core-properties"/>
    <ds:schemaRef ds:uri="http://purl.org/dc/dcmitype/"/>
    <ds:schemaRef ds:uri="c32aa212-4852-43f1-b0c6-1145a37402e1"/>
    <ds:schemaRef ds:uri="http://schemas.microsoft.com/office/2006/documentManagement/types"/>
    <ds:schemaRef ds:uri="http://purl.org/dc/elements/1.1/"/>
    <ds:schemaRef ds:uri="http://schemas.microsoft.com/office/2006/metadata/properties"/>
    <ds:schemaRef ds:uri="http://schemas.microsoft.com/office/infopath/2007/PartnerControls"/>
    <ds:schemaRef ds:uri="8dd26898-6efd-401f-8c5b-6cba5625bc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McLeish</dc:creator>
  <cp:keywords/>
  <dc:description/>
  <cp:lastModifiedBy>Jennifer Vogan</cp:lastModifiedBy>
  <cp:revision>4</cp:revision>
  <cp:lastPrinted>2018-11-30T00:25:00Z</cp:lastPrinted>
  <dcterms:created xsi:type="dcterms:W3CDTF">2018-12-02T20:56:00Z</dcterms:created>
  <dcterms:modified xsi:type="dcterms:W3CDTF">2018-12-02T21:59:00Z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