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D25" w14:textId="31056FEE"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6BC2E08F"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972B21">
        <w:rPr>
          <w:rFonts w:ascii="Book Antiqua" w:hAnsi="Book Antiqua"/>
          <w:b/>
          <w:color w:val="000000"/>
          <w:sz w:val="28"/>
        </w:rPr>
        <w:t>1</w:t>
      </w:r>
      <w:r w:rsidR="00747C64">
        <w:rPr>
          <w:rFonts w:ascii="Book Antiqua" w:hAnsi="Book Antiqua"/>
          <w:b/>
          <w:color w:val="000000"/>
          <w:sz w:val="28"/>
        </w:rPr>
        <w:t>3</w:t>
      </w:r>
    </w:p>
    <w:p w14:paraId="66779301" w14:textId="35D880E1" w:rsidR="00271B59" w:rsidRDefault="00747C64" w:rsidP="00CD0331">
      <w:pPr>
        <w:autoSpaceDE w:val="0"/>
        <w:autoSpaceDN w:val="0"/>
        <w:adjustRightInd w:val="0"/>
        <w:spacing w:before="120" w:after="120"/>
        <w:jc w:val="center"/>
        <w:rPr>
          <w:rFonts w:ascii="Book Antiqua" w:hAnsi="Book Antiqua"/>
          <w:b/>
          <w:color w:val="000000"/>
          <w:sz w:val="28"/>
        </w:rPr>
      </w:pPr>
      <w:r>
        <w:rPr>
          <w:b/>
          <w:color w:val="000000"/>
          <w:sz w:val="28"/>
        </w:rPr>
        <w:t xml:space="preserve">Property </w:t>
      </w:r>
      <w:r w:rsidR="00111FFD">
        <w:rPr>
          <w:b/>
          <w:color w:val="000000"/>
          <w:sz w:val="28"/>
        </w:rPr>
        <w:t>List</w:t>
      </w:r>
    </w:p>
    <w:p w14:paraId="02D8B7A1" w14:textId="77777777" w:rsidR="00CD0331" w:rsidRPr="007641EF" w:rsidRDefault="00CD0331" w:rsidP="00CD0331">
      <w:pPr>
        <w:autoSpaceDE w:val="0"/>
        <w:autoSpaceDN w:val="0"/>
        <w:adjustRightInd w:val="0"/>
        <w:spacing w:before="120" w:after="120"/>
        <w:jc w:val="center"/>
        <w:rPr>
          <w:rFonts w:ascii="Book Antiqua" w:hAnsi="Book Antiqua"/>
          <w:b/>
          <w:color w:val="000000"/>
        </w:rPr>
      </w:pPr>
    </w:p>
    <w:p w14:paraId="0579C033" w14:textId="4644D5EC" w:rsidR="00A50A22" w:rsidRPr="007641EF" w:rsidRDefault="00A50A22" w:rsidP="00D50183">
      <w:pPr>
        <w:pStyle w:val="ListParagraph"/>
        <w:keepNext/>
        <w:numPr>
          <w:ilvl w:val="0"/>
          <w:numId w:val="2"/>
        </w:numPr>
        <w:autoSpaceDE w:val="0"/>
        <w:autoSpaceDN w:val="0"/>
        <w:adjustRightInd w:val="0"/>
        <w:spacing w:before="120" w:after="120"/>
        <w:contextualSpacing w:val="0"/>
        <w:jc w:val="both"/>
        <w:rPr>
          <w:rFonts w:ascii="Book Antiqua" w:hAnsi="Book Antiqua"/>
          <w:b/>
          <w:color w:val="000000"/>
          <w:sz w:val="24"/>
          <w:szCs w:val="24"/>
        </w:rPr>
      </w:pPr>
      <w:r w:rsidRPr="007641EF">
        <w:rPr>
          <w:rFonts w:ascii="Book Antiqua" w:hAnsi="Book Antiqua"/>
          <w:b/>
          <w:sz w:val="24"/>
          <w:szCs w:val="24"/>
        </w:rPr>
        <w:t>INTRODUCTION</w:t>
      </w:r>
    </w:p>
    <w:p w14:paraId="48A07A23" w14:textId="77777777" w:rsidR="00A50A22" w:rsidRPr="007641EF" w:rsidRDefault="00A50A22" w:rsidP="00D50183">
      <w:pPr>
        <w:pStyle w:val="ListParagraph"/>
        <w:numPr>
          <w:ilvl w:val="1"/>
          <w:numId w:val="2"/>
        </w:numPr>
        <w:spacing w:before="120" w:after="120"/>
        <w:contextualSpacing w:val="0"/>
        <w:jc w:val="both"/>
        <w:rPr>
          <w:rFonts w:ascii="Book Antiqua" w:hAnsi="Book Antiqua"/>
          <w:sz w:val="24"/>
          <w:szCs w:val="24"/>
        </w:rPr>
      </w:pPr>
      <w:r w:rsidRPr="007641EF">
        <w:rPr>
          <w:rFonts w:ascii="Book Antiqua" w:hAnsi="Book Antiqua"/>
          <w:sz w:val="24"/>
          <w:szCs w:val="24"/>
        </w:rPr>
        <w:t>The Chief Justice has authorised the issue of the following Practice Note.</w:t>
      </w:r>
    </w:p>
    <w:p w14:paraId="4F7A6C80" w14:textId="758E9BA8" w:rsidR="00A50A22" w:rsidRPr="007641EF" w:rsidRDefault="00A50A22" w:rsidP="00D50183">
      <w:pPr>
        <w:pStyle w:val="ListParagraph"/>
        <w:numPr>
          <w:ilvl w:val="1"/>
          <w:numId w:val="2"/>
        </w:numPr>
        <w:spacing w:before="120" w:after="120"/>
        <w:contextualSpacing w:val="0"/>
        <w:jc w:val="both"/>
        <w:rPr>
          <w:rFonts w:ascii="Book Antiqua" w:hAnsi="Book Antiqua"/>
          <w:sz w:val="24"/>
          <w:szCs w:val="24"/>
        </w:rPr>
      </w:pPr>
      <w:r w:rsidRPr="007641EF">
        <w:rPr>
          <w:rFonts w:ascii="Book Antiqua" w:hAnsi="Book Antiqua"/>
          <w:sz w:val="24"/>
          <w:szCs w:val="24"/>
        </w:rPr>
        <w:t xml:space="preserve">The purpose of this Practice Note is to </w:t>
      </w:r>
      <w:r w:rsidR="004A30A6" w:rsidRPr="007641EF">
        <w:rPr>
          <w:rFonts w:ascii="Book Antiqua" w:hAnsi="Book Antiqua"/>
          <w:sz w:val="24"/>
          <w:szCs w:val="24"/>
        </w:rPr>
        <w:t xml:space="preserve">provide guidance on the </w:t>
      </w:r>
      <w:r w:rsidR="00B53C96" w:rsidRPr="007641EF">
        <w:rPr>
          <w:rFonts w:ascii="Book Antiqua" w:hAnsi="Book Antiqua"/>
          <w:sz w:val="24"/>
          <w:szCs w:val="24"/>
        </w:rPr>
        <w:t xml:space="preserve">operation of the </w:t>
      </w:r>
      <w:r w:rsidR="00747C64">
        <w:rPr>
          <w:rFonts w:ascii="Book Antiqua" w:hAnsi="Book Antiqua"/>
          <w:sz w:val="24"/>
          <w:szCs w:val="24"/>
        </w:rPr>
        <w:t xml:space="preserve">Property </w:t>
      </w:r>
      <w:r w:rsidR="00B53C96" w:rsidRPr="007641EF">
        <w:rPr>
          <w:rFonts w:ascii="Book Antiqua" w:hAnsi="Book Antiqua"/>
          <w:sz w:val="24"/>
          <w:szCs w:val="24"/>
        </w:rPr>
        <w:t>List, a case man</w:t>
      </w:r>
      <w:bookmarkStart w:id="0" w:name="_GoBack"/>
      <w:bookmarkEnd w:id="0"/>
      <w:r w:rsidR="00B53C96" w:rsidRPr="007641EF">
        <w:rPr>
          <w:rFonts w:ascii="Book Antiqua" w:hAnsi="Book Antiqua"/>
          <w:sz w:val="24"/>
          <w:szCs w:val="24"/>
        </w:rPr>
        <w:t xml:space="preserve">agement list within the </w:t>
      </w:r>
      <w:r w:rsidR="004A30A6" w:rsidRPr="007641EF">
        <w:rPr>
          <w:rFonts w:ascii="Book Antiqua" w:hAnsi="Book Antiqua"/>
          <w:sz w:val="24"/>
          <w:szCs w:val="24"/>
        </w:rPr>
        <w:t xml:space="preserve">Common Law Division of the </w:t>
      </w:r>
      <w:r w:rsidR="00B53C96" w:rsidRPr="007641EF">
        <w:rPr>
          <w:rFonts w:ascii="Book Antiqua" w:hAnsi="Book Antiqua"/>
          <w:sz w:val="24"/>
          <w:szCs w:val="24"/>
        </w:rPr>
        <w:t>Court</w:t>
      </w:r>
      <w:r w:rsidR="00512942" w:rsidRPr="007641EF">
        <w:rPr>
          <w:rFonts w:ascii="Book Antiqua" w:hAnsi="Book Antiqua"/>
          <w:sz w:val="24"/>
          <w:szCs w:val="24"/>
        </w:rPr>
        <w:t>.</w:t>
      </w:r>
    </w:p>
    <w:p w14:paraId="410289F4" w14:textId="77777777" w:rsidR="00D6504E" w:rsidRPr="007641EF" w:rsidRDefault="00D6504E" w:rsidP="00D50183">
      <w:pPr>
        <w:autoSpaceDE w:val="0"/>
        <w:autoSpaceDN w:val="0"/>
        <w:adjustRightInd w:val="0"/>
        <w:spacing w:before="120" w:after="120"/>
        <w:jc w:val="both"/>
        <w:rPr>
          <w:rFonts w:ascii="Book Antiqua" w:hAnsi="Book Antiqua"/>
        </w:rPr>
      </w:pPr>
    </w:p>
    <w:p w14:paraId="46B7AF83" w14:textId="26A7C8D0" w:rsidR="00A50A22" w:rsidRPr="007641EF" w:rsidRDefault="00A50A22" w:rsidP="00D50183">
      <w:pPr>
        <w:pStyle w:val="ListParagraph"/>
        <w:keepNext/>
        <w:numPr>
          <w:ilvl w:val="0"/>
          <w:numId w:val="2"/>
        </w:numPr>
        <w:autoSpaceDE w:val="0"/>
        <w:autoSpaceDN w:val="0"/>
        <w:adjustRightInd w:val="0"/>
        <w:spacing w:before="120" w:after="120"/>
        <w:contextualSpacing w:val="0"/>
        <w:jc w:val="both"/>
        <w:rPr>
          <w:rFonts w:ascii="Book Antiqua" w:hAnsi="Book Antiqua"/>
          <w:sz w:val="24"/>
          <w:szCs w:val="24"/>
        </w:rPr>
      </w:pPr>
      <w:r w:rsidRPr="007641EF">
        <w:rPr>
          <w:rFonts w:ascii="Book Antiqua" w:hAnsi="Book Antiqua"/>
          <w:b/>
          <w:sz w:val="24"/>
          <w:szCs w:val="24"/>
        </w:rPr>
        <w:t>DEFINITIONS</w:t>
      </w:r>
    </w:p>
    <w:p w14:paraId="2E1BCC71" w14:textId="77777777" w:rsidR="00A50A22" w:rsidRPr="007641EF" w:rsidRDefault="00A50A22" w:rsidP="00D50183">
      <w:pPr>
        <w:pStyle w:val="ListParagraph"/>
        <w:numPr>
          <w:ilvl w:val="1"/>
          <w:numId w:val="2"/>
        </w:numPr>
        <w:spacing w:before="120" w:after="120"/>
        <w:contextualSpacing w:val="0"/>
        <w:jc w:val="both"/>
        <w:rPr>
          <w:rFonts w:ascii="Book Antiqua" w:hAnsi="Book Antiqua"/>
          <w:sz w:val="24"/>
          <w:szCs w:val="24"/>
        </w:rPr>
      </w:pPr>
      <w:r w:rsidRPr="007641EF">
        <w:rPr>
          <w:rFonts w:ascii="Book Antiqua" w:hAnsi="Book Antiqua"/>
          <w:sz w:val="24"/>
          <w:szCs w:val="24"/>
        </w:rPr>
        <w:t>In this Practice Note:</w:t>
      </w:r>
    </w:p>
    <w:p w14:paraId="0AE01DF3" w14:textId="0579319D" w:rsidR="005B7BEB" w:rsidRPr="007641EF" w:rsidRDefault="00D07FFA" w:rsidP="00D50183">
      <w:pPr>
        <w:pStyle w:val="ListParagraph"/>
        <w:spacing w:before="120" w:after="120"/>
        <w:ind w:left="1440" w:hanging="720"/>
        <w:contextualSpacing w:val="0"/>
        <w:jc w:val="both"/>
        <w:rPr>
          <w:rFonts w:ascii="Book Antiqua" w:hAnsi="Book Antiqua"/>
          <w:sz w:val="24"/>
          <w:szCs w:val="24"/>
        </w:rPr>
      </w:pPr>
      <w:r>
        <w:rPr>
          <w:rFonts w:ascii="Book Antiqua" w:hAnsi="Book Antiqua"/>
          <w:b/>
          <w:i/>
          <w:sz w:val="24"/>
          <w:szCs w:val="24"/>
        </w:rPr>
        <w:t>Rules</w:t>
      </w:r>
      <w:r>
        <w:rPr>
          <w:rFonts w:ascii="Book Antiqua" w:hAnsi="Book Antiqua"/>
          <w:sz w:val="24"/>
          <w:szCs w:val="24"/>
        </w:rPr>
        <w:t xml:space="preserve"> means the </w:t>
      </w:r>
      <w:r>
        <w:rPr>
          <w:rFonts w:ascii="Book Antiqua" w:hAnsi="Book Antiqua"/>
          <w:i/>
          <w:sz w:val="24"/>
          <w:szCs w:val="24"/>
        </w:rPr>
        <w:t>Supreme Court (General Civil Procedure) Rules 2015</w:t>
      </w:r>
      <w:r w:rsidR="004A30A6" w:rsidRPr="007641EF">
        <w:rPr>
          <w:rFonts w:ascii="Book Antiqua" w:hAnsi="Book Antiqua"/>
          <w:sz w:val="24"/>
          <w:szCs w:val="24"/>
        </w:rPr>
        <w:t>.</w:t>
      </w:r>
    </w:p>
    <w:p w14:paraId="2BF76192" w14:textId="77777777" w:rsidR="00FD4B3F" w:rsidRPr="007641EF" w:rsidRDefault="00FD4B3F" w:rsidP="00D50183">
      <w:pPr>
        <w:autoSpaceDE w:val="0"/>
        <w:autoSpaceDN w:val="0"/>
        <w:adjustRightInd w:val="0"/>
        <w:spacing w:before="120" w:after="120"/>
        <w:ind w:left="720"/>
        <w:jc w:val="both"/>
        <w:rPr>
          <w:rFonts w:ascii="Book Antiqua" w:hAnsi="Book Antiqua"/>
        </w:rPr>
      </w:pPr>
    </w:p>
    <w:p w14:paraId="0DCFA5C3" w14:textId="1E00829A" w:rsidR="00FD4B3F" w:rsidRPr="007641EF" w:rsidRDefault="00FD4B3F"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7641EF">
        <w:rPr>
          <w:rFonts w:ascii="Book Antiqua" w:hAnsi="Book Antiqua"/>
          <w:b/>
          <w:sz w:val="24"/>
          <w:szCs w:val="24"/>
        </w:rPr>
        <w:t>COMMENCEMENT</w:t>
      </w:r>
    </w:p>
    <w:p w14:paraId="7D3CBBE0" w14:textId="181C939E" w:rsidR="00FD4B3F" w:rsidRPr="007641EF" w:rsidRDefault="00FD4B3F"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641EF">
        <w:rPr>
          <w:rFonts w:ascii="Book Antiqua" w:hAnsi="Book Antiqua"/>
          <w:sz w:val="24"/>
          <w:szCs w:val="24"/>
        </w:rPr>
        <w:t>This Practice No</w:t>
      </w:r>
      <w:r w:rsidR="00B8760E">
        <w:rPr>
          <w:rFonts w:ascii="Book Antiqua" w:hAnsi="Book Antiqua"/>
          <w:sz w:val="24"/>
          <w:szCs w:val="24"/>
        </w:rPr>
        <w:t xml:space="preserve">te was issued and commences on </w:t>
      </w:r>
      <w:r w:rsidR="001C386A">
        <w:rPr>
          <w:rFonts w:ascii="Book Antiqua" w:hAnsi="Book Antiqua"/>
          <w:sz w:val="24"/>
          <w:szCs w:val="24"/>
        </w:rPr>
        <w:t xml:space="preserve">1 December 2018 </w:t>
      </w:r>
      <w:r w:rsidRPr="007641EF">
        <w:rPr>
          <w:rFonts w:ascii="Book Antiqua" w:hAnsi="Book Antiqua"/>
          <w:sz w:val="24"/>
          <w:szCs w:val="24"/>
        </w:rPr>
        <w:t>and will apply to all proceedings in the List whenever commenced.</w:t>
      </w:r>
    </w:p>
    <w:p w14:paraId="651DE4C3" w14:textId="77777777" w:rsidR="00C5118C" w:rsidRPr="007641EF" w:rsidRDefault="00C5118C" w:rsidP="00D50183">
      <w:pPr>
        <w:autoSpaceDE w:val="0"/>
        <w:autoSpaceDN w:val="0"/>
        <w:adjustRightInd w:val="0"/>
        <w:spacing w:before="120" w:after="120"/>
        <w:jc w:val="both"/>
        <w:rPr>
          <w:rFonts w:ascii="Book Antiqua" w:hAnsi="Book Antiqua"/>
        </w:rPr>
      </w:pPr>
    </w:p>
    <w:p w14:paraId="343A8DDA" w14:textId="4ADAE3C4" w:rsidR="006E7E0B" w:rsidRPr="007641EF" w:rsidRDefault="00B65E3C"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7641EF">
        <w:rPr>
          <w:rFonts w:ascii="Book Antiqua" w:hAnsi="Book Antiqua"/>
          <w:b/>
          <w:sz w:val="24"/>
          <w:szCs w:val="24"/>
        </w:rPr>
        <w:t xml:space="preserve">PROCEEDINGS SUITABLE FOR INCLUSION IN THE LIST </w:t>
      </w:r>
    </w:p>
    <w:p w14:paraId="5E09FDDB" w14:textId="77777777" w:rsidR="00D07FFA" w:rsidRPr="00D07FFA" w:rsidRDefault="00D07FFA"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07FFA">
        <w:rPr>
          <w:rFonts w:ascii="Book Antiqua" w:hAnsi="Book Antiqua"/>
          <w:sz w:val="24"/>
          <w:szCs w:val="24"/>
        </w:rPr>
        <w:t>Proceedings in relation to rights over real property are suitable for initiation in the List, including proceedings:</w:t>
      </w:r>
    </w:p>
    <w:p w14:paraId="405CB238" w14:textId="3847B1E6"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t xml:space="preserve">for the recovery of possession of land, including the summary procedure under Order 53 of the Rules, other than those proceedings appropriate for judge management in the Commercial Court; </w:t>
      </w:r>
    </w:p>
    <w:p w14:paraId="3F2DEB41" w14:textId="20FAC1F2"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t xml:space="preserve">seeking sale of land by order of the Court (Order 55 of the Rules); </w:t>
      </w:r>
    </w:p>
    <w:p w14:paraId="5FA6FF71" w14:textId="4EEF192F"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t xml:space="preserve">by a vendor or purchaser of land (s 49 of the </w:t>
      </w:r>
      <w:r w:rsidRPr="00D07FFA">
        <w:rPr>
          <w:rFonts w:ascii="Book Antiqua" w:hAnsi="Book Antiqua"/>
          <w:i/>
          <w:sz w:val="24"/>
          <w:szCs w:val="24"/>
        </w:rPr>
        <w:t>Property Law Act 1958</w:t>
      </w:r>
      <w:r w:rsidRPr="00D07FFA">
        <w:rPr>
          <w:rFonts w:ascii="Book Antiqua" w:hAnsi="Book Antiqua"/>
          <w:sz w:val="24"/>
          <w:szCs w:val="24"/>
        </w:rPr>
        <w:t>);</w:t>
      </w:r>
    </w:p>
    <w:p w14:paraId="24A2824C" w14:textId="45A609B9"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t xml:space="preserve">for the discharge or modification of a restrictive covenant (s 84 of the </w:t>
      </w:r>
      <w:r w:rsidRPr="00D07FFA">
        <w:rPr>
          <w:rFonts w:ascii="Book Antiqua" w:hAnsi="Book Antiqua"/>
          <w:i/>
          <w:sz w:val="24"/>
          <w:szCs w:val="24"/>
        </w:rPr>
        <w:t>Property Law Act 1958</w:t>
      </w:r>
      <w:r w:rsidRPr="00D07FFA">
        <w:rPr>
          <w:rFonts w:ascii="Book Antiqua" w:hAnsi="Book Antiqua"/>
          <w:sz w:val="24"/>
          <w:szCs w:val="24"/>
        </w:rPr>
        <w:t>);</w:t>
      </w:r>
    </w:p>
    <w:p w14:paraId="096D54D6" w14:textId="0DCFDC65"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t xml:space="preserve">for the removal of caveats against dealings (s 90(3) of the </w:t>
      </w:r>
      <w:r w:rsidRPr="00D07FFA">
        <w:rPr>
          <w:rFonts w:ascii="Book Antiqua" w:hAnsi="Book Antiqua"/>
          <w:i/>
          <w:sz w:val="24"/>
          <w:szCs w:val="24"/>
        </w:rPr>
        <w:t>Transfer of Land Act 1958</w:t>
      </w:r>
      <w:r w:rsidRPr="00D07FFA">
        <w:rPr>
          <w:rFonts w:ascii="Book Antiqua" w:hAnsi="Book Antiqua"/>
          <w:sz w:val="24"/>
          <w:szCs w:val="24"/>
        </w:rPr>
        <w:t>);</w:t>
      </w:r>
    </w:p>
    <w:p w14:paraId="425C4433" w14:textId="7A46CE87"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lastRenderedPageBreak/>
        <w:t xml:space="preserve">arising out of the payment of monies into court pursuant to a power of sale under a mortgage or charge (s 77(3) of the </w:t>
      </w:r>
      <w:r w:rsidRPr="00D07FFA">
        <w:rPr>
          <w:rFonts w:ascii="Book Antiqua" w:hAnsi="Book Antiqua"/>
          <w:i/>
          <w:sz w:val="24"/>
          <w:szCs w:val="24"/>
        </w:rPr>
        <w:t>Transfer of Land Act 1958</w:t>
      </w:r>
      <w:r w:rsidRPr="00D07FFA">
        <w:rPr>
          <w:rFonts w:ascii="Book Antiqua" w:hAnsi="Book Antiqua"/>
          <w:sz w:val="24"/>
          <w:szCs w:val="24"/>
        </w:rPr>
        <w:t xml:space="preserve"> and s 69 of the </w:t>
      </w:r>
      <w:r w:rsidRPr="00D07FFA">
        <w:rPr>
          <w:rFonts w:ascii="Book Antiqua" w:hAnsi="Book Antiqua"/>
          <w:i/>
          <w:sz w:val="24"/>
          <w:szCs w:val="24"/>
        </w:rPr>
        <w:t>Trustee Act</w:t>
      </w:r>
      <w:r w:rsidRPr="00D07FFA">
        <w:rPr>
          <w:rFonts w:ascii="Book Antiqua" w:hAnsi="Book Antiqua"/>
          <w:sz w:val="24"/>
          <w:szCs w:val="24"/>
        </w:rPr>
        <w:t xml:space="preserve"> </w:t>
      </w:r>
      <w:r w:rsidRPr="00D07FFA">
        <w:rPr>
          <w:rFonts w:ascii="Book Antiqua" w:hAnsi="Book Antiqua"/>
          <w:i/>
          <w:sz w:val="24"/>
          <w:szCs w:val="24"/>
        </w:rPr>
        <w:t>1958</w:t>
      </w:r>
      <w:r w:rsidRPr="00D07FFA">
        <w:rPr>
          <w:rFonts w:ascii="Book Antiqua" w:hAnsi="Book Antiqua"/>
          <w:sz w:val="24"/>
          <w:szCs w:val="24"/>
        </w:rPr>
        <w:t>);</w:t>
      </w:r>
    </w:p>
    <w:p w14:paraId="68B123AE" w14:textId="096E07F5" w:rsidR="00D07FFA" w:rsidRPr="00D07FFA" w:rsidRDefault="00D07FFA" w:rsidP="00D50183">
      <w:pPr>
        <w:pStyle w:val="ListParagraph"/>
        <w:numPr>
          <w:ilvl w:val="0"/>
          <w:numId w:val="4"/>
        </w:numPr>
        <w:spacing w:before="120" w:after="120"/>
        <w:ind w:left="1440"/>
        <w:contextualSpacing w:val="0"/>
        <w:jc w:val="both"/>
        <w:rPr>
          <w:rFonts w:ascii="Book Antiqua" w:hAnsi="Book Antiqua"/>
          <w:sz w:val="24"/>
          <w:szCs w:val="24"/>
        </w:rPr>
      </w:pPr>
      <w:r w:rsidRPr="00D07FFA">
        <w:rPr>
          <w:rFonts w:ascii="Book Antiqua" w:hAnsi="Book Antiqua"/>
          <w:sz w:val="24"/>
          <w:szCs w:val="24"/>
        </w:rPr>
        <w:t xml:space="preserve">proceedings pursuant to s 89A(3)(b) of the </w:t>
      </w:r>
      <w:r w:rsidRPr="00D07FFA">
        <w:rPr>
          <w:rFonts w:ascii="Book Antiqua" w:hAnsi="Book Antiqua"/>
          <w:i/>
          <w:sz w:val="24"/>
          <w:szCs w:val="24"/>
        </w:rPr>
        <w:t>Transfer of Land Act 1958</w:t>
      </w:r>
      <w:r w:rsidRPr="00D07FFA">
        <w:rPr>
          <w:rFonts w:ascii="Book Antiqua" w:hAnsi="Book Antiqua"/>
          <w:sz w:val="24"/>
          <w:szCs w:val="24"/>
        </w:rPr>
        <w:t>);</w:t>
      </w:r>
    </w:p>
    <w:p w14:paraId="6EB2AB2A" w14:textId="5D33FFAB" w:rsidR="00D07FFA" w:rsidRPr="00D07FFA" w:rsidRDefault="00D07FFA" w:rsidP="00D50183">
      <w:pPr>
        <w:pStyle w:val="ListParagraph"/>
        <w:numPr>
          <w:ilvl w:val="0"/>
          <w:numId w:val="4"/>
        </w:numPr>
        <w:spacing w:before="120" w:after="120"/>
        <w:ind w:left="1440"/>
        <w:contextualSpacing w:val="0"/>
        <w:jc w:val="both"/>
        <w:rPr>
          <w:rFonts w:ascii="Book Antiqua" w:hAnsi="Book Antiqua"/>
          <w:i/>
          <w:sz w:val="24"/>
          <w:szCs w:val="24"/>
        </w:rPr>
      </w:pPr>
      <w:r w:rsidRPr="00436951">
        <w:rPr>
          <w:rFonts w:ascii="Book Antiqua" w:hAnsi="Book Antiqua"/>
          <w:sz w:val="24"/>
          <w:szCs w:val="24"/>
        </w:rPr>
        <w:t>otherwise arising under or involving the interpretation of the Property</w:t>
      </w:r>
      <w:r w:rsidRPr="00D07FFA">
        <w:rPr>
          <w:rFonts w:ascii="Book Antiqua" w:hAnsi="Book Antiqua"/>
          <w:i/>
          <w:sz w:val="24"/>
          <w:szCs w:val="24"/>
        </w:rPr>
        <w:t xml:space="preserve"> Law Act 1958</w:t>
      </w:r>
      <w:r w:rsidRPr="00D07FFA">
        <w:rPr>
          <w:rFonts w:ascii="Book Antiqua" w:hAnsi="Book Antiqua"/>
          <w:sz w:val="24"/>
          <w:szCs w:val="24"/>
        </w:rPr>
        <w:t xml:space="preserve">, the </w:t>
      </w:r>
      <w:r w:rsidRPr="00D07FFA">
        <w:rPr>
          <w:rFonts w:ascii="Book Antiqua" w:hAnsi="Book Antiqua"/>
          <w:i/>
          <w:sz w:val="24"/>
          <w:szCs w:val="24"/>
        </w:rPr>
        <w:t>Transfer of Land Act 1958</w:t>
      </w:r>
      <w:r w:rsidRPr="00D07FFA">
        <w:rPr>
          <w:rFonts w:ascii="Book Antiqua" w:hAnsi="Book Antiqua"/>
          <w:sz w:val="24"/>
          <w:szCs w:val="24"/>
        </w:rPr>
        <w:t xml:space="preserve"> or the </w:t>
      </w:r>
      <w:r w:rsidRPr="00D07FFA">
        <w:rPr>
          <w:rFonts w:ascii="Book Antiqua" w:hAnsi="Book Antiqua"/>
          <w:i/>
          <w:sz w:val="24"/>
          <w:szCs w:val="24"/>
        </w:rPr>
        <w:t xml:space="preserve">Sale of Land Act 1962 </w:t>
      </w:r>
      <w:r w:rsidRPr="00D07FFA">
        <w:rPr>
          <w:rFonts w:ascii="Book Antiqua" w:hAnsi="Book Antiqua"/>
          <w:sz w:val="24"/>
          <w:szCs w:val="24"/>
        </w:rPr>
        <w:t>(except where the Victorian Civil and Administrative Tribunal has exclusive jurisdiction).</w:t>
      </w:r>
    </w:p>
    <w:p w14:paraId="61B4C7F1" w14:textId="1399D098" w:rsidR="00A51174" w:rsidRDefault="00A51174"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546841">
        <w:rPr>
          <w:rFonts w:ascii="Book Antiqua" w:hAnsi="Book Antiqua"/>
          <w:sz w:val="24"/>
          <w:szCs w:val="24"/>
        </w:rPr>
        <w:t>Notwithstanding the above, commercial proceedings involving property transactions should be initiated in the Commercial Court.</w:t>
      </w:r>
    </w:p>
    <w:p w14:paraId="2B710C7E" w14:textId="77777777" w:rsidR="00546841" w:rsidRPr="00546841" w:rsidRDefault="00546841" w:rsidP="00D50183">
      <w:pPr>
        <w:autoSpaceDE w:val="0"/>
        <w:autoSpaceDN w:val="0"/>
        <w:adjustRightInd w:val="0"/>
        <w:spacing w:before="120" w:after="120"/>
        <w:jc w:val="both"/>
        <w:rPr>
          <w:rFonts w:ascii="Book Antiqua" w:hAnsi="Book Antiqua"/>
          <w:i/>
        </w:rPr>
      </w:pPr>
      <w:r w:rsidRPr="00546841">
        <w:rPr>
          <w:rFonts w:ascii="Book Antiqua" w:hAnsi="Book Antiqua"/>
          <w:i/>
        </w:rPr>
        <w:t>Mortgage Default Proceedings</w:t>
      </w:r>
    </w:p>
    <w:p w14:paraId="2AF91391" w14:textId="60310B50" w:rsidR="00546841" w:rsidRDefault="00A51174"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For the avoidance of doubt, m</w:t>
      </w:r>
      <w:r w:rsidR="00546841" w:rsidRPr="00546841">
        <w:rPr>
          <w:rFonts w:ascii="Book Antiqua" w:hAnsi="Book Antiqua"/>
          <w:sz w:val="24"/>
          <w:szCs w:val="24"/>
        </w:rPr>
        <w:t xml:space="preserve">ortgage default proceedings presently commenced in the Commercial Court will continue to be so commenced.  Subject to the direction of a Commercial Court Judge, however, mortgage default proceedings will be managed by the Associate Judges in the Associate Judges’ Practice Court (Court 2, </w:t>
      </w:r>
      <w:r w:rsidR="00C22A2D">
        <w:rPr>
          <w:rFonts w:ascii="Book Antiqua" w:hAnsi="Book Antiqua"/>
          <w:sz w:val="24"/>
          <w:szCs w:val="24"/>
        </w:rPr>
        <w:t>436 Lonsdale Street, Melbourne).</w:t>
      </w:r>
    </w:p>
    <w:p w14:paraId="540C0733" w14:textId="77777777" w:rsidR="00C1053B" w:rsidRPr="00C1053B" w:rsidRDefault="00C1053B" w:rsidP="00D50183">
      <w:pPr>
        <w:autoSpaceDE w:val="0"/>
        <w:autoSpaceDN w:val="0"/>
        <w:adjustRightInd w:val="0"/>
        <w:spacing w:before="120" w:after="120"/>
        <w:jc w:val="both"/>
        <w:rPr>
          <w:rFonts w:ascii="Book Antiqua" w:hAnsi="Book Antiqua"/>
        </w:rPr>
      </w:pPr>
    </w:p>
    <w:p w14:paraId="6AB8BC09" w14:textId="7B4D8D42" w:rsidR="00182C1F" w:rsidRPr="007641EF" w:rsidRDefault="001D4398"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PROCEDURE FOR ENTRY INTO THE LIST</w:t>
      </w:r>
    </w:p>
    <w:p w14:paraId="1DDA6283" w14:textId="09AA1272" w:rsidR="00733DD2" w:rsidRDefault="00733DD2"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641EF">
        <w:rPr>
          <w:rFonts w:ascii="Book Antiqua" w:hAnsi="Book Antiqua"/>
          <w:sz w:val="24"/>
          <w:szCs w:val="24"/>
        </w:rPr>
        <w:t>Proceedings should be initiated in the List by endorsing the heading of the originating process “</w:t>
      </w:r>
      <w:r w:rsidR="0036424D">
        <w:rPr>
          <w:rFonts w:ascii="Book Antiqua" w:hAnsi="Book Antiqua"/>
          <w:sz w:val="24"/>
          <w:szCs w:val="24"/>
        </w:rPr>
        <w:t>Property</w:t>
      </w:r>
      <w:r w:rsidR="00131DDE" w:rsidRPr="007641EF">
        <w:rPr>
          <w:rFonts w:ascii="Book Antiqua" w:hAnsi="Book Antiqua"/>
          <w:sz w:val="24"/>
          <w:szCs w:val="24"/>
        </w:rPr>
        <w:t xml:space="preserve"> </w:t>
      </w:r>
      <w:r w:rsidRPr="007641EF">
        <w:rPr>
          <w:rFonts w:ascii="Book Antiqua" w:hAnsi="Book Antiqua"/>
          <w:sz w:val="24"/>
          <w:szCs w:val="24"/>
        </w:rPr>
        <w:t xml:space="preserve">List”. </w:t>
      </w:r>
      <w:r w:rsidR="005B46C0">
        <w:rPr>
          <w:rFonts w:ascii="Book Antiqua" w:hAnsi="Book Antiqua"/>
          <w:sz w:val="24"/>
          <w:szCs w:val="24"/>
        </w:rPr>
        <w:t xml:space="preserve"> </w:t>
      </w:r>
      <w:r w:rsidRPr="007641EF">
        <w:rPr>
          <w:rFonts w:ascii="Book Antiqua" w:hAnsi="Book Antiqua"/>
          <w:sz w:val="24"/>
          <w:szCs w:val="24"/>
        </w:rPr>
        <w:t>The heading of all subsequent documents filed in the proceeding should also be endorsed “</w:t>
      </w:r>
      <w:r w:rsidR="0036424D">
        <w:rPr>
          <w:rFonts w:ascii="Book Antiqua" w:hAnsi="Book Antiqua"/>
          <w:sz w:val="24"/>
          <w:szCs w:val="24"/>
        </w:rPr>
        <w:t xml:space="preserve">Property </w:t>
      </w:r>
      <w:r w:rsidRPr="007641EF">
        <w:rPr>
          <w:rFonts w:ascii="Book Antiqua" w:hAnsi="Book Antiqua"/>
          <w:sz w:val="24"/>
          <w:szCs w:val="24"/>
        </w:rPr>
        <w:t>List”.</w:t>
      </w:r>
    </w:p>
    <w:p w14:paraId="750A884E" w14:textId="77777777" w:rsidR="001D4398" w:rsidRPr="008F0538" w:rsidRDefault="001D4398" w:rsidP="00D50183">
      <w:pPr>
        <w:pStyle w:val="ListParagraph"/>
        <w:numPr>
          <w:ilvl w:val="1"/>
          <w:numId w:val="2"/>
        </w:numPr>
        <w:spacing w:before="120" w:after="120"/>
        <w:contextualSpacing w:val="0"/>
        <w:jc w:val="both"/>
        <w:rPr>
          <w:rFonts w:ascii="Book Antiqua" w:hAnsi="Book Antiqua"/>
          <w:sz w:val="24"/>
          <w:szCs w:val="24"/>
        </w:rPr>
      </w:pPr>
      <w:r w:rsidRPr="007F2EBB">
        <w:rPr>
          <w:rFonts w:ascii="Book Antiqua" w:hAnsi="Book Antiqua"/>
          <w:sz w:val="24"/>
          <w:szCs w:val="24"/>
        </w:rPr>
        <w:t xml:space="preserve">If at any time after the initiation of a proceeding it appears to the Court that it is appropriate to have the proceeding managed in the List, the </w:t>
      </w:r>
      <w:r>
        <w:rPr>
          <w:rFonts w:ascii="Book Antiqua" w:hAnsi="Book Antiqua"/>
          <w:sz w:val="24"/>
          <w:szCs w:val="24"/>
        </w:rPr>
        <w:t xml:space="preserve">Court may </w:t>
      </w:r>
      <w:r w:rsidRPr="007F2EBB">
        <w:rPr>
          <w:rFonts w:ascii="Book Antiqua" w:hAnsi="Book Antiqua"/>
          <w:sz w:val="24"/>
          <w:szCs w:val="24"/>
        </w:rPr>
        <w:t>transfer</w:t>
      </w:r>
      <w:r>
        <w:rPr>
          <w:rFonts w:ascii="Book Antiqua" w:hAnsi="Book Antiqua"/>
          <w:sz w:val="24"/>
          <w:szCs w:val="24"/>
        </w:rPr>
        <w:t xml:space="preserve"> the proceeding </w:t>
      </w:r>
      <w:r w:rsidRPr="007F2EBB">
        <w:rPr>
          <w:rFonts w:ascii="Book Antiqua" w:hAnsi="Book Antiqua"/>
          <w:sz w:val="24"/>
          <w:szCs w:val="24"/>
        </w:rPr>
        <w:t>into the List</w:t>
      </w:r>
      <w:r>
        <w:rPr>
          <w:rFonts w:ascii="Book Antiqua" w:hAnsi="Book Antiqua"/>
          <w:sz w:val="24"/>
          <w:szCs w:val="24"/>
        </w:rPr>
        <w:t>.</w:t>
      </w:r>
    </w:p>
    <w:p w14:paraId="301C0BA7" w14:textId="77777777" w:rsidR="001D4398" w:rsidRPr="008F0538" w:rsidRDefault="001D4398" w:rsidP="00D50183">
      <w:pPr>
        <w:pStyle w:val="ListParagraph"/>
        <w:numPr>
          <w:ilvl w:val="1"/>
          <w:numId w:val="2"/>
        </w:numPr>
        <w:spacing w:before="120" w:after="120"/>
        <w:contextualSpacing w:val="0"/>
        <w:jc w:val="both"/>
        <w:rPr>
          <w:rFonts w:ascii="Book Antiqua" w:hAnsi="Book Antiqua"/>
          <w:sz w:val="24"/>
          <w:szCs w:val="24"/>
        </w:rPr>
      </w:pPr>
      <w:r w:rsidRPr="007F2EBB">
        <w:rPr>
          <w:rFonts w:ascii="Book Antiqua" w:hAnsi="Book Antiqua"/>
          <w:sz w:val="24"/>
          <w:szCs w:val="24"/>
        </w:rPr>
        <w:t>Conversely, a proceeding initiated in the List may be transferred out of the List if it appears to the Court that it is appropriate to have the proceeding managed in a different list.</w:t>
      </w:r>
    </w:p>
    <w:p w14:paraId="16E66013" w14:textId="1E8788E7" w:rsidR="00182C1F" w:rsidRPr="007641EF" w:rsidRDefault="0036424D"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No additional fees will be payable for the inclusion of a proceeding in the List</w:t>
      </w:r>
      <w:r w:rsidR="00BB235C" w:rsidRPr="007641EF">
        <w:rPr>
          <w:rFonts w:ascii="Book Antiqua" w:hAnsi="Book Antiqua"/>
          <w:sz w:val="24"/>
          <w:szCs w:val="24"/>
        </w:rPr>
        <w:t xml:space="preserve">. </w:t>
      </w:r>
    </w:p>
    <w:p w14:paraId="119D90BD" w14:textId="77777777" w:rsidR="0011421F" w:rsidRPr="007641EF" w:rsidRDefault="0011421F" w:rsidP="00D50183">
      <w:pPr>
        <w:autoSpaceDE w:val="0"/>
        <w:autoSpaceDN w:val="0"/>
        <w:adjustRightInd w:val="0"/>
        <w:spacing w:before="120" w:after="120"/>
        <w:jc w:val="both"/>
        <w:rPr>
          <w:rFonts w:ascii="Book Antiqua" w:hAnsi="Book Antiqua"/>
        </w:rPr>
      </w:pPr>
    </w:p>
    <w:p w14:paraId="40A0EA73" w14:textId="7C1662C5" w:rsidR="00182C1F" w:rsidRPr="007641EF" w:rsidRDefault="007234BB"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MANAGEMENT OF PROCEEDINGS</w:t>
      </w:r>
    </w:p>
    <w:p w14:paraId="73339EAA" w14:textId="74B6C57E" w:rsidR="004D35D2" w:rsidRPr="00C22A2D"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 xml:space="preserve">Detailed guidelines and template orders for some common types of proceedings may be found on the </w:t>
      </w:r>
      <w:hyperlink r:id="rId14" w:history="1">
        <w:r w:rsidRPr="00B23341">
          <w:rPr>
            <w:rStyle w:val="Hyperlink"/>
            <w:rFonts w:ascii="Book Antiqua" w:hAnsi="Book Antiqua"/>
            <w:sz w:val="24"/>
            <w:szCs w:val="24"/>
          </w:rPr>
          <w:t>Property List</w:t>
        </w:r>
      </w:hyperlink>
      <w:r w:rsidRPr="00C22A2D">
        <w:rPr>
          <w:rFonts w:ascii="Book Antiqua" w:hAnsi="Book Antiqua"/>
          <w:sz w:val="24"/>
          <w:szCs w:val="24"/>
        </w:rPr>
        <w:t xml:space="preserve"> page on the Court’s website</w:t>
      </w:r>
      <w:r w:rsidR="004D35D2" w:rsidRPr="00C22A2D">
        <w:rPr>
          <w:rFonts w:ascii="Book Antiqua" w:hAnsi="Book Antiqua"/>
          <w:sz w:val="24"/>
          <w:szCs w:val="24"/>
        </w:rPr>
        <w:t xml:space="preserve">.  </w:t>
      </w:r>
    </w:p>
    <w:p w14:paraId="4E74155A" w14:textId="77777777" w:rsidR="007234BB" w:rsidRPr="00C22A2D" w:rsidRDefault="007234BB" w:rsidP="00D50183">
      <w:pPr>
        <w:keepNext/>
        <w:spacing w:before="120" w:after="120"/>
        <w:jc w:val="both"/>
        <w:rPr>
          <w:rFonts w:ascii="Book Antiqua" w:hAnsi="Book Antiqua"/>
          <w:i/>
        </w:rPr>
      </w:pPr>
      <w:r w:rsidRPr="00C22A2D">
        <w:rPr>
          <w:rFonts w:ascii="Book Antiqua" w:hAnsi="Book Antiqua"/>
          <w:i/>
        </w:rPr>
        <w:t>Caveat Removal Proceedings</w:t>
      </w:r>
    </w:p>
    <w:p w14:paraId="5663EF5E" w14:textId="1B57D391" w:rsidR="007234BB" w:rsidRPr="001F736C"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 xml:space="preserve">Applications for the removal of caveats against dealings will continue to be listed by the Practice Court Coordinator in accordance with </w:t>
      </w:r>
      <w:r w:rsidR="001F736C">
        <w:rPr>
          <w:rFonts w:ascii="Book Antiqua" w:hAnsi="Book Antiqua"/>
          <w:sz w:val="24"/>
          <w:szCs w:val="24"/>
        </w:rPr>
        <w:t>Practice Note SC CL 1</w:t>
      </w:r>
      <w:r w:rsidR="00D31C42">
        <w:rPr>
          <w:rFonts w:ascii="Book Antiqua" w:hAnsi="Book Antiqua"/>
          <w:sz w:val="24"/>
          <w:szCs w:val="24"/>
        </w:rPr>
        <w:t>0</w:t>
      </w:r>
      <w:r w:rsidR="001F736C">
        <w:rPr>
          <w:rFonts w:ascii="Book Antiqua" w:hAnsi="Book Antiqua"/>
          <w:sz w:val="24"/>
          <w:szCs w:val="24"/>
        </w:rPr>
        <w:t xml:space="preserve"> “Practice Court (Common Law)” or,</w:t>
      </w:r>
      <w:r w:rsidR="001F736C" w:rsidRPr="001F736C">
        <w:rPr>
          <w:rFonts w:ascii="Book Antiqua" w:hAnsi="Book Antiqua"/>
          <w:sz w:val="24"/>
          <w:szCs w:val="24"/>
        </w:rPr>
        <w:t xml:space="preserve"> in the case of non-urgent applications, will be referred to the </w:t>
      </w:r>
      <w:r w:rsidR="008D7571">
        <w:rPr>
          <w:rFonts w:ascii="Book Antiqua" w:hAnsi="Book Antiqua"/>
          <w:sz w:val="24"/>
          <w:szCs w:val="24"/>
        </w:rPr>
        <w:t>j</w:t>
      </w:r>
      <w:r w:rsidR="00B23341">
        <w:rPr>
          <w:rFonts w:ascii="Book Antiqua" w:hAnsi="Book Antiqua"/>
          <w:sz w:val="24"/>
          <w:szCs w:val="24"/>
        </w:rPr>
        <w:t xml:space="preserve">udicial </w:t>
      </w:r>
      <w:r w:rsidR="008D7571">
        <w:rPr>
          <w:rFonts w:ascii="Book Antiqua" w:hAnsi="Book Antiqua"/>
          <w:sz w:val="24"/>
          <w:szCs w:val="24"/>
        </w:rPr>
        <w:t>r</w:t>
      </w:r>
      <w:r w:rsidR="00B23341">
        <w:rPr>
          <w:rFonts w:ascii="Book Antiqua" w:hAnsi="Book Antiqua"/>
          <w:sz w:val="24"/>
          <w:szCs w:val="24"/>
        </w:rPr>
        <w:t xml:space="preserve">egistrar </w:t>
      </w:r>
      <w:r w:rsidR="001F736C" w:rsidRPr="001F736C">
        <w:rPr>
          <w:rFonts w:ascii="Book Antiqua" w:hAnsi="Book Antiqua"/>
          <w:sz w:val="24"/>
          <w:szCs w:val="24"/>
        </w:rPr>
        <w:t>in Charge of Listings for directions and the fixing of a hearing date</w:t>
      </w:r>
      <w:r w:rsidR="001F736C">
        <w:rPr>
          <w:rFonts w:ascii="Book Antiqua" w:hAnsi="Book Antiqua"/>
          <w:sz w:val="24"/>
          <w:szCs w:val="24"/>
        </w:rPr>
        <w:t>.</w:t>
      </w:r>
    </w:p>
    <w:p w14:paraId="5ED70CC7" w14:textId="77777777" w:rsidR="001C386A" w:rsidRDefault="001C386A" w:rsidP="00D50183">
      <w:pPr>
        <w:spacing w:before="120" w:after="120"/>
        <w:jc w:val="both"/>
        <w:rPr>
          <w:rFonts w:ascii="Book Antiqua" w:hAnsi="Book Antiqua"/>
          <w:i/>
        </w:rPr>
      </w:pPr>
    </w:p>
    <w:p w14:paraId="52E2C289" w14:textId="0A0437A3" w:rsidR="007234BB" w:rsidRPr="00C22A2D" w:rsidRDefault="007234BB" w:rsidP="00D50183">
      <w:pPr>
        <w:spacing w:before="120" w:after="120"/>
        <w:jc w:val="both"/>
        <w:rPr>
          <w:rFonts w:ascii="Book Antiqua" w:hAnsi="Book Antiqua"/>
          <w:i/>
        </w:rPr>
      </w:pPr>
      <w:r w:rsidRPr="00C22A2D">
        <w:rPr>
          <w:rFonts w:ascii="Book Antiqua" w:hAnsi="Book Antiqua"/>
          <w:i/>
        </w:rPr>
        <w:lastRenderedPageBreak/>
        <w:t xml:space="preserve">Proceedings Generally </w:t>
      </w:r>
    </w:p>
    <w:p w14:paraId="604DF65B" w14:textId="305FE0F5" w:rsidR="007234BB" w:rsidRPr="00C22A2D"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 xml:space="preserve">In a proceeding commenced by writ, a first directions hearing will be listed before an Associate Judge </w:t>
      </w:r>
      <w:r w:rsidR="00B23341">
        <w:rPr>
          <w:rFonts w:ascii="Book Antiqua" w:hAnsi="Book Antiqua"/>
          <w:sz w:val="24"/>
          <w:szCs w:val="24"/>
        </w:rPr>
        <w:t xml:space="preserve">or judicial registrar </w:t>
      </w:r>
      <w:r w:rsidRPr="00C22A2D">
        <w:rPr>
          <w:rFonts w:ascii="Book Antiqua" w:hAnsi="Book Antiqua"/>
          <w:sz w:val="24"/>
          <w:szCs w:val="24"/>
        </w:rPr>
        <w:t xml:space="preserve">sitting in the Associate Judges’ Practice Court.  The Court will generally notify the parties of the date and time of the first directions hearing within 14 days of the filing of the first defence.  At the first directions hearing, the Associate Judge </w:t>
      </w:r>
      <w:r w:rsidR="00B23341">
        <w:rPr>
          <w:rFonts w:ascii="Book Antiqua" w:hAnsi="Book Antiqua"/>
          <w:sz w:val="24"/>
          <w:szCs w:val="24"/>
        </w:rPr>
        <w:t xml:space="preserve">or judicial registrar </w:t>
      </w:r>
      <w:r w:rsidRPr="00C22A2D">
        <w:rPr>
          <w:rFonts w:ascii="Book Antiqua" w:hAnsi="Book Antiqua"/>
          <w:sz w:val="24"/>
          <w:szCs w:val="24"/>
        </w:rPr>
        <w:t>will give directions for the future conduct of the proceeding.</w:t>
      </w:r>
    </w:p>
    <w:p w14:paraId="29F0F32D" w14:textId="35D0EDEE" w:rsidR="007234BB" w:rsidRPr="00C22A2D"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Proceedings commenced by originating motion will be listed before an Associate Judge</w:t>
      </w:r>
      <w:r w:rsidR="00B23341">
        <w:rPr>
          <w:rFonts w:ascii="Book Antiqua" w:hAnsi="Book Antiqua"/>
          <w:sz w:val="24"/>
          <w:szCs w:val="24"/>
        </w:rPr>
        <w:t xml:space="preserve"> or judicial registrar</w:t>
      </w:r>
      <w:r w:rsidRPr="00C22A2D">
        <w:rPr>
          <w:rFonts w:ascii="Book Antiqua" w:hAnsi="Book Antiqua"/>
          <w:sz w:val="24"/>
          <w:szCs w:val="24"/>
        </w:rPr>
        <w:t xml:space="preserve"> sitting in the Associate Judges’ Practice Court.  At the first hearing the Associate Judge</w:t>
      </w:r>
      <w:r w:rsidR="00B23341">
        <w:rPr>
          <w:rFonts w:ascii="Book Antiqua" w:hAnsi="Book Antiqua"/>
          <w:sz w:val="24"/>
          <w:szCs w:val="24"/>
        </w:rPr>
        <w:t xml:space="preserve"> or judicial registrar</w:t>
      </w:r>
      <w:r w:rsidRPr="00C22A2D">
        <w:rPr>
          <w:rFonts w:ascii="Book Antiqua" w:hAnsi="Book Antiqua"/>
          <w:sz w:val="24"/>
          <w:szCs w:val="24"/>
        </w:rPr>
        <w:t xml:space="preserve"> will usually give directions for the future conduct of the proceeding.  In some matters the proceeding may be dealt with at the first hearing. </w:t>
      </w:r>
      <w:r w:rsidRPr="00972294">
        <w:rPr>
          <w:rFonts w:ascii="Book Antiqua" w:hAnsi="Book Antiqua"/>
          <w:sz w:val="24"/>
          <w:szCs w:val="24"/>
          <w:vertAlign w:val="superscript"/>
        </w:rPr>
        <w:footnoteReference w:id="2"/>
      </w:r>
      <w:r w:rsidRPr="00C22A2D">
        <w:rPr>
          <w:rFonts w:ascii="Book Antiqua" w:hAnsi="Book Antiqua"/>
          <w:sz w:val="24"/>
          <w:szCs w:val="24"/>
        </w:rPr>
        <w:t xml:space="preserve"> </w:t>
      </w:r>
    </w:p>
    <w:p w14:paraId="1BADD154" w14:textId="0243A766" w:rsidR="007234BB" w:rsidRPr="002A1A2C" w:rsidRDefault="007234BB" w:rsidP="00D50183">
      <w:pPr>
        <w:pStyle w:val="ListParagraph"/>
        <w:numPr>
          <w:ilvl w:val="1"/>
          <w:numId w:val="2"/>
        </w:numPr>
        <w:suppressAutoHyphens/>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 xml:space="preserve">Proceedings will remain with the same Associate Judge </w:t>
      </w:r>
      <w:r w:rsidR="00B23341">
        <w:rPr>
          <w:rFonts w:ascii="Book Antiqua" w:hAnsi="Book Antiqua"/>
          <w:sz w:val="24"/>
          <w:szCs w:val="24"/>
        </w:rPr>
        <w:t xml:space="preserve">or judicial registrar </w:t>
      </w:r>
      <w:r w:rsidRPr="00C22A2D">
        <w:rPr>
          <w:rFonts w:ascii="Book Antiqua" w:hAnsi="Book Antiqua"/>
          <w:sz w:val="24"/>
          <w:szCs w:val="24"/>
        </w:rPr>
        <w:t>for all future hearings on their releva</w:t>
      </w:r>
      <w:r w:rsidR="005B46C0">
        <w:rPr>
          <w:rFonts w:ascii="Book Antiqua" w:hAnsi="Book Antiqua"/>
          <w:sz w:val="24"/>
          <w:szCs w:val="24"/>
        </w:rPr>
        <w:t>nt docket until allocated to a Trial J</w:t>
      </w:r>
      <w:r w:rsidRPr="00C22A2D">
        <w:rPr>
          <w:rFonts w:ascii="Book Antiqua" w:hAnsi="Book Antiqua"/>
          <w:sz w:val="24"/>
          <w:szCs w:val="24"/>
        </w:rPr>
        <w:t xml:space="preserve">udge.  In the event that the matter is within the jurisdiction of the </w:t>
      </w:r>
      <w:r w:rsidR="00B23341">
        <w:rPr>
          <w:rFonts w:ascii="Book Antiqua" w:hAnsi="Book Antiqua"/>
          <w:sz w:val="24"/>
          <w:szCs w:val="24"/>
        </w:rPr>
        <w:t>relevant judicial officer</w:t>
      </w:r>
      <w:r w:rsidRPr="00C22A2D">
        <w:rPr>
          <w:rFonts w:ascii="Book Antiqua" w:hAnsi="Book Antiqua"/>
          <w:sz w:val="24"/>
          <w:szCs w:val="24"/>
        </w:rPr>
        <w:t>, it will usually be heard and determined by them.  Interlocutory applications may be listed by following the usual process for applications in the Associate Judges’ Practice Court.  Once a proceeding is under management by an Associate Judge</w:t>
      </w:r>
      <w:r w:rsidR="00B23341">
        <w:rPr>
          <w:rFonts w:ascii="Book Antiqua" w:hAnsi="Book Antiqua"/>
          <w:sz w:val="24"/>
          <w:szCs w:val="24"/>
        </w:rPr>
        <w:t xml:space="preserve"> or judicial registrar</w:t>
      </w:r>
      <w:r w:rsidRPr="00C22A2D">
        <w:rPr>
          <w:rFonts w:ascii="Book Antiqua" w:hAnsi="Book Antiqua"/>
          <w:sz w:val="24"/>
          <w:szCs w:val="24"/>
        </w:rPr>
        <w:t xml:space="preserve">, interlocutory applications may be made via the Principal Registry of the Court by contacting the Registry Applications Coordinator or by mentioning the proposed application at a directions hearing before the </w:t>
      </w:r>
      <w:r w:rsidR="00B23341">
        <w:rPr>
          <w:rFonts w:ascii="Book Antiqua" w:hAnsi="Book Antiqua"/>
          <w:sz w:val="24"/>
          <w:szCs w:val="24"/>
        </w:rPr>
        <w:t xml:space="preserve">judicial officer </w:t>
      </w:r>
      <w:r w:rsidRPr="00C22A2D">
        <w:rPr>
          <w:rFonts w:ascii="Book Antiqua" w:hAnsi="Book Antiqua"/>
          <w:sz w:val="24"/>
          <w:szCs w:val="24"/>
        </w:rPr>
        <w:t>managing the proceeding.</w:t>
      </w:r>
      <w:r w:rsidR="006218A7">
        <w:rPr>
          <w:rFonts w:ascii="Book Antiqua" w:hAnsi="Book Antiqua"/>
          <w:sz w:val="24"/>
          <w:szCs w:val="24"/>
        </w:rPr>
        <w:t xml:space="preserve"> </w:t>
      </w:r>
      <w:r w:rsidR="005B46C0">
        <w:rPr>
          <w:rFonts w:ascii="Book Antiqua" w:hAnsi="Book Antiqua"/>
          <w:sz w:val="24"/>
          <w:szCs w:val="24"/>
        </w:rPr>
        <w:t xml:space="preserve"> </w:t>
      </w:r>
      <w:r w:rsidR="006218A7">
        <w:rPr>
          <w:rFonts w:ascii="Book Antiqua" w:hAnsi="Book Antiqua"/>
          <w:sz w:val="24"/>
          <w:szCs w:val="24"/>
        </w:rPr>
        <w:t xml:space="preserve">The Registry Applications Coordinator should be contacted via  </w:t>
      </w:r>
      <w:r w:rsidR="00B23341">
        <w:rPr>
          <w:rStyle w:val="Hyperlink"/>
          <w:rFonts w:ascii="Book Antiqua" w:hAnsi="Book Antiqua"/>
          <w:sz w:val="24"/>
          <w:szCs w:val="24"/>
        </w:rPr>
        <w:t xml:space="preserve"> court2applications@supcourt.vic.gov.au</w:t>
      </w:r>
      <w:r w:rsidR="006218A7" w:rsidRPr="002A1A2C">
        <w:rPr>
          <w:rFonts w:ascii="Book Antiqua" w:hAnsi="Book Antiqua"/>
          <w:sz w:val="24"/>
          <w:szCs w:val="24"/>
        </w:rPr>
        <w:t>.</w:t>
      </w:r>
    </w:p>
    <w:p w14:paraId="6FC8DF2A" w14:textId="777C3A55" w:rsidR="00AE7F06" w:rsidRPr="00C22A2D" w:rsidRDefault="00AE7F06"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Parties should refer to the </w:t>
      </w:r>
      <w:hyperlink r:id="rId15" w:history="1">
        <w:r w:rsidRPr="00587B19">
          <w:rPr>
            <w:rStyle w:val="Hyperlink"/>
            <w:rFonts w:ascii="Book Antiqua" w:hAnsi="Book Antiqua"/>
            <w:sz w:val="24"/>
            <w:szCs w:val="24"/>
          </w:rPr>
          <w:t>instructions for obtaining a hearing date in the Associate Judges’ Practice Court</w:t>
        </w:r>
      </w:hyperlink>
      <w:r>
        <w:rPr>
          <w:rFonts w:ascii="Book Antiqua" w:hAnsi="Book Antiqua"/>
          <w:sz w:val="24"/>
          <w:szCs w:val="24"/>
        </w:rPr>
        <w:t xml:space="preserve"> when</w:t>
      </w:r>
      <w:r w:rsidR="00587B19">
        <w:rPr>
          <w:rFonts w:ascii="Book Antiqua" w:hAnsi="Book Antiqua"/>
          <w:sz w:val="24"/>
          <w:szCs w:val="24"/>
        </w:rPr>
        <w:t>ever</w:t>
      </w:r>
      <w:r>
        <w:rPr>
          <w:rFonts w:ascii="Book Antiqua" w:hAnsi="Book Antiqua"/>
          <w:sz w:val="24"/>
          <w:szCs w:val="24"/>
        </w:rPr>
        <w:t xml:space="preserve"> </w:t>
      </w:r>
      <w:r w:rsidR="00587B19">
        <w:rPr>
          <w:rFonts w:ascii="Book Antiqua" w:hAnsi="Book Antiqua"/>
          <w:sz w:val="24"/>
          <w:szCs w:val="24"/>
        </w:rPr>
        <w:t xml:space="preserve">seeking </w:t>
      </w:r>
      <w:r>
        <w:rPr>
          <w:rFonts w:ascii="Book Antiqua" w:hAnsi="Book Antiqua"/>
          <w:sz w:val="24"/>
          <w:szCs w:val="24"/>
        </w:rPr>
        <w:t>a return date for a summons before an Associate Judge</w:t>
      </w:r>
      <w:r w:rsidR="00587B19">
        <w:rPr>
          <w:rFonts w:ascii="Book Antiqua" w:hAnsi="Book Antiqua"/>
          <w:sz w:val="24"/>
          <w:szCs w:val="24"/>
        </w:rPr>
        <w:t>.</w:t>
      </w:r>
    </w:p>
    <w:p w14:paraId="76443E08" w14:textId="6FB7EB96" w:rsidR="007234BB" w:rsidRPr="00C22A2D"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 xml:space="preserve">Where appropriate, parties are encouraged to prepare proposed consent orders in advance of the hearings, with a view to obtaining orders by consent without the need for an appearance.  The parties should email minutes of consent in both Word and signed PDF format to </w:t>
      </w:r>
      <w:hyperlink r:id="rId16" w:history="1">
        <w:r w:rsidRPr="00C22A2D">
          <w:rPr>
            <w:rFonts w:ascii="Book Antiqua" w:hAnsi="Book Antiqua"/>
            <w:sz w:val="24"/>
            <w:szCs w:val="24"/>
          </w:rPr>
          <w:t>the</w:t>
        </w:r>
      </w:hyperlink>
      <w:r w:rsidRPr="00C22A2D">
        <w:rPr>
          <w:rFonts w:ascii="Book Antiqua" w:hAnsi="Book Antiqua"/>
          <w:sz w:val="24"/>
          <w:szCs w:val="24"/>
        </w:rPr>
        <w:t xml:space="preserve"> Associate to the Associate Judge</w:t>
      </w:r>
      <w:r w:rsidR="00B23341">
        <w:rPr>
          <w:rFonts w:ascii="Book Antiqua" w:hAnsi="Book Antiqua"/>
          <w:sz w:val="24"/>
          <w:szCs w:val="24"/>
        </w:rPr>
        <w:t xml:space="preserve"> or judicial registrar</w:t>
      </w:r>
      <w:r w:rsidRPr="00C22A2D">
        <w:rPr>
          <w:rFonts w:ascii="Book Antiqua" w:hAnsi="Book Antiqua"/>
          <w:sz w:val="24"/>
          <w:szCs w:val="24"/>
        </w:rPr>
        <w:t xml:space="preserve"> managing the proceeding copying also</w:t>
      </w:r>
      <w:r w:rsidR="00B23341">
        <w:rPr>
          <w:rStyle w:val="Hyperlink"/>
          <w:rFonts w:ascii="Book Antiqua" w:hAnsi="Book Antiqua"/>
          <w:sz w:val="24"/>
          <w:szCs w:val="24"/>
        </w:rPr>
        <w:t xml:space="preserve"> orders@supcourt.vic.gov.au</w:t>
      </w:r>
      <w:r w:rsidRPr="00C22A2D">
        <w:rPr>
          <w:rFonts w:ascii="Book Antiqua" w:hAnsi="Book Antiqua"/>
          <w:sz w:val="24"/>
          <w:szCs w:val="24"/>
        </w:rPr>
        <w:t xml:space="preserve">, by 4.00pm at least two days prior to the hearing. </w:t>
      </w:r>
      <w:r w:rsidR="005B46C0">
        <w:rPr>
          <w:rFonts w:ascii="Book Antiqua" w:hAnsi="Book Antiqua"/>
          <w:sz w:val="24"/>
          <w:szCs w:val="24"/>
        </w:rPr>
        <w:t xml:space="preserve"> </w:t>
      </w:r>
      <w:r w:rsidRPr="00C22A2D">
        <w:rPr>
          <w:rFonts w:ascii="Book Antiqua" w:hAnsi="Book Antiqua"/>
          <w:sz w:val="24"/>
          <w:szCs w:val="24"/>
        </w:rPr>
        <w:t>Parties are required to appear at the hearing unless otherwise advised by the Court.</w:t>
      </w:r>
    </w:p>
    <w:p w14:paraId="5C156039" w14:textId="77777777" w:rsidR="00400B2E" w:rsidRPr="00C22A2D" w:rsidRDefault="00400B2E" w:rsidP="00D50183">
      <w:pPr>
        <w:autoSpaceDE w:val="0"/>
        <w:autoSpaceDN w:val="0"/>
        <w:adjustRightInd w:val="0"/>
        <w:spacing w:before="120" w:after="120"/>
        <w:jc w:val="both"/>
        <w:rPr>
          <w:rFonts w:ascii="Book Antiqua" w:hAnsi="Book Antiqua"/>
          <w:b/>
        </w:rPr>
      </w:pPr>
    </w:p>
    <w:p w14:paraId="172555BF" w14:textId="3F8AE2CC" w:rsidR="00BC613C" w:rsidRPr="00C22A2D" w:rsidRDefault="007234BB"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C22A2D">
        <w:rPr>
          <w:rFonts w:ascii="Book Antiqua" w:hAnsi="Book Antiqua"/>
          <w:b/>
          <w:sz w:val="24"/>
          <w:szCs w:val="24"/>
        </w:rPr>
        <w:t>FINAL DIRECTIONS HEARING</w:t>
      </w:r>
    </w:p>
    <w:p w14:paraId="451CFD22" w14:textId="2519A50C" w:rsidR="007234BB" w:rsidRPr="00C22A2D"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t xml:space="preserve">Where warranted by subject matter or complexity, the proceeding will be referred to a final directions hearing before the Judge </w:t>
      </w:r>
      <w:r w:rsidR="003F7105">
        <w:rPr>
          <w:rFonts w:ascii="Book Antiqua" w:hAnsi="Book Antiqua"/>
          <w:sz w:val="24"/>
          <w:szCs w:val="24"/>
        </w:rPr>
        <w:t xml:space="preserve">in Charge of the List </w:t>
      </w:r>
      <w:r w:rsidRPr="00C22A2D">
        <w:rPr>
          <w:rFonts w:ascii="Book Antiqua" w:hAnsi="Book Antiqua"/>
          <w:sz w:val="24"/>
          <w:szCs w:val="24"/>
        </w:rPr>
        <w:t>prior to the trial date.  The solicitor with conduct of the proceeding (or counsel, if briefed) should appear at the final directions hearing.</w:t>
      </w:r>
    </w:p>
    <w:p w14:paraId="0427D50D" w14:textId="2528FE82" w:rsidR="007234BB" w:rsidRPr="00C22A2D" w:rsidRDefault="007234BB"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A2D">
        <w:rPr>
          <w:rFonts w:ascii="Book Antiqua" w:hAnsi="Book Antiqua"/>
          <w:sz w:val="24"/>
          <w:szCs w:val="24"/>
        </w:rPr>
        <w:lastRenderedPageBreak/>
        <w:t>At the final directions hearing, each party should be in a position to:</w:t>
      </w:r>
    </w:p>
    <w:p w14:paraId="07250315" w14:textId="618F1E50" w:rsidR="007234BB" w:rsidRPr="00C22A2D" w:rsidRDefault="007234BB" w:rsidP="00D50183">
      <w:pPr>
        <w:pStyle w:val="ListParagraph"/>
        <w:numPr>
          <w:ilvl w:val="0"/>
          <w:numId w:val="5"/>
        </w:numPr>
        <w:spacing w:before="120" w:after="120"/>
        <w:ind w:left="1440" w:hanging="450"/>
        <w:contextualSpacing w:val="0"/>
        <w:jc w:val="both"/>
        <w:rPr>
          <w:rFonts w:ascii="Book Antiqua" w:hAnsi="Book Antiqua"/>
          <w:sz w:val="24"/>
          <w:szCs w:val="24"/>
        </w:rPr>
      </w:pPr>
      <w:r w:rsidRPr="00C22A2D">
        <w:rPr>
          <w:rFonts w:ascii="Book Antiqua" w:hAnsi="Book Antiqua"/>
          <w:sz w:val="24"/>
          <w:szCs w:val="24"/>
        </w:rPr>
        <w:t>confirm the proceeding is ready for trial;</w:t>
      </w:r>
    </w:p>
    <w:p w14:paraId="31F3E850" w14:textId="4A8AD268" w:rsidR="007234BB" w:rsidRPr="00C22A2D" w:rsidRDefault="007234BB" w:rsidP="00D50183">
      <w:pPr>
        <w:pStyle w:val="ListParagraph"/>
        <w:numPr>
          <w:ilvl w:val="0"/>
          <w:numId w:val="5"/>
        </w:numPr>
        <w:spacing w:before="120" w:after="120"/>
        <w:ind w:left="1440" w:hanging="450"/>
        <w:contextualSpacing w:val="0"/>
        <w:jc w:val="both"/>
        <w:rPr>
          <w:rFonts w:ascii="Book Antiqua" w:hAnsi="Book Antiqua"/>
          <w:sz w:val="24"/>
          <w:szCs w:val="24"/>
        </w:rPr>
      </w:pPr>
      <w:r w:rsidRPr="00C22A2D">
        <w:rPr>
          <w:rFonts w:ascii="Book Antiqua" w:hAnsi="Book Antiqua"/>
          <w:sz w:val="24"/>
          <w:szCs w:val="24"/>
        </w:rPr>
        <w:t>provide the Court with a draft trial plan with an estimate of the number of sitting days; and detailing the time allowed for:</w:t>
      </w:r>
    </w:p>
    <w:p w14:paraId="75241AED" w14:textId="4AB6B679" w:rsidR="007234BB" w:rsidRPr="00C22A2D" w:rsidRDefault="007234BB" w:rsidP="00D50183">
      <w:pPr>
        <w:pStyle w:val="ListParagraph"/>
        <w:numPr>
          <w:ilvl w:val="0"/>
          <w:numId w:val="6"/>
        </w:numPr>
        <w:spacing w:before="120" w:after="120"/>
        <w:ind w:left="2160" w:hanging="450"/>
        <w:contextualSpacing w:val="0"/>
        <w:jc w:val="both"/>
        <w:rPr>
          <w:rFonts w:ascii="Book Antiqua" w:hAnsi="Book Antiqua"/>
          <w:sz w:val="24"/>
          <w:szCs w:val="24"/>
        </w:rPr>
      </w:pPr>
      <w:r w:rsidRPr="00C22A2D">
        <w:rPr>
          <w:rFonts w:ascii="Book Antiqua" w:hAnsi="Book Antiqua"/>
          <w:sz w:val="24"/>
          <w:szCs w:val="24"/>
        </w:rPr>
        <w:t>openings by each party;</w:t>
      </w:r>
    </w:p>
    <w:p w14:paraId="0529FC73" w14:textId="5E831FDD" w:rsidR="007234BB" w:rsidRPr="00C22A2D" w:rsidRDefault="007234BB" w:rsidP="00D50183">
      <w:pPr>
        <w:pStyle w:val="ListParagraph"/>
        <w:numPr>
          <w:ilvl w:val="0"/>
          <w:numId w:val="6"/>
        </w:numPr>
        <w:spacing w:before="120" w:after="120"/>
        <w:ind w:left="2160" w:hanging="450"/>
        <w:contextualSpacing w:val="0"/>
        <w:jc w:val="both"/>
        <w:rPr>
          <w:rFonts w:ascii="Book Antiqua" w:hAnsi="Book Antiqua"/>
          <w:sz w:val="24"/>
          <w:szCs w:val="24"/>
        </w:rPr>
      </w:pPr>
      <w:r w:rsidRPr="00C22A2D">
        <w:rPr>
          <w:rFonts w:ascii="Book Antiqua" w:hAnsi="Book Antiqua"/>
          <w:sz w:val="24"/>
          <w:szCs w:val="24"/>
        </w:rPr>
        <w:t>examination and cross-examination of each witness (including names of each lay and expert witness);</w:t>
      </w:r>
    </w:p>
    <w:p w14:paraId="36C66F1E" w14:textId="676A4E4E" w:rsidR="007234BB" w:rsidRPr="00C22A2D" w:rsidRDefault="007234BB" w:rsidP="00D50183">
      <w:pPr>
        <w:pStyle w:val="ListParagraph"/>
        <w:numPr>
          <w:ilvl w:val="0"/>
          <w:numId w:val="6"/>
        </w:numPr>
        <w:spacing w:before="120" w:after="120"/>
        <w:ind w:left="2160" w:hanging="450"/>
        <w:contextualSpacing w:val="0"/>
        <w:jc w:val="both"/>
        <w:rPr>
          <w:rFonts w:ascii="Book Antiqua" w:hAnsi="Book Antiqua"/>
          <w:sz w:val="24"/>
          <w:szCs w:val="24"/>
        </w:rPr>
      </w:pPr>
      <w:r w:rsidRPr="00C22A2D">
        <w:rPr>
          <w:rFonts w:ascii="Book Antiqua" w:hAnsi="Book Antiqua"/>
          <w:sz w:val="24"/>
          <w:szCs w:val="24"/>
        </w:rPr>
        <w:t>closing submissions of each party;</w:t>
      </w:r>
    </w:p>
    <w:p w14:paraId="75A1933C" w14:textId="744AEB30" w:rsidR="007234BB" w:rsidRPr="00C22A2D" w:rsidRDefault="007234BB" w:rsidP="00D50183">
      <w:pPr>
        <w:pStyle w:val="ListParagraph"/>
        <w:numPr>
          <w:ilvl w:val="0"/>
          <w:numId w:val="5"/>
        </w:numPr>
        <w:spacing w:before="120" w:after="120"/>
        <w:ind w:left="1440" w:hanging="450"/>
        <w:contextualSpacing w:val="0"/>
        <w:jc w:val="both"/>
        <w:rPr>
          <w:rFonts w:ascii="Book Antiqua" w:hAnsi="Book Antiqua"/>
          <w:sz w:val="24"/>
          <w:szCs w:val="24"/>
        </w:rPr>
      </w:pPr>
      <w:r w:rsidRPr="00C22A2D">
        <w:rPr>
          <w:rFonts w:ascii="Book Antiqua" w:hAnsi="Book Antiqua"/>
          <w:sz w:val="24"/>
          <w:szCs w:val="24"/>
        </w:rPr>
        <w:t>confirm the name and contact details of the practitioner with conduct of the proceeding and counsel briefed for trial;</w:t>
      </w:r>
    </w:p>
    <w:p w14:paraId="529A4D9F" w14:textId="792D7D01" w:rsidR="007234BB" w:rsidRPr="00C22A2D" w:rsidRDefault="007234BB" w:rsidP="00D50183">
      <w:pPr>
        <w:pStyle w:val="ListParagraph"/>
        <w:numPr>
          <w:ilvl w:val="0"/>
          <w:numId w:val="5"/>
        </w:numPr>
        <w:spacing w:before="120" w:after="120"/>
        <w:ind w:left="1440" w:hanging="450"/>
        <w:contextualSpacing w:val="0"/>
        <w:jc w:val="both"/>
        <w:rPr>
          <w:rFonts w:ascii="Book Antiqua" w:hAnsi="Book Antiqua"/>
          <w:sz w:val="24"/>
          <w:szCs w:val="24"/>
        </w:rPr>
      </w:pPr>
      <w:r w:rsidRPr="00C22A2D">
        <w:rPr>
          <w:rFonts w:ascii="Book Antiqua" w:hAnsi="Book Antiqua"/>
          <w:sz w:val="24"/>
          <w:szCs w:val="24"/>
        </w:rPr>
        <w:t>confirm payment of the trial fee;</w:t>
      </w:r>
    </w:p>
    <w:p w14:paraId="04A0AB1A" w14:textId="61219735" w:rsidR="007234BB" w:rsidRPr="00C22A2D" w:rsidRDefault="007234BB" w:rsidP="00D50183">
      <w:pPr>
        <w:pStyle w:val="ListParagraph"/>
        <w:numPr>
          <w:ilvl w:val="0"/>
          <w:numId w:val="5"/>
        </w:numPr>
        <w:spacing w:before="120" w:after="120"/>
        <w:ind w:left="1440" w:hanging="450"/>
        <w:contextualSpacing w:val="0"/>
        <w:jc w:val="both"/>
        <w:rPr>
          <w:rFonts w:ascii="Book Antiqua" w:hAnsi="Book Antiqua"/>
          <w:sz w:val="24"/>
          <w:szCs w:val="24"/>
        </w:rPr>
      </w:pPr>
      <w:r w:rsidRPr="00C22A2D">
        <w:rPr>
          <w:rFonts w:ascii="Book Antiqua" w:hAnsi="Book Antiqua"/>
          <w:sz w:val="24"/>
          <w:szCs w:val="24"/>
        </w:rPr>
        <w:t>identify any outstanding interlocutory issues or proposed amendments to pleadings; and</w:t>
      </w:r>
    </w:p>
    <w:p w14:paraId="22D0ABDC" w14:textId="60B2B23B" w:rsidR="007234BB" w:rsidRPr="00C22A2D" w:rsidRDefault="007234BB" w:rsidP="00D50183">
      <w:pPr>
        <w:pStyle w:val="ListParagraph"/>
        <w:numPr>
          <w:ilvl w:val="0"/>
          <w:numId w:val="5"/>
        </w:numPr>
        <w:spacing w:before="120" w:after="120"/>
        <w:ind w:left="1440" w:hanging="450"/>
        <w:contextualSpacing w:val="0"/>
        <w:jc w:val="both"/>
        <w:rPr>
          <w:rFonts w:ascii="Book Antiqua" w:hAnsi="Book Antiqua"/>
          <w:sz w:val="24"/>
          <w:szCs w:val="24"/>
        </w:rPr>
      </w:pPr>
      <w:r w:rsidRPr="00C22A2D">
        <w:rPr>
          <w:rFonts w:ascii="Book Antiqua" w:hAnsi="Book Antiqua"/>
          <w:sz w:val="24"/>
          <w:szCs w:val="24"/>
        </w:rPr>
        <w:t>identify the main issue(s) in dispute.</w:t>
      </w:r>
    </w:p>
    <w:p w14:paraId="7594C57D" w14:textId="77777777" w:rsidR="003777E9" w:rsidRPr="007641EF" w:rsidRDefault="003777E9" w:rsidP="00D50183">
      <w:pPr>
        <w:autoSpaceDE w:val="0"/>
        <w:autoSpaceDN w:val="0"/>
        <w:adjustRightInd w:val="0"/>
        <w:spacing w:before="120" w:after="120"/>
        <w:jc w:val="both"/>
        <w:rPr>
          <w:rFonts w:ascii="Book Antiqua" w:hAnsi="Book Antiqua"/>
          <w:b/>
        </w:rPr>
      </w:pPr>
    </w:p>
    <w:p w14:paraId="4C558B16" w14:textId="77777777" w:rsidR="00766EA3" w:rsidRDefault="00766EA3"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USE OF TECHNOLOGY</w:t>
      </w:r>
    </w:p>
    <w:p w14:paraId="08C5AA9B" w14:textId="5A7AC555" w:rsidR="00766EA3" w:rsidRDefault="00766EA3"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provisions of Practice Note SC Gen 5 “</w:t>
      </w:r>
      <w:r w:rsidR="00D16116">
        <w:rPr>
          <w:rFonts w:ascii="Book Antiqua" w:hAnsi="Book Antiqua"/>
          <w:sz w:val="24"/>
          <w:szCs w:val="24"/>
        </w:rPr>
        <w:t>Guidelines for the Use of Technology</w:t>
      </w:r>
      <w:r>
        <w:rPr>
          <w:rFonts w:ascii="Book Antiqua" w:hAnsi="Book Antiqua"/>
          <w:sz w:val="24"/>
          <w:szCs w:val="24"/>
        </w:rPr>
        <w:t>” apply to proceedings in the List.</w:t>
      </w:r>
    </w:p>
    <w:p w14:paraId="222EA718" w14:textId="77777777" w:rsidR="00766EA3" w:rsidRPr="00602DE2" w:rsidRDefault="00766EA3"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602DE2">
        <w:rPr>
          <w:rFonts w:ascii="Book Antiqua" w:hAnsi="Book Antiqua"/>
          <w:sz w:val="24"/>
          <w:szCs w:val="24"/>
        </w:rPr>
        <w:t xml:space="preserve">For the purposes of paragraph 9.11 of that Practice Note, documentary evidence in excess of 1500 pages is to be considered a large amount of documentary evidence.  </w:t>
      </w:r>
    </w:p>
    <w:p w14:paraId="019F14FF" w14:textId="77777777" w:rsidR="00766EA3" w:rsidRPr="00766EA3" w:rsidRDefault="00766EA3" w:rsidP="00D50183">
      <w:pPr>
        <w:autoSpaceDE w:val="0"/>
        <w:autoSpaceDN w:val="0"/>
        <w:adjustRightInd w:val="0"/>
        <w:spacing w:before="120" w:after="120"/>
        <w:jc w:val="both"/>
        <w:rPr>
          <w:rFonts w:ascii="Book Antiqua" w:hAnsi="Book Antiqua"/>
          <w:b/>
        </w:rPr>
      </w:pPr>
    </w:p>
    <w:p w14:paraId="3404EB84" w14:textId="0375B9E4" w:rsidR="002361DF" w:rsidRPr="007641EF" w:rsidRDefault="002361DF"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7641EF">
        <w:rPr>
          <w:rFonts w:ascii="Book Antiqua" w:hAnsi="Book Antiqua"/>
          <w:b/>
          <w:sz w:val="24"/>
          <w:szCs w:val="24"/>
        </w:rPr>
        <w:t>COMMUNICATIONS WITH THE COURT</w:t>
      </w:r>
    </w:p>
    <w:p w14:paraId="2EA80BA5" w14:textId="795680E5" w:rsidR="008A4357" w:rsidRPr="00766EA3" w:rsidRDefault="003F0B3F" w:rsidP="00D50183">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7641EF">
        <w:rPr>
          <w:rFonts w:ascii="Book Antiqua" w:hAnsi="Book Antiqua"/>
          <w:sz w:val="24"/>
          <w:szCs w:val="24"/>
        </w:rPr>
        <w:t>At all stages of the proceeding, communications with the Court</w:t>
      </w:r>
      <w:r w:rsidR="005B46C0">
        <w:rPr>
          <w:rFonts w:ascii="Book Antiqua" w:hAnsi="Book Antiqua"/>
          <w:sz w:val="24"/>
          <w:szCs w:val="24"/>
        </w:rPr>
        <w:t xml:space="preserve"> in relation to matters in the L</w:t>
      </w:r>
      <w:r w:rsidRPr="007641EF">
        <w:rPr>
          <w:rFonts w:ascii="Book Antiqua" w:hAnsi="Book Antiqua"/>
          <w:sz w:val="24"/>
          <w:szCs w:val="24"/>
        </w:rPr>
        <w:t xml:space="preserve">ist should be by email with a copy to all other parties in the proceeding, and should be confined to uncontroversial matters. </w:t>
      </w:r>
      <w:r w:rsidR="005B46C0">
        <w:rPr>
          <w:rFonts w:ascii="Book Antiqua" w:hAnsi="Book Antiqua"/>
          <w:sz w:val="24"/>
          <w:szCs w:val="24"/>
        </w:rPr>
        <w:t xml:space="preserve"> </w:t>
      </w:r>
      <w:r w:rsidR="000242EC" w:rsidRPr="007641EF">
        <w:rPr>
          <w:rFonts w:ascii="Book Antiqua" w:hAnsi="Book Antiqua"/>
          <w:sz w:val="24"/>
          <w:szCs w:val="24"/>
        </w:rPr>
        <w:t>C</w:t>
      </w:r>
      <w:r w:rsidRPr="007641EF">
        <w:rPr>
          <w:rFonts w:ascii="Book Antiqua" w:hAnsi="Book Antiqua"/>
          <w:sz w:val="24"/>
          <w:szCs w:val="24"/>
        </w:rPr>
        <w:t xml:space="preserve">ontact details for all associates </w:t>
      </w:r>
      <w:r w:rsidR="00850659" w:rsidRPr="007641EF">
        <w:rPr>
          <w:rFonts w:ascii="Book Antiqua" w:hAnsi="Book Antiqua"/>
          <w:sz w:val="24"/>
          <w:szCs w:val="24"/>
        </w:rPr>
        <w:t xml:space="preserve">and for the Practice Court Coordinator </w:t>
      </w:r>
      <w:r w:rsidRPr="007641EF">
        <w:rPr>
          <w:rFonts w:ascii="Book Antiqua" w:hAnsi="Book Antiqua"/>
          <w:sz w:val="24"/>
          <w:szCs w:val="24"/>
        </w:rPr>
        <w:t>are on the Court website</w:t>
      </w:r>
      <w:r w:rsidR="002361DF" w:rsidRPr="007641EF">
        <w:rPr>
          <w:rFonts w:ascii="Book Antiqua" w:hAnsi="Book Antiqua"/>
          <w:sz w:val="24"/>
          <w:szCs w:val="24"/>
        </w:rPr>
        <w:t>.</w:t>
      </w:r>
      <w:r w:rsidR="003615E5" w:rsidRPr="007641EF">
        <w:rPr>
          <w:rFonts w:ascii="Book Antiqua" w:hAnsi="Book Antiqua"/>
          <w:sz w:val="24"/>
          <w:szCs w:val="24"/>
        </w:rPr>
        <w:t xml:space="preserve"> </w:t>
      </w:r>
    </w:p>
    <w:p w14:paraId="210FC94E" w14:textId="77777777" w:rsidR="00766EA3" w:rsidRPr="00D329A4" w:rsidRDefault="00766EA3" w:rsidP="00D50183">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3F0B3F">
        <w:rPr>
          <w:rFonts w:ascii="Book Antiqua" w:hAnsi="Book Antiqua"/>
          <w:sz w:val="24"/>
          <w:szCs w:val="24"/>
        </w:rPr>
        <w:t xml:space="preserve">Parties are reminded that pursuant to rule 27.03(11)(b) of the </w:t>
      </w:r>
      <w:r w:rsidRPr="003F0B3F">
        <w:rPr>
          <w:rFonts w:ascii="Book Antiqua" w:hAnsi="Book Antiqua"/>
          <w:i/>
          <w:sz w:val="24"/>
          <w:szCs w:val="24"/>
        </w:rPr>
        <w:t>Supreme Court (General Civil Procedure) Rules 2015</w:t>
      </w:r>
      <w:r w:rsidRPr="003F0B3F">
        <w:rPr>
          <w:rFonts w:ascii="Book Antiqua" w:hAnsi="Book Antiqua"/>
          <w:sz w:val="24"/>
          <w:szCs w:val="24"/>
        </w:rPr>
        <w:t>, all court documents must include the name and email address of an individual to whom reference can be made in respect of the proceeding.</w:t>
      </w:r>
    </w:p>
    <w:p w14:paraId="403C7519" w14:textId="09B12A07" w:rsidR="00D329A4" w:rsidRDefault="00D329A4" w:rsidP="00D50183">
      <w:pPr>
        <w:autoSpaceDE w:val="0"/>
        <w:autoSpaceDN w:val="0"/>
        <w:adjustRightInd w:val="0"/>
        <w:spacing w:before="120" w:after="120"/>
        <w:jc w:val="both"/>
        <w:rPr>
          <w:rFonts w:ascii="Book Antiqua" w:hAnsi="Book Antiqua"/>
          <w:b/>
        </w:rPr>
      </w:pPr>
    </w:p>
    <w:p w14:paraId="482E3252" w14:textId="77777777" w:rsidR="00DF1439" w:rsidRPr="005A7E3F" w:rsidRDefault="00DF1439">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TRANSCRIPT</w:t>
      </w:r>
    </w:p>
    <w:p w14:paraId="2F4D3E7E" w14:textId="77777777" w:rsidR="00DF1439" w:rsidRDefault="00DF1439">
      <w:pPr>
        <w:pStyle w:val="ListParagraph"/>
        <w:numPr>
          <w:ilvl w:val="1"/>
          <w:numId w:val="2"/>
        </w:numPr>
        <w:spacing w:before="120" w:after="120"/>
        <w:contextualSpacing w:val="0"/>
        <w:jc w:val="both"/>
        <w:rPr>
          <w:rFonts w:ascii="Book Antiqua" w:hAnsi="Book Antiqua"/>
          <w:sz w:val="24"/>
          <w:szCs w:val="24"/>
        </w:rPr>
      </w:pPr>
      <w:r>
        <w:rPr>
          <w:rFonts w:ascii="Book Antiqua" w:hAnsi="Book Antiqua"/>
          <w:sz w:val="24"/>
          <w:szCs w:val="24"/>
        </w:rPr>
        <w:t>Practice Note SC Gen 7 is applicable to the requirements for transcript in relation to proceedings in the List.</w:t>
      </w:r>
    </w:p>
    <w:p w14:paraId="41634549" w14:textId="77777777" w:rsidR="00DF1439" w:rsidRPr="00662526" w:rsidRDefault="00DF1439">
      <w:pPr>
        <w:pStyle w:val="ListParagraph"/>
        <w:numPr>
          <w:ilvl w:val="1"/>
          <w:numId w:val="2"/>
        </w:numPr>
        <w:spacing w:before="120" w:after="120"/>
        <w:contextualSpacing w:val="0"/>
        <w:jc w:val="both"/>
        <w:rPr>
          <w:rFonts w:ascii="Book Antiqua" w:hAnsi="Book Antiqua"/>
          <w:sz w:val="24"/>
          <w:szCs w:val="24"/>
        </w:rPr>
      </w:pPr>
      <w:r>
        <w:rPr>
          <w:rFonts w:ascii="Book Antiqua" w:hAnsi="Book Antiqua"/>
          <w:sz w:val="24"/>
          <w:szCs w:val="24"/>
        </w:rPr>
        <w:t>For the purposes of Practice Note SC Gen 7, u</w:t>
      </w:r>
      <w:r w:rsidRPr="00662526">
        <w:rPr>
          <w:rFonts w:ascii="Book Antiqua" w:hAnsi="Book Antiqua"/>
          <w:sz w:val="24"/>
          <w:szCs w:val="24"/>
        </w:rPr>
        <w:t xml:space="preserve">nless </w:t>
      </w:r>
      <w:r>
        <w:rPr>
          <w:rFonts w:ascii="Book Antiqua" w:hAnsi="Book Antiqua"/>
          <w:sz w:val="24"/>
          <w:szCs w:val="24"/>
        </w:rPr>
        <w:t xml:space="preserve">in a particular case </w:t>
      </w:r>
      <w:r w:rsidRPr="00662526">
        <w:rPr>
          <w:rFonts w:ascii="Book Antiqua" w:hAnsi="Book Antiqua"/>
          <w:sz w:val="24"/>
          <w:szCs w:val="24"/>
        </w:rPr>
        <w:t>parties are advised otherwise:</w:t>
      </w:r>
    </w:p>
    <w:p w14:paraId="1865CF5F" w14:textId="77777777" w:rsidR="00DF1439" w:rsidRDefault="00DF1439">
      <w:pPr>
        <w:pStyle w:val="ListParagraph"/>
        <w:numPr>
          <w:ilvl w:val="0"/>
          <w:numId w:val="8"/>
        </w:numPr>
        <w:spacing w:before="120" w:after="120"/>
        <w:contextualSpacing w:val="0"/>
        <w:jc w:val="both"/>
        <w:rPr>
          <w:rFonts w:ascii="Book Antiqua" w:hAnsi="Book Antiqua"/>
          <w:sz w:val="24"/>
          <w:szCs w:val="24"/>
        </w:rPr>
      </w:pPr>
      <w:r w:rsidRPr="00662526">
        <w:rPr>
          <w:rFonts w:ascii="Book Antiqua" w:hAnsi="Book Antiqua"/>
          <w:sz w:val="24"/>
          <w:szCs w:val="24"/>
        </w:rPr>
        <w:lastRenderedPageBreak/>
        <w:t>‘</w:t>
      </w:r>
      <w:r>
        <w:rPr>
          <w:rFonts w:ascii="Book Antiqua" w:hAnsi="Book Antiqua"/>
          <w:sz w:val="24"/>
          <w:szCs w:val="24"/>
        </w:rPr>
        <w:t>Real-Time</w:t>
      </w:r>
      <w:r w:rsidRPr="00662526">
        <w:rPr>
          <w:rFonts w:ascii="Book Antiqua" w:hAnsi="Book Antiqua"/>
          <w:sz w:val="24"/>
          <w:szCs w:val="24"/>
        </w:rPr>
        <w:t xml:space="preserve">’ transcript is </w:t>
      </w:r>
      <w:r>
        <w:rPr>
          <w:rFonts w:ascii="Book Antiqua" w:hAnsi="Book Antiqua"/>
          <w:sz w:val="24"/>
          <w:szCs w:val="24"/>
        </w:rPr>
        <w:t xml:space="preserve">not </w:t>
      </w:r>
      <w:r w:rsidRPr="00662526">
        <w:rPr>
          <w:rFonts w:ascii="Book Antiqua" w:hAnsi="Book Antiqua"/>
          <w:sz w:val="24"/>
          <w:szCs w:val="24"/>
        </w:rPr>
        <w:t xml:space="preserve">required for </w:t>
      </w:r>
      <w:r>
        <w:rPr>
          <w:rFonts w:ascii="Book Antiqua" w:hAnsi="Book Antiqua"/>
          <w:sz w:val="24"/>
          <w:szCs w:val="24"/>
        </w:rPr>
        <w:t>any proceeding in the List;</w:t>
      </w:r>
    </w:p>
    <w:p w14:paraId="14D13ECA" w14:textId="77777777" w:rsidR="00DF1439" w:rsidRDefault="00DF1439">
      <w:pPr>
        <w:pStyle w:val="ListParagraph"/>
        <w:numPr>
          <w:ilvl w:val="0"/>
          <w:numId w:val="8"/>
        </w:numPr>
        <w:spacing w:before="120" w:after="120"/>
        <w:contextualSpacing w:val="0"/>
        <w:jc w:val="both"/>
        <w:rPr>
          <w:rFonts w:ascii="Book Antiqua" w:hAnsi="Book Antiqua"/>
          <w:sz w:val="24"/>
          <w:szCs w:val="24"/>
        </w:rPr>
      </w:pPr>
      <w:r>
        <w:rPr>
          <w:rFonts w:ascii="Book Antiqua" w:hAnsi="Book Antiqua"/>
          <w:sz w:val="24"/>
          <w:szCs w:val="24"/>
        </w:rPr>
        <w:t>‘Running’ transcript  (as distinct from ‘Real-Time’ transcript and from ‘Deferred’ transcript) is required for all trials in the List; and</w:t>
      </w:r>
    </w:p>
    <w:p w14:paraId="3A62859A" w14:textId="77777777" w:rsidR="00DF1439" w:rsidRPr="004269F5" w:rsidRDefault="00DF1439">
      <w:pPr>
        <w:pStyle w:val="ListParagraph"/>
        <w:numPr>
          <w:ilvl w:val="0"/>
          <w:numId w:val="8"/>
        </w:numPr>
        <w:spacing w:before="120" w:after="120"/>
        <w:contextualSpacing w:val="0"/>
        <w:jc w:val="both"/>
        <w:rPr>
          <w:rFonts w:ascii="Book Antiqua" w:hAnsi="Book Antiqua"/>
          <w:sz w:val="24"/>
          <w:szCs w:val="24"/>
        </w:rPr>
      </w:pPr>
      <w:r w:rsidRPr="00A87F6F">
        <w:rPr>
          <w:rFonts w:ascii="Book Antiqua" w:hAnsi="Book Antiqua"/>
          <w:sz w:val="24"/>
          <w:szCs w:val="24"/>
        </w:rPr>
        <w:t>transcript is not required at all for directions hearings or interlocutory applications.</w:t>
      </w:r>
    </w:p>
    <w:p w14:paraId="6F47D915" w14:textId="5445741D" w:rsidR="00D329A4" w:rsidRPr="007641EF" w:rsidRDefault="00D329A4" w:rsidP="00D50183">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7641EF">
        <w:rPr>
          <w:rFonts w:ascii="Book Antiqua" w:hAnsi="Book Antiqua"/>
          <w:b/>
          <w:sz w:val="24"/>
          <w:szCs w:val="24"/>
        </w:rPr>
        <w:t>FURTHER INFORMATION</w:t>
      </w:r>
    </w:p>
    <w:p w14:paraId="038B2A90" w14:textId="6DF32DF1" w:rsidR="00766EA3" w:rsidRDefault="00D329A4" w:rsidP="00D50183">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16679F">
        <w:rPr>
          <w:rFonts w:ascii="Book Antiqua" w:hAnsi="Book Antiqua"/>
          <w:sz w:val="24"/>
          <w:szCs w:val="24"/>
        </w:rPr>
        <w:t>The Court’s website (</w:t>
      </w:r>
      <w:hyperlink r:id="rId17" w:history="1">
        <w:r w:rsidR="0016679F" w:rsidRPr="00280F19">
          <w:rPr>
            <w:rStyle w:val="Hyperlink"/>
            <w:rFonts w:ascii="Book Antiqua" w:hAnsi="Book Antiqua"/>
            <w:sz w:val="24"/>
            <w:szCs w:val="24"/>
          </w:rPr>
          <w:t>www.supremecourt.vic.gov.au</w:t>
        </w:r>
      </w:hyperlink>
      <w:r w:rsidRPr="0016679F">
        <w:rPr>
          <w:rFonts w:ascii="Book Antiqua" w:hAnsi="Book Antiqua"/>
          <w:sz w:val="24"/>
          <w:szCs w:val="24"/>
        </w:rPr>
        <w:t xml:space="preserve">) includes a </w:t>
      </w:r>
      <w:hyperlink r:id="rId18" w:history="1">
        <w:r w:rsidRPr="00DB2E20">
          <w:rPr>
            <w:rStyle w:val="Hyperlink"/>
            <w:rFonts w:ascii="Book Antiqua" w:hAnsi="Book Antiqua"/>
            <w:sz w:val="24"/>
            <w:szCs w:val="24"/>
          </w:rPr>
          <w:t>page dedicated to the List</w:t>
        </w:r>
      </w:hyperlink>
      <w:r w:rsidRPr="0016679F">
        <w:rPr>
          <w:rFonts w:ascii="Book Antiqua" w:hAnsi="Book Antiqua"/>
          <w:sz w:val="24"/>
          <w:szCs w:val="24"/>
        </w:rPr>
        <w:t xml:space="preserve"> with up to date information about the operation of the List</w:t>
      </w:r>
      <w:r w:rsidR="00766EA3">
        <w:rPr>
          <w:rFonts w:ascii="Book Antiqua" w:hAnsi="Book Antiqua"/>
          <w:sz w:val="24"/>
          <w:szCs w:val="24"/>
        </w:rPr>
        <w:t xml:space="preserve"> </w:t>
      </w:r>
      <w:r w:rsidR="00174E97">
        <w:rPr>
          <w:rFonts w:ascii="Book Antiqua" w:hAnsi="Book Antiqua"/>
          <w:sz w:val="24"/>
          <w:szCs w:val="24"/>
        </w:rPr>
        <w:t>including</w:t>
      </w:r>
      <w:r w:rsidR="00766EA3">
        <w:rPr>
          <w:rFonts w:ascii="Book Antiqua" w:hAnsi="Book Antiqua"/>
          <w:sz w:val="24"/>
          <w:szCs w:val="24"/>
        </w:rPr>
        <w:t>:</w:t>
      </w:r>
    </w:p>
    <w:p w14:paraId="2536623A" w14:textId="1158DCD6" w:rsidR="00174E97" w:rsidRDefault="00174E97" w:rsidP="00D50183">
      <w:pPr>
        <w:pStyle w:val="ListParagraph"/>
        <w:numPr>
          <w:ilvl w:val="1"/>
          <w:numId w:val="7"/>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Judicial officers managing the List;</w:t>
      </w:r>
    </w:p>
    <w:p w14:paraId="0CEC9422" w14:textId="0EF5A028" w:rsidR="00766EA3" w:rsidRDefault="00174E97" w:rsidP="00D50183">
      <w:pPr>
        <w:pStyle w:val="ListParagraph"/>
        <w:numPr>
          <w:ilvl w:val="1"/>
          <w:numId w:val="7"/>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 xml:space="preserve">links to this </w:t>
      </w:r>
      <w:r w:rsidR="00766EA3">
        <w:rPr>
          <w:rFonts w:ascii="Book Antiqua" w:hAnsi="Book Antiqua"/>
          <w:sz w:val="24"/>
          <w:szCs w:val="24"/>
        </w:rPr>
        <w:t xml:space="preserve">Practice Note in </w:t>
      </w:r>
      <w:r>
        <w:rPr>
          <w:rFonts w:ascii="Book Antiqua" w:hAnsi="Book Antiqua"/>
          <w:sz w:val="24"/>
          <w:szCs w:val="24"/>
        </w:rPr>
        <w:t>Word</w:t>
      </w:r>
      <w:r w:rsidR="00766EA3">
        <w:rPr>
          <w:rFonts w:ascii="Book Antiqua" w:hAnsi="Book Antiqua"/>
          <w:sz w:val="24"/>
          <w:szCs w:val="24"/>
        </w:rPr>
        <w:t xml:space="preserve"> and </w:t>
      </w:r>
      <w:r>
        <w:rPr>
          <w:rFonts w:ascii="Book Antiqua" w:hAnsi="Book Antiqua"/>
          <w:sz w:val="24"/>
          <w:szCs w:val="24"/>
        </w:rPr>
        <w:t xml:space="preserve">PDF </w:t>
      </w:r>
      <w:r w:rsidR="00766EA3">
        <w:rPr>
          <w:rFonts w:ascii="Book Antiqua" w:hAnsi="Book Antiqua"/>
          <w:sz w:val="24"/>
          <w:szCs w:val="24"/>
        </w:rPr>
        <w:t>formats;</w:t>
      </w:r>
    </w:p>
    <w:p w14:paraId="6AFB8A35" w14:textId="2FFBC8D8" w:rsidR="00766EA3" w:rsidRDefault="00174E97" w:rsidP="00D50183">
      <w:pPr>
        <w:pStyle w:val="ListParagraph"/>
        <w:numPr>
          <w:ilvl w:val="1"/>
          <w:numId w:val="7"/>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g</w:t>
      </w:r>
      <w:r w:rsidR="00766EA3">
        <w:rPr>
          <w:rFonts w:ascii="Book Antiqua" w:hAnsi="Book Antiqua"/>
          <w:sz w:val="24"/>
          <w:szCs w:val="24"/>
        </w:rPr>
        <w:t>uidelines in relation to applications for the modification or discharge of restrictive covenants.</w:t>
      </w:r>
    </w:p>
    <w:p w14:paraId="628BA2BA" w14:textId="77777777" w:rsidR="003F0B3F" w:rsidRPr="007641EF" w:rsidRDefault="003F0B3F" w:rsidP="00D50183">
      <w:pPr>
        <w:spacing w:before="120" w:after="120"/>
        <w:ind w:left="720" w:hanging="720"/>
        <w:jc w:val="both"/>
        <w:rPr>
          <w:rFonts w:ascii="Book Antiqua" w:hAnsi="Book Antiqua"/>
        </w:rPr>
      </w:pPr>
    </w:p>
    <w:p w14:paraId="2A06942D" w14:textId="27F46ABE" w:rsidR="003817CD" w:rsidRPr="007641EF" w:rsidRDefault="00277B7B">
      <w:pPr>
        <w:autoSpaceDE w:val="0"/>
        <w:autoSpaceDN w:val="0"/>
        <w:adjustRightInd w:val="0"/>
        <w:spacing w:before="120" w:after="120"/>
        <w:jc w:val="both"/>
        <w:rPr>
          <w:rFonts w:ascii="Book Antiqua" w:hAnsi="Book Antiqua"/>
          <w:b/>
        </w:rPr>
      </w:pPr>
      <w:r w:rsidRPr="007641EF">
        <w:rPr>
          <w:rFonts w:ascii="Book Antiqua" w:hAnsi="Book Antiqua"/>
          <w:b/>
        </w:rPr>
        <w:t>AMENDMENT HISTORY</w:t>
      </w:r>
    </w:p>
    <w:p w14:paraId="78D2DD2D" w14:textId="6B8D719C" w:rsidR="00AB3FFA" w:rsidRDefault="00B8760E">
      <w:pPr>
        <w:spacing w:before="120" w:after="120"/>
        <w:jc w:val="both"/>
        <w:rPr>
          <w:rFonts w:ascii="Book Antiqua" w:hAnsi="Book Antiqua"/>
        </w:rPr>
      </w:pPr>
      <w:r>
        <w:rPr>
          <w:rFonts w:ascii="Book Antiqua" w:hAnsi="Book Antiqua"/>
        </w:rPr>
        <w:t>30</w:t>
      </w:r>
      <w:r w:rsidR="00277B7B" w:rsidRPr="007641EF">
        <w:rPr>
          <w:rFonts w:ascii="Book Antiqua" w:hAnsi="Book Antiqua"/>
        </w:rPr>
        <w:t xml:space="preserve"> </w:t>
      </w:r>
      <w:r w:rsidR="00844C34">
        <w:rPr>
          <w:rFonts w:ascii="Book Antiqua" w:hAnsi="Book Antiqua"/>
        </w:rPr>
        <w:t>January 2017</w:t>
      </w:r>
      <w:r w:rsidR="00277B7B" w:rsidRPr="007641EF">
        <w:rPr>
          <w:rFonts w:ascii="Book Antiqua" w:hAnsi="Book Antiqua"/>
        </w:rPr>
        <w:t>: Th</w:t>
      </w:r>
      <w:r>
        <w:rPr>
          <w:rFonts w:ascii="Book Antiqua" w:hAnsi="Book Antiqua"/>
        </w:rPr>
        <w:t>is Practice Note was issued on 30</w:t>
      </w:r>
      <w:r w:rsidR="00277B7B" w:rsidRPr="007641EF">
        <w:rPr>
          <w:rFonts w:ascii="Book Antiqua" w:hAnsi="Book Antiqua"/>
        </w:rPr>
        <w:t xml:space="preserve"> </w:t>
      </w:r>
      <w:r w:rsidR="00844C34">
        <w:rPr>
          <w:rFonts w:ascii="Book Antiqua" w:hAnsi="Book Antiqua"/>
        </w:rPr>
        <w:t xml:space="preserve">January 2017 </w:t>
      </w:r>
      <w:r w:rsidR="00277B7B" w:rsidRPr="007641EF">
        <w:rPr>
          <w:rFonts w:ascii="Book Antiqua" w:hAnsi="Book Antiqua"/>
        </w:rPr>
        <w:t>and replaced Practice Note</w:t>
      </w:r>
      <w:r w:rsidR="00D00C42" w:rsidRPr="007641EF">
        <w:rPr>
          <w:rFonts w:ascii="Book Antiqua" w:hAnsi="Book Antiqua"/>
        </w:rPr>
        <w:t xml:space="preserve"> No </w:t>
      </w:r>
      <w:r w:rsidR="00747C64">
        <w:rPr>
          <w:rFonts w:ascii="Book Antiqua" w:hAnsi="Book Antiqua"/>
        </w:rPr>
        <w:t>5</w:t>
      </w:r>
      <w:r w:rsidR="00B6527D" w:rsidRPr="007641EF">
        <w:rPr>
          <w:rFonts w:ascii="Book Antiqua" w:hAnsi="Book Antiqua"/>
        </w:rPr>
        <w:t xml:space="preserve"> of 2016</w:t>
      </w:r>
      <w:r w:rsidR="00D00C42" w:rsidRPr="007641EF">
        <w:rPr>
          <w:rFonts w:ascii="Book Antiqua" w:hAnsi="Book Antiqua"/>
        </w:rPr>
        <w:t>.</w:t>
      </w:r>
    </w:p>
    <w:p w14:paraId="630FC351" w14:textId="50C6C371" w:rsidR="00DF1439" w:rsidRPr="003F0B3F" w:rsidRDefault="001C386A">
      <w:pPr>
        <w:spacing w:before="120" w:after="120"/>
        <w:jc w:val="both"/>
        <w:rPr>
          <w:rFonts w:ascii="Book Antiqua" w:hAnsi="Book Antiqua"/>
        </w:rPr>
      </w:pPr>
      <w:r>
        <w:rPr>
          <w:rFonts w:ascii="Book Antiqua" w:hAnsi="Book Antiqua"/>
        </w:rPr>
        <w:t xml:space="preserve">1 December </w:t>
      </w:r>
      <w:r w:rsidR="00DF1439">
        <w:rPr>
          <w:rFonts w:ascii="Book Antiqua" w:hAnsi="Book Antiqua"/>
        </w:rPr>
        <w:t>2018: Amendments to paragraphs 3, 6, 10 &amp; 11.</w:t>
      </w:r>
    </w:p>
    <w:p w14:paraId="2C4C64F6" w14:textId="77777777" w:rsidR="00DF1439" w:rsidRPr="007641EF" w:rsidRDefault="00DF1439">
      <w:pPr>
        <w:spacing w:before="120" w:after="120"/>
        <w:jc w:val="both"/>
        <w:rPr>
          <w:rFonts w:ascii="Book Antiqua" w:hAnsi="Book Antiqua"/>
        </w:rPr>
      </w:pPr>
    </w:p>
    <w:p w14:paraId="473F3942" w14:textId="2ED205B7" w:rsidR="003B1758" w:rsidRPr="007641EF" w:rsidRDefault="003B1758">
      <w:pPr>
        <w:spacing w:before="120" w:after="120"/>
        <w:ind w:left="720" w:hanging="720"/>
        <w:jc w:val="both"/>
        <w:rPr>
          <w:rFonts w:ascii="Book Antiqua" w:hAnsi="Book Antiqua"/>
        </w:rPr>
      </w:pPr>
    </w:p>
    <w:p w14:paraId="693B9BB9" w14:textId="77777777" w:rsidR="003B1758" w:rsidRPr="007641EF" w:rsidRDefault="003B1758">
      <w:pPr>
        <w:spacing w:before="120" w:after="120"/>
        <w:ind w:left="720" w:hanging="720"/>
        <w:jc w:val="both"/>
        <w:rPr>
          <w:rFonts w:ascii="Book Antiqua" w:hAnsi="Book Antiqua"/>
        </w:rPr>
      </w:pPr>
    </w:p>
    <w:p w14:paraId="4D79BB20" w14:textId="6B53E8EF" w:rsidR="00AB3FFA" w:rsidRPr="007641EF" w:rsidRDefault="00602DE2">
      <w:pPr>
        <w:spacing w:before="120" w:after="120"/>
        <w:ind w:left="720" w:hanging="720"/>
        <w:jc w:val="right"/>
        <w:rPr>
          <w:rFonts w:ascii="Book Antiqua" w:hAnsi="Book Antiqua"/>
        </w:rPr>
      </w:pPr>
      <w:r>
        <w:rPr>
          <w:rFonts w:ascii="Book Antiqua" w:hAnsi="Book Antiqua"/>
        </w:rPr>
        <w:t>Vivienne Macgillivray</w:t>
      </w:r>
    </w:p>
    <w:p w14:paraId="520C8D0C" w14:textId="6FFB15D9" w:rsidR="00AB3FFA" w:rsidRPr="007641EF" w:rsidRDefault="00AB3FFA">
      <w:pPr>
        <w:spacing w:before="120" w:after="120"/>
        <w:ind w:left="720" w:hanging="720"/>
        <w:jc w:val="right"/>
        <w:rPr>
          <w:rFonts w:ascii="Book Antiqua" w:hAnsi="Book Antiqua"/>
        </w:rPr>
      </w:pPr>
      <w:r w:rsidRPr="007641EF">
        <w:rPr>
          <w:rFonts w:ascii="Book Antiqua" w:hAnsi="Book Antiqua"/>
        </w:rPr>
        <w:t>Executive Associate to the Chief Justice</w:t>
      </w:r>
    </w:p>
    <w:p w14:paraId="7DDF0621" w14:textId="0B9B06A1" w:rsidR="000611B8" w:rsidRPr="007641EF" w:rsidRDefault="001C386A">
      <w:pPr>
        <w:spacing w:before="120" w:after="120"/>
        <w:ind w:left="720" w:hanging="720"/>
        <w:jc w:val="right"/>
        <w:rPr>
          <w:rFonts w:ascii="Book Antiqua" w:hAnsi="Book Antiqua"/>
        </w:rPr>
      </w:pPr>
      <w:r>
        <w:rPr>
          <w:rFonts w:ascii="Book Antiqua" w:hAnsi="Book Antiqua"/>
        </w:rPr>
        <w:t xml:space="preserve">1 December </w:t>
      </w:r>
      <w:r w:rsidR="00DF1439">
        <w:rPr>
          <w:rFonts w:ascii="Book Antiqua" w:hAnsi="Book Antiqua"/>
        </w:rPr>
        <w:t>2018</w:t>
      </w:r>
    </w:p>
    <w:sectPr w:rsidR="000611B8" w:rsidRPr="007641EF" w:rsidSect="003817C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0C9739D3" w:rsidR="002D6E79" w:rsidRDefault="002D6E79">
    <w:pPr>
      <w:pStyle w:val="Footer"/>
      <w:jc w:val="right"/>
    </w:pPr>
    <w:r>
      <w:fldChar w:fldCharType="begin"/>
    </w:r>
    <w:r>
      <w:instrText xml:space="preserve"> PAGE   \* MERGEFORMAT </w:instrText>
    </w:r>
    <w:r>
      <w:fldChar w:fldCharType="separate"/>
    </w:r>
    <w:r w:rsidR="001C386A">
      <w:rPr>
        <w:noProof/>
      </w:rPr>
      <w:t>2</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 w:id="2">
    <w:p w14:paraId="330CB3CA" w14:textId="77777777" w:rsidR="007234BB" w:rsidRDefault="007234BB" w:rsidP="007234BB">
      <w:pPr>
        <w:pStyle w:val="FootnoteText"/>
        <w:ind w:left="720" w:hanging="720"/>
      </w:pPr>
      <w:r>
        <w:rPr>
          <w:rStyle w:val="FootnoteReference"/>
        </w:rPr>
        <w:footnoteRef/>
      </w:r>
      <w:r>
        <w:t xml:space="preserve"> </w:t>
      </w:r>
      <w:r>
        <w:tab/>
        <w:t>For example, applications for the recovery of possession of land under the summary procedure: see Order 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4887" w14:textId="274358CF" w:rsidR="00024F36" w:rsidRDefault="0002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2"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162E50"/>
    <w:multiLevelType w:val="multilevel"/>
    <w:tmpl w:val="C4488670"/>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A54FA0"/>
    <w:multiLevelType w:val="hybridMultilevel"/>
    <w:tmpl w:val="CBA894F6"/>
    <w:lvl w:ilvl="0" w:tplc="7EAAC6A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43B2402F"/>
    <w:multiLevelType w:val="multilevel"/>
    <w:tmpl w:val="3482DD68"/>
    <w:lvl w:ilvl="0">
      <w:start w:val="1"/>
      <w:numFmt w:val="lowerRoman"/>
      <w:lvlText w:val="%1."/>
      <w:lvlJc w:val="righ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417531"/>
    <w:multiLevelType w:val="multilevel"/>
    <w:tmpl w:val="F6E08926"/>
    <w:lvl w:ilvl="0">
      <w:start w:val="1"/>
      <w:numFmt w:val="lowerLetter"/>
      <w:lvlText w:val="%1)"/>
      <w:lvlJc w:val="left"/>
      <w:pPr>
        <w:ind w:left="720" w:hanging="720"/>
      </w:pPr>
      <w:rPr>
        <w:rFonts w:hint="default"/>
        <w:i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2"/>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7C7"/>
    <w:rsid w:val="000118DD"/>
    <w:rsid w:val="0001288E"/>
    <w:rsid w:val="000128D0"/>
    <w:rsid w:val="00013D3B"/>
    <w:rsid w:val="00014B10"/>
    <w:rsid w:val="000242EC"/>
    <w:rsid w:val="00024F36"/>
    <w:rsid w:val="0003306E"/>
    <w:rsid w:val="00034D85"/>
    <w:rsid w:val="00035057"/>
    <w:rsid w:val="00036894"/>
    <w:rsid w:val="00037D26"/>
    <w:rsid w:val="00043448"/>
    <w:rsid w:val="00055F43"/>
    <w:rsid w:val="000566C3"/>
    <w:rsid w:val="000611B8"/>
    <w:rsid w:val="0006489B"/>
    <w:rsid w:val="00070CA2"/>
    <w:rsid w:val="00070D66"/>
    <w:rsid w:val="00071A96"/>
    <w:rsid w:val="00073139"/>
    <w:rsid w:val="00073769"/>
    <w:rsid w:val="00077863"/>
    <w:rsid w:val="00080BC5"/>
    <w:rsid w:val="00081052"/>
    <w:rsid w:val="00081A41"/>
    <w:rsid w:val="00095BA5"/>
    <w:rsid w:val="000962B8"/>
    <w:rsid w:val="000A1DE7"/>
    <w:rsid w:val="000A3AE4"/>
    <w:rsid w:val="000A4F62"/>
    <w:rsid w:val="000A553C"/>
    <w:rsid w:val="000A6B76"/>
    <w:rsid w:val="000B2E54"/>
    <w:rsid w:val="000B5F50"/>
    <w:rsid w:val="000C0998"/>
    <w:rsid w:val="000C1777"/>
    <w:rsid w:val="000C2CE1"/>
    <w:rsid w:val="000C5F4B"/>
    <w:rsid w:val="000C6C34"/>
    <w:rsid w:val="000C75E1"/>
    <w:rsid w:val="000D07F1"/>
    <w:rsid w:val="000D0AC4"/>
    <w:rsid w:val="000D3250"/>
    <w:rsid w:val="000D5E28"/>
    <w:rsid w:val="000D7A64"/>
    <w:rsid w:val="000E12FA"/>
    <w:rsid w:val="000E524A"/>
    <w:rsid w:val="000F3B18"/>
    <w:rsid w:val="000F6EA7"/>
    <w:rsid w:val="00100006"/>
    <w:rsid w:val="00101EC5"/>
    <w:rsid w:val="001033CC"/>
    <w:rsid w:val="00111FFD"/>
    <w:rsid w:val="001122B1"/>
    <w:rsid w:val="0011421F"/>
    <w:rsid w:val="00121C72"/>
    <w:rsid w:val="00125C07"/>
    <w:rsid w:val="00131DDE"/>
    <w:rsid w:val="00133A51"/>
    <w:rsid w:val="001344BA"/>
    <w:rsid w:val="00140683"/>
    <w:rsid w:val="00143136"/>
    <w:rsid w:val="00143818"/>
    <w:rsid w:val="00144DAA"/>
    <w:rsid w:val="00145C92"/>
    <w:rsid w:val="00145D28"/>
    <w:rsid w:val="0014603C"/>
    <w:rsid w:val="00146054"/>
    <w:rsid w:val="0015063E"/>
    <w:rsid w:val="0015159D"/>
    <w:rsid w:val="00155A8E"/>
    <w:rsid w:val="0015650D"/>
    <w:rsid w:val="0016054E"/>
    <w:rsid w:val="00161B6C"/>
    <w:rsid w:val="00161CA2"/>
    <w:rsid w:val="0016669A"/>
    <w:rsid w:val="0016679F"/>
    <w:rsid w:val="001716EF"/>
    <w:rsid w:val="00174E97"/>
    <w:rsid w:val="0018061B"/>
    <w:rsid w:val="00182C1F"/>
    <w:rsid w:val="00182FAF"/>
    <w:rsid w:val="00186E37"/>
    <w:rsid w:val="001905F8"/>
    <w:rsid w:val="001913C5"/>
    <w:rsid w:val="00194089"/>
    <w:rsid w:val="00194A80"/>
    <w:rsid w:val="00197CA4"/>
    <w:rsid w:val="001A22B3"/>
    <w:rsid w:val="001A5036"/>
    <w:rsid w:val="001A5B39"/>
    <w:rsid w:val="001A667F"/>
    <w:rsid w:val="001A7651"/>
    <w:rsid w:val="001B2E88"/>
    <w:rsid w:val="001B3484"/>
    <w:rsid w:val="001B4283"/>
    <w:rsid w:val="001B7E2C"/>
    <w:rsid w:val="001C116C"/>
    <w:rsid w:val="001C2F4B"/>
    <w:rsid w:val="001C386A"/>
    <w:rsid w:val="001D4398"/>
    <w:rsid w:val="001E0318"/>
    <w:rsid w:val="001E1418"/>
    <w:rsid w:val="001F5CA5"/>
    <w:rsid w:val="001F71F4"/>
    <w:rsid w:val="001F736C"/>
    <w:rsid w:val="00207367"/>
    <w:rsid w:val="002161D0"/>
    <w:rsid w:val="00216DCF"/>
    <w:rsid w:val="002171F4"/>
    <w:rsid w:val="00217758"/>
    <w:rsid w:val="00217E88"/>
    <w:rsid w:val="002218C5"/>
    <w:rsid w:val="00222544"/>
    <w:rsid w:val="0022666D"/>
    <w:rsid w:val="0023426A"/>
    <w:rsid w:val="00234B7B"/>
    <w:rsid w:val="002361DF"/>
    <w:rsid w:val="00241A4E"/>
    <w:rsid w:val="00245746"/>
    <w:rsid w:val="0024636D"/>
    <w:rsid w:val="00247F50"/>
    <w:rsid w:val="002572C2"/>
    <w:rsid w:val="0026005D"/>
    <w:rsid w:val="0026579F"/>
    <w:rsid w:val="00265BF9"/>
    <w:rsid w:val="00271B59"/>
    <w:rsid w:val="00275A5A"/>
    <w:rsid w:val="00277B7B"/>
    <w:rsid w:val="002812ED"/>
    <w:rsid w:val="0028130B"/>
    <w:rsid w:val="00281E4F"/>
    <w:rsid w:val="002837A9"/>
    <w:rsid w:val="00283C48"/>
    <w:rsid w:val="00294341"/>
    <w:rsid w:val="002A1A2C"/>
    <w:rsid w:val="002A252A"/>
    <w:rsid w:val="002B465A"/>
    <w:rsid w:val="002C1134"/>
    <w:rsid w:val="002C56E8"/>
    <w:rsid w:val="002D0AB0"/>
    <w:rsid w:val="002D0FD3"/>
    <w:rsid w:val="002D23D8"/>
    <w:rsid w:val="002D6E79"/>
    <w:rsid w:val="002E0F6B"/>
    <w:rsid w:val="002E4744"/>
    <w:rsid w:val="002E6B43"/>
    <w:rsid w:val="002E7FD2"/>
    <w:rsid w:val="002F4D7F"/>
    <w:rsid w:val="00300F4B"/>
    <w:rsid w:val="00302981"/>
    <w:rsid w:val="0030352D"/>
    <w:rsid w:val="00305761"/>
    <w:rsid w:val="00307B60"/>
    <w:rsid w:val="00310655"/>
    <w:rsid w:val="00310A32"/>
    <w:rsid w:val="00311051"/>
    <w:rsid w:val="0031222C"/>
    <w:rsid w:val="003166D1"/>
    <w:rsid w:val="00320CDC"/>
    <w:rsid w:val="00321C75"/>
    <w:rsid w:val="0032286C"/>
    <w:rsid w:val="00334DD3"/>
    <w:rsid w:val="00340257"/>
    <w:rsid w:val="0034246A"/>
    <w:rsid w:val="0034260E"/>
    <w:rsid w:val="00344A8C"/>
    <w:rsid w:val="00344EF2"/>
    <w:rsid w:val="00350055"/>
    <w:rsid w:val="003500B9"/>
    <w:rsid w:val="003508E0"/>
    <w:rsid w:val="0035248D"/>
    <w:rsid w:val="00353E4C"/>
    <w:rsid w:val="00355F6F"/>
    <w:rsid w:val="00356593"/>
    <w:rsid w:val="00356969"/>
    <w:rsid w:val="00357A0D"/>
    <w:rsid w:val="003604CF"/>
    <w:rsid w:val="003615E5"/>
    <w:rsid w:val="003639B5"/>
    <w:rsid w:val="0036424D"/>
    <w:rsid w:val="00365D0E"/>
    <w:rsid w:val="00367AD0"/>
    <w:rsid w:val="003777E9"/>
    <w:rsid w:val="00377999"/>
    <w:rsid w:val="003817CD"/>
    <w:rsid w:val="00381991"/>
    <w:rsid w:val="00381FDA"/>
    <w:rsid w:val="00386C9F"/>
    <w:rsid w:val="00387DB3"/>
    <w:rsid w:val="00391CA0"/>
    <w:rsid w:val="003945D8"/>
    <w:rsid w:val="00396EF2"/>
    <w:rsid w:val="00397AAE"/>
    <w:rsid w:val="003A1EF7"/>
    <w:rsid w:val="003A7A5A"/>
    <w:rsid w:val="003A7E6C"/>
    <w:rsid w:val="003B1758"/>
    <w:rsid w:val="003B7248"/>
    <w:rsid w:val="003C07C2"/>
    <w:rsid w:val="003C343E"/>
    <w:rsid w:val="003C5C64"/>
    <w:rsid w:val="003C62F1"/>
    <w:rsid w:val="003D0A67"/>
    <w:rsid w:val="003D65D5"/>
    <w:rsid w:val="003D672F"/>
    <w:rsid w:val="003E4C44"/>
    <w:rsid w:val="003E6152"/>
    <w:rsid w:val="003E66CF"/>
    <w:rsid w:val="003F0B3F"/>
    <w:rsid w:val="003F0D9C"/>
    <w:rsid w:val="003F7105"/>
    <w:rsid w:val="00400B2E"/>
    <w:rsid w:val="0040410A"/>
    <w:rsid w:val="00404CB0"/>
    <w:rsid w:val="0041026E"/>
    <w:rsid w:val="004126C2"/>
    <w:rsid w:val="00414B77"/>
    <w:rsid w:val="0042138B"/>
    <w:rsid w:val="00434BEE"/>
    <w:rsid w:val="004361F0"/>
    <w:rsid w:val="00436951"/>
    <w:rsid w:val="00441431"/>
    <w:rsid w:val="004450A6"/>
    <w:rsid w:val="00454495"/>
    <w:rsid w:val="00455D46"/>
    <w:rsid w:val="00461361"/>
    <w:rsid w:val="00471414"/>
    <w:rsid w:val="00474F94"/>
    <w:rsid w:val="00482EBE"/>
    <w:rsid w:val="00483F1E"/>
    <w:rsid w:val="00486328"/>
    <w:rsid w:val="004912F2"/>
    <w:rsid w:val="00492363"/>
    <w:rsid w:val="00494220"/>
    <w:rsid w:val="004946BD"/>
    <w:rsid w:val="0049669C"/>
    <w:rsid w:val="00496F08"/>
    <w:rsid w:val="004A30A6"/>
    <w:rsid w:val="004A3BBD"/>
    <w:rsid w:val="004B1AC7"/>
    <w:rsid w:val="004B2A72"/>
    <w:rsid w:val="004B4458"/>
    <w:rsid w:val="004B5756"/>
    <w:rsid w:val="004B6E9A"/>
    <w:rsid w:val="004C1FFA"/>
    <w:rsid w:val="004C29B1"/>
    <w:rsid w:val="004D07F1"/>
    <w:rsid w:val="004D1112"/>
    <w:rsid w:val="004D2141"/>
    <w:rsid w:val="004D35D2"/>
    <w:rsid w:val="004E07C3"/>
    <w:rsid w:val="004E1038"/>
    <w:rsid w:val="004E1052"/>
    <w:rsid w:val="004E10CA"/>
    <w:rsid w:val="004E284B"/>
    <w:rsid w:val="004F61E8"/>
    <w:rsid w:val="004F7E81"/>
    <w:rsid w:val="0050429E"/>
    <w:rsid w:val="00506B52"/>
    <w:rsid w:val="00512025"/>
    <w:rsid w:val="005123B0"/>
    <w:rsid w:val="00512942"/>
    <w:rsid w:val="005158D2"/>
    <w:rsid w:val="005173D2"/>
    <w:rsid w:val="00525B9D"/>
    <w:rsid w:val="005278A1"/>
    <w:rsid w:val="005319F6"/>
    <w:rsid w:val="00540E14"/>
    <w:rsid w:val="00541EAB"/>
    <w:rsid w:val="00544D70"/>
    <w:rsid w:val="00546841"/>
    <w:rsid w:val="00547600"/>
    <w:rsid w:val="00550871"/>
    <w:rsid w:val="005534A5"/>
    <w:rsid w:val="00553534"/>
    <w:rsid w:val="00554A65"/>
    <w:rsid w:val="0055503D"/>
    <w:rsid w:val="00561105"/>
    <w:rsid w:val="0056389E"/>
    <w:rsid w:val="00565153"/>
    <w:rsid w:val="00565B62"/>
    <w:rsid w:val="00571E15"/>
    <w:rsid w:val="005734DA"/>
    <w:rsid w:val="00575849"/>
    <w:rsid w:val="005825BE"/>
    <w:rsid w:val="00582DAF"/>
    <w:rsid w:val="00587B19"/>
    <w:rsid w:val="00593530"/>
    <w:rsid w:val="00594C2A"/>
    <w:rsid w:val="005A291A"/>
    <w:rsid w:val="005A386C"/>
    <w:rsid w:val="005A4134"/>
    <w:rsid w:val="005A59BA"/>
    <w:rsid w:val="005A68BF"/>
    <w:rsid w:val="005A6984"/>
    <w:rsid w:val="005B10A4"/>
    <w:rsid w:val="005B3FF4"/>
    <w:rsid w:val="005B46C0"/>
    <w:rsid w:val="005B499F"/>
    <w:rsid w:val="005B5CFE"/>
    <w:rsid w:val="005B7BEB"/>
    <w:rsid w:val="005B7E00"/>
    <w:rsid w:val="005C0C06"/>
    <w:rsid w:val="005C3FF5"/>
    <w:rsid w:val="005C5419"/>
    <w:rsid w:val="005C542A"/>
    <w:rsid w:val="005C7F57"/>
    <w:rsid w:val="005D3383"/>
    <w:rsid w:val="005E04B4"/>
    <w:rsid w:val="005E3BB5"/>
    <w:rsid w:val="005E5273"/>
    <w:rsid w:val="005E704A"/>
    <w:rsid w:val="005F02B1"/>
    <w:rsid w:val="005F067C"/>
    <w:rsid w:val="005F7DC1"/>
    <w:rsid w:val="00602DE2"/>
    <w:rsid w:val="00607B05"/>
    <w:rsid w:val="006124C3"/>
    <w:rsid w:val="006135A6"/>
    <w:rsid w:val="00613FA8"/>
    <w:rsid w:val="00620D68"/>
    <w:rsid w:val="006218A7"/>
    <w:rsid w:val="00625C50"/>
    <w:rsid w:val="0062755D"/>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6402"/>
    <w:rsid w:val="006866AC"/>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4B86"/>
    <w:rsid w:val="006E6E2F"/>
    <w:rsid w:val="006E7E0B"/>
    <w:rsid w:val="006E7E8B"/>
    <w:rsid w:val="006F0255"/>
    <w:rsid w:val="006F0430"/>
    <w:rsid w:val="006F3E76"/>
    <w:rsid w:val="006F3FAF"/>
    <w:rsid w:val="006F5E88"/>
    <w:rsid w:val="006F5F1C"/>
    <w:rsid w:val="006F60CF"/>
    <w:rsid w:val="006F6748"/>
    <w:rsid w:val="00702F63"/>
    <w:rsid w:val="00704897"/>
    <w:rsid w:val="007068FC"/>
    <w:rsid w:val="007107C6"/>
    <w:rsid w:val="007109D8"/>
    <w:rsid w:val="00715F27"/>
    <w:rsid w:val="0071797E"/>
    <w:rsid w:val="00720BE1"/>
    <w:rsid w:val="00720EB6"/>
    <w:rsid w:val="00722648"/>
    <w:rsid w:val="007234BB"/>
    <w:rsid w:val="00733DD2"/>
    <w:rsid w:val="00737442"/>
    <w:rsid w:val="00741D9B"/>
    <w:rsid w:val="007453B3"/>
    <w:rsid w:val="00746CB2"/>
    <w:rsid w:val="0074724C"/>
    <w:rsid w:val="00747C64"/>
    <w:rsid w:val="007513AE"/>
    <w:rsid w:val="0075230A"/>
    <w:rsid w:val="00752628"/>
    <w:rsid w:val="00755325"/>
    <w:rsid w:val="00756FE4"/>
    <w:rsid w:val="007602AF"/>
    <w:rsid w:val="007641EF"/>
    <w:rsid w:val="00766EA3"/>
    <w:rsid w:val="00767B98"/>
    <w:rsid w:val="00767E01"/>
    <w:rsid w:val="00771C95"/>
    <w:rsid w:val="00780A47"/>
    <w:rsid w:val="00780F23"/>
    <w:rsid w:val="00784717"/>
    <w:rsid w:val="007917BE"/>
    <w:rsid w:val="007931D1"/>
    <w:rsid w:val="007951CA"/>
    <w:rsid w:val="00796E2E"/>
    <w:rsid w:val="007A0780"/>
    <w:rsid w:val="007A1449"/>
    <w:rsid w:val="007A1D8C"/>
    <w:rsid w:val="007B1869"/>
    <w:rsid w:val="007B3902"/>
    <w:rsid w:val="007C0A8F"/>
    <w:rsid w:val="007C6118"/>
    <w:rsid w:val="007C66C1"/>
    <w:rsid w:val="007D0506"/>
    <w:rsid w:val="007D1D95"/>
    <w:rsid w:val="007D42ED"/>
    <w:rsid w:val="007D66AA"/>
    <w:rsid w:val="007E24CA"/>
    <w:rsid w:val="007E2608"/>
    <w:rsid w:val="007E5564"/>
    <w:rsid w:val="007F1253"/>
    <w:rsid w:val="007F3710"/>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691"/>
    <w:rsid w:val="008429C5"/>
    <w:rsid w:val="008434C3"/>
    <w:rsid w:val="00843503"/>
    <w:rsid w:val="008445D3"/>
    <w:rsid w:val="00844C34"/>
    <w:rsid w:val="00845023"/>
    <w:rsid w:val="00850659"/>
    <w:rsid w:val="00850A46"/>
    <w:rsid w:val="00850F93"/>
    <w:rsid w:val="008515EE"/>
    <w:rsid w:val="00854FD4"/>
    <w:rsid w:val="0086055D"/>
    <w:rsid w:val="00872BAD"/>
    <w:rsid w:val="00880069"/>
    <w:rsid w:val="0088136E"/>
    <w:rsid w:val="008846D6"/>
    <w:rsid w:val="00892D21"/>
    <w:rsid w:val="00892FF7"/>
    <w:rsid w:val="008942F1"/>
    <w:rsid w:val="008A4357"/>
    <w:rsid w:val="008A4768"/>
    <w:rsid w:val="008A636D"/>
    <w:rsid w:val="008B0EC2"/>
    <w:rsid w:val="008B1575"/>
    <w:rsid w:val="008B3490"/>
    <w:rsid w:val="008B47EA"/>
    <w:rsid w:val="008C027C"/>
    <w:rsid w:val="008C41FA"/>
    <w:rsid w:val="008D5D8F"/>
    <w:rsid w:val="008D6EBF"/>
    <w:rsid w:val="008D7571"/>
    <w:rsid w:val="008E2F41"/>
    <w:rsid w:val="008E3419"/>
    <w:rsid w:val="008E7EFE"/>
    <w:rsid w:val="008F60A1"/>
    <w:rsid w:val="0091164B"/>
    <w:rsid w:val="00916516"/>
    <w:rsid w:val="009230B4"/>
    <w:rsid w:val="0092369B"/>
    <w:rsid w:val="009251C5"/>
    <w:rsid w:val="00934959"/>
    <w:rsid w:val="00940734"/>
    <w:rsid w:val="00940F44"/>
    <w:rsid w:val="00941002"/>
    <w:rsid w:val="00947689"/>
    <w:rsid w:val="0095180B"/>
    <w:rsid w:val="0095377B"/>
    <w:rsid w:val="00955CBF"/>
    <w:rsid w:val="00956EC0"/>
    <w:rsid w:val="009579B5"/>
    <w:rsid w:val="0096128D"/>
    <w:rsid w:val="00963A32"/>
    <w:rsid w:val="00967616"/>
    <w:rsid w:val="00970632"/>
    <w:rsid w:val="00971150"/>
    <w:rsid w:val="00972294"/>
    <w:rsid w:val="00972B21"/>
    <w:rsid w:val="00975561"/>
    <w:rsid w:val="00976BA5"/>
    <w:rsid w:val="0098076E"/>
    <w:rsid w:val="00984A84"/>
    <w:rsid w:val="00984EF6"/>
    <w:rsid w:val="00987FD8"/>
    <w:rsid w:val="00990B3C"/>
    <w:rsid w:val="00993D8D"/>
    <w:rsid w:val="009956C6"/>
    <w:rsid w:val="00996F81"/>
    <w:rsid w:val="009A16DD"/>
    <w:rsid w:val="009A45B0"/>
    <w:rsid w:val="009A56FF"/>
    <w:rsid w:val="009B1B66"/>
    <w:rsid w:val="009B22CA"/>
    <w:rsid w:val="009B3159"/>
    <w:rsid w:val="009B7708"/>
    <w:rsid w:val="009C3906"/>
    <w:rsid w:val="009C393F"/>
    <w:rsid w:val="009C6B44"/>
    <w:rsid w:val="009D1753"/>
    <w:rsid w:val="009D4308"/>
    <w:rsid w:val="009E4C0D"/>
    <w:rsid w:val="009E5E09"/>
    <w:rsid w:val="009E714C"/>
    <w:rsid w:val="009F1D7C"/>
    <w:rsid w:val="009F27F0"/>
    <w:rsid w:val="009F2819"/>
    <w:rsid w:val="009F587A"/>
    <w:rsid w:val="009F7728"/>
    <w:rsid w:val="009F7C7A"/>
    <w:rsid w:val="00A02D5F"/>
    <w:rsid w:val="00A03CC1"/>
    <w:rsid w:val="00A04BF1"/>
    <w:rsid w:val="00A13D3C"/>
    <w:rsid w:val="00A1569C"/>
    <w:rsid w:val="00A16095"/>
    <w:rsid w:val="00A1734D"/>
    <w:rsid w:val="00A222B3"/>
    <w:rsid w:val="00A24E67"/>
    <w:rsid w:val="00A336A2"/>
    <w:rsid w:val="00A50A22"/>
    <w:rsid w:val="00A51174"/>
    <w:rsid w:val="00A531FE"/>
    <w:rsid w:val="00A64EE1"/>
    <w:rsid w:val="00A66DBF"/>
    <w:rsid w:val="00A67FC3"/>
    <w:rsid w:val="00A715A8"/>
    <w:rsid w:val="00A7773B"/>
    <w:rsid w:val="00A7779A"/>
    <w:rsid w:val="00A80CE0"/>
    <w:rsid w:val="00A86757"/>
    <w:rsid w:val="00A9278B"/>
    <w:rsid w:val="00A937DF"/>
    <w:rsid w:val="00AA042D"/>
    <w:rsid w:val="00AA0705"/>
    <w:rsid w:val="00AA1164"/>
    <w:rsid w:val="00AA1568"/>
    <w:rsid w:val="00AA1BA4"/>
    <w:rsid w:val="00AA4104"/>
    <w:rsid w:val="00AA5A1E"/>
    <w:rsid w:val="00AB0464"/>
    <w:rsid w:val="00AB3FFA"/>
    <w:rsid w:val="00AB61BD"/>
    <w:rsid w:val="00AB6B2D"/>
    <w:rsid w:val="00AB6B88"/>
    <w:rsid w:val="00AC2F4D"/>
    <w:rsid w:val="00AD32C4"/>
    <w:rsid w:val="00AE3228"/>
    <w:rsid w:val="00AE3CE5"/>
    <w:rsid w:val="00AE7F06"/>
    <w:rsid w:val="00AF29CC"/>
    <w:rsid w:val="00AF541C"/>
    <w:rsid w:val="00AF72F1"/>
    <w:rsid w:val="00AF7BEA"/>
    <w:rsid w:val="00B0217A"/>
    <w:rsid w:val="00B03C39"/>
    <w:rsid w:val="00B03FB3"/>
    <w:rsid w:val="00B120B9"/>
    <w:rsid w:val="00B210B9"/>
    <w:rsid w:val="00B23341"/>
    <w:rsid w:val="00B2533E"/>
    <w:rsid w:val="00B26EE9"/>
    <w:rsid w:val="00B27212"/>
    <w:rsid w:val="00B31D34"/>
    <w:rsid w:val="00B323E2"/>
    <w:rsid w:val="00B32D79"/>
    <w:rsid w:val="00B366E1"/>
    <w:rsid w:val="00B37F5F"/>
    <w:rsid w:val="00B40971"/>
    <w:rsid w:val="00B41CB2"/>
    <w:rsid w:val="00B43CA5"/>
    <w:rsid w:val="00B445A4"/>
    <w:rsid w:val="00B50C4E"/>
    <w:rsid w:val="00B53468"/>
    <w:rsid w:val="00B53C96"/>
    <w:rsid w:val="00B54563"/>
    <w:rsid w:val="00B54D68"/>
    <w:rsid w:val="00B55DDD"/>
    <w:rsid w:val="00B57556"/>
    <w:rsid w:val="00B6220E"/>
    <w:rsid w:val="00B6527D"/>
    <w:rsid w:val="00B65E3C"/>
    <w:rsid w:val="00B65F05"/>
    <w:rsid w:val="00B72C47"/>
    <w:rsid w:val="00B84551"/>
    <w:rsid w:val="00B86CFD"/>
    <w:rsid w:val="00B86E13"/>
    <w:rsid w:val="00B8760E"/>
    <w:rsid w:val="00B91665"/>
    <w:rsid w:val="00B92511"/>
    <w:rsid w:val="00B97019"/>
    <w:rsid w:val="00BA467D"/>
    <w:rsid w:val="00BA4AA3"/>
    <w:rsid w:val="00BA536E"/>
    <w:rsid w:val="00BB025F"/>
    <w:rsid w:val="00BB1CFE"/>
    <w:rsid w:val="00BB235C"/>
    <w:rsid w:val="00BB3539"/>
    <w:rsid w:val="00BB44DE"/>
    <w:rsid w:val="00BB6A06"/>
    <w:rsid w:val="00BC00FB"/>
    <w:rsid w:val="00BC613C"/>
    <w:rsid w:val="00BC63FD"/>
    <w:rsid w:val="00BC7826"/>
    <w:rsid w:val="00BD0D77"/>
    <w:rsid w:val="00BD3814"/>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0391"/>
    <w:rsid w:val="00C1053B"/>
    <w:rsid w:val="00C16227"/>
    <w:rsid w:val="00C16789"/>
    <w:rsid w:val="00C214EF"/>
    <w:rsid w:val="00C22A2D"/>
    <w:rsid w:val="00C25E34"/>
    <w:rsid w:val="00C27E6B"/>
    <w:rsid w:val="00C310B9"/>
    <w:rsid w:val="00C342D5"/>
    <w:rsid w:val="00C401CD"/>
    <w:rsid w:val="00C4035A"/>
    <w:rsid w:val="00C41952"/>
    <w:rsid w:val="00C42B04"/>
    <w:rsid w:val="00C5097E"/>
    <w:rsid w:val="00C5118C"/>
    <w:rsid w:val="00C53183"/>
    <w:rsid w:val="00C55128"/>
    <w:rsid w:val="00C56DF5"/>
    <w:rsid w:val="00C570CC"/>
    <w:rsid w:val="00C60BB4"/>
    <w:rsid w:val="00C65F24"/>
    <w:rsid w:val="00C719FC"/>
    <w:rsid w:val="00C87F04"/>
    <w:rsid w:val="00C92881"/>
    <w:rsid w:val="00C95730"/>
    <w:rsid w:val="00C96FB5"/>
    <w:rsid w:val="00C979D7"/>
    <w:rsid w:val="00CB2437"/>
    <w:rsid w:val="00CB2EDD"/>
    <w:rsid w:val="00CC2810"/>
    <w:rsid w:val="00CC6705"/>
    <w:rsid w:val="00CD0331"/>
    <w:rsid w:val="00CD0B7B"/>
    <w:rsid w:val="00CD4B75"/>
    <w:rsid w:val="00CD50DA"/>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07FFA"/>
    <w:rsid w:val="00D16016"/>
    <w:rsid w:val="00D16116"/>
    <w:rsid w:val="00D1679C"/>
    <w:rsid w:val="00D202F9"/>
    <w:rsid w:val="00D218A6"/>
    <w:rsid w:val="00D21C10"/>
    <w:rsid w:val="00D23722"/>
    <w:rsid w:val="00D23C64"/>
    <w:rsid w:val="00D244E3"/>
    <w:rsid w:val="00D25933"/>
    <w:rsid w:val="00D26B29"/>
    <w:rsid w:val="00D31C42"/>
    <w:rsid w:val="00D329A4"/>
    <w:rsid w:val="00D3340C"/>
    <w:rsid w:val="00D37B73"/>
    <w:rsid w:val="00D44645"/>
    <w:rsid w:val="00D50183"/>
    <w:rsid w:val="00D54B74"/>
    <w:rsid w:val="00D602B5"/>
    <w:rsid w:val="00D62240"/>
    <w:rsid w:val="00D62946"/>
    <w:rsid w:val="00D62C14"/>
    <w:rsid w:val="00D636CD"/>
    <w:rsid w:val="00D6504E"/>
    <w:rsid w:val="00D66FF2"/>
    <w:rsid w:val="00D71E39"/>
    <w:rsid w:val="00D77286"/>
    <w:rsid w:val="00D77D53"/>
    <w:rsid w:val="00D809E3"/>
    <w:rsid w:val="00D80FEA"/>
    <w:rsid w:val="00D849BC"/>
    <w:rsid w:val="00D85336"/>
    <w:rsid w:val="00D86A6A"/>
    <w:rsid w:val="00D87012"/>
    <w:rsid w:val="00D961E3"/>
    <w:rsid w:val="00D97628"/>
    <w:rsid w:val="00DA0491"/>
    <w:rsid w:val="00DA1E21"/>
    <w:rsid w:val="00DA284A"/>
    <w:rsid w:val="00DA56E9"/>
    <w:rsid w:val="00DB2E20"/>
    <w:rsid w:val="00DB304D"/>
    <w:rsid w:val="00DB3ACA"/>
    <w:rsid w:val="00DB4220"/>
    <w:rsid w:val="00DB6F51"/>
    <w:rsid w:val="00DB7EBE"/>
    <w:rsid w:val="00DC0370"/>
    <w:rsid w:val="00DC0ABE"/>
    <w:rsid w:val="00DC1D8A"/>
    <w:rsid w:val="00DC24A7"/>
    <w:rsid w:val="00DC3601"/>
    <w:rsid w:val="00DC5BE7"/>
    <w:rsid w:val="00DC66BB"/>
    <w:rsid w:val="00DD1823"/>
    <w:rsid w:val="00DD3AB6"/>
    <w:rsid w:val="00DD5439"/>
    <w:rsid w:val="00DE2909"/>
    <w:rsid w:val="00DE6424"/>
    <w:rsid w:val="00DE6CBB"/>
    <w:rsid w:val="00DE745D"/>
    <w:rsid w:val="00DF032B"/>
    <w:rsid w:val="00DF1439"/>
    <w:rsid w:val="00DF1F28"/>
    <w:rsid w:val="00DF4878"/>
    <w:rsid w:val="00DF52D4"/>
    <w:rsid w:val="00E05506"/>
    <w:rsid w:val="00E0551B"/>
    <w:rsid w:val="00E11319"/>
    <w:rsid w:val="00E14E45"/>
    <w:rsid w:val="00E15CF5"/>
    <w:rsid w:val="00E16169"/>
    <w:rsid w:val="00E17C60"/>
    <w:rsid w:val="00E20381"/>
    <w:rsid w:val="00E2055A"/>
    <w:rsid w:val="00E22173"/>
    <w:rsid w:val="00E23A7E"/>
    <w:rsid w:val="00E25646"/>
    <w:rsid w:val="00E27289"/>
    <w:rsid w:val="00E2776C"/>
    <w:rsid w:val="00E27982"/>
    <w:rsid w:val="00E36541"/>
    <w:rsid w:val="00E44BF7"/>
    <w:rsid w:val="00E529D6"/>
    <w:rsid w:val="00E52E8C"/>
    <w:rsid w:val="00E54AD4"/>
    <w:rsid w:val="00E61AA5"/>
    <w:rsid w:val="00E62BC4"/>
    <w:rsid w:val="00E66EDC"/>
    <w:rsid w:val="00E71230"/>
    <w:rsid w:val="00E71680"/>
    <w:rsid w:val="00E74D52"/>
    <w:rsid w:val="00E90334"/>
    <w:rsid w:val="00E94B32"/>
    <w:rsid w:val="00EA0DB8"/>
    <w:rsid w:val="00EA141C"/>
    <w:rsid w:val="00EA2EB9"/>
    <w:rsid w:val="00EA6CDF"/>
    <w:rsid w:val="00EC0977"/>
    <w:rsid w:val="00EC2279"/>
    <w:rsid w:val="00EC4A6A"/>
    <w:rsid w:val="00EC6B3A"/>
    <w:rsid w:val="00ED25C1"/>
    <w:rsid w:val="00ED5DE7"/>
    <w:rsid w:val="00ED61FE"/>
    <w:rsid w:val="00EE6009"/>
    <w:rsid w:val="00EF154D"/>
    <w:rsid w:val="00EF1683"/>
    <w:rsid w:val="00EF2F58"/>
    <w:rsid w:val="00EF5C7D"/>
    <w:rsid w:val="00F0009F"/>
    <w:rsid w:val="00F02AA0"/>
    <w:rsid w:val="00F0621A"/>
    <w:rsid w:val="00F07C59"/>
    <w:rsid w:val="00F24E6E"/>
    <w:rsid w:val="00F25EF5"/>
    <w:rsid w:val="00F33797"/>
    <w:rsid w:val="00F43EC5"/>
    <w:rsid w:val="00F4523E"/>
    <w:rsid w:val="00F521A3"/>
    <w:rsid w:val="00F52A10"/>
    <w:rsid w:val="00F630C6"/>
    <w:rsid w:val="00F66463"/>
    <w:rsid w:val="00F800D9"/>
    <w:rsid w:val="00F80F7B"/>
    <w:rsid w:val="00F85CC5"/>
    <w:rsid w:val="00F86D0F"/>
    <w:rsid w:val="00F91689"/>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4B3F"/>
    <w:rsid w:val="00FD6D10"/>
    <w:rsid w:val="00FD72DE"/>
    <w:rsid w:val="00FE13F6"/>
    <w:rsid w:val="00FE2DE4"/>
    <w:rsid w:val="00FE3DB0"/>
    <w:rsid w:val="00FE3E47"/>
    <w:rsid w:val="00FE744B"/>
    <w:rsid w:val="00FF10F3"/>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3"/>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3"/>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3"/>
      </w:numPr>
      <w:tabs>
        <w:tab w:val="clear" w:pos="2007"/>
      </w:tabs>
      <w:spacing w:before="120" w:after="120" w:line="360" w:lineRule="auto"/>
      <w:ind w:left="567" w:firstLine="0"/>
    </w:pPr>
    <w:rPr>
      <w:rFonts w:ascii="Arial" w:hAnsi="Arial" w:cs="Arial"/>
      <w:sz w:val="24"/>
      <w:lang w:val="en-AU" w:eastAsia="en-US"/>
    </w:rPr>
  </w:style>
  <w:style w:type="character" w:customStyle="1" w:styleId="FootnoteTextChar">
    <w:name w:val="Footnote Text Char"/>
    <w:basedOn w:val="DefaultParagraphFont"/>
    <w:link w:val="FootnoteText"/>
    <w:semiHidden/>
    <w:rsid w:val="005B7BEB"/>
    <w:rPr>
      <w:lang w:val="en-AU" w:eastAsia="en-AU"/>
    </w:rPr>
  </w:style>
  <w:style w:type="paragraph" w:customStyle="1" w:styleId="Num3">
    <w:name w:val="Num 3"/>
    <w:rsid w:val="00355F6F"/>
    <w:pPr>
      <w:tabs>
        <w:tab w:val="left" w:pos="1701"/>
        <w:tab w:val="num" w:pos="2007"/>
        <w:tab w:val="num" w:pos="2160"/>
      </w:tabs>
      <w:spacing w:before="120" w:after="120" w:line="360" w:lineRule="auto"/>
      <w:ind w:left="1701" w:hanging="567"/>
    </w:pPr>
    <w:rPr>
      <w:rFonts w:ascii="Book Antiqua" w:hAnsi="Book Antiqua" w:cs="Arial"/>
      <w:sz w:val="24"/>
      <w:lang w:val="en-AU" w:eastAsia="en-US"/>
    </w:rPr>
  </w:style>
  <w:style w:type="paragraph" w:styleId="EndnoteText">
    <w:name w:val="endnote text"/>
    <w:basedOn w:val="Normal"/>
    <w:link w:val="EndnoteTextChar"/>
    <w:semiHidden/>
    <w:unhideWhenUsed/>
    <w:rsid w:val="00A80CE0"/>
    <w:rPr>
      <w:sz w:val="20"/>
      <w:szCs w:val="20"/>
    </w:rPr>
  </w:style>
  <w:style w:type="character" w:customStyle="1" w:styleId="EndnoteTextChar">
    <w:name w:val="Endnote Text Char"/>
    <w:basedOn w:val="DefaultParagraphFont"/>
    <w:link w:val="EndnoteText"/>
    <w:semiHidden/>
    <w:rsid w:val="00A80CE0"/>
    <w:rPr>
      <w:lang w:val="en-AU" w:eastAsia="en-AU"/>
    </w:rPr>
  </w:style>
  <w:style w:type="character" w:styleId="EndnoteReference">
    <w:name w:val="endnote reference"/>
    <w:basedOn w:val="DefaultParagraphFont"/>
    <w:semiHidden/>
    <w:unhideWhenUsed/>
    <w:rsid w:val="00A80CE0"/>
    <w:rPr>
      <w:vertAlign w:val="superscript"/>
    </w:rPr>
  </w:style>
  <w:style w:type="character" w:styleId="FollowedHyperlink">
    <w:name w:val="FollowedHyperlink"/>
    <w:basedOn w:val="DefaultParagraphFont"/>
    <w:semiHidden/>
    <w:unhideWhenUsed/>
    <w:rsid w:val="00B23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upremecourt.vic.gov.au/home/law+and+practice/specialist+areas+of+law/proper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upremecourt.vic.gov.au" TargetMode="External"/><Relationship Id="rId2" Type="http://schemas.openxmlformats.org/officeDocument/2006/relationships/customXml" Target="../customXml/item2.xml"/><Relationship Id="rId16" Type="http://schemas.openxmlformats.org/officeDocument/2006/relationships/hyperlink" Target="mailto:XXXXXXXXXXXXX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v-slxd-wsweb1.australiasoutheast.cloudapp.azure.com/about-the-court/our-judiciary/associate-judges-jurisdictio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v-slxd-wsweb1.australiasoutheast.cloudapp.azure.com/law-and-practice/specialist-areas-of-law/property-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de84cb-4b1f-4b74-b4a5-14e1a433eee1">
      <UserInfo>
        <DisplayName>Fran Hansen</DisplayName>
        <AccountId>39</AccountId>
        <AccountType/>
      </UserInfo>
    </SharedWithUsers>
    <FileShareCreatedBy xmlns="263eaefd-0475-4860-b86f-622cd66f4e0c" xsi:nil="true"/>
    <FileShareModifiedBy xmlns="263eaefd-0475-4860-b86f-622cd66f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110e242050ff5ea14f1eaf997fed9114">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5d016d61ff3b01114a3c12641f0978b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F53C5FFA-8516-4FEC-A1E4-38241312D513}">
  <ds:schemaRefs>
    <ds:schemaRef ds:uri="http://purl.org/dc/elements/1.1/"/>
    <ds:schemaRef ds:uri="3dff93c5-8ae8-4b09-acd5-1fa0d3a9f0ee"/>
    <ds:schemaRef ds:uri="a41c8bfc-c4be-4b67-a9a7-7117f0fa9f00"/>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B1354B-95C9-457E-AA4F-64580201665A}"/>
</file>

<file path=customXml/itemProps5.xml><?xml version="1.0" encoding="utf-8"?>
<ds:datastoreItem xmlns:ds="http://schemas.openxmlformats.org/officeDocument/2006/customXml" ds:itemID="{8179FAB8-8338-42D4-9812-24F0276123BF}">
  <ds:schemaRefs>
    <ds:schemaRef ds:uri="http://schemas.openxmlformats.org/officeDocument/2006/bibliography"/>
  </ds:schemaRefs>
</ds:datastoreItem>
</file>

<file path=customXml/itemProps6.xml><?xml version="1.0" encoding="utf-8"?>
<ds:datastoreItem xmlns:ds="http://schemas.openxmlformats.org/officeDocument/2006/customXml" ds:itemID="{57A845B0-987E-45C1-9DBA-CF12243E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7970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Practice Note SC CL 13 Property List</vt:lpstr>
    </vt:vector>
  </TitlesOfParts>
  <Company>Supreme Court of Victoria</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13 Property List</dc:title>
  <dc:subject/>
  <dc:creator>Supreme Court of Victoria</dc:creator>
  <cp:keywords/>
  <dc:description/>
  <cp:lastModifiedBy>Stuart Moran</cp:lastModifiedBy>
  <cp:revision>2</cp:revision>
  <cp:lastPrinted>2016-10-20T22:19:00Z</cp:lastPrinted>
  <dcterms:created xsi:type="dcterms:W3CDTF">2018-11-15T22:33:00Z</dcterms:created>
  <dcterms:modified xsi:type="dcterms:W3CDTF">2018-11-15T22:33:00Z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