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6F11C" w14:textId="77777777" w:rsidR="00D85336" w:rsidRPr="00771C95" w:rsidRDefault="00CD0331" w:rsidP="00CD0331">
      <w:pPr>
        <w:autoSpaceDE w:val="0"/>
        <w:autoSpaceDN w:val="0"/>
        <w:adjustRightInd w:val="0"/>
        <w:spacing w:before="120" w:after="120"/>
        <w:jc w:val="center"/>
        <w:rPr>
          <w:b/>
          <w:bCs/>
          <w:color w:val="000000"/>
        </w:rPr>
      </w:pPr>
      <w:r w:rsidRPr="00771C95">
        <w:rPr>
          <w:b/>
          <w:bCs/>
          <w:noProof/>
          <w:color w:val="000000"/>
          <w:sz w:val="44"/>
          <w:szCs w:val="44"/>
        </w:rPr>
        <w:drawing>
          <wp:anchor distT="0" distB="0" distL="114300" distR="114300" simplePos="0" relativeHeight="251657728" behindDoc="0" locked="0" layoutInCell="1" allowOverlap="0" wp14:anchorId="2BE21D5C" wp14:editId="1C8D2D16">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ECA3CD" w14:textId="77777777" w:rsidR="00D85336" w:rsidRPr="00771C95" w:rsidRDefault="00D85336" w:rsidP="00CD0331">
      <w:pPr>
        <w:autoSpaceDE w:val="0"/>
        <w:autoSpaceDN w:val="0"/>
        <w:adjustRightInd w:val="0"/>
        <w:spacing w:before="120" w:after="120"/>
        <w:jc w:val="center"/>
        <w:rPr>
          <w:b/>
          <w:bCs/>
          <w:color w:val="000000"/>
        </w:rPr>
      </w:pPr>
    </w:p>
    <w:p w14:paraId="2454C737" w14:textId="77777777" w:rsidR="00D85336" w:rsidRPr="00771C95" w:rsidRDefault="00D85336" w:rsidP="00CD0331">
      <w:pPr>
        <w:autoSpaceDE w:val="0"/>
        <w:autoSpaceDN w:val="0"/>
        <w:adjustRightInd w:val="0"/>
        <w:spacing w:before="120" w:after="120"/>
        <w:jc w:val="center"/>
        <w:rPr>
          <w:b/>
          <w:bCs/>
          <w:color w:val="000000"/>
        </w:rPr>
      </w:pPr>
    </w:p>
    <w:p w14:paraId="636B575B" w14:textId="77777777" w:rsidR="003817CD" w:rsidRDefault="003817CD" w:rsidP="00CD0331">
      <w:pPr>
        <w:autoSpaceDE w:val="0"/>
        <w:autoSpaceDN w:val="0"/>
        <w:adjustRightInd w:val="0"/>
        <w:spacing w:before="120" w:after="120"/>
        <w:jc w:val="center"/>
        <w:rPr>
          <w:rFonts w:ascii="Book Antiqua" w:hAnsi="Book Antiqua"/>
          <w:b/>
          <w:bCs/>
          <w:color w:val="000000"/>
          <w:sz w:val="44"/>
          <w:szCs w:val="44"/>
        </w:rPr>
      </w:pPr>
    </w:p>
    <w:p w14:paraId="280317C0" w14:textId="77777777" w:rsidR="00271B59" w:rsidRPr="007917BE" w:rsidRDefault="003817CD" w:rsidP="00CD0331">
      <w:pPr>
        <w:autoSpaceDE w:val="0"/>
        <w:autoSpaceDN w:val="0"/>
        <w:adjustRightInd w:val="0"/>
        <w:spacing w:before="120" w:after="120"/>
        <w:jc w:val="center"/>
        <w:rPr>
          <w:rFonts w:ascii="Book Antiqua" w:hAnsi="Book Antiqua"/>
          <w:b/>
          <w:bCs/>
          <w:color w:val="000000"/>
          <w:sz w:val="44"/>
          <w:szCs w:val="44"/>
        </w:rPr>
      </w:pPr>
      <w:r>
        <w:rPr>
          <w:rFonts w:ascii="Book Antiqua" w:hAnsi="Book Antiqua"/>
          <w:b/>
          <w:bCs/>
          <w:color w:val="000000"/>
          <w:sz w:val="44"/>
          <w:szCs w:val="44"/>
        </w:rPr>
        <w:t>Supreme C</w:t>
      </w:r>
      <w:r w:rsidR="00271B59" w:rsidRPr="007917BE">
        <w:rPr>
          <w:rFonts w:ascii="Book Antiqua" w:hAnsi="Book Antiqua"/>
          <w:b/>
          <w:bCs/>
          <w:color w:val="000000"/>
          <w:sz w:val="44"/>
          <w:szCs w:val="44"/>
        </w:rPr>
        <w:t>ourt of Victoria</w:t>
      </w:r>
    </w:p>
    <w:p w14:paraId="19B2E47D" w14:textId="77777777" w:rsidR="00271B59" w:rsidRPr="007917BE" w:rsidRDefault="00271B59" w:rsidP="00CD0331">
      <w:pPr>
        <w:autoSpaceDE w:val="0"/>
        <w:autoSpaceDN w:val="0"/>
        <w:adjustRightInd w:val="0"/>
        <w:spacing w:before="120" w:after="120"/>
        <w:jc w:val="center"/>
        <w:rPr>
          <w:rFonts w:ascii="Book Antiqua" w:hAnsi="Book Antiqua"/>
          <w:b/>
          <w:color w:val="000000"/>
          <w:sz w:val="28"/>
        </w:rPr>
      </w:pPr>
      <w:r w:rsidRPr="007917BE">
        <w:rPr>
          <w:rFonts w:ascii="Book Antiqua" w:hAnsi="Book Antiqua"/>
          <w:b/>
          <w:color w:val="000000"/>
          <w:sz w:val="28"/>
        </w:rPr>
        <w:t xml:space="preserve">Practice Note </w:t>
      </w:r>
      <w:r w:rsidR="003817CD">
        <w:rPr>
          <w:rFonts w:ascii="Book Antiqua" w:hAnsi="Book Antiqua"/>
          <w:b/>
          <w:color w:val="000000"/>
          <w:sz w:val="28"/>
        </w:rPr>
        <w:t>SC Gen</w:t>
      </w:r>
      <w:r w:rsidR="00B72C47" w:rsidRPr="007917BE">
        <w:rPr>
          <w:rFonts w:ascii="Book Antiqua" w:hAnsi="Book Antiqua"/>
          <w:b/>
          <w:color w:val="000000"/>
          <w:sz w:val="28"/>
        </w:rPr>
        <w:t xml:space="preserve"> </w:t>
      </w:r>
      <w:r w:rsidR="00DA1779">
        <w:rPr>
          <w:rFonts w:ascii="Book Antiqua" w:hAnsi="Book Antiqua"/>
          <w:b/>
          <w:color w:val="000000"/>
          <w:sz w:val="28"/>
        </w:rPr>
        <w:t>11</w:t>
      </w:r>
    </w:p>
    <w:p w14:paraId="7EF44AAD" w14:textId="77777777" w:rsidR="00271B59" w:rsidRDefault="00DA1779" w:rsidP="00CD0331">
      <w:pPr>
        <w:autoSpaceDE w:val="0"/>
        <w:autoSpaceDN w:val="0"/>
        <w:adjustRightInd w:val="0"/>
        <w:spacing w:before="120" w:after="120"/>
        <w:jc w:val="center"/>
        <w:rPr>
          <w:rFonts w:ascii="Book Antiqua" w:hAnsi="Book Antiqua"/>
          <w:b/>
          <w:color w:val="000000"/>
          <w:sz w:val="28"/>
        </w:rPr>
      </w:pPr>
      <w:r>
        <w:rPr>
          <w:rFonts w:ascii="Book Antiqua" w:hAnsi="Book Antiqua"/>
          <w:b/>
          <w:color w:val="000000"/>
          <w:sz w:val="28"/>
        </w:rPr>
        <w:t>Costs Court</w:t>
      </w:r>
    </w:p>
    <w:p w14:paraId="7CE1C2AF" w14:textId="77777777" w:rsidR="00CD0331" w:rsidRPr="007917BE" w:rsidRDefault="00CD0331" w:rsidP="00CD0331">
      <w:pPr>
        <w:autoSpaceDE w:val="0"/>
        <w:autoSpaceDN w:val="0"/>
        <w:adjustRightInd w:val="0"/>
        <w:spacing w:before="120" w:after="120"/>
        <w:jc w:val="center"/>
        <w:rPr>
          <w:rFonts w:ascii="Book Antiqua" w:hAnsi="Book Antiqua"/>
          <w:b/>
          <w:color w:val="000000"/>
          <w:sz w:val="28"/>
        </w:rPr>
      </w:pPr>
    </w:p>
    <w:p w14:paraId="7BF6ACE1" w14:textId="77777777" w:rsidR="008515EE" w:rsidRPr="007917BE" w:rsidRDefault="00680452" w:rsidP="00303C13">
      <w:pPr>
        <w:pStyle w:val="Heading1"/>
      </w:pPr>
      <w:r>
        <w:t>1.</w:t>
      </w:r>
      <w:r>
        <w:tab/>
      </w:r>
      <w:r w:rsidR="00C02583" w:rsidRPr="007917BE">
        <w:t>INTRODUCTION</w:t>
      </w:r>
    </w:p>
    <w:p w14:paraId="415336F0" w14:textId="77777777" w:rsidR="00B72C47" w:rsidRPr="007917BE" w:rsidRDefault="00B72C47" w:rsidP="00680452">
      <w:pPr>
        <w:pStyle w:val="ListParagraph"/>
        <w:numPr>
          <w:ilvl w:val="1"/>
          <w:numId w:val="23"/>
        </w:numPr>
        <w:spacing w:before="120" w:after="120"/>
        <w:contextualSpacing w:val="0"/>
        <w:jc w:val="both"/>
        <w:rPr>
          <w:rFonts w:ascii="Book Antiqua" w:hAnsi="Book Antiqua"/>
          <w:sz w:val="24"/>
          <w:szCs w:val="24"/>
        </w:rPr>
      </w:pPr>
      <w:r w:rsidRPr="007917BE">
        <w:rPr>
          <w:rFonts w:ascii="Book Antiqua" w:hAnsi="Book Antiqua"/>
          <w:sz w:val="24"/>
          <w:szCs w:val="24"/>
        </w:rPr>
        <w:t xml:space="preserve">The Chief Justice has </w:t>
      </w:r>
      <w:r w:rsidR="008445D3">
        <w:rPr>
          <w:rFonts w:ascii="Book Antiqua" w:hAnsi="Book Antiqua"/>
          <w:sz w:val="24"/>
          <w:szCs w:val="24"/>
        </w:rPr>
        <w:t>authorised</w:t>
      </w:r>
      <w:r w:rsidRPr="007917BE">
        <w:rPr>
          <w:rFonts w:ascii="Book Antiqua" w:hAnsi="Book Antiqua"/>
          <w:sz w:val="24"/>
          <w:szCs w:val="24"/>
        </w:rPr>
        <w:t xml:space="preserve"> the </w:t>
      </w:r>
      <w:r w:rsidR="008445D3">
        <w:rPr>
          <w:rFonts w:ascii="Book Antiqua" w:hAnsi="Book Antiqua"/>
          <w:sz w:val="24"/>
          <w:szCs w:val="24"/>
        </w:rPr>
        <w:t>issue</w:t>
      </w:r>
      <w:r w:rsidRPr="007917BE">
        <w:rPr>
          <w:rFonts w:ascii="Book Antiqua" w:hAnsi="Book Antiqua"/>
          <w:sz w:val="24"/>
          <w:szCs w:val="24"/>
        </w:rPr>
        <w:t xml:space="preserve"> of the following Practice Note.</w:t>
      </w:r>
    </w:p>
    <w:p w14:paraId="306F7120" w14:textId="77777777" w:rsidR="00B72C47" w:rsidRPr="007917BE" w:rsidRDefault="00B72C47" w:rsidP="00FE1C71">
      <w:pPr>
        <w:pStyle w:val="ListParagraph"/>
        <w:numPr>
          <w:ilvl w:val="1"/>
          <w:numId w:val="23"/>
        </w:numPr>
        <w:spacing w:before="120" w:after="240"/>
        <w:contextualSpacing w:val="0"/>
        <w:jc w:val="both"/>
        <w:rPr>
          <w:rFonts w:ascii="Book Antiqua" w:hAnsi="Book Antiqua"/>
          <w:sz w:val="24"/>
          <w:szCs w:val="24"/>
        </w:rPr>
      </w:pPr>
      <w:r w:rsidRPr="007917BE">
        <w:rPr>
          <w:rFonts w:ascii="Book Antiqua" w:hAnsi="Book Antiqua"/>
          <w:sz w:val="24"/>
          <w:szCs w:val="24"/>
        </w:rPr>
        <w:t xml:space="preserve">The purpose of this </w:t>
      </w:r>
      <w:r w:rsidR="008846D6" w:rsidRPr="007917BE">
        <w:rPr>
          <w:rFonts w:ascii="Book Antiqua" w:hAnsi="Book Antiqua"/>
          <w:sz w:val="24"/>
          <w:szCs w:val="24"/>
        </w:rPr>
        <w:t xml:space="preserve">Practice Note </w:t>
      </w:r>
      <w:r w:rsidRPr="007917BE">
        <w:rPr>
          <w:rFonts w:ascii="Book Antiqua" w:hAnsi="Book Antiqua"/>
          <w:sz w:val="24"/>
          <w:szCs w:val="24"/>
        </w:rPr>
        <w:t>is t</w:t>
      </w:r>
      <w:r w:rsidR="00222544">
        <w:rPr>
          <w:rFonts w:ascii="Book Antiqua" w:hAnsi="Book Antiqua"/>
          <w:sz w:val="24"/>
          <w:szCs w:val="24"/>
        </w:rPr>
        <w:t xml:space="preserve">o </w:t>
      </w:r>
      <w:r w:rsidR="00DA1779">
        <w:rPr>
          <w:rFonts w:ascii="Book Antiqua" w:hAnsi="Book Antiqua"/>
          <w:sz w:val="24"/>
          <w:szCs w:val="24"/>
        </w:rPr>
        <w:t>set out practice in relation to various matters in the Costs Court.</w:t>
      </w:r>
    </w:p>
    <w:p w14:paraId="3E53AD98" w14:textId="77777777" w:rsidR="00277B7B" w:rsidRPr="00277B7B" w:rsidRDefault="00680452" w:rsidP="00303C13">
      <w:pPr>
        <w:pStyle w:val="Heading1"/>
      </w:pPr>
      <w:r>
        <w:t>2.</w:t>
      </w:r>
      <w:r>
        <w:tab/>
      </w:r>
      <w:r w:rsidR="00277B7B">
        <w:t>COMMENCEMENT</w:t>
      </w:r>
    </w:p>
    <w:p w14:paraId="2B37794F" w14:textId="77777777" w:rsidR="00FD72DE" w:rsidRDefault="00680452" w:rsidP="00680452">
      <w:pPr>
        <w:pStyle w:val="ListParagraph"/>
        <w:spacing w:before="120" w:after="120"/>
        <w:ind w:hanging="720"/>
        <w:jc w:val="both"/>
        <w:rPr>
          <w:rFonts w:ascii="Book Antiqua" w:hAnsi="Book Antiqua"/>
          <w:sz w:val="24"/>
          <w:szCs w:val="24"/>
        </w:rPr>
      </w:pPr>
      <w:r>
        <w:rPr>
          <w:rFonts w:ascii="Book Antiqua" w:hAnsi="Book Antiqua"/>
          <w:sz w:val="24"/>
          <w:szCs w:val="24"/>
        </w:rPr>
        <w:t>2.1</w:t>
      </w:r>
      <w:r>
        <w:rPr>
          <w:rFonts w:ascii="Book Antiqua" w:hAnsi="Book Antiqua"/>
          <w:sz w:val="24"/>
          <w:szCs w:val="24"/>
        </w:rPr>
        <w:tab/>
      </w:r>
      <w:r w:rsidR="00B72C47" w:rsidRPr="00277B7B">
        <w:rPr>
          <w:rFonts w:ascii="Book Antiqua" w:hAnsi="Book Antiqua"/>
          <w:sz w:val="24"/>
          <w:szCs w:val="24"/>
        </w:rPr>
        <w:t xml:space="preserve">This Practice Note </w:t>
      </w:r>
      <w:r w:rsidR="00277B7B">
        <w:rPr>
          <w:rFonts w:ascii="Book Antiqua" w:hAnsi="Book Antiqua"/>
          <w:sz w:val="24"/>
          <w:szCs w:val="24"/>
        </w:rPr>
        <w:t xml:space="preserve">was issued </w:t>
      </w:r>
      <w:r w:rsidR="00210EFB">
        <w:rPr>
          <w:rFonts w:ascii="Book Antiqua" w:hAnsi="Book Antiqua"/>
          <w:sz w:val="24"/>
          <w:szCs w:val="24"/>
        </w:rPr>
        <w:t>and commenced on 1 October 2018</w:t>
      </w:r>
      <w:r w:rsidR="00DA1779">
        <w:rPr>
          <w:rFonts w:ascii="Book Antiqua" w:hAnsi="Book Antiqua"/>
          <w:sz w:val="24"/>
          <w:szCs w:val="24"/>
        </w:rPr>
        <w:t>.</w:t>
      </w:r>
    </w:p>
    <w:p w14:paraId="0A35A46B" w14:textId="77777777" w:rsidR="00032D2B" w:rsidRPr="00277B7B" w:rsidRDefault="00032D2B" w:rsidP="00032D2B">
      <w:pPr>
        <w:pStyle w:val="ListParagraph"/>
        <w:spacing w:before="120" w:after="120"/>
        <w:jc w:val="both"/>
        <w:rPr>
          <w:rFonts w:ascii="Book Antiqua" w:hAnsi="Book Antiqua"/>
          <w:sz w:val="24"/>
          <w:szCs w:val="24"/>
        </w:rPr>
      </w:pPr>
    </w:p>
    <w:p w14:paraId="46F152BF" w14:textId="77777777" w:rsidR="00B72C47" w:rsidRPr="007917BE" w:rsidRDefault="00680452" w:rsidP="00303C13">
      <w:pPr>
        <w:pStyle w:val="Heading1"/>
      </w:pPr>
      <w:r>
        <w:t>3.</w:t>
      </w:r>
      <w:r>
        <w:tab/>
      </w:r>
      <w:r w:rsidR="00B72C47" w:rsidRPr="007917BE">
        <w:t>DEFINITIONS</w:t>
      </w:r>
    </w:p>
    <w:p w14:paraId="330033DE" w14:textId="77777777" w:rsidR="007917BE" w:rsidRDefault="00680452" w:rsidP="00680452">
      <w:pPr>
        <w:pStyle w:val="ListParagraph"/>
        <w:spacing w:before="120" w:after="120"/>
        <w:ind w:left="0"/>
        <w:jc w:val="both"/>
        <w:rPr>
          <w:rFonts w:ascii="Book Antiqua" w:hAnsi="Book Antiqua"/>
          <w:sz w:val="24"/>
          <w:szCs w:val="24"/>
        </w:rPr>
      </w:pPr>
      <w:r>
        <w:rPr>
          <w:rFonts w:ascii="Book Antiqua" w:hAnsi="Book Antiqua"/>
          <w:sz w:val="24"/>
          <w:szCs w:val="24"/>
        </w:rPr>
        <w:t>3.1</w:t>
      </w:r>
      <w:r>
        <w:rPr>
          <w:rFonts w:ascii="Book Antiqua" w:hAnsi="Book Antiqua"/>
          <w:sz w:val="24"/>
          <w:szCs w:val="24"/>
        </w:rPr>
        <w:tab/>
      </w:r>
      <w:r w:rsidR="006F60CF">
        <w:rPr>
          <w:rFonts w:ascii="Book Antiqua" w:hAnsi="Book Antiqua"/>
          <w:sz w:val="24"/>
          <w:szCs w:val="24"/>
        </w:rPr>
        <w:t>In this Practice Note:</w:t>
      </w:r>
    </w:p>
    <w:p w14:paraId="29D29441" w14:textId="77777777" w:rsidR="004213D7" w:rsidRDefault="004213D7" w:rsidP="004213D7">
      <w:pPr>
        <w:pStyle w:val="ListParagraph"/>
        <w:spacing w:before="120" w:after="120"/>
        <w:jc w:val="both"/>
        <w:rPr>
          <w:rFonts w:ascii="Book Antiqua" w:hAnsi="Book Antiqua"/>
          <w:sz w:val="24"/>
          <w:szCs w:val="24"/>
        </w:rPr>
      </w:pPr>
    </w:p>
    <w:p w14:paraId="0E8E5BD5" w14:textId="77777777" w:rsidR="006F60CF" w:rsidRPr="004213D7" w:rsidRDefault="00CC7B27" w:rsidP="004213D7">
      <w:pPr>
        <w:pStyle w:val="ListParagraph"/>
        <w:spacing w:before="120" w:after="120"/>
        <w:jc w:val="both"/>
        <w:rPr>
          <w:rFonts w:ascii="Book Antiqua" w:hAnsi="Book Antiqua"/>
          <w:sz w:val="24"/>
          <w:szCs w:val="24"/>
        </w:rPr>
      </w:pPr>
      <w:r>
        <w:rPr>
          <w:rFonts w:ascii="Book Antiqua" w:hAnsi="Book Antiqua"/>
          <w:b/>
          <w:i/>
          <w:sz w:val="24"/>
          <w:szCs w:val="24"/>
        </w:rPr>
        <w:t>Legal Profession Uniform Law</w:t>
      </w:r>
      <w:r w:rsidR="006F60CF">
        <w:rPr>
          <w:rFonts w:ascii="Book Antiqua" w:hAnsi="Book Antiqua"/>
          <w:sz w:val="24"/>
          <w:szCs w:val="24"/>
        </w:rPr>
        <w:t xml:space="preserve"> means</w:t>
      </w:r>
      <w:r w:rsidR="00AB0B61" w:rsidRPr="004213D7">
        <w:rPr>
          <w:rFonts w:ascii="Book Antiqua" w:hAnsi="Book Antiqua"/>
          <w:sz w:val="24"/>
          <w:szCs w:val="24"/>
        </w:rPr>
        <w:t xml:space="preserve"> the </w:t>
      </w:r>
      <w:r w:rsidR="00AB0B61" w:rsidRPr="004213D7">
        <w:rPr>
          <w:rFonts w:ascii="Book Antiqua" w:hAnsi="Book Antiqua"/>
          <w:i/>
          <w:sz w:val="24"/>
          <w:szCs w:val="24"/>
        </w:rPr>
        <w:t>Legal Profession Uniform Law Application Act 2014</w:t>
      </w:r>
    </w:p>
    <w:p w14:paraId="0665A22B" w14:textId="77777777" w:rsidR="00AB0B61" w:rsidRDefault="00AB0B61" w:rsidP="004213D7">
      <w:pPr>
        <w:pStyle w:val="ListParagraph"/>
        <w:spacing w:before="120" w:after="120"/>
        <w:jc w:val="both"/>
        <w:rPr>
          <w:rFonts w:ascii="Book Antiqua" w:hAnsi="Book Antiqua"/>
          <w:sz w:val="24"/>
          <w:szCs w:val="24"/>
          <w:u w:val="single"/>
        </w:rPr>
      </w:pPr>
    </w:p>
    <w:p w14:paraId="040B1069" w14:textId="77777777" w:rsidR="00AB0B61" w:rsidRPr="004213D7" w:rsidRDefault="00AB0B61" w:rsidP="004213D7">
      <w:pPr>
        <w:pStyle w:val="ListParagraph"/>
        <w:spacing w:before="120" w:after="120"/>
        <w:jc w:val="both"/>
        <w:rPr>
          <w:rFonts w:ascii="Book Antiqua" w:hAnsi="Book Antiqua"/>
          <w:sz w:val="24"/>
          <w:szCs w:val="24"/>
        </w:rPr>
      </w:pPr>
      <w:r w:rsidRPr="004213D7">
        <w:rPr>
          <w:rFonts w:ascii="Book Antiqua" w:hAnsi="Book Antiqua"/>
          <w:b/>
          <w:i/>
          <w:sz w:val="24"/>
          <w:szCs w:val="24"/>
        </w:rPr>
        <w:t xml:space="preserve">Legal Profession Legislation </w:t>
      </w:r>
      <w:r w:rsidR="004213D7" w:rsidRPr="004213D7">
        <w:rPr>
          <w:rFonts w:ascii="Book Antiqua" w:hAnsi="Book Antiqua"/>
          <w:sz w:val="24"/>
          <w:szCs w:val="24"/>
        </w:rPr>
        <w:t>includes the</w:t>
      </w:r>
      <w:r w:rsidRPr="004213D7">
        <w:rPr>
          <w:rFonts w:ascii="Book Antiqua" w:hAnsi="Book Antiqua"/>
          <w:i/>
          <w:sz w:val="24"/>
          <w:szCs w:val="24"/>
        </w:rPr>
        <w:t xml:space="preserve"> </w:t>
      </w:r>
      <w:r w:rsidRPr="004213D7">
        <w:rPr>
          <w:rFonts w:ascii="Book Antiqua" w:hAnsi="Book Antiqua"/>
          <w:sz w:val="24"/>
          <w:szCs w:val="24"/>
        </w:rPr>
        <w:t xml:space="preserve">Legal Profession Uniform Law, </w:t>
      </w:r>
      <w:r w:rsidRPr="004213D7">
        <w:rPr>
          <w:rFonts w:ascii="Book Antiqua" w:hAnsi="Book Antiqua"/>
          <w:i/>
          <w:sz w:val="24"/>
          <w:szCs w:val="24"/>
        </w:rPr>
        <w:t>Legal Profession Act 2004</w:t>
      </w:r>
      <w:r w:rsidRPr="004213D7">
        <w:rPr>
          <w:rFonts w:ascii="Book Antiqua" w:hAnsi="Book Antiqua"/>
          <w:sz w:val="24"/>
          <w:szCs w:val="24"/>
        </w:rPr>
        <w:t xml:space="preserve"> or </w:t>
      </w:r>
      <w:r w:rsidRPr="004213D7">
        <w:rPr>
          <w:rFonts w:ascii="Book Antiqua" w:hAnsi="Book Antiqua"/>
          <w:i/>
          <w:sz w:val="24"/>
          <w:szCs w:val="24"/>
        </w:rPr>
        <w:t>Legal Practice Act 1996</w:t>
      </w:r>
    </w:p>
    <w:p w14:paraId="378135E1" w14:textId="77777777" w:rsidR="00CC7B27" w:rsidRDefault="00CC7B27" w:rsidP="00CD0331">
      <w:pPr>
        <w:pStyle w:val="ListParagraph"/>
        <w:spacing w:before="120" w:after="120"/>
        <w:ind w:left="360"/>
        <w:jc w:val="both"/>
        <w:rPr>
          <w:rFonts w:ascii="Book Antiqua" w:hAnsi="Book Antiqua"/>
          <w:b/>
          <w:i/>
          <w:sz w:val="24"/>
          <w:szCs w:val="24"/>
        </w:rPr>
      </w:pPr>
    </w:p>
    <w:p w14:paraId="72FCD93E" w14:textId="77777777" w:rsidR="00C02583" w:rsidRPr="007917BE" w:rsidRDefault="00680452" w:rsidP="00303C13">
      <w:pPr>
        <w:pStyle w:val="Heading1"/>
      </w:pPr>
      <w:r>
        <w:t>4.</w:t>
      </w:r>
      <w:r>
        <w:tab/>
      </w:r>
      <w:r w:rsidR="00DA1779">
        <w:t>OBLIGATIONS O</w:t>
      </w:r>
      <w:r w:rsidR="00800C1F">
        <w:t>F</w:t>
      </w:r>
      <w:r w:rsidR="00DA1779">
        <w:t xml:space="preserve"> PRACTITIONERS</w:t>
      </w:r>
    </w:p>
    <w:p w14:paraId="69271DED" w14:textId="77777777" w:rsidR="00DA1779" w:rsidRDefault="00680452" w:rsidP="00680452">
      <w:pPr>
        <w:pStyle w:val="ListParagraph"/>
        <w:spacing w:before="120" w:after="120"/>
        <w:ind w:hanging="720"/>
        <w:contextualSpacing w:val="0"/>
        <w:jc w:val="both"/>
        <w:rPr>
          <w:rFonts w:ascii="Book Antiqua" w:hAnsi="Book Antiqua"/>
          <w:sz w:val="24"/>
          <w:szCs w:val="24"/>
        </w:rPr>
      </w:pPr>
      <w:r>
        <w:rPr>
          <w:rFonts w:ascii="Book Antiqua" w:hAnsi="Book Antiqua"/>
          <w:sz w:val="24"/>
          <w:szCs w:val="24"/>
        </w:rPr>
        <w:t>4.1</w:t>
      </w:r>
      <w:r>
        <w:rPr>
          <w:rFonts w:ascii="Book Antiqua" w:hAnsi="Book Antiqua"/>
          <w:sz w:val="24"/>
          <w:szCs w:val="24"/>
        </w:rPr>
        <w:tab/>
      </w:r>
      <w:r w:rsidR="00DA1779" w:rsidRPr="00DA1779">
        <w:rPr>
          <w:rFonts w:ascii="Book Antiqua" w:hAnsi="Book Antiqua"/>
          <w:sz w:val="24"/>
          <w:szCs w:val="24"/>
        </w:rPr>
        <w:t xml:space="preserve">The </w:t>
      </w:r>
      <w:r w:rsidR="00DA1779" w:rsidRPr="00DA1779">
        <w:rPr>
          <w:rFonts w:ascii="Book Antiqua" w:hAnsi="Book Antiqua"/>
          <w:i/>
          <w:sz w:val="24"/>
          <w:szCs w:val="24"/>
        </w:rPr>
        <w:t>Civil Procedure Act 2010</w:t>
      </w:r>
      <w:r w:rsidR="00DA1779" w:rsidRPr="00DA1779">
        <w:rPr>
          <w:rFonts w:ascii="Book Antiqua" w:hAnsi="Book Antiqua"/>
          <w:sz w:val="24"/>
          <w:szCs w:val="24"/>
        </w:rPr>
        <w:t xml:space="preserve"> requires the Court to give effect to the overarching purpose of facilitating the ‘just, efficient, timely and cost-effective resolution of the real issues in dispute’ (s 7).  The Court and parties have overarching obligations to use the most efficient practices to resolve a dispute (s 22), narrow issues in the dispute (s 23) and ensure that costs are reasonable and proportionate (s 24).  </w:t>
      </w:r>
      <w:r w:rsidR="00594C2B">
        <w:rPr>
          <w:rFonts w:ascii="Book Antiqua" w:hAnsi="Book Antiqua"/>
          <w:sz w:val="24"/>
          <w:szCs w:val="24"/>
        </w:rPr>
        <w:t>Procedures in the Costs Court seek to facilitate these aims.</w:t>
      </w:r>
      <w:r w:rsidR="00DA1779" w:rsidRPr="00DA1779">
        <w:rPr>
          <w:rFonts w:ascii="Book Antiqua" w:hAnsi="Book Antiqua"/>
          <w:sz w:val="24"/>
          <w:szCs w:val="24"/>
        </w:rPr>
        <w:t xml:space="preserve">  </w:t>
      </w:r>
    </w:p>
    <w:p w14:paraId="1CB3F76C" w14:textId="77777777" w:rsidR="00B92C67" w:rsidRDefault="00680452" w:rsidP="00FE1C71">
      <w:pPr>
        <w:pStyle w:val="ListParagraph"/>
        <w:spacing w:before="120" w:after="240"/>
        <w:ind w:hanging="720"/>
        <w:contextualSpacing w:val="0"/>
        <w:jc w:val="both"/>
        <w:rPr>
          <w:rFonts w:ascii="Book Antiqua" w:hAnsi="Book Antiqua"/>
          <w:sz w:val="24"/>
          <w:szCs w:val="24"/>
        </w:rPr>
      </w:pPr>
      <w:r>
        <w:rPr>
          <w:rFonts w:ascii="Book Antiqua" w:hAnsi="Book Antiqua"/>
          <w:sz w:val="24"/>
          <w:szCs w:val="24"/>
        </w:rPr>
        <w:t>4.2</w:t>
      </w:r>
      <w:r>
        <w:rPr>
          <w:rFonts w:ascii="Book Antiqua" w:hAnsi="Book Antiqua"/>
          <w:sz w:val="24"/>
          <w:szCs w:val="24"/>
        </w:rPr>
        <w:tab/>
      </w:r>
      <w:r w:rsidR="00B92C67">
        <w:rPr>
          <w:rFonts w:ascii="Book Antiqua" w:hAnsi="Book Antiqua"/>
          <w:sz w:val="24"/>
          <w:szCs w:val="24"/>
        </w:rPr>
        <w:t xml:space="preserve">Pursuant to Chapter 5 of the </w:t>
      </w:r>
      <w:r w:rsidR="00B92C67" w:rsidRPr="00DA1779">
        <w:rPr>
          <w:rFonts w:ascii="Book Antiqua" w:hAnsi="Book Antiqua"/>
          <w:i/>
          <w:sz w:val="24"/>
          <w:szCs w:val="24"/>
        </w:rPr>
        <w:t>Civil Procedure Act 2010</w:t>
      </w:r>
      <w:r w:rsidR="00B92C67">
        <w:rPr>
          <w:rFonts w:ascii="Book Antiqua" w:hAnsi="Book Antiqua"/>
          <w:i/>
          <w:sz w:val="24"/>
          <w:szCs w:val="24"/>
        </w:rPr>
        <w:t xml:space="preserve"> </w:t>
      </w:r>
      <w:r w:rsidR="00B92C67">
        <w:rPr>
          <w:rFonts w:ascii="Book Antiqua" w:hAnsi="Book Antiqua"/>
          <w:sz w:val="24"/>
          <w:szCs w:val="24"/>
        </w:rPr>
        <w:t xml:space="preserve">the Costs Court may refer any matter to appropriate dispute resolution at any stage of the proceeding.  </w:t>
      </w:r>
    </w:p>
    <w:p w14:paraId="3F27BA68" w14:textId="77777777" w:rsidR="00B92C67" w:rsidRPr="004213D7" w:rsidRDefault="00852A50" w:rsidP="00303C13">
      <w:pPr>
        <w:pStyle w:val="Heading1"/>
      </w:pPr>
      <w:r>
        <w:lastRenderedPageBreak/>
        <w:t>5.</w:t>
      </w:r>
      <w:r>
        <w:tab/>
      </w:r>
      <w:r w:rsidR="00B92C67" w:rsidRPr="00B92C67">
        <w:t>Cit</w:t>
      </w:r>
      <w:r w:rsidR="00B92C67">
        <w:t xml:space="preserve">ation of </w:t>
      </w:r>
      <w:r w:rsidR="00B92C67" w:rsidRPr="00B92C67">
        <w:t>Judgements</w:t>
      </w:r>
      <w:r w:rsidR="00B92C67">
        <w:t xml:space="preserve"> </w:t>
      </w:r>
      <w:r w:rsidR="00B92C67" w:rsidRPr="00B92C67">
        <w:t xml:space="preserve">and provision of copies to the Court and opposing counsel during a taxation </w:t>
      </w:r>
    </w:p>
    <w:p w14:paraId="72270F41" w14:textId="77777777" w:rsidR="0066386D" w:rsidRPr="00852A50" w:rsidRDefault="00852A50" w:rsidP="00852A50">
      <w:pPr>
        <w:spacing w:before="120" w:after="120"/>
        <w:ind w:left="720" w:hanging="720"/>
        <w:jc w:val="both"/>
        <w:rPr>
          <w:rFonts w:ascii="Book Antiqua" w:hAnsi="Book Antiqua"/>
        </w:rPr>
      </w:pPr>
      <w:r>
        <w:rPr>
          <w:rFonts w:ascii="Book Antiqua" w:hAnsi="Book Antiqua"/>
        </w:rPr>
        <w:t>5.1</w:t>
      </w:r>
      <w:r>
        <w:rPr>
          <w:rFonts w:ascii="Book Antiqua" w:hAnsi="Book Antiqua"/>
        </w:rPr>
        <w:tab/>
      </w:r>
      <w:r w:rsidR="0066386D" w:rsidRPr="00852A50">
        <w:rPr>
          <w:rFonts w:ascii="Book Antiqua" w:hAnsi="Book Antiqua"/>
        </w:rPr>
        <w:t xml:space="preserve">Parties shall comply with the requirements of Practice Note SC Gen 3 in relation to the citation of authorities and in </w:t>
      </w:r>
      <w:r w:rsidR="007545AA" w:rsidRPr="00852A50">
        <w:rPr>
          <w:rFonts w:ascii="Book Antiqua" w:hAnsi="Book Antiqua"/>
        </w:rPr>
        <w:t>particular,</w:t>
      </w:r>
      <w:r w:rsidR="0066386D" w:rsidRPr="00852A50">
        <w:rPr>
          <w:rFonts w:ascii="Book Antiqua" w:hAnsi="Book Antiqua"/>
        </w:rPr>
        <w:t xml:space="preserve"> the requirement to provide copies of decisions of the </w:t>
      </w:r>
      <w:r w:rsidR="00BE7AC1" w:rsidRPr="00852A50">
        <w:rPr>
          <w:rFonts w:ascii="Book Antiqua" w:hAnsi="Book Antiqua"/>
        </w:rPr>
        <w:t xml:space="preserve">Costs Court or </w:t>
      </w:r>
      <w:r w:rsidR="0066386D" w:rsidRPr="00852A50">
        <w:rPr>
          <w:rFonts w:ascii="Book Antiqua" w:hAnsi="Book Antiqua"/>
        </w:rPr>
        <w:t xml:space="preserve">Taxing Master or any other case referred to in argument not available electronically or in an authorised or unauthorised report.  </w:t>
      </w:r>
    </w:p>
    <w:p w14:paraId="5F812AE5" w14:textId="77777777" w:rsidR="00032D2B" w:rsidRPr="004213D7" w:rsidRDefault="00032D2B" w:rsidP="00032D2B">
      <w:pPr>
        <w:pStyle w:val="ListParagraph"/>
        <w:spacing w:before="120" w:after="120"/>
        <w:jc w:val="both"/>
        <w:rPr>
          <w:rFonts w:ascii="Book Antiqua" w:hAnsi="Book Antiqua"/>
          <w:sz w:val="24"/>
          <w:szCs w:val="24"/>
        </w:rPr>
      </w:pPr>
    </w:p>
    <w:p w14:paraId="79577DD0" w14:textId="77777777" w:rsidR="00377B34" w:rsidRPr="004213D7" w:rsidRDefault="00852A50" w:rsidP="00303C13">
      <w:pPr>
        <w:pStyle w:val="Heading1"/>
      </w:pPr>
      <w:r>
        <w:t>6.</w:t>
      </w:r>
      <w:r>
        <w:tab/>
      </w:r>
      <w:r w:rsidR="00377B34" w:rsidRPr="004213D7">
        <w:t>LISTING</w:t>
      </w:r>
      <w:r w:rsidR="00E115C7" w:rsidRPr="004213D7">
        <w:t xml:space="preserve"> of PARTY PARTY TAXATIONS</w:t>
      </w:r>
    </w:p>
    <w:p w14:paraId="2C82809C" w14:textId="77777777" w:rsidR="00DA1779" w:rsidRPr="00DA1779" w:rsidRDefault="00852A50" w:rsidP="00852A50">
      <w:pPr>
        <w:pStyle w:val="ListParagraph"/>
        <w:spacing w:before="120" w:after="120"/>
        <w:ind w:hanging="720"/>
        <w:jc w:val="both"/>
        <w:rPr>
          <w:rFonts w:ascii="Book Antiqua" w:hAnsi="Book Antiqua"/>
          <w:sz w:val="24"/>
          <w:szCs w:val="24"/>
        </w:rPr>
      </w:pPr>
      <w:r>
        <w:rPr>
          <w:rFonts w:ascii="Book Antiqua" w:hAnsi="Book Antiqua"/>
          <w:sz w:val="24"/>
          <w:szCs w:val="24"/>
        </w:rPr>
        <w:t>6.1</w:t>
      </w:r>
      <w:r>
        <w:rPr>
          <w:rFonts w:ascii="Book Antiqua" w:hAnsi="Book Antiqua"/>
          <w:sz w:val="24"/>
          <w:szCs w:val="24"/>
        </w:rPr>
        <w:tab/>
      </w:r>
      <w:r w:rsidR="00DA1779" w:rsidRPr="00DA1779">
        <w:rPr>
          <w:rFonts w:ascii="Book Antiqua" w:hAnsi="Book Antiqua"/>
          <w:sz w:val="24"/>
          <w:szCs w:val="24"/>
        </w:rPr>
        <w:t xml:space="preserve">To commence a proceeding in the Costs Court, parties must file a Summons for Taxation, the bill of costs, the Party Party Taxation Information Form </w:t>
      </w:r>
      <w:r w:rsidR="00DA1779" w:rsidRPr="00594C2B">
        <w:rPr>
          <w:rFonts w:ascii="Book Antiqua" w:hAnsi="Book Antiqua"/>
          <w:sz w:val="24"/>
          <w:szCs w:val="24"/>
        </w:rPr>
        <w:t xml:space="preserve">(see </w:t>
      </w:r>
      <w:r w:rsidR="00594C2B" w:rsidRPr="00594C2B">
        <w:rPr>
          <w:rFonts w:ascii="Book Antiqua" w:hAnsi="Book Antiqua"/>
          <w:sz w:val="24"/>
          <w:szCs w:val="24"/>
        </w:rPr>
        <w:t>below</w:t>
      </w:r>
      <w:r w:rsidR="00DA1779" w:rsidRPr="00594C2B">
        <w:rPr>
          <w:rFonts w:ascii="Book Antiqua" w:hAnsi="Book Antiqua"/>
          <w:sz w:val="24"/>
          <w:szCs w:val="24"/>
        </w:rPr>
        <w:t>),</w:t>
      </w:r>
      <w:r w:rsidR="00DA1779" w:rsidRPr="00DA1779">
        <w:rPr>
          <w:rFonts w:ascii="Book Antiqua" w:hAnsi="Book Antiqua"/>
          <w:sz w:val="24"/>
          <w:szCs w:val="24"/>
        </w:rPr>
        <w:t xml:space="preserve"> a copy of the costs order, judgment or deed of release, and pay the requisite filing fee.  </w:t>
      </w:r>
    </w:p>
    <w:p w14:paraId="258CB7D1" w14:textId="77777777" w:rsidR="006C254C" w:rsidRPr="00FE1C71" w:rsidRDefault="00FE1C71" w:rsidP="00FE1C71">
      <w:pPr>
        <w:spacing w:after="120"/>
        <w:ind w:left="720" w:hanging="720"/>
        <w:rPr>
          <w:rFonts w:ascii="Book Antiqua" w:hAnsi="Book Antiqua"/>
        </w:rPr>
      </w:pPr>
      <w:r>
        <w:rPr>
          <w:rFonts w:ascii="Book Antiqua" w:hAnsi="Book Antiqua"/>
        </w:rPr>
        <w:t>6.2</w:t>
      </w:r>
      <w:r>
        <w:rPr>
          <w:rFonts w:ascii="Book Antiqua" w:hAnsi="Book Antiqua"/>
        </w:rPr>
        <w:tab/>
      </w:r>
      <w:r w:rsidR="002A36DF" w:rsidRPr="00FE1C71">
        <w:rPr>
          <w:rFonts w:ascii="Book Antiqua" w:hAnsi="Book Antiqua"/>
        </w:rPr>
        <w:t xml:space="preserve">The party initiating the taxation must </w:t>
      </w:r>
      <w:r w:rsidR="007D2315" w:rsidRPr="00FE1C71">
        <w:rPr>
          <w:rFonts w:ascii="Book Antiqua" w:hAnsi="Book Antiqua"/>
        </w:rPr>
        <w:t xml:space="preserve">firstly </w:t>
      </w:r>
      <w:r w:rsidR="00DA1779" w:rsidRPr="00FE1C71">
        <w:rPr>
          <w:rFonts w:ascii="Book Antiqua" w:hAnsi="Book Antiqua"/>
        </w:rPr>
        <w:t xml:space="preserve">email the completed Party Party Taxation Information Sheet to: </w:t>
      </w:r>
      <w:hyperlink r:id="rId14" w:history="1">
        <w:r w:rsidR="00AE52D6" w:rsidRPr="00FE1C71">
          <w:rPr>
            <w:rStyle w:val="Hyperlink"/>
            <w:rFonts w:ascii="Book Antiqua" w:hAnsi="Book Antiqua"/>
          </w:rPr>
          <w:t>costs.court@supcourt.vic.gov.au</w:t>
        </w:r>
      </w:hyperlink>
      <w:r w:rsidR="00375E27" w:rsidRPr="00FE1C71">
        <w:rPr>
          <w:rFonts w:ascii="Book Antiqua" w:hAnsi="Book Antiqua"/>
        </w:rPr>
        <w:t xml:space="preserve"> </w:t>
      </w:r>
    </w:p>
    <w:p w14:paraId="227489EB" w14:textId="77777777" w:rsidR="00AE52D6" w:rsidRDefault="00FE1C71" w:rsidP="00FE1C71">
      <w:pPr>
        <w:pStyle w:val="ListParagraph"/>
        <w:spacing w:after="240"/>
        <w:ind w:hanging="720"/>
        <w:contextualSpacing w:val="0"/>
        <w:jc w:val="both"/>
        <w:rPr>
          <w:rFonts w:ascii="Book Antiqua" w:hAnsi="Book Antiqua"/>
          <w:sz w:val="24"/>
          <w:szCs w:val="24"/>
        </w:rPr>
      </w:pPr>
      <w:r>
        <w:rPr>
          <w:rFonts w:ascii="Book Antiqua" w:hAnsi="Book Antiqua"/>
          <w:sz w:val="24"/>
          <w:szCs w:val="24"/>
        </w:rPr>
        <w:t>6.3</w:t>
      </w:r>
      <w:r>
        <w:rPr>
          <w:rFonts w:ascii="Book Antiqua" w:hAnsi="Book Antiqua"/>
          <w:sz w:val="24"/>
          <w:szCs w:val="24"/>
        </w:rPr>
        <w:tab/>
      </w:r>
      <w:r w:rsidR="00AE52D6" w:rsidRPr="007D2315">
        <w:rPr>
          <w:rFonts w:ascii="Book Antiqua" w:hAnsi="Book Antiqua"/>
          <w:sz w:val="24"/>
          <w:szCs w:val="24"/>
        </w:rPr>
        <w:t xml:space="preserve">The Registry will notify </w:t>
      </w:r>
      <w:r w:rsidR="006C254C" w:rsidRPr="007D2315">
        <w:rPr>
          <w:rFonts w:ascii="Book Antiqua" w:hAnsi="Book Antiqua"/>
          <w:sz w:val="24"/>
          <w:szCs w:val="24"/>
        </w:rPr>
        <w:t>the applicant</w:t>
      </w:r>
      <w:r w:rsidR="00624DF2">
        <w:rPr>
          <w:rFonts w:ascii="Book Antiqua" w:hAnsi="Book Antiqua"/>
          <w:sz w:val="24"/>
          <w:szCs w:val="24"/>
        </w:rPr>
        <w:t xml:space="preserve"> of</w:t>
      </w:r>
      <w:r w:rsidR="006C254C" w:rsidRPr="007D2315">
        <w:rPr>
          <w:rFonts w:ascii="Book Antiqua" w:hAnsi="Book Antiqua"/>
          <w:sz w:val="24"/>
          <w:szCs w:val="24"/>
        </w:rPr>
        <w:t xml:space="preserve"> t</w:t>
      </w:r>
      <w:r w:rsidR="00DA1779" w:rsidRPr="007D2315">
        <w:rPr>
          <w:rFonts w:ascii="Book Antiqua" w:hAnsi="Book Antiqua"/>
          <w:sz w:val="24"/>
          <w:szCs w:val="24"/>
        </w:rPr>
        <w:t xml:space="preserve">he next available date </w:t>
      </w:r>
      <w:r w:rsidR="006C254C">
        <w:rPr>
          <w:rFonts w:ascii="Book Antiqua" w:hAnsi="Book Antiqua"/>
          <w:sz w:val="24"/>
          <w:szCs w:val="24"/>
        </w:rPr>
        <w:t xml:space="preserve">for mediation, assessment or call-over and the applicant must then </w:t>
      </w:r>
      <w:r w:rsidR="006C254C" w:rsidRPr="007D2315" w:rsidDel="006C254C">
        <w:rPr>
          <w:rFonts w:ascii="Book Antiqua" w:hAnsi="Book Antiqua"/>
          <w:sz w:val="24"/>
          <w:szCs w:val="24"/>
        </w:rPr>
        <w:t xml:space="preserve"> </w:t>
      </w:r>
      <w:r w:rsidR="006C254C">
        <w:rPr>
          <w:rFonts w:ascii="Book Antiqua" w:hAnsi="Book Antiqua"/>
          <w:sz w:val="24"/>
          <w:szCs w:val="24"/>
        </w:rPr>
        <w:t>e-</w:t>
      </w:r>
      <w:r w:rsidR="00DA1779" w:rsidRPr="007D2315">
        <w:rPr>
          <w:rFonts w:ascii="Book Antiqua" w:hAnsi="Book Antiqua"/>
          <w:sz w:val="24"/>
          <w:szCs w:val="24"/>
        </w:rPr>
        <w:t xml:space="preserve">file the Summons for Taxation, the bill of costs, the Party Party Taxation Information Form (see </w:t>
      </w:r>
      <w:r w:rsidR="007D2315">
        <w:rPr>
          <w:rFonts w:ascii="Book Antiqua" w:hAnsi="Book Antiqua"/>
          <w:sz w:val="24"/>
          <w:szCs w:val="24"/>
        </w:rPr>
        <w:t>below</w:t>
      </w:r>
      <w:r w:rsidR="00DA1779" w:rsidRPr="007D2315">
        <w:rPr>
          <w:rFonts w:ascii="Book Antiqua" w:hAnsi="Book Antiqua"/>
          <w:sz w:val="24"/>
          <w:szCs w:val="24"/>
        </w:rPr>
        <w:t xml:space="preserve">), </w:t>
      </w:r>
      <w:r w:rsidR="009B081D" w:rsidRPr="007D2315">
        <w:rPr>
          <w:rFonts w:ascii="Book Antiqua" w:hAnsi="Book Antiqua"/>
          <w:sz w:val="24"/>
          <w:szCs w:val="24"/>
        </w:rPr>
        <w:t>a copy of the costs order, judg</w:t>
      </w:r>
      <w:r w:rsidR="00DA1779" w:rsidRPr="007D2315">
        <w:rPr>
          <w:rFonts w:ascii="Book Antiqua" w:hAnsi="Book Antiqua"/>
          <w:sz w:val="24"/>
          <w:szCs w:val="24"/>
        </w:rPr>
        <w:t xml:space="preserve">ment or deed of release, and pay the requisite filing fee.  </w:t>
      </w:r>
    </w:p>
    <w:p w14:paraId="6BDBD0AA" w14:textId="77777777" w:rsidR="006C254C" w:rsidRDefault="00FE1C71" w:rsidP="00303C13">
      <w:pPr>
        <w:pStyle w:val="Heading1"/>
      </w:pPr>
      <w:r>
        <w:t>7.</w:t>
      </w:r>
      <w:r>
        <w:tab/>
      </w:r>
      <w:r w:rsidR="00AE52D6" w:rsidRPr="007D2315">
        <w:t xml:space="preserve">All party party bills of costs </w:t>
      </w:r>
      <w:r w:rsidR="006C254C">
        <w:t>are</w:t>
      </w:r>
      <w:r w:rsidR="00AE52D6" w:rsidRPr="007D2315">
        <w:t xml:space="preserve"> listed as follows at the time of filing</w:t>
      </w:r>
      <w:r w:rsidR="00DA1779" w:rsidRPr="007D2315">
        <w:t xml:space="preserve">. </w:t>
      </w:r>
    </w:p>
    <w:p w14:paraId="6AE0F0DB" w14:textId="77777777" w:rsidR="00783F1D" w:rsidRDefault="00FE1C71" w:rsidP="00FE1C71">
      <w:pPr>
        <w:pStyle w:val="ListParagraph"/>
        <w:spacing w:before="120" w:after="120"/>
        <w:ind w:hanging="720"/>
        <w:contextualSpacing w:val="0"/>
        <w:jc w:val="both"/>
        <w:rPr>
          <w:rFonts w:ascii="Book Antiqua" w:hAnsi="Book Antiqua"/>
          <w:sz w:val="24"/>
          <w:szCs w:val="24"/>
        </w:rPr>
      </w:pPr>
      <w:r>
        <w:rPr>
          <w:rFonts w:ascii="Book Antiqua" w:hAnsi="Book Antiqua"/>
          <w:sz w:val="24"/>
          <w:szCs w:val="24"/>
        </w:rPr>
        <w:t>7.1</w:t>
      </w:r>
      <w:r>
        <w:rPr>
          <w:rFonts w:ascii="Book Antiqua" w:hAnsi="Book Antiqua"/>
          <w:sz w:val="24"/>
          <w:szCs w:val="24"/>
        </w:rPr>
        <w:tab/>
      </w:r>
      <w:r w:rsidR="00AE52D6" w:rsidRPr="007D2315">
        <w:rPr>
          <w:rFonts w:ascii="Book Antiqua" w:hAnsi="Book Antiqua"/>
          <w:b/>
          <w:sz w:val="24"/>
          <w:szCs w:val="24"/>
        </w:rPr>
        <w:t>Bills claiming costs and disbursements of less than $5</w:t>
      </w:r>
      <w:r w:rsidR="00DA1779" w:rsidRPr="007D2315">
        <w:rPr>
          <w:rFonts w:ascii="Book Antiqua" w:hAnsi="Book Antiqua"/>
          <w:b/>
          <w:sz w:val="24"/>
          <w:szCs w:val="24"/>
        </w:rPr>
        <w:t>0,000</w:t>
      </w:r>
      <w:r w:rsidR="00AE52D6" w:rsidRPr="007D2315">
        <w:rPr>
          <w:rFonts w:ascii="Book Antiqua" w:hAnsi="Book Antiqua"/>
          <w:sz w:val="24"/>
          <w:szCs w:val="24"/>
        </w:rPr>
        <w:t xml:space="preserve"> will be </w:t>
      </w:r>
      <w:r w:rsidR="007D2315">
        <w:rPr>
          <w:rFonts w:ascii="Book Antiqua" w:hAnsi="Book Antiqua"/>
          <w:sz w:val="24"/>
          <w:szCs w:val="24"/>
        </w:rPr>
        <w:t>listed</w:t>
      </w:r>
      <w:r w:rsidR="00AE52D6" w:rsidRPr="007D2315">
        <w:rPr>
          <w:rFonts w:ascii="Book Antiqua" w:hAnsi="Book Antiqua"/>
          <w:sz w:val="24"/>
          <w:szCs w:val="24"/>
        </w:rPr>
        <w:t xml:space="preserve"> directly to assessment pursuant to </w:t>
      </w:r>
      <w:r w:rsidR="007D2315" w:rsidRPr="007D2315">
        <w:rPr>
          <w:rFonts w:ascii="Book Antiqua" w:hAnsi="Book Antiqua"/>
          <w:sz w:val="24"/>
          <w:szCs w:val="24"/>
          <w:u w:val="single"/>
        </w:rPr>
        <w:t xml:space="preserve">Part 8 </w:t>
      </w:r>
      <w:r w:rsidR="007D2315">
        <w:rPr>
          <w:rFonts w:ascii="Book Antiqua" w:hAnsi="Book Antiqua"/>
          <w:sz w:val="24"/>
          <w:szCs w:val="24"/>
          <w:u w:val="single"/>
        </w:rPr>
        <w:t>o</w:t>
      </w:r>
      <w:r w:rsidR="007D2315" w:rsidRPr="007D2315">
        <w:rPr>
          <w:rFonts w:ascii="Book Antiqua" w:hAnsi="Book Antiqua"/>
          <w:sz w:val="24"/>
          <w:szCs w:val="24"/>
          <w:u w:val="single"/>
        </w:rPr>
        <w:t xml:space="preserve">f Order 63 - Alternate Assessment Procedure </w:t>
      </w:r>
      <w:r w:rsidR="00783F1D" w:rsidRPr="007D2315">
        <w:rPr>
          <w:rFonts w:ascii="Book Antiqua" w:hAnsi="Book Antiqua"/>
          <w:sz w:val="24"/>
          <w:szCs w:val="24"/>
          <w:u w:val="single"/>
        </w:rPr>
        <w:t>(</w:t>
      </w:r>
      <w:r w:rsidR="00516270" w:rsidRPr="007D2315">
        <w:rPr>
          <w:rFonts w:ascii="Book Antiqua" w:hAnsi="Book Antiqua"/>
          <w:i/>
          <w:sz w:val="24"/>
          <w:szCs w:val="24"/>
          <w:u w:val="single"/>
        </w:rPr>
        <w:t>Supreme Court (General Civil Procedure) Rules</w:t>
      </w:r>
      <w:r w:rsidR="00516270" w:rsidRPr="007D2315">
        <w:rPr>
          <w:rFonts w:ascii="Book Antiqua" w:hAnsi="Book Antiqua"/>
          <w:i/>
          <w:sz w:val="24"/>
          <w:szCs w:val="24"/>
        </w:rPr>
        <w:t xml:space="preserve"> </w:t>
      </w:r>
      <w:r w:rsidR="00516270" w:rsidRPr="007D2315">
        <w:rPr>
          <w:rFonts w:ascii="Book Antiqua" w:hAnsi="Book Antiqua"/>
          <w:i/>
          <w:sz w:val="24"/>
          <w:szCs w:val="24"/>
          <w:u w:val="single"/>
        </w:rPr>
        <w:t>2015</w:t>
      </w:r>
      <w:r w:rsidR="00783F1D" w:rsidRPr="007D2315">
        <w:rPr>
          <w:rFonts w:ascii="Book Antiqua" w:hAnsi="Book Antiqua"/>
          <w:sz w:val="24"/>
          <w:szCs w:val="24"/>
          <w:u w:val="single"/>
        </w:rPr>
        <w:t>).</w:t>
      </w:r>
      <w:r w:rsidR="00783F1D" w:rsidRPr="007D2315">
        <w:rPr>
          <w:rFonts w:ascii="Book Antiqua" w:hAnsi="Book Antiqua"/>
          <w:sz w:val="24"/>
          <w:szCs w:val="24"/>
        </w:rPr>
        <w:t xml:space="preserve">  </w:t>
      </w:r>
      <w:r w:rsidR="007D2315">
        <w:rPr>
          <w:rFonts w:ascii="Book Antiqua" w:hAnsi="Book Antiqua"/>
          <w:sz w:val="24"/>
          <w:szCs w:val="24"/>
        </w:rPr>
        <w:t>T</w:t>
      </w:r>
      <w:r w:rsidR="00783F1D" w:rsidRPr="007D2315">
        <w:rPr>
          <w:rFonts w:ascii="Book Antiqua" w:hAnsi="Book Antiqua"/>
          <w:sz w:val="24"/>
          <w:szCs w:val="24"/>
        </w:rPr>
        <w:t xml:space="preserve">he applicant will be given details of the assessment </w:t>
      </w:r>
      <w:r w:rsidR="00AE52D6" w:rsidRPr="007D2315">
        <w:rPr>
          <w:rFonts w:ascii="Book Antiqua" w:hAnsi="Book Antiqua"/>
          <w:sz w:val="24"/>
          <w:szCs w:val="24"/>
        </w:rPr>
        <w:t>procedure in the assessment notice when the summons for taxation and bill of costs is filed.  The applicant must include this information when serving the summons and bill of costs.</w:t>
      </w:r>
      <w:r w:rsidR="00AE52D6" w:rsidRPr="007D2315">
        <w:rPr>
          <w:rFonts w:ascii="Book Antiqua" w:hAnsi="Book Antiqua"/>
          <w:b/>
          <w:sz w:val="24"/>
          <w:szCs w:val="24"/>
        </w:rPr>
        <w:t xml:space="preserve">  </w:t>
      </w:r>
      <w:r w:rsidR="00AE52D6" w:rsidRPr="007D2315">
        <w:rPr>
          <w:rFonts w:ascii="Book Antiqua" w:hAnsi="Book Antiqua"/>
          <w:sz w:val="24"/>
          <w:szCs w:val="24"/>
        </w:rPr>
        <w:t>W</w:t>
      </w:r>
      <w:r w:rsidR="00783F1D" w:rsidRPr="007D2315">
        <w:rPr>
          <w:rFonts w:ascii="Book Antiqua" w:hAnsi="Book Antiqua"/>
          <w:sz w:val="24"/>
          <w:szCs w:val="24"/>
        </w:rPr>
        <w:t>here</w:t>
      </w:r>
      <w:r w:rsidR="00AE52D6" w:rsidRPr="007D2315">
        <w:rPr>
          <w:rFonts w:ascii="Book Antiqua" w:hAnsi="Book Antiqua"/>
          <w:sz w:val="24"/>
          <w:szCs w:val="24"/>
        </w:rPr>
        <w:t xml:space="preserve"> </w:t>
      </w:r>
      <w:r w:rsidR="00783F1D" w:rsidRPr="007D2315">
        <w:rPr>
          <w:rFonts w:ascii="Book Antiqua" w:hAnsi="Book Antiqua"/>
          <w:sz w:val="24"/>
          <w:szCs w:val="24"/>
        </w:rPr>
        <w:t>the</w:t>
      </w:r>
      <w:r w:rsidR="00AE52D6" w:rsidRPr="007D2315">
        <w:rPr>
          <w:rFonts w:ascii="Book Antiqua" w:hAnsi="Book Antiqua"/>
          <w:sz w:val="24"/>
          <w:szCs w:val="24"/>
        </w:rPr>
        <w:t xml:space="preserve"> </w:t>
      </w:r>
      <w:r w:rsidR="00783F1D" w:rsidRPr="007D2315">
        <w:rPr>
          <w:rFonts w:ascii="Book Antiqua" w:hAnsi="Book Antiqua"/>
          <w:sz w:val="24"/>
          <w:szCs w:val="24"/>
        </w:rPr>
        <w:t>Party Party Taxation Information Form states</w:t>
      </w:r>
      <w:r w:rsidR="00AE52D6" w:rsidRPr="007D2315">
        <w:rPr>
          <w:rFonts w:ascii="Book Antiqua" w:hAnsi="Book Antiqua"/>
          <w:sz w:val="24"/>
          <w:szCs w:val="24"/>
        </w:rPr>
        <w:t xml:space="preserve"> </w:t>
      </w:r>
      <w:r w:rsidR="00783F1D" w:rsidRPr="007D2315">
        <w:rPr>
          <w:rFonts w:ascii="Book Antiqua" w:hAnsi="Book Antiqua"/>
          <w:sz w:val="24"/>
          <w:szCs w:val="24"/>
        </w:rPr>
        <w:t>that</w:t>
      </w:r>
      <w:r w:rsidR="00AE52D6" w:rsidRPr="007D2315">
        <w:rPr>
          <w:rFonts w:ascii="Book Antiqua" w:hAnsi="Book Antiqua"/>
          <w:sz w:val="24"/>
          <w:szCs w:val="24"/>
        </w:rPr>
        <w:t xml:space="preserve"> </w:t>
      </w:r>
      <w:r w:rsidR="00783F1D" w:rsidRPr="007D2315">
        <w:rPr>
          <w:rFonts w:ascii="Book Antiqua" w:hAnsi="Book Antiqua"/>
          <w:sz w:val="24"/>
          <w:szCs w:val="24"/>
        </w:rPr>
        <w:t>the</w:t>
      </w:r>
      <w:r w:rsidR="00AE52D6" w:rsidRPr="007D2315">
        <w:rPr>
          <w:rFonts w:ascii="Book Antiqua" w:hAnsi="Book Antiqua"/>
          <w:sz w:val="24"/>
          <w:szCs w:val="24"/>
        </w:rPr>
        <w:t xml:space="preserve"> </w:t>
      </w:r>
      <w:r w:rsidR="00783F1D" w:rsidRPr="007D2315">
        <w:rPr>
          <w:rFonts w:ascii="Book Antiqua" w:hAnsi="Book Antiqua"/>
          <w:sz w:val="24"/>
          <w:szCs w:val="24"/>
        </w:rPr>
        <w:t>respondent</w:t>
      </w:r>
      <w:r w:rsidR="00AE52D6" w:rsidRPr="007D2315">
        <w:rPr>
          <w:rFonts w:ascii="Book Antiqua" w:hAnsi="Book Antiqua"/>
          <w:sz w:val="24"/>
          <w:szCs w:val="24"/>
        </w:rPr>
        <w:t xml:space="preserve"> </w:t>
      </w:r>
      <w:r w:rsidR="00783F1D" w:rsidRPr="007D2315">
        <w:rPr>
          <w:rFonts w:ascii="Book Antiqua" w:hAnsi="Book Antiqua"/>
          <w:sz w:val="24"/>
          <w:szCs w:val="24"/>
        </w:rPr>
        <w:t>will</w:t>
      </w:r>
      <w:r w:rsidR="00AE52D6" w:rsidRPr="007D2315">
        <w:rPr>
          <w:rFonts w:ascii="Book Antiqua" w:hAnsi="Book Antiqua"/>
          <w:sz w:val="24"/>
          <w:szCs w:val="24"/>
        </w:rPr>
        <w:t xml:space="preserve"> </w:t>
      </w:r>
      <w:r w:rsidR="00783F1D" w:rsidRPr="007D2315">
        <w:rPr>
          <w:rFonts w:ascii="Book Antiqua" w:hAnsi="Book Antiqua"/>
          <w:sz w:val="24"/>
          <w:szCs w:val="24"/>
        </w:rPr>
        <w:t>be</w:t>
      </w:r>
      <w:r w:rsidR="00AE52D6" w:rsidRPr="007D2315">
        <w:rPr>
          <w:rFonts w:ascii="Book Antiqua" w:hAnsi="Book Antiqua"/>
          <w:sz w:val="24"/>
          <w:szCs w:val="24"/>
        </w:rPr>
        <w:t xml:space="preserve"> </w:t>
      </w:r>
      <w:r w:rsidR="00783F1D" w:rsidRPr="007D2315">
        <w:rPr>
          <w:rFonts w:ascii="Book Antiqua" w:hAnsi="Book Antiqua"/>
          <w:sz w:val="24"/>
          <w:szCs w:val="24"/>
        </w:rPr>
        <w:t>self-represented,</w:t>
      </w:r>
      <w:r w:rsidR="00AE52D6" w:rsidRPr="007D2315">
        <w:rPr>
          <w:rFonts w:ascii="Book Antiqua" w:hAnsi="Book Antiqua"/>
          <w:sz w:val="24"/>
          <w:szCs w:val="24"/>
        </w:rPr>
        <w:t xml:space="preserve"> </w:t>
      </w:r>
      <w:r w:rsidR="00783F1D" w:rsidRPr="007D2315">
        <w:rPr>
          <w:rFonts w:ascii="Book Antiqua" w:hAnsi="Book Antiqua"/>
          <w:sz w:val="24"/>
          <w:szCs w:val="24"/>
        </w:rPr>
        <w:t>the</w:t>
      </w:r>
      <w:r w:rsidR="00AE52D6" w:rsidRPr="007D2315">
        <w:rPr>
          <w:rFonts w:ascii="Book Antiqua" w:hAnsi="Book Antiqua"/>
          <w:sz w:val="24"/>
          <w:szCs w:val="24"/>
        </w:rPr>
        <w:t xml:space="preserve"> </w:t>
      </w:r>
      <w:r w:rsidR="00783F1D" w:rsidRPr="007D2315">
        <w:rPr>
          <w:rFonts w:ascii="Book Antiqua" w:hAnsi="Book Antiqua"/>
          <w:sz w:val="24"/>
          <w:szCs w:val="24"/>
        </w:rPr>
        <w:t>matter</w:t>
      </w:r>
      <w:r w:rsidR="00AE52D6" w:rsidRPr="007D2315">
        <w:rPr>
          <w:rFonts w:ascii="Book Antiqua" w:hAnsi="Book Antiqua"/>
          <w:sz w:val="24"/>
          <w:szCs w:val="24"/>
        </w:rPr>
        <w:t xml:space="preserve"> </w:t>
      </w:r>
      <w:r w:rsidR="00783F1D" w:rsidRPr="007D2315">
        <w:rPr>
          <w:rFonts w:ascii="Book Antiqua" w:hAnsi="Book Antiqua"/>
          <w:sz w:val="24"/>
          <w:szCs w:val="24"/>
        </w:rPr>
        <w:t>will</w:t>
      </w:r>
      <w:r w:rsidR="00AE52D6" w:rsidRPr="007D2315">
        <w:rPr>
          <w:rFonts w:ascii="Book Antiqua" w:hAnsi="Book Antiqua"/>
          <w:sz w:val="24"/>
          <w:szCs w:val="24"/>
        </w:rPr>
        <w:t xml:space="preserve"> </w:t>
      </w:r>
      <w:r w:rsidR="00783F1D" w:rsidRPr="007D2315">
        <w:rPr>
          <w:rFonts w:ascii="Book Antiqua" w:hAnsi="Book Antiqua"/>
          <w:sz w:val="24"/>
          <w:szCs w:val="24"/>
        </w:rPr>
        <w:t>be listed</w:t>
      </w:r>
      <w:r w:rsidR="00AE52D6" w:rsidRPr="007D2315">
        <w:rPr>
          <w:rFonts w:ascii="Book Antiqua" w:hAnsi="Book Antiqua"/>
          <w:sz w:val="24"/>
          <w:szCs w:val="24"/>
        </w:rPr>
        <w:t xml:space="preserve"> </w:t>
      </w:r>
      <w:r w:rsidR="00783F1D" w:rsidRPr="007D2315">
        <w:rPr>
          <w:rFonts w:ascii="Book Antiqua" w:hAnsi="Book Antiqua"/>
          <w:sz w:val="24"/>
          <w:szCs w:val="24"/>
        </w:rPr>
        <w:t>in</w:t>
      </w:r>
      <w:r w:rsidR="00AE52D6" w:rsidRPr="007D2315">
        <w:rPr>
          <w:rFonts w:ascii="Book Antiqua" w:hAnsi="Book Antiqua"/>
          <w:sz w:val="24"/>
          <w:szCs w:val="24"/>
        </w:rPr>
        <w:t xml:space="preserve"> </w:t>
      </w:r>
      <w:r w:rsidR="00783F1D" w:rsidRPr="007D2315">
        <w:rPr>
          <w:rFonts w:ascii="Book Antiqua" w:hAnsi="Book Antiqua"/>
          <w:sz w:val="24"/>
          <w:szCs w:val="24"/>
        </w:rPr>
        <w:t>the</w:t>
      </w:r>
      <w:r w:rsidR="00AE52D6" w:rsidRPr="007D2315">
        <w:rPr>
          <w:rFonts w:ascii="Book Antiqua" w:hAnsi="Book Antiqua"/>
          <w:sz w:val="24"/>
          <w:szCs w:val="24"/>
        </w:rPr>
        <w:t xml:space="preserve"> </w:t>
      </w:r>
      <w:r w:rsidR="00783F1D" w:rsidRPr="007D2315">
        <w:rPr>
          <w:rFonts w:ascii="Book Antiqua" w:hAnsi="Book Antiqua"/>
          <w:sz w:val="24"/>
          <w:szCs w:val="24"/>
        </w:rPr>
        <w:t>next</w:t>
      </w:r>
      <w:r w:rsidR="00AE52D6" w:rsidRPr="007D2315">
        <w:rPr>
          <w:rFonts w:ascii="Book Antiqua" w:hAnsi="Book Antiqua"/>
          <w:sz w:val="24"/>
          <w:szCs w:val="24"/>
        </w:rPr>
        <w:t xml:space="preserve"> </w:t>
      </w:r>
      <w:r w:rsidR="00783F1D" w:rsidRPr="007D2315">
        <w:rPr>
          <w:rFonts w:ascii="Book Antiqua" w:hAnsi="Book Antiqua"/>
          <w:sz w:val="24"/>
          <w:szCs w:val="24"/>
        </w:rPr>
        <w:t>available</w:t>
      </w:r>
      <w:r w:rsidR="00AE52D6" w:rsidRPr="007D2315">
        <w:rPr>
          <w:rFonts w:ascii="Book Antiqua" w:hAnsi="Book Antiqua"/>
          <w:sz w:val="24"/>
          <w:szCs w:val="24"/>
        </w:rPr>
        <w:t xml:space="preserve"> </w:t>
      </w:r>
      <w:r w:rsidR="00783F1D" w:rsidRPr="007D2315">
        <w:rPr>
          <w:rFonts w:ascii="Book Antiqua" w:hAnsi="Book Antiqua"/>
          <w:sz w:val="24"/>
          <w:szCs w:val="24"/>
        </w:rPr>
        <w:t>call</w:t>
      </w:r>
      <w:r w:rsidR="00AE52D6" w:rsidRPr="007D2315">
        <w:rPr>
          <w:rFonts w:ascii="Book Antiqua" w:hAnsi="Book Antiqua"/>
          <w:sz w:val="24"/>
          <w:szCs w:val="24"/>
        </w:rPr>
        <w:t>-</w:t>
      </w:r>
      <w:r w:rsidR="00783F1D" w:rsidRPr="007D2315">
        <w:rPr>
          <w:rFonts w:ascii="Book Antiqua" w:hAnsi="Book Antiqua"/>
          <w:sz w:val="24"/>
          <w:szCs w:val="24"/>
        </w:rPr>
        <w:t>over</w:t>
      </w:r>
      <w:r w:rsidR="00783F1D" w:rsidRPr="007D2315">
        <w:rPr>
          <w:rFonts w:ascii="Book Antiqua" w:hAnsi="Book Antiqua"/>
          <w:caps/>
          <w:sz w:val="24"/>
          <w:szCs w:val="24"/>
        </w:rPr>
        <w:t xml:space="preserve"> </w:t>
      </w:r>
      <w:r w:rsidR="00783F1D" w:rsidRPr="007D2315">
        <w:rPr>
          <w:rFonts w:ascii="Book Antiqua" w:hAnsi="Book Antiqua"/>
          <w:sz w:val="24"/>
          <w:szCs w:val="24"/>
        </w:rPr>
        <w:t xml:space="preserve">unless the applicant informs the Court of some special reason that the matter can be assessed. </w:t>
      </w:r>
    </w:p>
    <w:p w14:paraId="5284FF5D" w14:textId="77777777" w:rsidR="00FE1C71" w:rsidRPr="007D2315" w:rsidRDefault="00FE1C71" w:rsidP="00FE1C71">
      <w:pPr>
        <w:pStyle w:val="ListParagraph"/>
        <w:spacing w:before="120" w:after="120"/>
        <w:ind w:hanging="720"/>
        <w:jc w:val="both"/>
        <w:rPr>
          <w:rFonts w:ascii="Book Antiqua" w:hAnsi="Book Antiqua"/>
          <w:sz w:val="24"/>
          <w:szCs w:val="24"/>
        </w:rPr>
      </w:pPr>
      <w:r>
        <w:rPr>
          <w:rFonts w:ascii="Book Antiqua" w:hAnsi="Book Antiqua"/>
          <w:sz w:val="24"/>
          <w:szCs w:val="24"/>
        </w:rPr>
        <w:t>7.2</w:t>
      </w:r>
      <w:r>
        <w:rPr>
          <w:rFonts w:ascii="Book Antiqua" w:hAnsi="Book Antiqua"/>
          <w:sz w:val="24"/>
          <w:szCs w:val="24"/>
        </w:rPr>
        <w:tab/>
        <w:t>The applicant must file and serve with the summons for taxation and bill of costs copies of all disbursement invoices claimed together with a certification of payment of the disbursements or an undertaking in accordance with order 63.43(2)(B) to pay the disbursements after assessment.</w:t>
      </w:r>
    </w:p>
    <w:p w14:paraId="53456BB9" w14:textId="77777777" w:rsidR="008F790D" w:rsidRPr="007D2315" w:rsidRDefault="00FE1C71" w:rsidP="00FE1C71">
      <w:pPr>
        <w:spacing w:before="120" w:after="120"/>
        <w:ind w:left="720" w:hanging="720"/>
        <w:jc w:val="both"/>
        <w:rPr>
          <w:rFonts w:ascii="Book Antiqua" w:hAnsi="Book Antiqua"/>
        </w:rPr>
      </w:pPr>
      <w:r>
        <w:rPr>
          <w:rFonts w:ascii="Book Antiqua" w:hAnsi="Book Antiqua"/>
        </w:rPr>
        <w:t>7.3</w:t>
      </w:r>
      <w:r>
        <w:rPr>
          <w:rFonts w:ascii="Book Antiqua" w:hAnsi="Book Antiqua"/>
        </w:rPr>
        <w:tab/>
      </w:r>
      <w:r w:rsidR="008F790D" w:rsidRPr="007D2315">
        <w:rPr>
          <w:rFonts w:ascii="Book Antiqua" w:hAnsi="Book Antiqua"/>
        </w:rPr>
        <w:t>The applicant may file a short statement (not more than three folios</w:t>
      </w:r>
      <w:r w:rsidR="006C254C" w:rsidRPr="007D2315">
        <w:rPr>
          <w:rFonts w:ascii="Book Antiqua" w:hAnsi="Book Antiqua"/>
        </w:rPr>
        <w:t>) to</w:t>
      </w:r>
      <w:r w:rsidR="008F790D" w:rsidRPr="007D2315">
        <w:rPr>
          <w:rFonts w:ascii="Book Antiqua" w:hAnsi="Book Antiqua"/>
        </w:rPr>
        <w:t xml:space="preserve"> assist </w:t>
      </w:r>
      <w:r w:rsidR="006C254C" w:rsidRPr="007D2315">
        <w:rPr>
          <w:rFonts w:ascii="Book Antiqua" w:hAnsi="Book Antiqua"/>
        </w:rPr>
        <w:t>the Court</w:t>
      </w:r>
      <w:r w:rsidR="008F790D" w:rsidRPr="007D2315">
        <w:rPr>
          <w:rFonts w:ascii="Book Antiqua" w:hAnsi="Book Antiqua"/>
        </w:rPr>
        <w:t xml:space="preserve"> in the assessment of the bill of costs</w:t>
      </w:r>
    </w:p>
    <w:p w14:paraId="2942895A" w14:textId="77777777" w:rsidR="008F790D" w:rsidRPr="007D2315" w:rsidRDefault="00FE1C71" w:rsidP="00FE1C71">
      <w:pPr>
        <w:spacing w:before="120" w:after="120"/>
        <w:ind w:left="720" w:hanging="720"/>
        <w:jc w:val="both"/>
        <w:rPr>
          <w:rFonts w:ascii="Book Antiqua" w:hAnsi="Book Antiqua"/>
          <w:lang w:eastAsia="ja-JP"/>
        </w:rPr>
      </w:pPr>
      <w:r>
        <w:rPr>
          <w:rFonts w:ascii="Book Antiqua" w:hAnsi="Book Antiqua"/>
        </w:rPr>
        <w:t>7.4</w:t>
      </w:r>
      <w:r>
        <w:rPr>
          <w:rFonts w:ascii="Book Antiqua" w:hAnsi="Book Antiqua"/>
        </w:rPr>
        <w:tab/>
      </w:r>
      <w:r w:rsidR="008F790D" w:rsidRPr="007D2315">
        <w:rPr>
          <w:rFonts w:ascii="Book Antiqua" w:hAnsi="Book Antiqua"/>
        </w:rPr>
        <w:t>The respondent should file a Notice of Objection at least seven days prior to the date of the assessment (</w:t>
      </w:r>
      <w:r w:rsidR="006C254C" w:rsidRPr="007D2315">
        <w:rPr>
          <w:rFonts w:ascii="Book Antiqua" w:hAnsi="Book Antiqua"/>
        </w:rPr>
        <w:t>O63.47 (</w:t>
      </w:r>
      <w:r w:rsidR="008F790D" w:rsidRPr="007D2315">
        <w:rPr>
          <w:rFonts w:ascii="Book Antiqua" w:hAnsi="Book Antiqua"/>
        </w:rPr>
        <w:t xml:space="preserve">3)) and shall state </w:t>
      </w:r>
      <w:r w:rsidR="008F790D" w:rsidRPr="007D2315">
        <w:rPr>
          <w:lang w:eastAsia="ja-JP"/>
        </w:rPr>
        <w:t xml:space="preserve">specifically and concisely the </w:t>
      </w:r>
      <w:r w:rsidR="008F790D" w:rsidRPr="007D2315">
        <w:rPr>
          <w:rFonts w:ascii="Book Antiqua" w:hAnsi="Book Antiqua"/>
          <w:lang w:eastAsia="ja-JP"/>
        </w:rPr>
        <w:t xml:space="preserve">grounds of objection to each item (O63.47 (2)). </w:t>
      </w:r>
    </w:p>
    <w:p w14:paraId="789BFFCF" w14:textId="77777777" w:rsidR="008F790D" w:rsidRPr="007D2315" w:rsidRDefault="00FE1C71" w:rsidP="00FE1C71">
      <w:pPr>
        <w:spacing w:before="120" w:after="120"/>
        <w:ind w:left="720" w:hanging="720"/>
        <w:jc w:val="both"/>
        <w:rPr>
          <w:rFonts w:ascii="Book Antiqua" w:hAnsi="Book Antiqua"/>
          <w:lang w:eastAsia="ja-JP"/>
        </w:rPr>
      </w:pPr>
      <w:r>
        <w:rPr>
          <w:rFonts w:ascii="Book Antiqua" w:hAnsi="Book Antiqua"/>
          <w:lang w:eastAsia="ja-JP"/>
        </w:rPr>
        <w:lastRenderedPageBreak/>
        <w:t>7.5</w:t>
      </w:r>
      <w:r>
        <w:rPr>
          <w:rFonts w:ascii="Book Antiqua" w:hAnsi="Book Antiqua"/>
          <w:lang w:eastAsia="ja-JP"/>
        </w:rPr>
        <w:tab/>
      </w:r>
      <w:r w:rsidR="008F790D" w:rsidRPr="007D2315">
        <w:rPr>
          <w:rFonts w:ascii="Book Antiqua" w:hAnsi="Book Antiqua"/>
          <w:lang w:eastAsia="ja-JP"/>
        </w:rPr>
        <w:t xml:space="preserve">Objections in the nature of “excessive” or “production” do not comply with the Supreme Court Rules and will be disregarded. </w:t>
      </w:r>
    </w:p>
    <w:p w14:paraId="13B1984C" w14:textId="77777777" w:rsidR="00DA1779" w:rsidRPr="002F1CEE" w:rsidRDefault="00FE1C71" w:rsidP="00FE1C71">
      <w:pPr>
        <w:spacing w:before="120" w:after="120"/>
        <w:ind w:left="720" w:hanging="720"/>
        <w:jc w:val="both"/>
        <w:rPr>
          <w:rFonts w:ascii="Book Antiqua" w:hAnsi="Book Antiqua"/>
        </w:rPr>
      </w:pPr>
      <w:r>
        <w:rPr>
          <w:rFonts w:ascii="Book Antiqua" w:hAnsi="Book Antiqua"/>
        </w:rPr>
        <w:t>7.6</w:t>
      </w:r>
      <w:r>
        <w:rPr>
          <w:rFonts w:ascii="Book Antiqua" w:hAnsi="Book Antiqua"/>
        </w:rPr>
        <w:tab/>
      </w:r>
      <w:r w:rsidR="006C254C">
        <w:rPr>
          <w:rFonts w:ascii="Book Antiqua" w:hAnsi="Book Antiqua"/>
        </w:rPr>
        <w:t>If no Notice of Objections is filed t</w:t>
      </w:r>
      <w:r w:rsidR="00DA1779" w:rsidRPr="002F1CEE">
        <w:rPr>
          <w:rFonts w:ascii="Book Antiqua" w:hAnsi="Book Antiqua"/>
        </w:rPr>
        <w:t>he applicant mus</w:t>
      </w:r>
      <w:r w:rsidR="009B081D" w:rsidRPr="002F1CEE">
        <w:rPr>
          <w:rFonts w:ascii="Book Antiqua" w:hAnsi="Book Antiqua"/>
        </w:rPr>
        <w:t>t file an affidavit of service three</w:t>
      </w:r>
      <w:r w:rsidR="00DA1779" w:rsidRPr="002F1CEE">
        <w:rPr>
          <w:rFonts w:ascii="Book Antiqua" w:hAnsi="Book Antiqua"/>
        </w:rPr>
        <w:t xml:space="preserve"> days before the date listed for assessment. </w:t>
      </w:r>
    </w:p>
    <w:p w14:paraId="1F2C44E6" w14:textId="77777777" w:rsidR="00D70CD7" w:rsidRPr="00EC3375" w:rsidRDefault="00FE1C71" w:rsidP="00EC3375">
      <w:pPr>
        <w:spacing w:before="120" w:after="120"/>
        <w:ind w:left="720" w:hanging="720"/>
        <w:jc w:val="both"/>
        <w:rPr>
          <w:rFonts w:ascii="Book Antiqua" w:hAnsi="Book Antiqua"/>
        </w:rPr>
      </w:pPr>
      <w:r>
        <w:rPr>
          <w:rFonts w:ascii="Book Antiqua" w:hAnsi="Book Antiqua"/>
        </w:rPr>
        <w:t>7.7</w:t>
      </w:r>
      <w:r>
        <w:rPr>
          <w:rFonts w:ascii="Book Antiqua" w:hAnsi="Book Antiqua"/>
        </w:rPr>
        <w:tab/>
      </w:r>
      <w:r w:rsidR="00A04C55" w:rsidRPr="00EC3375">
        <w:rPr>
          <w:rFonts w:ascii="Book Antiqua" w:hAnsi="Book Antiqua"/>
          <w:b/>
        </w:rPr>
        <w:t xml:space="preserve">All </w:t>
      </w:r>
      <w:r w:rsidR="00D92D46" w:rsidRPr="00EC3375">
        <w:rPr>
          <w:rFonts w:ascii="Book Antiqua" w:hAnsi="Book Antiqua"/>
          <w:b/>
        </w:rPr>
        <w:t>Bills of costs</w:t>
      </w:r>
      <w:r w:rsidR="00387D2D" w:rsidRPr="00EC3375">
        <w:rPr>
          <w:rFonts w:ascii="Book Antiqua" w:hAnsi="Book Antiqua"/>
          <w:b/>
        </w:rPr>
        <w:t xml:space="preserve"> claiming costs and disbursements</w:t>
      </w:r>
      <w:r w:rsidR="00D92D46" w:rsidRPr="00EC3375">
        <w:rPr>
          <w:rFonts w:ascii="Book Antiqua" w:hAnsi="Book Antiqua"/>
          <w:b/>
        </w:rPr>
        <w:t xml:space="preserve"> of over $5</w:t>
      </w:r>
      <w:r w:rsidR="00DA1779" w:rsidRPr="00EC3375">
        <w:rPr>
          <w:rFonts w:ascii="Book Antiqua" w:hAnsi="Book Antiqua"/>
          <w:b/>
        </w:rPr>
        <w:t>0,000</w:t>
      </w:r>
      <w:r w:rsidR="00DA1779" w:rsidRPr="00EC3375">
        <w:rPr>
          <w:rFonts w:ascii="Book Antiqua" w:hAnsi="Book Antiqua"/>
        </w:rPr>
        <w:t xml:space="preserve"> will be listed </w:t>
      </w:r>
      <w:r w:rsidR="00297491" w:rsidRPr="00EC3375">
        <w:rPr>
          <w:rFonts w:ascii="Book Antiqua" w:hAnsi="Book Antiqua"/>
          <w:b/>
        </w:rPr>
        <w:t xml:space="preserve">by Registry </w:t>
      </w:r>
      <w:r w:rsidR="00DA1779" w:rsidRPr="00EC3375">
        <w:rPr>
          <w:rFonts w:ascii="Book Antiqua" w:hAnsi="Book Antiqua"/>
        </w:rPr>
        <w:t xml:space="preserve">for Mediation </w:t>
      </w:r>
      <w:r w:rsidR="00C72624" w:rsidRPr="00EC3375">
        <w:rPr>
          <w:rFonts w:ascii="Book Antiqua" w:hAnsi="Book Antiqua"/>
        </w:rPr>
        <w:t>pursuant to Order 50.07.1</w:t>
      </w:r>
      <w:r w:rsidR="008F790D" w:rsidRPr="00EC3375">
        <w:rPr>
          <w:rFonts w:ascii="Book Antiqua" w:hAnsi="Book Antiqua"/>
        </w:rPr>
        <w:t>, 57.07.02</w:t>
      </w:r>
      <w:r w:rsidR="00C72624" w:rsidRPr="00EC3375">
        <w:rPr>
          <w:rFonts w:ascii="Book Antiqua" w:hAnsi="Book Antiqua"/>
        </w:rPr>
        <w:t xml:space="preserve"> and 50.07.4 of the </w:t>
      </w:r>
      <w:r w:rsidR="00C72624" w:rsidRPr="00EC3375">
        <w:rPr>
          <w:rFonts w:ascii="Book Antiqua" w:hAnsi="Book Antiqua"/>
          <w:i/>
        </w:rPr>
        <w:t xml:space="preserve">Supreme Court (General Civil Procedure) Rules 2015 </w:t>
      </w:r>
      <w:r w:rsidR="009B081D" w:rsidRPr="00EC3375">
        <w:rPr>
          <w:rFonts w:ascii="Book Antiqua" w:hAnsi="Book Antiqua"/>
        </w:rPr>
        <w:t>approximately six</w:t>
      </w:r>
      <w:r w:rsidR="00DA1779" w:rsidRPr="00EC3375">
        <w:rPr>
          <w:rFonts w:ascii="Book Antiqua" w:hAnsi="Book Antiqua"/>
        </w:rPr>
        <w:t xml:space="preserve"> weeks after filing</w:t>
      </w:r>
      <w:r w:rsidR="00297491" w:rsidRPr="00EC3375">
        <w:rPr>
          <w:rFonts w:ascii="Book Antiqua" w:hAnsi="Book Antiqua"/>
        </w:rPr>
        <w:t xml:space="preserve"> the Summons for Taxation and Bill of Costs</w:t>
      </w:r>
      <w:r w:rsidR="00D92D46" w:rsidRPr="00EC3375">
        <w:rPr>
          <w:rFonts w:ascii="Book Antiqua" w:hAnsi="Book Antiqua"/>
        </w:rPr>
        <w:t xml:space="preserve">. </w:t>
      </w:r>
      <w:r w:rsidR="00297491" w:rsidRPr="00EC3375">
        <w:rPr>
          <w:rFonts w:ascii="Book Antiqua" w:hAnsi="Book Antiqua"/>
        </w:rPr>
        <w:t xml:space="preserve"> </w:t>
      </w:r>
      <w:r w:rsidR="00DA1779" w:rsidRPr="00EC3375">
        <w:rPr>
          <w:rFonts w:ascii="Book Antiqua" w:hAnsi="Book Antiqua"/>
        </w:rPr>
        <w:t xml:space="preserve">Bills of costs </w:t>
      </w:r>
      <w:r w:rsidR="00D92D46" w:rsidRPr="00EC3375">
        <w:rPr>
          <w:rFonts w:ascii="Book Antiqua" w:hAnsi="Book Antiqua"/>
        </w:rPr>
        <w:t>listed for Mediation</w:t>
      </w:r>
      <w:r w:rsidR="009B081D" w:rsidRPr="00EC3375">
        <w:rPr>
          <w:rFonts w:ascii="Book Antiqua" w:hAnsi="Book Antiqua"/>
        </w:rPr>
        <w:t xml:space="preserve"> </w:t>
      </w:r>
      <w:r w:rsidR="006C254C" w:rsidRPr="00EC3375">
        <w:rPr>
          <w:rFonts w:ascii="Book Antiqua" w:hAnsi="Book Antiqua"/>
        </w:rPr>
        <w:t>are</w:t>
      </w:r>
      <w:r w:rsidR="009B081D" w:rsidRPr="00EC3375">
        <w:rPr>
          <w:rFonts w:ascii="Book Antiqua" w:hAnsi="Book Antiqua"/>
        </w:rPr>
        <w:t xml:space="preserve"> listed for </w:t>
      </w:r>
      <w:r w:rsidR="00D92D46" w:rsidRPr="00EC3375">
        <w:rPr>
          <w:rFonts w:ascii="Book Antiqua" w:hAnsi="Book Antiqua"/>
        </w:rPr>
        <w:t>between 1 hour and 3 hours depending on the advice given by the practitioner as to the complexity</w:t>
      </w:r>
      <w:r w:rsidR="00624DF2">
        <w:rPr>
          <w:rFonts w:ascii="Book Antiqua" w:hAnsi="Book Antiqua"/>
        </w:rPr>
        <w:t xml:space="preserve"> of the matter</w:t>
      </w:r>
      <w:r w:rsidR="00DA1779" w:rsidRPr="00EC3375">
        <w:rPr>
          <w:rFonts w:ascii="Book Antiqua" w:hAnsi="Book Antiqua"/>
        </w:rPr>
        <w:t>.</w:t>
      </w:r>
    </w:p>
    <w:p w14:paraId="005BE242" w14:textId="77777777" w:rsidR="006C254C" w:rsidRPr="007D2315" w:rsidRDefault="00FE1C71" w:rsidP="00680452">
      <w:pPr>
        <w:pStyle w:val="ListParagraph"/>
        <w:spacing w:before="120" w:after="120"/>
        <w:ind w:left="1440" w:hanging="720"/>
        <w:jc w:val="both"/>
        <w:rPr>
          <w:rFonts w:ascii="Book Antiqua" w:hAnsi="Book Antiqua"/>
          <w:sz w:val="24"/>
          <w:szCs w:val="24"/>
        </w:rPr>
      </w:pPr>
      <w:r>
        <w:rPr>
          <w:rFonts w:ascii="Book Antiqua" w:hAnsi="Book Antiqua"/>
          <w:sz w:val="24"/>
          <w:szCs w:val="24"/>
        </w:rPr>
        <w:t>7.7</w:t>
      </w:r>
      <w:r w:rsidR="00680452">
        <w:rPr>
          <w:rFonts w:ascii="Book Antiqua" w:hAnsi="Book Antiqua"/>
          <w:sz w:val="24"/>
          <w:szCs w:val="24"/>
        </w:rPr>
        <w:t>.1</w:t>
      </w:r>
      <w:r w:rsidR="00680452">
        <w:rPr>
          <w:rFonts w:ascii="Book Antiqua" w:hAnsi="Book Antiqua"/>
          <w:sz w:val="24"/>
          <w:szCs w:val="24"/>
        </w:rPr>
        <w:tab/>
      </w:r>
      <w:r w:rsidR="006C254C" w:rsidRPr="007D2315">
        <w:rPr>
          <w:rFonts w:ascii="Book Antiqua" w:hAnsi="Book Antiqua"/>
          <w:sz w:val="24"/>
          <w:szCs w:val="24"/>
        </w:rPr>
        <w:t xml:space="preserve">Where the </w:t>
      </w:r>
      <w:r w:rsidR="00ED38F9" w:rsidRPr="007D2315">
        <w:rPr>
          <w:rFonts w:ascii="Book Antiqua" w:hAnsi="Book Antiqua"/>
          <w:sz w:val="24"/>
          <w:szCs w:val="24"/>
        </w:rPr>
        <w:t xml:space="preserve">Party Party Taxation Information Form </w:t>
      </w:r>
      <w:r w:rsidR="006C254C" w:rsidRPr="007D2315">
        <w:rPr>
          <w:rFonts w:ascii="Book Antiqua" w:hAnsi="Book Antiqua"/>
          <w:sz w:val="24"/>
          <w:szCs w:val="24"/>
        </w:rPr>
        <w:t xml:space="preserve">states that the respondent will be self-represented, the matter will be listed in the next available call-over, unless the applicant informs the Court </w:t>
      </w:r>
      <w:r w:rsidR="00783F1D" w:rsidRPr="007D2315">
        <w:rPr>
          <w:rFonts w:ascii="Book Antiqua" w:hAnsi="Book Antiqua"/>
          <w:sz w:val="24"/>
          <w:szCs w:val="24"/>
        </w:rPr>
        <w:t>of</w:t>
      </w:r>
      <w:r w:rsidR="006C254C" w:rsidRPr="007D2315">
        <w:rPr>
          <w:rFonts w:ascii="Book Antiqua" w:hAnsi="Book Antiqua"/>
          <w:sz w:val="24"/>
          <w:szCs w:val="24"/>
        </w:rPr>
        <w:t xml:space="preserve"> some special reason</w:t>
      </w:r>
      <w:r w:rsidR="00783F1D" w:rsidRPr="007D2315">
        <w:rPr>
          <w:rFonts w:ascii="Book Antiqua" w:hAnsi="Book Antiqua"/>
          <w:sz w:val="24"/>
          <w:szCs w:val="24"/>
        </w:rPr>
        <w:t xml:space="preserve"> that the matter can be mediated</w:t>
      </w:r>
      <w:r w:rsidR="00783F1D" w:rsidRPr="007D2315">
        <w:rPr>
          <w:rFonts w:ascii="Book Antiqua" w:hAnsi="Book Antiqua"/>
          <w:b/>
          <w:sz w:val="24"/>
          <w:szCs w:val="24"/>
        </w:rPr>
        <w:t xml:space="preserve">. </w:t>
      </w:r>
    </w:p>
    <w:p w14:paraId="6003A204" w14:textId="77777777" w:rsidR="00DA1779" w:rsidRPr="00680452" w:rsidRDefault="00FE1C71" w:rsidP="00FE1C71">
      <w:pPr>
        <w:spacing w:before="120" w:after="120"/>
        <w:ind w:left="1440" w:hanging="720"/>
        <w:jc w:val="both"/>
        <w:rPr>
          <w:rFonts w:ascii="Book Antiqua" w:hAnsi="Book Antiqua"/>
        </w:rPr>
      </w:pPr>
      <w:r>
        <w:rPr>
          <w:rFonts w:ascii="Book Antiqua" w:hAnsi="Book Antiqua"/>
        </w:rPr>
        <w:t>7.7</w:t>
      </w:r>
      <w:r w:rsidR="00680452">
        <w:rPr>
          <w:rFonts w:ascii="Book Antiqua" w:hAnsi="Book Antiqua"/>
        </w:rPr>
        <w:t>.2</w:t>
      </w:r>
      <w:r w:rsidR="00680452">
        <w:rPr>
          <w:rFonts w:ascii="Book Antiqua" w:hAnsi="Book Antiqua"/>
        </w:rPr>
        <w:tab/>
      </w:r>
      <w:r w:rsidR="00DA1779" w:rsidRPr="00680452">
        <w:rPr>
          <w:rFonts w:ascii="Book Antiqua" w:hAnsi="Book Antiqua"/>
        </w:rPr>
        <w:t xml:space="preserve">The applicant </w:t>
      </w:r>
      <w:r w:rsidR="00297491" w:rsidRPr="00680452">
        <w:rPr>
          <w:rFonts w:ascii="Book Antiqua" w:hAnsi="Book Antiqua"/>
          <w:b/>
        </w:rPr>
        <w:t>must</w:t>
      </w:r>
      <w:r w:rsidR="00DA1779" w:rsidRPr="00680452">
        <w:rPr>
          <w:rFonts w:ascii="Book Antiqua" w:hAnsi="Book Antiqua"/>
        </w:rPr>
        <w:t xml:space="preserve"> </w:t>
      </w:r>
      <w:r w:rsidR="00195776" w:rsidRPr="00680452">
        <w:rPr>
          <w:rFonts w:ascii="Book Antiqua" w:hAnsi="Book Antiqua"/>
        </w:rPr>
        <w:t>inform</w:t>
      </w:r>
      <w:r w:rsidR="00DA1779" w:rsidRPr="00680452">
        <w:rPr>
          <w:rFonts w:ascii="Book Antiqua" w:hAnsi="Book Antiqua"/>
        </w:rPr>
        <w:t xml:space="preserve"> the respondent </w:t>
      </w:r>
      <w:r w:rsidR="00195776" w:rsidRPr="00680452">
        <w:rPr>
          <w:rFonts w:ascii="Book Antiqua" w:hAnsi="Book Antiqua"/>
        </w:rPr>
        <w:t>of</w:t>
      </w:r>
      <w:r w:rsidR="00DA1779" w:rsidRPr="00680452">
        <w:rPr>
          <w:rFonts w:ascii="Book Antiqua" w:hAnsi="Book Antiqua"/>
        </w:rPr>
        <w:t xml:space="preserve"> the </w:t>
      </w:r>
      <w:r w:rsidR="006C254C" w:rsidRPr="00680452">
        <w:rPr>
          <w:rFonts w:ascii="Book Antiqua" w:hAnsi="Book Antiqua"/>
        </w:rPr>
        <w:t xml:space="preserve">mediation </w:t>
      </w:r>
      <w:r w:rsidR="00DA1779" w:rsidRPr="00680452">
        <w:rPr>
          <w:rFonts w:ascii="Book Antiqua" w:hAnsi="Book Antiqua"/>
        </w:rPr>
        <w:t>listing details and the requirement to serve a Notice of Objections when the Summons and bill of costs are served.</w:t>
      </w:r>
    </w:p>
    <w:p w14:paraId="066B5B75" w14:textId="77777777" w:rsidR="00DA1779" w:rsidRPr="00680452" w:rsidRDefault="00FE1C71" w:rsidP="00680452">
      <w:pPr>
        <w:spacing w:before="120" w:after="120"/>
        <w:ind w:left="1440" w:hanging="720"/>
        <w:jc w:val="both"/>
        <w:rPr>
          <w:rFonts w:ascii="Book Antiqua" w:hAnsi="Book Antiqua"/>
        </w:rPr>
      </w:pPr>
      <w:r>
        <w:rPr>
          <w:rFonts w:ascii="Book Antiqua" w:hAnsi="Book Antiqua"/>
        </w:rPr>
        <w:t>7.7</w:t>
      </w:r>
      <w:r w:rsidR="00680452">
        <w:rPr>
          <w:rFonts w:ascii="Book Antiqua" w:hAnsi="Book Antiqua"/>
        </w:rPr>
        <w:t>.3.</w:t>
      </w:r>
      <w:r w:rsidR="00680452">
        <w:rPr>
          <w:rFonts w:ascii="Book Antiqua" w:hAnsi="Book Antiqua"/>
        </w:rPr>
        <w:tab/>
      </w:r>
      <w:r w:rsidR="00DA1779" w:rsidRPr="00680452">
        <w:rPr>
          <w:rFonts w:ascii="Book Antiqua" w:hAnsi="Book Antiqua"/>
        </w:rPr>
        <w:t>The Notice of Objections must be filed and ser</w:t>
      </w:r>
      <w:r w:rsidR="009B081D" w:rsidRPr="00680452">
        <w:rPr>
          <w:rFonts w:ascii="Book Antiqua" w:hAnsi="Book Antiqua"/>
        </w:rPr>
        <w:t>ved by the respondent at least seven</w:t>
      </w:r>
      <w:r w:rsidR="00DA1779" w:rsidRPr="00680452">
        <w:rPr>
          <w:rFonts w:ascii="Book Antiqua" w:hAnsi="Book Antiqua"/>
        </w:rPr>
        <w:t xml:space="preserve"> days prior to the mediation.  If the matter is not resolved, the </w:t>
      </w:r>
      <w:r w:rsidR="00EE3EE5" w:rsidRPr="00680452">
        <w:rPr>
          <w:rFonts w:ascii="Book Antiqua" w:hAnsi="Book Antiqua"/>
        </w:rPr>
        <w:t>mediator</w:t>
      </w:r>
      <w:r w:rsidR="00DA1779" w:rsidRPr="00680452">
        <w:rPr>
          <w:rFonts w:ascii="Book Antiqua" w:hAnsi="Book Antiqua"/>
        </w:rPr>
        <w:t xml:space="preserve"> may list it for taxation for one or more days on the next available date or dates.</w:t>
      </w:r>
    </w:p>
    <w:p w14:paraId="5FA05DDC" w14:textId="77777777" w:rsidR="004F6662" w:rsidRDefault="00FE1C71" w:rsidP="00680452">
      <w:pPr>
        <w:pStyle w:val="ListParagraph"/>
        <w:spacing w:before="120" w:after="120"/>
        <w:ind w:left="1440" w:hanging="720"/>
        <w:contextualSpacing w:val="0"/>
        <w:jc w:val="both"/>
        <w:rPr>
          <w:rFonts w:ascii="Book Antiqua" w:hAnsi="Book Antiqua"/>
          <w:sz w:val="24"/>
          <w:szCs w:val="24"/>
        </w:rPr>
      </w:pPr>
      <w:r>
        <w:rPr>
          <w:rFonts w:ascii="Book Antiqua" w:hAnsi="Book Antiqua"/>
          <w:sz w:val="24"/>
          <w:szCs w:val="24"/>
        </w:rPr>
        <w:t>7.7</w:t>
      </w:r>
      <w:r w:rsidR="00680452">
        <w:rPr>
          <w:rFonts w:ascii="Book Antiqua" w:hAnsi="Book Antiqua"/>
          <w:sz w:val="24"/>
          <w:szCs w:val="24"/>
        </w:rPr>
        <w:t>4</w:t>
      </w:r>
      <w:r w:rsidR="00680452">
        <w:rPr>
          <w:rFonts w:ascii="Book Antiqua" w:hAnsi="Book Antiqua"/>
          <w:sz w:val="24"/>
          <w:szCs w:val="24"/>
        </w:rPr>
        <w:tab/>
      </w:r>
      <w:r w:rsidR="004F6662">
        <w:rPr>
          <w:rFonts w:ascii="Book Antiqua" w:hAnsi="Book Antiqua"/>
          <w:sz w:val="24"/>
          <w:szCs w:val="24"/>
        </w:rPr>
        <w:t xml:space="preserve">Parties attending the mediation must have authority to settle without the need to revert to the authorising party during the course of the mediation and must attend with their advising solicitors. </w:t>
      </w:r>
    </w:p>
    <w:p w14:paraId="263DB044" w14:textId="77777777" w:rsidR="00ED38F9" w:rsidRPr="00FD2C6C" w:rsidRDefault="00FE1C71" w:rsidP="00680452">
      <w:pPr>
        <w:pStyle w:val="ListParagraph"/>
        <w:spacing w:before="120" w:after="120"/>
        <w:ind w:left="1440" w:hanging="720"/>
        <w:jc w:val="both"/>
        <w:rPr>
          <w:rFonts w:ascii="Book Antiqua" w:hAnsi="Book Antiqua"/>
          <w:sz w:val="24"/>
        </w:rPr>
      </w:pPr>
      <w:r>
        <w:rPr>
          <w:rFonts w:ascii="Book Antiqua" w:hAnsi="Book Antiqua"/>
          <w:sz w:val="24"/>
          <w:szCs w:val="24"/>
        </w:rPr>
        <w:t>7.7</w:t>
      </w:r>
      <w:r w:rsidR="00680452">
        <w:rPr>
          <w:rFonts w:ascii="Book Antiqua" w:hAnsi="Book Antiqua"/>
          <w:sz w:val="24"/>
          <w:szCs w:val="24"/>
        </w:rPr>
        <w:t>.5</w:t>
      </w:r>
      <w:r w:rsidR="00680452">
        <w:rPr>
          <w:rFonts w:ascii="Book Antiqua" w:hAnsi="Book Antiqua"/>
          <w:sz w:val="24"/>
          <w:szCs w:val="24"/>
        </w:rPr>
        <w:tab/>
      </w:r>
      <w:r w:rsidR="004F6662" w:rsidRPr="00FD2C6C">
        <w:rPr>
          <w:rFonts w:ascii="Book Antiqua" w:hAnsi="Book Antiqua"/>
          <w:b/>
          <w:sz w:val="24"/>
          <w:szCs w:val="24"/>
        </w:rPr>
        <w:t xml:space="preserve">No later than 48 hours prior </w:t>
      </w:r>
      <w:r w:rsidR="004F6662" w:rsidRPr="00FD2C6C">
        <w:rPr>
          <w:rFonts w:ascii="Book Antiqua" w:hAnsi="Book Antiqua"/>
          <w:sz w:val="24"/>
          <w:szCs w:val="24"/>
        </w:rPr>
        <w:t>to the mediat</w:t>
      </w:r>
      <w:r w:rsidR="009B081D" w:rsidRPr="00FD2C6C">
        <w:rPr>
          <w:rFonts w:ascii="Book Antiqua" w:hAnsi="Book Antiqua"/>
          <w:sz w:val="24"/>
          <w:szCs w:val="24"/>
        </w:rPr>
        <w:t>ion, parties are to</w:t>
      </w:r>
      <w:r w:rsidR="00ED38F9" w:rsidRPr="00FD2C6C">
        <w:rPr>
          <w:rFonts w:ascii="Book Antiqua" w:hAnsi="Book Antiqua"/>
          <w:sz w:val="24"/>
          <w:szCs w:val="24"/>
        </w:rPr>
        <w:t xml:space="preserve"> e-</w:t>
      </w:r>
      <w:r w:rsidR="008F790D" w:rsidRPr="00FD2C6C">
        <w:rPr>
          <w:rFonts w:ascii="Book Antiqua" w:hAnsi="Book Antiqua"/>
          <w:sz w:val="24"/>
          <w:szCs w:val="24"/>
        </w:rPr>
        <w:t xml:space="preserve">file with the Court and serve </w:t>
      </w:r>
      <w:r w:rsidR="004F6662" w:rsidRPr="00FD2C6C">
        <w:rPr>
          <w:rFonts w:ascii="Book Antiqua" w:hAnsi="Book Antiqua"/>
          <w:sz w:val="24"/>
          <w:szCs w:val="24"/>
        </w:rPr>
        <w:t>all other active parties participating in the mediation</w:t>
      </w:r>
      <w:r w:rsidR="008F790D" w:rsidRPr="00FD2C6C">
        <w:rPr>
          <w:rFonts w:ascii="Book Antiqua" w:hAnsi="Book Antiqua"/>
          <w:sz w:val="24"/>
          <w:szCs w:val="24"/>
        </w:rPr>
        <w:t xml:space="preserve"> a letter advising </w:t>
      </w:r>
      <w:r w:rsidR="004F6662" w:rsidRPr="00FD2C6C">
        <w:rPr>
          <w:rFonts w:ascii="Book Antiqua" w:hAnsi="Book Antiqua"/>
          <w:sz w:val="24"/>
          <w:szCs w:val="24"/>
        </w:rPr>
        <w:t>who will be in attendance</w:t>
      </w:r>
      <w:r w:rsidR="008F790D" w:rsidRPr="00FD2C6C">
        <w:rPr>
          <w:rFonts w:ascii="Book Antiqua" w:hAnsi="Book Antiqua"/>
          <w:sz w:val="24"/>
          <w:szCs w:val="24"/>
        </w:rPr>
        <w:t xml:space="preserve"> at the mediation and confirming their authority to settle the costs dispute. </w:t>
      </w:r>
    </w:p>
    <w:p w14:paraId="279FF766" w14:textId="77777777" w:rsidR="00CE0385" w:rsidRPr="00FD2C6C" w:rsidRDefault="00303C13" w:rsidP="00303C13">
      <w:pPr>
        <w:pStyle w:val="Heading1"/>
      </w:pPr>
      <w:r>
        <w:t>8.</w:t>
      </w:r>
      <w:r>
        <w:tab/>
      </w:r>
      <w:r w:rsidR="00CE0385" w:rsidRPr="00FD2C6C">
        <w:t xml:space="preserve">Listing of </w:t>
      </w:r>
      <w:r w:rsidR="00454E93" w:rsidRPr="00FD2C6C">
        <w:t xml:space="preserve">ALL </w:t>
      </w:r>
      <w:r w:rsidR="00CE0385" w:rsidRPr="00FD2C6C">
        <w:t>other matters</w:t>
      </w:r>
    </w:p>
    <w:p w14:paraId="3EE2BD9A" w14:textId="77777777" w:rsidR="00CE0385" w:rsidRPr="00FD2C6C" w:rsidRDefault="00303C13" w:rsidP="00303C13">
      <w:pPr>
        <w:pStyle w:val="ListParagraph"/>
        <w:spacing w:before="120" w:after="120"/>
        <w:ind w:hanging="720"/>
        <w:contextualSpacing w:val="0"/>
        <w:jc w:val="both"/>
        <w:rPr>
          <w:rFonts w:ascii="Book Antiqua" w:hAnsi="Book Antiqua"/>
          <w:sz w:val="24"/>
          <w:szCs w:val="24"/>
        </w:rPr>
      </w:pPr>
      <w:r>
        <w:rPr>
          <w:rFonts w:ascii="Book Antiqua" w:hAnsi="Book Antiqua"/>
          <w:sz w:val="24"/>
          <w:szCs w:val="24"/>
        </w:rPr>
        <w:t>8.1</w:t>
      </w:r>
      <w:r>
        <w:rPr>
          <w:rFonts w:ascii="Book Antiqua" w:hAnsi="Book Antiqua"/>
          <w:sz w:val="24"/>
          <w:szCs w:val="24"/>
        </w:rPr>
        <w:tab/>
      </w:r>
      <w:r w:rsidR="002A36DF" w:rsidRPr="00FD2C6C">
        <w:rPr>
          <w:rFonts w:ascii="Book Antiqua" w:hAnsi="Book Antiqua"/>
          <w:sz w:val="24"/>
          <w:szCs w:val="24"/>
        </w:rPr>
        <w:t>All other matter</w:t>
      </w:r>
      <w:r w:rsidR="00454E93" w:rsidRPr="00FD2C6C">
        <w:rPr>
          <w:rFonts w:ascii="Book Antiqua" w:hAnsi="Book Antiqua"/>
          <w:sz w:val="24"/>
          <w:szCs w:val="24"/>
        </w:rPr>
        <w:t>s</w:t>
      </w:r>
      <w:r w:rsidR="002A36DF" w:rsidRPr="00FD2C6C">
        <w:rPr>
          <w:rFonts w:ascii="Book Antiqua" w:hAnsi="Book Antiqua"/>
          <w:sz w:val="24"/>
          <w:szCs w:val="24"/>
        </w:rPr>
        <w:t xml:space="preserve"> including r</w:t>
      </w:r>
      <w:r w:rsidR="00CE0385" w:rsidRPr="00FD2C6C">
        <w:rPr>
          <w:rFonts w:ascii="Book Antiqua" w:hAnsi="Book Antiqua"/>
          <w:sz w:val="24"/>
          <w:szCs w:val="24"/>
        </w:rPr>
        <w:t xml:space="preserve">eviews of costs under </w:t>
      </w:r>
      <w:r w:rsidR="00AB0B61" w:rsidRPr="00FD2C6C">
        <w:rPr>
          <w:rFonts w:ascii="Book Antiqua" w:hAnsi="Book Antiqua"/>
          <w:b/>
          <w:sz w:val="24"/>
          <w:szCs w:val="24"/>
        </w:rPr>
        <w:t xml:space="preserve">Legal </w:t>
      </w:r>
      <w:r w:rsidR="00AB0B61" w:rsidRPr="00303C13">
        <w:rPr>
          <w:rFonts w:ascii="Book Antiqua" w:hAnsi="Book Antiqua"/>
          <w:b/>
          <w:sz w:val="22"/>
          <w:szCs w:val="24"/>
        </w:rPr>
        <w:t>Profession</w:t>
      </w:r>
      <w:r w:rsidR="00AB0B61" w:rsidRPr="00FD2C6C">
        <w:rPr>
          <w:rFonts w:ascii="Book Antiqua" w:hAnsi="Book Antiqua"/>
          <w:b/>
          <w:sz w:val="24"/>
          <w:szCs w:val="24"/>
        </w:rPr>
        <w:t xml:space="preserve"> Legislation</w:t>
      </w:r>
      <w:r w:rsidR="00CE0385" w:rsidRPr="00FD2C6C">
        <w:rPr>
          <w:rFonts w:ascii="Book Antiqua" w:hAnsi="Book Antiqua"/>
          <w:sz w:val="24"/>
          <w:szCs w:val="24"/>
        </w:rPr>
        <w:t xml:space="preserve"> will be called over before </w:t>
      </w:r>
      <w:r w:rsidR="00AB0B61" w:rsidRPr="00FD2C6C">
        <w:rPr>
          <w:rFonts w:ascii="Book Antiqua" w:hAnsi="Book Antiqua"/>
          <w:sz w:val="24"/>
          <w:szCs w:val="24"/>
        </w:rPr>
        <w:t>Judicial Registrar Gourlay</w:t>
      </w:r>
      <w:r w:rsidR="00CE0385" w:rsidRPr="00FD2C6C">
        <w:rPr>
          <w:rFonts w:ascii="Book Antiqua" w:hAnsi="Book Antiqua"/>
          <w:sz w:val="24"/>
          <w:szCs w:val="24"/>
        </w:rPr>
        <w:t xml:space="preserve"> at 9.30am on the published call-over day. </w:t>
      </w:r>
    </w:p>
    <w:p w14:paraId="1B90839B" w14:textId="77777777" w:rsidR="00CC7B27" w:rsidRPr="00FD2C6C" w:rsidRDefault="00303C13" w:rsidP="00303C13">
      <w:pPr>
        <w:pStyle w:val="ListParagraph"/>
        <w:spacing w:before="120" w:after="120"/>
        <w:ind w:hanging="720"/>
        <w:contextualSpacing w:val="0"/>
        <w:jc w:val="both"/>
        <w:rPr>
          <w:rFonts w:ascii="Book Antiqua" w:hAnsi="Book Antiqua"/>
          <w:sz w:val="24"/>
          <w:szCs w:val="24"/>
        </w:rPr>
      </w:pPr>
      <w:r>
        <w:rPr>
          <w:rFonts w:ascii="Book Antiqua" w:hAnsi="Book Antiqua"/>
          <w:sz w:val="24"/>
          <w:szCs w:val="24"/>
        </w:rPr>
        <w:t>8.2</w:t>
      </w:r>
      <w:r>
        <w:rPr>
          <w:rFonts w:ascii="Book Antiqua" w:hAnsi="Book Antiqua"/>
          <w:sz w:val="24"/>
          <w:szCs w:val="24"/>
        </w:rPr>
        <w:tab/>
      </w:r>
      <w:r w:rsidR="00CC7B27" w:rsidRPr="00FD2C6C">
        <w:rPr>
          <w:rFonts w:ascii="Book Antiqua" w:hAnsi="Book Antiqua"/>
          <w:sz w:val="24"/>
          <w:szCs w:val="24"/>
        </w:rPr>
        <w:t xml:space="preserve">Reviews from </w:t>
      </w:r>
      <w:r w:rsidR="00624DF2">
        <w:rPr>
          <w:rFonts w:ascii="Book Antiqua" w:hAnsi="Book Antiqua"/>
          <w:sz w:val="24"/>
          <w:szCs w:val="24"/>
        </w:rPr>
        <w:t xml:space="preserve">a </w:t>
      </w:r>
      <w:r w:rsidR="00CC7B27" w:rsidRPr="00FD2C6C">
        <w:rPr>
          <w:rFonts w:ascii="Book Antiqua" w:hAnsi="Book Antiqua"/>
          <w:sz w:val="24"/>
          <w:szCs w:val="24"/>
        </w:rPr>
        <w:t xml:space="preserve">decision of </w:t>
      </w:r>
      <w:r w:rsidR="00624DF2">
        <w:rPr>
          <w:rFonts w:ascii="Book Antiqua" w:hAnsi="Book Antiqua"/>
          <w:sz w:val="24"/>
          <w:szCs w:val="24"/>
        </w:rPr>
        <w:t xml:space="preserve">a </w:t>
      </w:r>
      <w:r w:rsidR="00CC7B27" w:rsidRPr="00FD2C6C">
        <w:rPr>
          <w:rFonts w:ascii="Book Antiqua" w:hAnsi="Book Antiqua"/>
          <w:sz w:val="24"/>
          <w:szCs w:val="24"/>
        </w:rPr>
        <w:t>Costs Registrar</w:t>
      </w:r>
      <w:r w:rsidR="00A86698">
        <w:rPr>
          <w:rFonts w:ascii="Book Antiqua" w:hAnsi="Book Antiqua"/>
          <w:sz w:val="24"/>
          <w:szCs w:val="24"/>
        </w:rPr>
        <w:t xml:space="preserve"> </w:t>
      </w:r>
      <w:r w:rsidR="00AB0B61" w:rsidRPr="00FD2C6C">
        <w:rPr>
          <w:rFonts w:ascii="Book Antiqua" w:hAnsi="Book Antiqua"/>
          <w:sz w:val="24"/>
          <w:szCs w:val="24"/>
        </w:rPr>
        <w:t xml:space="preserve">or the Judicial Registrar in </w:t>
      </w:r>
      <w:r w:rsidR="00701163" w:rsidRPr="00FD2C6C">
        <w:rPr>
          <w:rFonts w:ascii="Book Antiqua" w:hAnsi="Book Antiqua"/>
          <w:sz w:val="24"/>
          <w:szCs w:val="24"/>
        </w:rPr>
        <w:t>Party Party</w:t>
      </w:r>
      <w:r w:rsidR="00AB0B61" w:rsidRPr="00FD2C6C">
        <w:rPr>
          <w:rFonts w:ascii="Book Antiqua" w:hAnsi="Book Antiqua"/>
          <w:sz w:val="24"/>
          <w:szCs w:val="24"/>
        </w:rPr>
        <w:t xml:space="preserve"> matters </w:t>
      </w:r>
      <w:r w:rsidR="00297491" w:rsidRPr="00FD2C6C">
        <w:rPr>
          <w:rFonts w:ascii="Book Antiqua" w:hAnsi="Book Antiqua"/>
          <w:sz w:val="24"/>
          <w:szCs w:val="24"/>
        </w:rPr>
        <w:t xml:space="preserve">and </w:t>
      </w:r>
      <w:r w:rsidR="00A86698">
        <w:rPr>
          <w:rFonts w:ascii="Book Antiqua" w:hAnsi="Book Antiqua"/>
          <w:sz w:val="24"/>
          <w:szCs w:val="24"/>
        </w:rPr>
        <w:t xml:space="preserve">all reviews </w:t>
      </w:r>
      <w:r w:rsidR="00297491" w:rsidRPr="00FD2C6C">
        <w:rPr>
          <w:rFonts w:ascii="Book Antiqua" w:hAnsi="Book Antiqua"/>
          <w:sz w:val="24"/>
          <w:szCs w:val="24"/>
        </w:rPr>
        <w:t xml:space="preserve">under </w:t>
      </w:r>
      <w:r w:rsidR="00EE53E8" w:rsidRPr="00FD2C6C">
        <w:rPr>
          <w:rFonts w:ascii="Book Antiqua" w:hAnsi="Book Antiqua"/>
          <w:sz w:val="24"/>
          <w:szCs w:val="24"/>
        </w:rPr>
        <w:t xml:space="preserve">the </w:t>
      </w:r>
      <w:r w:rsidR="00297491" w:rsidRPr="00FD2C6C">
        <w:rPr>
          <w:rFonts w:ascii="Book Antiqua" w:hAnsi="Book Antiqua"/>
          <w:b/>
          <w:sz w:val="24"/>
          <w:szCs w:val="24"/>
        </w:rPr>
        <w:t>Legal Profession Legislation</w:t>
      </w:r>
      <w:r w:rsidR="00297491" w:rsidRPr="00FD2C6C">
        <w:rPr>
          <w:rFonts w:ascii="Book Antiqua" w:hAnsi="Book Antiqua"/>
          <w:sz w:val="24"/>
          <w:szCs w:val="24"/>
        </w:rPr>
        <w:t xml:space="preserve"> </w:t>
      </w:r>
      <w:r w:rsidR="00CC7B27" w:rsidRPr="00FD2C6C">
        <w:rPr>
          <w:rFonts w:ascii="Book Antiqua" w:hAnsi="Book Antiqua"/>
          <w:sz w:val="24"/>
          <w:szCs w:val="24"/>
        </w:rPr>
        <w:t>will be initially listed for call</w:t>
      </w:r>
      <w:r w:rsidR="00AB0B61" w:rsidRPr="00FD2C6C">
        <w:rPr>
          <w:rFonts w:ascii="Book Antiqua" w:hAnsi="Book Antiqua"/>
          <w:sz w:val="24"/>
          <w:szCs w:val="24"/>
        </w:rPr>
        <w:t>-</w:t>
      </w:r>
      <w:r w:rsidR="00CC7B27" w:rsidRPr="00FD2C6C">
        <w:rPr>
          <w:rFonts w:ascii="Book Antiqua" w:hAnsi="Book Antiqua"/>
          <w:sz w:val="24"/>
          <w:szCs w:val="24"/>
        </w:rPr>
        <w:t xml:space="preserve">over before </w:t>
      </w:r>
      <w:r w:rsidR="00AB0B61" w:rsidRPr="00FD2C6C">
        <w:rPr>
          <w:rFonts w:ascii="Book Antiqua" w:hAnsi="Book Antiqua"/>
          <w:sz w:val="24"/>
          <w:szCs w:val="24"/>
        </w:rPr>
        <w:t>Judicial Registrar Gourlay</w:t>
      </w:r>
      <w:r w:rsidR="00CC7B27" w:rsidRPr="00FD2C6C">
        <w:rPr>
          <w:rFonts w:ascii="Book Antiqua" w:hAnsi="Book Antiqua"/>
          <w:sz w:val="24"/>
          <w:szCs w:val="24"/>
        </w:rPr>
        <w:t xml:space="preserve"> with directions made for the conduct of the review.</w:t>
      </w:r>
      <w:r w:rsidR="00516270" w:rsidRPr="00FD2C6C">
        <w:rPr>
          <w:rFonts w:ascii="Book Antiqua" w:hAnsi="Book Antiqua"/>
          <w:sz w:val="24"/>
          <w:szCs w:val="24"/>
        </w:rPr>
        <w:t xml:space="preserve"> See </w:t>
      </w:r>
      <w:r w:rsidR="003F4E0A">
        <w:rPr>
          <w:rFonts w:ascii="Book Antiqua" w:hAnsi="Book Antiqua"/>
          <w:sz w:val="24"/>
          <w:szCs w:val="24"/>
        </w:rPr>
        <w:t xml:space="preserve">Part 9 Review, Consideration and Appeal - </w:t>
      </w:r>
      <w:r w:rsidR="007D2315" w:rsidRPr="00FD2C6C">
        <w:rPr>
          <w:rFonts w:ascii="Book Antiqua" w:hAnsi="Book Antiqua"/>
          <w:sz w:val="24"/>
          <w:szCs w:val="24"/>
        </w:rPr>
        <w:t>Order</w:t>
      </w:r>
      <w:r w:rsidR="003F4E0A">
        <w:rPr>
          <w:rFonts w:ascii="Book Antiqua" w:hAnsi="Book Antiqua"/>
          <w:sz w:val="24"/>
          <w:szCs w:val="24"/>
        </w:rPr>
        <w:t>s</w:t>
      </w:r>
      <w:r w:rsidR="007D2315" w:rsidRPr="00FD2C6C">
        <w:rPr>
          <w:rFonts w:ascii="Book Antiqua" w:hAnsi="Book Antiqua"/>
          <w:sz w:val="24"/>
          <w:szCs w:val="24"/>
        </w:rPr>
        <w:t xml:space="preserve"> 63.90 – 63.107 </w:t>
      </w:r>
    </w:p>
    <w:p w14:paraId="12158FCD" w14:textId="77777777" w:rsidR="002A36DF" w:rsidRPr="00FD2C6C" w:rsidRDefault="00303C13" w:rsidP="00303C13">
      <w:pPr>
        <w:pStyle w:val="ListParagraph"/>
        <w:spacing w:before="120" w:after="120"/>
        <w:ind w:hanging="720"/>
        <w:jc w:val="both"/>
        <w:rPr>
          <w:rFonts w:ascii="Book Antiqua" w:hAnsi="Book Antiqua"/>
          <w:sz w:val="24"/>
          <w:szCs w:val="24"/>
        </w:rPr>
      </w:pPr>
      <w:r>
        <w:rPr>
          <w:rFonts w:ascii="Book Antiqua" w:hAnsi="Book Antiqua"/>
          <w:sz w:val="24"/>
          <w:szCs w:val="24"/>
        </w:rPr>
        <w:t>8.3</w:t>
      </w:r>
      <w:r>
        <w:rPr>
          <w:rFonts w:ascii="Book Antiqua" w:hAnsi="Book Antiqua"/>
          <w:sz w:val="24"/>
          <w:szCs w:val="24"/>
        </w:rPr>
        <w:tab/>
      </w:r>
      <w:r w:rsidR="002A36DF" w:rsidRPr="00FD2C6C">
        <w:rPr>
          <w:rFonts w:ascii="Book Antiqua" w:hAnsi="Book Antiqua"/>
          <w:sz w:val="24"/>
          <w:szCs w:val="24"/>
        </w:rPr>
        <w:t>All other matters are commenced by filing a Summons for Taxation, any bill of costs or invoice that is sought to be reviewed, the Solicitor and  Client Taxation Information Form (see below), a copy of any costs agreements, costs disclosures and any other documents the applicant relies upon in the costs review, and by payment of the requisite filing fee.</w:t>
      </w:r>
    </w:p>
    <w:p w14:paraId="603A71AE" w14:textId="77777777" w:rsidR="002A36DF" w:rsidRPr="00FD2C6C" w:rsidRDefault="00303C13" w:rsidP="00303C13">
      <w:pPr>
        <w:pStyle w:val="ListParagraph"/>
        <w:spacing w:before="120" w:after="120"/>
        <w:ind w:hanging="720"/>
        <w:contextualSpacing w:val="0"/>
        <w:jc w:val="both"/>
        <w:rPr>
          <w:rFonts w:ascii="Book Antiqua" w:hAnsi="Book Antiqua"/>
          <w:sz w:val="24"/>
          <w:szCs w:val="24"/>
        </w:rPr>
      </w:pPr>
      <w:r>
        <w:rPr>
          <w:rFonts w:ascii="Book Antiqua" w:hAnsi="Book Antiqua"/>
          <w:sz w:val="24"/>
          <w:szCs w:val="24"/>
        </w:rPr>
        <w:lastRenderedPageBreak/>
        <w:t>8.4</w:t>
      </w:r>
      <w:r>
        <w:rPr>
          <w:rFonts w:ascii="Book Antiqua" w:hAnsi="Book Antiqua"/>
          <w:sz w:val="24"/>
          <w:szCs w:val="24"/>
        </w:rPr>
        <w:tab/>
      </w:r>
      <w:r w:rsidR="002A36DF" w:rsidRPr="00FD2C6C">
        <w:rPr>
          <w:rFonts w:ascii="Book Antiqua" w:hAnsi="Book Antiqua"/>
          <w:sz w:val="24"/>
          <w:szCs w:val="24"/>
        </w:rPr>
        <w:t>The party initiating the</w:t>
      </w:r>
      <w:r w:rsidR="006661AC">
        <w:rPr>
          <w:rFonts w:ascii="Book Antiqua" w:hAnsi="Book Antiqua"/>
          <w:sz w:val="24"/>
          <w:szCs w:val="24"/>
        </w:rPr>
        <w:t xml:space="preserve">se </w:t>
      </w:r>
      <w:r w:rsidR="008D7477" w:rsidRPr="00FD2C6C">
        <w:rPr>
          <w:rFonts w:ascii="Book Antiqua" w:hAnsi="Book Antiqua"/>
          <w:sz w:val="24"/>
          <w:szCs w:val="24"/>
        </w:rPr>
        <w:t>review</w:t>
      </w:r>
      <w:r w:rsidR="006661AC">
        <w:rPr>
          <w:rFonts w:ascii="Book Antiqua" w:hAnsi="Book Antiqua"/>
          <w:sz w:val="24"/>
          <w:szCs w:val="24"/>
        </w:rPr>
        <w:t>s</w:t>
      </w:r>
      <w:r w:rsidR="002A36DF" w:rsidRPr="00FD2C6C">
        <w:rPr>
          <w:rFonts w:ascii="Book Antiqua" w:hAnsi="Book Antiqua"/>
          <w:sz w:val="24"/>
          <w:szCs w:val="24"/>
        </w:rPr>
        <w:t xml:space="preserve"> </w:t>
      </w:r>
      <w:r w:rsidR="006661AC">
        <w:rPr>
          <w:rFonts w:ascii="Book Antiqua" w:hAnsi="Book Antiqua"/>
          <w:sz w:val="24"/>
          <w:szCs w:val="24"/>
        </w:rPr>
        <w:t xml:space="preserve">of costs </w:t>
      </w:r>
      <w:r w:rsidR="002A36DF" w:rsidRPr="00FD2C6C">
        <w:rPr>
          <w:rFonts w:ascii="Book Antiqua" w:hAnsi="Book Antiqua"/>
          <w:sz w:val="24"/>
          <w:szCs w:val="24"/>
        </w:rPr>
        <w:t xml:space="preserve">must email the completed Taxation Information Sheet to: </w:t>
      </w:r>
      <w:hyperlink r:id="rId15" w:history="1">
        <w:r w:rsidR="00FC5041" w:rsidRPr="00FD2C6C">
          <w:rPr>
            <w:rStyle w:val="Hyperlink"/>
            <w:rFonts w:ascii="Book Antiqua" w:hAnsi="Book Antiqua"/>
            <w:color w:val="auto"/>
            <w:sz w:val="24"/>
            <w:szCs w:val="24"/>
          </w:rPr>
          <w:t>costs.court@supcourt.vic.gov.au</w:t>
        </w:r>
      </w:hyperlink>
      <w:r w:rsidR="008D7477" w:rsidRPr="00FD2C6C">
        <w:rPr>
          <w:rStyle w:val="Hyperlink"/>
          <w:rFonts w:ascii="Book Antiqua" w:hAnsi="Book Antiqua"/>
          <w:color w:val="auto"/>
          <w:sz w:val="24"/>
          <w:szCs w:val="24"/>
        </w:rPr>
        <w:t xml:space="preserve">   </w:t>
      </w:r>
    </w:p>
    <w:p w14:paraId="3D28019E" w14:textId="77777777" w:rsidR="002A36DF" w:rsidRPr="00FD2C6C" w:rsidRDefault="00303C13" w:rsidP="00A45022">
      <w:pPr>
        <w:pStyle w:val="ListParagraph"/>
        <w:spacing w:before="120" w:after="240"/>
        <w:ind w:hanging="720"/>
        <w:contextualSpacing w:val="0"/>
        <w:jc w:val="both"/>
        <w:rPr>
          <w:rFonts w:ascii="Book Antiqua" w:hAnsi="Book Antiqua"/>
          <w:sz w:val="24"/>
          <w:szCs w:val="24"/>
        </w:rPr>
      </w:pPr>
      <w:r>
        <w:rPr>
          <w:rFonts w:ascii="Book Antiqua" w:hAnsi="Book Antiqua"/>
          <w:sz w:val="24"/>
          <w:szCs w:val="24"/>
        </w:rPr>
        <w:t>8.5</w:t>
      </w:r>
      <w:r>
        <w:rPr>
          <w:rFonts w:ascii="Book Antiqua" w:hAnsi="Book Antiqua"/>
          <w:sz w:val="24"/>
          <w:szCs w:val="24"/>
        </w:rPr>
        <w:tab/>
      </w:r>
      <w:r w:rsidR="008D7477" w:rsidRPr="00FD2C6C">
        <w:rPr>
          <w:rFonts w:ascii="Book Antiqua" w:hAnsi="Book Antiqua"/>
          <w:sz w:val="24"/>
          <w:szCs w:val="24"/>
        </w:rPr>
        <w:t>Where at the call-over the matter is listed for a Mediation t</w:t>
      </w:r>
      <w:r w:rsidR="002A36DF" w:rsidRPr="00FD2C6C">
        <w:rPr>
          <w:rFonts w:ascii="Book Antiqua" w:hAnsi="Book Antiqua"/>
          <w:sz w:val="24"/>
          <w:szCs w:val="24"/>
        </w:rPr>
        <w:t>he requirement</w:t>
      </w:r>
      <w:r w:rsidR="008D7477" w:rsidRPr="00FD2C6C">
        <w:rPr>
          <w:rFonts w:ascii="Book Antiqua" w:hAnsi="Book Antiqua"/>
          <w:sz w:val="24"/>
          <w:szCs w:val="24"/>
        </w:rPr>
        <w:t>s</w:t>
      </w:r>
      <w:r w:rsidR="002A36DF" w:rsidRPr="00FD2C6C">
        <w:rPr>
          <w:rFonts w:ascii="Book Antiqua" w:hAnsi="Book Antiqua"/>
          <w:sz w:val="24"/>
          <w:szCs w:val="24"/>
        </w:rPr>
        <w:t xml:space="preserve"> specified in </w:t>
      </w:r>
      <w:r w:rsidR="006661AC">
        <w:rPr>
          <w:rFonts w:ascii="Book Antiqua" w:hAnsi="Book Antiqua"/>
          <w:sz w:val="24"/>
          <w:szCs w:val="24"/>
        </w:rPr>
        <w:t xml:space="preserve">paragraph 7.7 above and paragraph 13 below </w:t>
      </w:r>
      <w:r w:rsidR="002A36DF" w:rsidRPr="00FD2C6C">
        <w:rPr>
          <w:rFonts w:ascii="Book Antiqua" w:hAnsi="Book Antiqua"/>
          <w:sz w:val="24"/>
          <w:szCs w:val="24"/>
        </w:rPr>
        <w:t>apply</w:t>
      </w:r>
      <w:r w:rsidR="008D7477" w:rsidRPr="00FD2C6C">
        <w:rPr>
          <w:rFonts w:ascii="Book Antiqua" w:hAnsi="Book Antiqua"/>
          <w:sz w:val="24"/>
          <w:szCs w:val="24"/>
        </w:rPr>
        <w:t>.</w:t>
      </w:r>
      <w:r w:rsidR="002A36DF" w:rsidRPr="00FD2C6C">
        <w:rPr>
          <w:rFonts w:ascii="Book Antiqua" w:hAnsi="Book Antiqua"/>
          <w:sz w:val="24"/>
          <w:szCs w:val="24"/>
        </w:rPr>
        <w:t xml:space="preserve">  </w:t>
      </w:r>
    </w:p>
    <w:p w14:paraId="42D2E955" w14:textId="77777777" w:rsidR="00266BB2" w:rsidRPr="007917BE" w:rsidRDefault="00303C13" w:rsidP="00303C13">
      <w:pPr>
        <w:pStyle w:val="Heading1"/>
      </w:pPr>
      <w:r>
        <w:t>9.</w:t>
      </w:r>
      <w:r>
        <w:tab/>
      </w:r>
      <w:r w:rsidR="00266BB2">
        <w:t>TAXATION INFORMATION FORMs</w:t>
      </w:r>
    </w:p>
    <w:p w14:paraId="304E410A" w14:textId="77777777" w:rsidR="00266BB2" w:rsidRPr="00DA1779" w:rsidRDefault="00303C13" w:rsidP="00303C13">
      <w:pPr>
        <w:pStyle w:val="ListParagraph"/>
        <w:spacing w:before="120" w:after="120"/>
        <w:ind w:hanging="720"/>
        <w:contextualSpacing w:val="0"/>
        <w:jc w:val="both"/>
        <w:rPr>
          <w:rFonts w:ascii="Book Antiqua" w:hAnsi="Book Antiqua"/>
          <w:sz w:val="24"/>
          <w:szCs w:val="24"/>
        </w:rPr>
      </w:pPr>
      <w:r>
        <w:rPr>
          <w:rFonts w:ascii="Book Antiqua" w:hAnsi="Book Antiqua"/>
          <w:sz w:val="24"/>
          <w:szCs w:val="24"/>
        </w:rPr>
        <w:t>9.1</w:t>
      </w:r>
      <w:r>
        <w:rPr>
          <w:rFonts w:ascii="Book Antiqua" w:hAnsi="Book Antiqua"/>
          <w:sz w:val="24"/>
          <w:szCs w:val="24"/>
        </w:rPr>
        <w:tab/>
      </w:r>
      <w:r w:rsidR="00266BB2" w:rsidRPr="00DA1779">
        <w:rPr>
          <w:rFonts w:ascii="Book Antiqua" w:hAnsi="Book Antiqua"/>
          <w:sz w:val="24"/>
          <w:szCs w:val="24"/>
        </w:rPr>
        <w:t xml:space="preserve">When </w:t>
      </w:r>
      <w:r w:rsidR="00266BB2">
        <w:rPr>
          <w:rFonts w:ascii="Book Antiqua" w:hAnsi="Book Antiqua"/>
          <w:sz w:val="24"/>
          <w:szCs w:val="24"/>
        </w:rPr>
        <w:t>e-</w:t>
      </w:r>
      <w:r w:rsidR="000373E9">
        <w:rPr>
          <w:rFonts w:ascii="Book Antiqua" w:hAnsi="Book Antiqua"/>
          <w:sz w:val="24"/>
          <w:szCs w:val="24"/>
        </w:rPr>
        <w:t>filing a s</w:t>
      </w:r>
      <w:r w:rsidR="00266BB2" w:rsidRPr="00DA1779">
        <w:rPr>
          <w:rFonts w:ascii="Book Antiqua" w:hAnsi="Book Antiqua"/>
          <w:sz w:val="24"/>
          <w:szCs w:val="24"/>
        </w:rPr>
        <w:t xml:space="preserve">ummons in the Costs Court, the practitioner for the applicant </w:t>
      </w:r>
      <w:r w:rsidR="00266BB2" w:rsidRPr="00D21E39">
        <w:rPr>
          <w:rFonts w:ascii="Book Antiqua" w:hAnsi="Book Antiqua"/>
          <w:b/>
          <w:sz w:val="24"/>
          <w:szCs w:val="24"/>
        </w:rPr>
        <w:t>must</w:t>
      </w:r>
      <w:r w:rsidR="00266BB2" w:rsidRPr="00DA1779">
        <w:rPr>
          <w:rFonts w:ascii="Book Antiqua" w:hAnsi="Book Antiqua"/>
          <w:sz w:val="24"/>
          <w:szCs w:val="24"/>
        </w:rPr>
        <w:t xml:space="preserve"> </w:t>
      </w:r>
      <w:r w:rsidR="00266BB2">
        <w:rPr>
          <w:rFonts w:ascii="Book Antiqua" w:hAnsi="Book Antiqua"/>
          <w:sz w:val="24"/>
          <w:szCs w:val="24"/>
        </w:rPr>
        <w:t>also e-file the completed Information Form including all</w:t>
      </w:r>
      <w:r w:rsidR="00266BB2" w:rsidRPr="00DA1779">
        <w:rPr>
          <w:rFonts w:ascii="Book Antiqua" w:hAnsi="Book Antiqua"/>
          <w:sz w:val="24"/>
          <w:szCs w:val="24"/>
        </w:rPr>
        <w:t xml:space="preserve"> information on the form annexed to this </w:t>
      </w:r>
      <w:r w:rsidR="00266BB2">
        <w:rPr>
          <w:rFonts w:ascii="Book Antiqua" w:hAnsi="Book Antiqua"/>
          <w:sz w:val="24"/>
          <w:szCs w:val="24"/>
        </w:rPr>
        <w:t>Practice Note</w:t>
      </w:r>
      <w:r w:rsidR="00266BB2" w:rsidRPr="00DA1779">
        <w:rPr>
          <w:rFonts w:ascii="Book Antiqua" w:hAnsi="Book Antiqua"/>
          <w:sz w:val="24"/>
          <w:szCs w:val="24"/>
        </w:rPr>
        <w:t>.</w:t>
      </w:r>
      <w:r w:rsidR="00266BB2">
        <w:rPr>
          <w:rFonts w:ascii="Book Antiqua" w:hAnsi="Book Antiqua"/>
          <w:sz w:val="24"/>
          <w:szCs w:val="24"/>
        </w:rPr>
        <w:t xml:space="preserve"> </w:t>
      </w:r>
      <w:r w:rsidR="00266BB2" w:rsidRPr="00DA1779">
        <w:rPr>
          <w:rFonts w:ascii="Book Antiqua" w:hAnsi="Book Antiqua"/>
          <w:sz w:val="24"/>
          <w:szCs w:val="24"/>
        </w:rPr>
        <w:t xml:space="preserve"> The completed form must accompany the Summons </w:t>
      </w:r>
      <w:r w:rsidR="00266BB2">
        <w:rPr>
          <w:rFonts w:ascii="Book Antiqua" w:hAnsi="Book Antiqua"/>
          <w:sz w:val="24"/>
          <w:szCs w:val="24"/>
        </w:rPr>
        <w:t>for Taxation,</w:t>
      </w:r>
      <w:r w:rsidR="00266BB2" w:rsidRPr="00DA1779">
        <w:rPr>
          <w:rFonts w:ascii="Book Antiqua" w:hAnsi="Book Antiqua"/>
          <w:sz w:val="24"/>
          <w:szCs w:val="24"/>
        </w:rPr>
        <w:t xml:space="preserve"> bill of costs</w:t>
      </w:r>
      <w:r w:rsidR="00266BB2">
        <w:rPr>
          <w:rFonts w:ascii="Book Antiqua" w:hAnsi="Book Antiqua"/>
          <w:sz w:val="24"/>
          <w:szCs w:val="24"/>
        </w:rPr>
        <w:t xml:space="preserve"> and any other documents required to be filed</w:t>
      </w:r>
      <w:r w:rsidR="00266BB2" w:rsidRPr="00DA1779">
        <w:rPr>
          <w:rFonts w:ascii="Book Antiqua" w:hAnsi="Book Antiqua"/>
          <w:sz w:val="24"/>
          <w:szCs w:val="24"/>
        </w:rPr>
        <w:t xml:space="preserve">.  The form will be placed on the court file and the applicant must serve a copy on all parties.  </w:t>
      </w:r>
    </w:p>
    <w:p w14:paraId="4521EA55" w14:textId="77777777" w:rsidR="00266BB2" w:rsidRPr="00DA1779" w:rsidRDefault="00303C13" w:rsidP="00303C13">
      <w:pPr>
        <w:pStyle w:val="ListParagraph"/>
        <w:spacing w:before="120" w:after="120"/>
        <w:ind w:left="0"/>
        <w:contextualSpacing w:val="0"/>
        <w:jc w:val="both"/>
        <w:rPr>
          <w:rFonts w:ascii="Book Antiqua" w:hAnsi="Book Antiqua"/>
          <w:sz w:val="24"/>
          <w:szCs w:val="24"/>
        </w:rPr>
      </w:pPr>
      <w:r>
        <w:rPr>
          <w:rFonts w:ascii="Book Antiqua" w:hAnsi="Book Antiqua"/>
          <w:sz w:val="24"/>
          <w:szCs w:val="24"/>
        </w:rPr>
        <w:t>9.2</w:t>
      </w:r>
      <w:r>
        <w:rPr>
          <w:rFonts w:ascii="Book Antiqua" w:hAnsi="Book Antiqua"/>
          <w:sz w:val="24"/>
          <w:szCs w:val="24"/>
        </w:rPr>
        <w:tab/>
      </w:r>
      <w:r w:rsidR="00266BB2" w:rsidRPr="00DA1779">
        <w:rPr>
          <w:rFonts w:ascii="Book Antiqua" w:hAnsi="Book Antiqua"/>
          <w:sz w:val="24"/>
          <w:szCs w:val="24"/>
        </w:rPr>
        <w:t>The Summons for Taxation will not be issued without the completed form.</w:t>
      </w:r>
    </w:p>
    <w:p w14:paraId="4127A694" w14:textId="77777777" w:rsidR="00266BB2" w:rsidRPr="00DA1779" w:rsidRDefault="00303C13" w:rsidP="00303C13">
      <w:pPr>
        <w:pStyle w:val="ListParagraph"/>
        <w:spacing w:before="120" w:after="120"/>
        <w:ind w:left="0"/>
        <w:contextualSpacing w:val="0"/>
        <w:jc w:val="both"/>
        <w:rPr>
          <w:rFonts w:ascii="Book Antiqua" w:hAnsi="Book Antiqua"/>
          <w:sz w:val="24"/>
          <w:szCs w:val="24"/>
        </w:rPr>
      </w:pPr>
      <w:r>
        <w:rPr>
          <w:rFonts w:ascii="Book Antiqua" w:hAnsi="Book Antiqua"/>
          <w:sz w:val="24"/>
          <w:szCs w:val="24"/>
        </w:rPr>
        <w:t>9.3</w:t>
      </w:r>
      <w:r>
        <w:rPr>
          <w:rFonts w:ascii="Book Antiqua" w:hAnsi="Book Antiqua"/>
          <w:sz w:val="24"/>
          <w:szCs w:val="24"/>
        </w:rPr>
        <w:tab/>
      </w:r>
      <w:r w:rsidR="00266BB2" w:rsidRPr="00DA1779">
        <w:rPr>
          <w:rFonts w:ascii="Book Antiqua" w:hAnsi="Book Antiqua"/>
          <w:sz w:val="24"/>
          <w:szCs w:val="24"/>
        </w:rPr>
        <w:t xml:space="preserve">The information required to be provided includes: </w:t>
      </w:r>
    </w:p>
    <w:p w14:paraId="292E6498" w14:textId="77777777" w:rsidR="00266BB2" w:rsidRPr="00D21E39" w:rsidRDefault="00303C13" w:rsidP="00303C13">
      <w:pPr>
        <w:pStyle w:val="ListParagraph"/>
        <w:spacing w:before="120" w:after="120"/>
        <w:ind w:left="1440" w:hanging="720"/>
        <w:contextualSpacing w:val="0"/>
        <w:jc w:val="both"/>
        <w:rPr>
          <w:rFonts w:ascii="Book Antiqua" w:hAnsi="Book Antiqua"/>
          <w:sz w:val="24"/>
          <w:szCs w:val="24"/>
        </w:rPr>
      </w:pPr>
      <w:r>
        <w:rPr>
          <w:rFonts w:ascii="Book Antiqua" w:hAnsi="Book Antiqua"/>
          <w:sz w:val="24"/>
          <w:szCs w:val="24"/>
        </w:rPr>
        <w:t>9.3.1</w:t>
      </w:r>
      <w:r>
        <w:rPr>
          <w:rFonts w:ascii="Book Antiqua" w:hAnsi="Book Antiqua"/>
          <w:sz w:val="24"/>
          <w:szCs w:val="24"/>
        </w:rPr>
        <w:tab/>
      </w:r>
      <w:r w:rsidR="00266BB2" w:rsidRPr="00DA1779">
        <w:rPr>
          <w:rFonts w:ascii="Book Antiqua" w:hAnsi="Book Antiqua"/>
          <w:sz w:val="24"/>
          <w:szCs w:val="24"/>
        </w:rPr>
        <w:t xml:space="preserve">Estimated time required </w:t>
      </w:r>
      <w:r w:rsidR="00266BB2" w:rsidRPr="00D21E39">
        <w:rPr>
          <w:rFonts w:ascii="Book Antiqua" w:hAnsi="Book Antiqua"/>
          <w:sz w:val="24"/>
          <w:szCs w:val="24"/>
        </w:rPr>
        <w:t>for the taxation of the bill of costs</w:t>
      </w:r>
      <w:r w:rsidR="00266BB2">
        <w:rPr>
          <w:rFonts w:ascii="Book Antiqua" w:hAnsi="Book Antiqua"/>
          <w:sz w:val="24"/>
          <w:szCs w:val="24"/>
        </w:rPr>
        <w:t>.</w:t>
      </w:r>
      <w:r w:rsidR="00266BB2" w:rsidRPr="00D21E39">
        <w:rPr>
          <w:rFonts w:ascii="Book Antiqua" w:hAnsi="Book Antiqua"/>
          <w:sz w:val="24"/>
          <w:szCs w:val="24"/>
        </w:rPr>
        <w:t xml:space="preserve"> </w:t>
      </w:r>
      <w:r w:rsidR="00266BB2">
        <w:rPr>
          <w:rFonts w:ascii="Book Antiqua" w:hAnsi="Book Antiqua"/>
          <w:sz w:val="24"/>
          <w:szCs w:val="24"/>
        </w:rPr>
        <w:t xml:space="preserve"> </w:t>
      </w:r>
      <w:r w:rsidR="00266BB2" w:rsidRPr="00D21E39">
        <w:rPr>
          <w:rFonts w:ascii="Book Antiqua" w:hAnsi="Book Antiqua"/>
          <w:sz w:val="24"/>
          <w:szCs w:val="24"/>
        </w:rPr>
        <w:t>The Costs Court should be notified as soon as practicable in the event of a revised estimate</w:t>
      </w:r>
      <w:r w:rsidR="00266BB2">
        <w:rPr>
          <w:rFonts w:ascii="Book Antiqua" w:hAnsi="Book Antiqua"/>
          <w:sz w:val="24"/>
          <w:szCs w:val="24"/>
        </w:rPr>
        <w:t xml:space="preserve"> and wherever possible revisions should be as agreed between the parties</w:t>
      </w:r>
      <w:r w:rsidR="00266BB2" w:rsidRPr="00D21E39">
        <w:rPr>
          <w:rFonts w:ascii="Book Antiqua" w:hAnsi="Book Antiqua"/>
          <w:sz w:val="24"/>
          <w:szCs w:val="24"/>
        </w:rPr>
        <w:t xml:space="preserve">. </w:t>
      </w:r>
      <w:r w:rsidR="00266BB2">
        <w:rPr>
          <w:rFonts w:ascii="Book Antiqua" w:hAnsi="Book Antiqua"/>
          <w:sz w:val="24"/>
          <w:szCs w:val="24"/>
        </w:rPr>
        <w:t xml:space="preserve"> </w:t>
      </w:r>
      <w:r w:rsidR="00266BB2" w:rsidRPr="00D21E39">
        <w:rPr>
          <w:rFonts w:ascii="Book Antiqua" w:hAnsi="Book Antiqua"/>
          <w:sz w:val="24"/>
          <w:szCs w:val="24"/>
        </w:rPr>
        <w:t>Where the hearing is likely to exceed three hours in length this must</w:t>
      </w:r>
      <w:r w:rsidR="00266BB2" w:rsidRPr="00D21E39">
        <w:rPr>
          <w:rFonts w:ascii="Book Antiqua" w:hAnsi="Book Antiqua"/>
          <w:b/>
          <w:sz w:val="24"/>
          <w:szCs w:val="24"/>
        </w:rPr>
        <w:t xml:space="preserve"> </w:t>
      </w:r>
      <w:r w:rsidR="00266BB2" w:rsidRPr="00D21E39">
        <w:rPr>
          <w:rFonts w:ascii="Book Antiqua" w:hAnsi="Book Antiqua"/>
          <w:sz w:val="24"/>
          <w:szCs w:val="24"/>
        </w:rPr>
        <w:t>be included in the form details.</w:t>
      </w:r>
    </w:p>
    <w:p w14:paraId="73D5D31D" w14:textId="77777777" w:rsidR="00266BB2" w:rsidRPr="00D21E39" w:rsidRDefault="00303C13" w:rsidP="00303C13">
      <w:pPr>
        <w:pStyle w:val="ListParagraph"/>
        <w:spacing w:before="120" w:after="120"/>
        <w:ind w:left="1440" w:hanging="720"/>
        <w:contextualSpacing w:val="0"/>
        <w:jc w:val="both"/>
        <w:rPr>
          <w:rFonts w:ascii="Book Antiqua" w:hAnsi="Book Antiqua"/>
          <w:sz w:val="24"/>
          <w:szCs w:val="24"/>
        </w:rPr>
      </w:pPr>
      <w:r>
        <w:rPr>
          <w:rFonts w:ascii="Book Antiqua" w:hAnsi="Book Antiqua"/>
          <w:sz w:val="24"/>
          <w:szCs w:val="24"/>
        </w:rPr>
        <w:t>9.3.2</w:t>
      </w:r>
      <w:r>
        <w:rPr>
          <w:rFonts w:ascii="Book Antiqua" w:hAnsi="Book Antiqua"/>
          <w:sz w:val="24"/>
          <w:szCs w:val="24"/>
        </w:rPr>
        <w:tab/>
      </w:r>
      <w:r w:rsidR="00266BB2" w:rsidRPr="00D21E39">
        <w:rPr>
          <w:rFonts w:ascii="Book Antiqua" w:hAnsi="Book Antiqua"/>
          <w:sz w:val="24"/>
          <w:szCs w:val="24"/>
        </w:rPr>
        <w:t xml:space="preserve">Summary of proceeding - Provide a short summary of the nature of the proceeding resulting in the entitlement to payment of costs, including details of the court order or agreement and the amount of costs and disbursements claimed.  </w:t>
      </w:r>
    </w:p>
    <w:p w14:paraId="6D10ECB4" w14:textId="77777777" w:rsidR="00266BB2" w:rsidRPr="00D21E39" w:rsidRDefault="00303C13" w:rsidP="00303C13">
      <w:pPr>
        <w:pStyle w:val="ListParagraph"/>
        <w:spacing w:before="120" w:after="120"/>
        <w:ind w:left="1440" w:hanging="720"/>
        <w:contextualSpacing w:val="0"/>
        <w:jc w:val="both"/>
        <w:rPr>
          <w:rFonts w:ascii="Book Antiqua" w:hAnsi="Book Antiqua"/>
          <w:sz w:val="24"/>
          <w:szCs w:val="24"/>
        </w:rPr>
      </w:pPr>
      <w:r>
        <w:rPr>
          <w:rFonts w:ascii="Book Antiqua" w:hAnsi="Book Antiqua"/>
          <w:sz w:val="24"/>
          <w:szCs w:val="24"/>
        </w:rPr>
        <w:t>9.3.3</w:t>
      </w:r>
      <w:r>
        <w:rPr>
          <w:rFonts w:ascii="Book Antiqua" w:hAnsi="Book Antiqua"/>
          <w:sz w:val="24"/>
          <w:szCs w:val="24"/>
        </w:rPr>
        <w:tab/>
      </w:r>
      <w:r w:rsidR="00266BB2" w:rsidRPr="00D21E39">
        <w:rPr>
          <w:rFonts w:ascii="Book Antiqua" w:hAnsi="Book Antiqua"/>
          <w:sz w:val="24"/>
          <w:szCs w:val="24"/>
        </w:rPr>
        <w:t>If the applicant is of the view that it is desirable fo</w:t>
      </w:r>
      <w:r w:rsidR="00266BB2">
        <w:rPr>
          <w:rFonts w:ascii="Book Antiqua" w:hAnsi="Book Antiqua"/>
          <w:sz w:val="24"/>
          <w:szCs w:val="24"/>
        </w:rPr>
        <w:t>r the matter to be listed at a c</w:t>
      </w:r>
      <w:r w:rsidR="00266BB2" w:rsidRPr="00D21E39">
        <w:rPr>
          <w:rFonts w:ascii="Book Antiqua" w:hAnsi="Book Antiqua"/>
          <w:sz w:val="24"/>
          <w:szCs w:val="24"/>
        </w:rPr>
        <w:t>all</w:t>
      </w:r>
      <w:r w:rsidR="00266BB2">
        <w:rPr>
          <w:rFonts w:ascii="Book Antiqua" w:hAnsi="Book Antiqua"/>
          <w:sz w:val="24"/>
          <w:szCs w:val="24"/>
        </w:rPr>
        <w:t xml:space="preserve"> </w:t>
      </w:r>
      <w:r w:rsidR="00266BB2" w:rsidRPr="00D21E39">
        <w:rPr>
          <w:rFonts w:ascii="Book Antiqua" w:hAnsi="Book Antiqua"/>
          <w:sz w:val="24"/>
          <w:szCs w:val="24"/>
        </w:rPr>
        <w:t xml:space="preserve">over, the applicant must provide reasons why, e.g. the </w:t>
      </w:r>
      <w:r w:rsidR="00266BB2">
        <w:rPr>
          <w:rFonts w:ascii="Book Antiqua" w:hAnsi="Book Antiqua"/>
          <w:sz w:val="24"/>
          <w:szCs w:val="24"/>
        </w:rPr>
        <w:t>respondent is likely to be self-</w:t>
      </w:r>
      <w:r w:rsidR="00266BB2" w:rsidRPr="00D21E39">
        <w:rPr>
          <w:rFonts w:ascii="Book Antiqua" w:hAnsi="Book Antiqua"/>
          <w:sz w:val="24"/>
          <w:szCs w:val="24"/>
        </w:rPr>
        <w:t xml:space="preserve">represented or directions are required. </w:t>
      </w:r>
    </w:p>
    <w:p w14:paraId="3D55A842" w14:textId="77777777" w:rsidR="00032D2B" w:rsidRPr="00680452" w:rsidRDefault="00303C13" w:rsidP="00303C13">
      <w:pPr>
        <w:pStyle w:val="ListParagraph"/>
        <w:spacing w:before="120" w:after="120"/>
        <w:ind w:left="1440" w:hanging="720"/>
        <w:contextualSpacing w:val="0"/>
        <w:jc w:val="both"/>
        <w:rPr>
          <w:rFonts w:ascii="Book Antiqua" w:hAnsi="Book Antiqua"/>
          <w:sz w:val="24"/>
          <w:szCs w:val="24"/>
        </w:rPr>
      </w:pPr>
      <w:r>
        <w:rPr>
          <w:rFonts w:ascii="Book Antiqua" w:hAnsi="Book Antiqua"/>
          <w:sz w:val="24"/>
          <w:szCs w:val="24"/>
        </w:rPr>
        <w:t>9.3.4</w:t>
      </w:r>
      <w:r>
        <w:rPr>
          <w:rFonts w:ascii="Book Antiqua" w:hAnsi="Book Antiqua"/>
          <w:sz w:val="24"/>
          <w:szCs w:val="24"/>
        </w:rPr>
        <w:tab/>
      </w:r>
      <w:r w:rsidR="00266BB2" w:rsidRPr="00D21E39">
        <w:rPr>
          <w:rFonts w:ascii="Book Antiqua" w:hAnsi="Book Antiqua"/>
          <w:sz w:val="24"/>
          <w:szCs w:val="24"/>
        </w:rPr>
        <w:t xml:space="preserve">Whether the application is contested/unopposed/ex parte/by consent – In any matter if orders are sought by consent, signed minutes should be provided to the court at some time before the hearing date. </w:t>
      </w:r>
      <w:r w:rsidR="00266BB2">
        <w:rPr>
          <w:rFonts w:ascii="Book Antiqua" w:hAnsi="Book Antiqua"/>
          <w:sz w:val="24"/>
          <w:szCs w:val="24"/>
        </w:rPr>
        <w:t xml:space="preserve"> </w:t>
      </w:r>
      <w:r w:rsidR="00266BB2" w:rsidRPr="00D21E39">
        <w:rPr>
          <w:rFonts w:ascii="Book Antiqua" w:hAnsi="Book Antiqua"/>
          <w:sz w:val="24"/>
          <w:szCs w:val="24"/>
        </w:rPr>
        <w:t xml:space="preserve">Where signed consent minutes of order are sent (usually in PDF), an editable version should also be sent either in rich text or Word (editable) format to </w:t>
      </w:r>
      <w:hyperlink r:id="rId16" w:history="1">
        <w:r w:rsidR="00266BB2" w:rsidRPr="0051733A">
          <w:rPr>
            <w:rStyle w:val="Hyperlink"/>
            <w:rFonts w:ascii="Book Antiqua" w:hAnsi="Book Antiqua"/>
            <w:sz w:val="24"/>
            <w:szCs w:val="24"/>
          </w:rPr>
          <w:t>costs.court@supcourt.vic.gov.au</w:t>
        </w:r>
      </w:hyperlink>
      <w:r w:rsidR="00266BB2">
        <w:rPr>
          <w:rFonts w:ascii="Book Antiqua" w:hAnsi="Book Antiqua"/>
          <w:sz w:val="24"/>
          <w:szCs w:val="24"/>
        </w:rPr>
        <w:t xml:space="preserve"> </w:t>
      </w:r>
      <w:r w:rsidR="00266BB2" w:rsidRPr="00D21E39">
        <w:rPr>
          <w:rFonts w:ascii="Book Antiqua" w:hAnsi="Book Antiqua"/>
          <w:sz w:val="24"/>
          <w:szCs w:val="24"/>
        </w:rPr>
        <w:t xml:space="preserve">and to the Associate to Associate Justice Wood: </w:t>
      </w:r>
      <w:hyperlink r:id="rId17" w:history="1">
        <w:r w:rsidR="00266BB2" w:rsidRPr="002F1CEE">
          <w:rPr>
            <w:rStyle w:val="Hyperlink"/>
            <w:rFonts w:ascii="Book Antiqua" w:hAnsi="Book Antiqua"/>
            <w:sz w:val="24"/>
            <w:szCs w:val="24"/>
          </w:rPr>
          <w:t>wood.associate@supcourt.vic.gov.au</w:t>
        </w:r>
      </w:hyperlink>
      <w:r w:rsidR="00266BB2" w:rsidRPr="002F1CEE">
        <w:rPr>
          <w:rFonts w:ascii="Book Antiqua" w:hAnsi="Book Antiqua"/>
          <w:sz w:val="24"/>
          <w:szCs w:val="24"/>
        </w:rPr>
        <w:t>,</w:t>
      </w:r>
      <w:r w:rsidR="00266BB2" w:rsidRPr="00D21E39">
        <w:rPr>
          <w:rFonts w:ascii="Book Antiqua" w:hAnsi="Book Antiqua"/>
          <w:sz w:val="24"/>
          <w:szCs w:val="24"/>
        </w:rPr>
        <w:t xml:space="preserve"> as soon as practicable before the hearing.  A return email address is also required. </w:t>
      </w:r>
    </w:p>
    <w:p w14:paraId="1A24B0FD" w14:textId="77777777" w:rsidR="00E115C7" w:rsidRPr="00D21E39" w:rsidRDefault="00303C13" w:rsidP="00303C13">
      <w:pPr>
        <w:pStyle w:val="Heading1"/>
      </w:pPr>
      <w:r>
        <w:t>10.</w:t>
      </w:r>
      <w:r>
        <w:tab/>
      </w:r>
      <w:r w:rsidR="00E115C7" w:rsidRPr="00D21E39">
        <w:t>POINTS OF CONTACT</w:t>
      </w:r>
    </w:p>
    <w:p w14:paraId="0CA6988E" w14:textId="77777777" w:rsidR="00303C13" w:rsidRDefault="00303C13" w:rsidP="00303C13">
      <w:pPr>
        <w:pStyle w:val="ListBullet"/>
        <w:numPr>
          <w:ilvl w:val="0"/>
          <w:numId w:val="0"/>
        </w:numPr>
        <w:ind w:left="720" w:hanging="720"/>
        <w:rPr>
          <w:rFonts w:ascii="Book Antiqua" w:hAnsi="Book Antiqua"/>
        </w:rPr>
      </w:pPr>
      <w:r w:rsidRPr="00303C13">
        <w:rPr>
          <w:rFonts w:ascii="Book Antiqua" w:hAnsi="Book Antiqua"/>
        </w:rPr>
        <w:t>10.1</w:t>
      </w:r>
      <w:r w:rsidRPr="00303C13">
        <w:rPr>
          <w:rFonts w:ascii="Book Antiqua" w:hAnsi="Book Antiqua"/>
        </w:rPr>
        <w:tab/>
      </w:r>
      <w:r w:rsidR="00E115C7" w:rsidRPr="00303C13">
        <w:rPr>
          <w:rFonts w:ascii="Book Antiqua" w:hAnsi="Book Antiqua"/>
        </w:rPr>
        <w:t xml:space="preserve">For assessment and mediation listing, parties should contact the Principal </w:t>
      </w:r>
      <w:r w:rsidRPr="00303C13">
        <w:rPr>
          <w:rFonts w:ascii="Book Antiqua" w:hAnsi="Book Antiqua"/>
        </w:rPr>
        <w:t>Re</w:t>
      </w:r>
      <w:r w:rsidR="00E115C7" w:rsidRPr="00303C13">
        <w:rPr>
          <w:rFonts w:ascii="Book Antiqua" w:hAnsi="Book Antiqua"/>
        </w:rPr>
        <w:t xml:space="preserve">gistry via </w:t>
      </w:r>
    </w:p>
    <w:p w14:paraId="6E372D5D" w14:textId="77777777" w:rsidR="00E115C7" w:rsidRPr="00303C13" w:rsidRDefault="00E115C7" w:rsidP="00303C13">
      <w:pPr>
        <w:pStyle w:val="ListBullet"/>
        <w:numPr>
          <w:ilvl w:val="0"/>
          <w:numId w:val="0"/>
        </w:numPr>
        <w:ind w:left="2160" w:hanging="720"/>
        <w:rPr>
          <w:rFonts w:ascii="Book Antiqua" w:hAnsi="Book Antiqua"/>
        </w:rPr>
      </w:pPr>
      <w:r w:rsidRPr="00303C13">
        <w:rPr>
          <w:rFonts w:ascii="Book Antiqua" w:hAnsi="Book Antiqua"/>
        </w:rPr>
        <w:t xml:space="preserve">Email: </w:t>
      </w:r>
      <w:hyperlink r:id="rId18" w:history="1">
        <w:r w:rsidR="00266BB2" w:rsidRPr="00303C13">
          <w:rPr>
            <w:rStyle w:val="Hyperlink"/>
            <w:rFonts w:ascii="Book Antiqua" w:hAnsi="Book Antiqua"/>
          </w:rPr>
          <w:t>costs.court@supcourt.vic.gov.au</w:t>
        </w:r>
      </w:hyperlink>
      <w:r w:rsidR="00375E27" w:rsidRPr="00303C13">
        <w:rPr>
          <w:rFonts w:ascii="Book Antiqua" w:hAnsi="Book Antiqua"/>
        </w:rPr>
        <w:t xml:space="preserve"> </w:t>
      </w:r>
    </w:p>
    <w:p w14:paraId="55D44850" w14:textId="5B901F15" w:rsidR="00E115C7" w:rsidRDefault="00195776" w:rsidP="00303C13">
      <w:pPr>
        <w:pStyle w:val="ListParagraph"/>
        <w:spacing w:before="120" w:after="120"/>
        <w:ind w:left="1440"/>
        <w:contextualSpacing w:val="0"/>
        <w:jc w:val="both"/>
        <w:rPr>
          <w:rFonts w:ascii="Book Antiqua" w:hAnsi="Book Antiqua"/>
          <w:sz w:val="24"/>
          <w:szCs w:val="24"/>
        </w:rPr>
      </w:pPr>
      <w:r>
        <w:rPr>
          <w:rFonts w:ascii="Book Antiqua" w:hAnsi="Book Antiqua"/>
          <w:sz w:val="24"/>
          <w:szCs w:val="24"/>
        </w:rPr>
        <w:t xml:space="preserve">Phone: +61 (03) </w:t>
      </w:r>
      <w:r w:rsidR="00897A82">
        <w:rPr>
          <w:rFonts w:ascii="Book Antiqua" w:hAnsi="Book Antiqua"/>
          <w:sz w:val="24"/>
          <w:szCs w:val="24"/>
        </w:rPr>
        <w:t>8600 2155</w:t>
      </w:r>
    </w:p>
    <w:p w14:paraId="4BE704E5" w14:textId="77777777" w:rsidR="00E115C7" w:rsidRDefault="00303C13" w:rsidP="00303C13">
      <w:pPr>
        <w:pStyle w:val="ListParagraph"/>
        <w:spacing w:before="120" w:after="120"/>
        <w:ind w:hanging="720"/>
        <w:jc w:val="both"/>
        <w:rPr>
          <w:rFonts w:ascii="Book Antiqua" w:hAnsi="Book Antiqua"/>
          <w:sz w:val="24"/>
          <w:szCs w:val="24"/>
        </w:rPr>
      </w:pPr>
      <w:r>
        <w:rPr>
          <w:rFonts w:ascii="Book Antiqua" w:hAnsi="Book Antiqua"/>
          <w:sz w:val="24"/>
          <w:szCs w:val="24"/>
        </w:rPr>
        <w:t>10.2</w:t>
      </w:r>
      <w:r>
        <w:rPr>
          <w:rFonts w:ascii="Book Antiqua" w:hAnsi="Book Antiqua"/>
          <w:sz w:val="24"/>
          <w:szCs w:val="24"/>
        </w:rPr>
        <w:tab/>
      </w:r>
      <w:r w:rsidR="00E115C7" w:rsidRPr="00DA1779">
        <w:rPr>
          <w:rFonts w:ascii="Book Antiqua" w:hAnsi="Book Antiqua"/>
          <w:sz w:val="24"/>
          <w:szCs w:val="24"/>
        </w:rPr>
        <w:t>Where a matter settles or the mediation is no longer required, the solicitor for the applicant must not</w:t>
      </w:r>
      <w:r w:rsidR="009B081D">
        <w:rPr>
          <w:rFonts w:ascii="Book Antiqua" w:hAnsi="Book Antiqua"/>
          <w:sz w:val="24"/>
          <w:szCs w:val="24"/>
        </w:rPr>
        <w:t>ify the C</w:t>
      </w:r>
      <w:r w:rsidR="004213D7">
        <w:rPr>
          <w:rFonts w:ascii="Book Antiqua" w:hAnsi="Book Antiqua"/>
          <w:sz w:val="24"/>
          <w:szCs w:val="24"/>
        </w:rPr>
        <w:t xml:space="preserve">ourt immediately, via </w:t>
      </w:r>
    </w:p>
    <w:p w14:paraId="78B3AB3E" w14:textId="77777777" w:rsidR="00E115C7" w:rsidRPr="00DA1779" w:rsidRDefault="00E115C7" w:rsidP="00032D2B">
      <w:pPr>
        <w:pStyle w:val="ListParagraph"/>
        <w:spacing w:before="120" w:after="120"/>
        <w:ind w:left="1440"/>
        <w:jc w:val="both"/>
        <w:rPr>
          <w:rFonts w:ascii="Book Antiqua" w:hAnsi="Book Antiqua"/>
          <w:sz w:val="24"/>
          <w:szCs w:val="24"/>
        </w:rPr>
      </w:pPr>
      <w:r w:rsidRPr="00DA1779">
        <w:rPr>
          <w:rFonts w:ascii="Book Antiqua" w:hAnsi="Book Antiqua"/>
          <w:sz w:val="24"/>
          <w:szCs w:val="24"/>
        </w:rPr>
        <w:t xml:space="preserve">Email: </w:t>
      </w:r>
      <w:hyperlink r:id="rId19" w:history="1">
        <w:r w:rsidR="00266BB2" w:rsidRPr="007D2315">
          <w:rPr>
            <w:rStyle w:val="Hyperlink"/>
            <w:rFonts w:ascii="Book Antiqua" w:hAnsi="Book Antiqua"/>
            <w:sz w:val="24"/>
            <w:szCs w:val="24"/>
          </w:rPr>
          <w:t>costs.court@supcourt.vic.gov.au</w:t>
        </w:r>
      </w:hyperlink>
      <w:r w:rsidR="00375E27">
        <w:rPr>
          <w:rFonts w:ascii="Book Antiqua" w:hAnsi="Book Antiqua"/>
          <w:sz w:val="24"/>
          <w:szCs w:val="24"/>
        </w:rPr>
        <w:t xml:space="preserve"> </w:t>
      </w:r>
    </w:p>
    <w:p w14:paraId="1FBD5280" w14:textId="430544F1" w:rsidR="00005AE6" w:rsidRDefault="00E115C7" w:rsidP="00032D2B">
      <w:pPr>
        <w:pStyle w:val="ListParagraph"/>
        <w:spacing w:before="120" w:after="120"/>
        <w:ind w:left="1440"/>
        <w:jc w:val="both"/>
        <w:rPr>
          <w:rFonts w:ascii="Book Antiqua" w:hAnsi="Book Antiqua"/>
          <w:sz w:val="24"/>
          <w:szCs w:val="24"/>
        </w:rPr>
      </w:pPr>
      <w:r w:rsidRPr="00DA1779">
        <w:rPr>
          <w:rFonts w:ascii="Book Antiqua" w:hAnsi="Book Antiqua"/>
          <w:sz w:val="24"/>
          <w:szCs w:val="24"/>
        </w:rPr>
        <w:lastRenderedPageBreak/>
        <w:t xml:space="preserve">Phone: +61 (03) </w:t>
      </w:r>
      <w:r w:rsidR="00897A82">
        <w:rPr>
          <w:rFonts w:ascii="Book Antiqua" w:hAnsi="Book Antiqua"/>
          <w:sz w:val="24"/>
          <w:szCs w:val="24"/>
        </w:rPr>
        <w:t>8600 2124</w:t>
      </w:r>
      <w:bookmarkStart w:id="0" w:name="_GoBack"/>
      <w:bookmarkEnd w:id="0"/>
      <w:r w:rsidRPr="00DA1779">
        <w:rPr>
          <w:rFonts w:ascii="Book Antiqua" w:hAnsi="Book Antiqua"/>
          <w:sz w:val="24"/>
          <w:szCs w:val="24"/>
        </w:rPr>
        <w:t xml:space="preserve">   </w:t>
      </w:r>
    </w:p>
    <w:p w14:paraId="3D12BE69" w14:textId="77777777" w:rsidR="00E115C7" w:rsidRDefault="00E115C7" w:rsidP="00303C13">
      <w:pPr>
        <w:pStyle w:val="ListParagraph"/>
        <w:spacing w:before="120" w:after="120"/>
        <w:ind w:left="1440"/>
        <w:contextualSpacing w:val="0"/>
        <w:jc w:val="both"/>
        <w:rPr>
          <w:rFonts w:ascii="Book Antiqua" w:hAnsi="Book Antiqua"/>
          <w:sz w:val="24"/>
          <w:szCs w:val="24"/>
        </w:rPr>
      </w:pPr>
      <w:r w:rsidRPr="00DA1779">
        <w:rPr>
          <w:rFonts w:ascii="Book Antiqua" w:hAnsi="Book Antiqua"/>
          <w:sz w:val="24"/>
          <w:szCs w:val="24"/>
        </w:rPr>
        <w:t>Facsimile: +61 (03) 9603 9320</w:t>
      </w:r>
    </w:p>
    <w:p w14:paraId="131F87AE" w14:textId="77777777" w:rsidR="00E115C7" w:rsidRPr="00DA1779" w:rsidRDefault="00303C13" w:rsidP="00303C13">
      <w:pPr>
        <w:pStyle w:val="ListParagraph"/>
        <w:spacing w:before="120" w:after="120"/>
        <w:ind w:hanging="720"/>
        <w:contextualSpacing w:val="0"/>
        <w:jc w:val="both"/>
        <w:rPr>
          <w:rFonts w:ascii="Book Antiqua" w:hAnsi="Book Antiqua"/>
          <w:sz w:val="24"/>
          <w:szCs w:val="24"/>
        </w:rPr>
      </w:pPr>
      <w:r>
        <w:rPr>
          <w:rFonts w:ascii="Book Antiqua" w:hAnsi="Book Antiqua"/>
          <w:sz w:val="24"/>
          <w:szCs w:val="24"/>
        </w:rPr>
        <w:t>10.3</w:t>
      </w:r>
      <w:r>
        <w:rPr>
          <w:rFonts w:ascii="Book Antiqua" w:hAnsi="Book Antiqua"/>
          <w:sz w:val="24"/>
          <w:szCs w:val="24"/>
        </w:rPr>
        <w:tab/>
      </w:r>
      <w:r w:rsidR="00E115C7" w:rsidRPr="00DA1779">
        <w:rPr>
          <w:rFonts w:ascii="Book Antiqua" w:hAnsi="Book Antiqua"/>
          <w:sz w:val="24"/>
          <w:szCs w:val="24"/>
        </w:rPr>
        <w:t xml:space="preserve">Consent minutes must be sent in an editable Word format to </w:t>
      </w:r>
      <w:hyperlink r:id="rId20" w:history="1">
        <w:r w:rsidR="00266BB2" w:rsidRPr="007D2315">
          <w:rPr>
            <w:rStyle w:val="Hyperlink"/>
            <w:rFonts w:ascii="Book Antiqua" w:hAnsi="Book Antiqua"/>
            <w:sz w:val="24"/>
            <w:szCs w:val="24"/>
          </w:rPr>
          <w:t>costs.court@supcourt.vic.gov.au</w:t>
        </w:r>
      </w:hyperlink>
      <w:r w:rsidR="00CA6C2C">
        <w:rPr>
          <w:rFonts w:ascii="Book Antiqua" w:hAnsi="Book Antiqua"/>
          <w:sz w:val="24"/>
          <w:szCs w:val="24"/>
        </w:rPr>
        <w:t xml:space="preserve"> </w:t>
      </w:r>
      <w:r w:rsidR="00E115C7" w:rsidRPr="00DA1779">
        <w:rPr>
          <w:rFonts w:ascii="Book Antiqua" w:hAnsi="Book Antiqua"/>
          <w:sz w:val="24"/>
          <w:szCs w:val="24"/>
        </w:rPr>
        <w:t xml:space="preserve">as soon as practicable prior to the hearing and preferably no later than 4pm the day before the hearing. </w:t>
      </w:r>
    </w:p>
    <w:p w14:paraId="3BA4E744" w14:textId="77777777" w:rsidR="00E115C7" w:rsidRPr="00D21E39" w:rsidRDefault="00303C13" w:rsidP="00303C13">
      <w:pPr>
        <w:pStyle w:val="ListParagraph"/>
        <w:spacing w:before="120" w:after="120"/>
        <w:ind w:hanging="720"/>
        <w:jc w:val="both"/>
        <w:rPr>
          <w:rFonts w:ascii="Book Antiqua" w:hAnsi="Book Antiqua"/>
          <w:sz w:val="24"/>
          <w:szCs w:val="24"/>
        </w:rPr>
      </w:pPr>
      <w:r>
        <w:rPr>
          <w:rFonts w:ascii="Book Antiqua" w:hAnsi="Book Antiqua"/>
          <w:sz w:val="24"/>
          <w:szCs w:val="24"/>
        </w:rPr>
        <w:t>10.3</w:t>
      </w:r>
      <w:r>
        <w:rPr>
          <w:rFonts w:ascii="Book Antiqua" w:hAnsi="Book Antiqua"/>
          <w:sz w:val="24"/>
          <w:szCs w:val="24"/>
        </w:rPr>
        <w:tab/>
      </w:r>
      <w:r w:rsidR="00005AE6">
        <w:rPr>
          <w:rFonts w:ascii="Book Antiqua" w:hAnsi="Book Antiqua"/>
          <w:sz w:val="24"/>
          <w:szCs w:val="24"/>
        </w:rPr>
        <w:t xml:space="preserve">Following the </w:t>
      </w:r>
      <w:r w:rsidR="00E115C7" w:rsidRPr="00D21E39">
        <w:rPr>
          <w:rFonts w:ascii="Book Antiqua" w:hAnsi="Book Antiqua"/>
          <w:sz w:val="24"/>
          <w:szCs w:val="24"/>
        </w:rPr>
        <w:t>issue of proceeding</w:t>
      </w:r>
      <w:r w:rsidR="00005AE6">
        <w:rPr>
          <w:rFonts w:ascii="Book Antiqua" w:hAnsi="Book Antiqua"/>
          <w:sz w:val="24"/>
          <w:szCs w:val="24"/>
        </w:rPr>
        <w:t>s</w:t>
      </w:r>
      <w:r w:rsidR="00E115C7" w:rsidRPr="00D21E39">
        <w:rPr>
          <w:rFonts w:ascii="Book Antiqua" w:hAnsi="Book Antiqua"/>
          <w:sz w:val="24"/>
          <w:szCs w:val="24"/>
        </w:rPr>
        <w:t xml:space="preserve"> the point of contact for </w:t>
      </w:r>
      <w:r w:rsidR="00005AE6">
        <w:rPr>
          <w:rFonts w:ascii="Book Antiqua" w:hAnsi="Book Antiqua"/>
          <w:sz w:val="24"/>
          <w:szCs w:val="24"/>
        </w:rPr>
        <w:t xml:space="preserve">all Legal Profession Legislation </w:t>
      </w:r>
      <w:r w:rsidR="00624DF2">
        <w:rPr>
          <w:rFonts w:ascii="Book Antiqua" w:hAnsi="Book Antiqua"/>
          <w:sz w:val="24"/>
          <w:szCs w:val="24"/>
        </w:rPr>
        <w:t xml:space="preserve">maters </w:t>
      </w:r>
      <w:r w:rsidR="00005AE6">
        <w:rPr>
          <w:rFonts w:ascii="Book Antiqua" w:hAnsi="Book Antiqua"/>
          <w:sz w:val="24"/>
          <w:szCs w:val="24"/>
        </w:rPr>
        <w:t>is</w:t>
      </w:r>
      <w:r w:rsidR="00E115C7" w:rsidRPr="00D21E39">
        <w:rPr>
          <w:rFonts w:ascii="Book Antiqua" w:hAnsi="Book Antiqua"/>
          <w:sz w:val="24"/>
          <w:szCs w:val="24"/>
        </w:rPr>
        <w:t xml:space="preserve"> the Associate to Associate Justice Wood via </w:t>
      </w:r>
    </w:p>
    <w:p w14:paraId="4048F95D" w14:textId="77777777" w:rsidR="00E115C7" w:rsidRPr="00D21E39" w:rsidRDefault="00E115C7" w:rsidP="00032D2B">
      <w:pPr>
        <w:pStyle w:val="ListParagraph"/>
        <w:spacing w:before="120" w:after="120"/>
        <w:ind w:left="1440"/>
        <w:jc w:val="both"/>
        <w:rPr>
          <w:rFonts w:ascii="Book Antiqua" w:hAnsi="Book Antiqua"/>
          <w:sz w:val="24"/>
          <w:szCs w:val="24"/>
        </w:rPr>
      </w:pPr>
      <w:r w:rsidRPr="00D21E39">
        <w:rPr>
          <w:rFonts w:ascii="Book Antiqua" w:hAnsi="Book Antiqua"/>
          <w:sz w:val="24"/>
          <w:szCs w:val="24"/>
        </w:rPr>
        <w:t xml:space="preserve">Email: </w:t>
      </w:r>
      <w:hyperlink r:id="rId21" w:history="1">
        <w:r w:rsidR="009B081D" w:rsidRPr="002F1CEE">
          <w:rPr>
            <w:rStyle w:val="Hyperlink"/>
            <w:rFonts w:ascii="Book Antiqua" w:hAnsi="Book Antiqua"/>
            <w:sz w:val="24"/>
            <w:szCs w:val="24"/>
          </w:rPr>
          <w:t>wood.associate@supcourt.vic.gov.au</w:t>
        </w:r>
      </w:hyperlink>
      <w:r w:rsidR="009B081D">
        <w:rPr>
          <w:rFonts w:ascii="Book Antiqua" w:hAnsi="Book Antiqua"/>
          <w:sz w:val="24"/>
          <w:szCs w:val="24"/>
        </w:rPr>
        <w:t xml:space="preserve"> </w:t>
      </w:r>
    </w:p>
    <w:p w14:paraId="4A934092" w14:textId="7DA3FB7B" w:rsidR="00E115C7" w:rsidRDefault="00E115C7" w:rsidP="00032D2B">
      <w:pPr>
        <w:pStyle w:val="ListParagraph"/>
        <w:spacing w:before="120" w:after="120"/>
        <w:ind w:left="1440"/>
        <w:jc w:val="both"/>
        <w:rPr>
          <w:rFonts w:ascii="Book Antiqua" w:hAnsi="Book Antiqua"/>
          <w:sz w:val="24"/>
          <w:szCs w:val="24"/>
        </w:rPr>
      </w:pPr>
      <w:r w:rsidRPr="00D21E39">
        <w:rPr>
          <w:rFonts w:ascii="Book Antiqua" w:hAnsi="Book Antiqua"/>
          <w:sz w:val="24"/>
          <w:szCs w:val="24"/>
        </w:rPr>
        <w:t xml:space="preserve">Phone: +61 (03) </w:t>
      </w:r>
      <w:r w:rsidR="00897A82">
        <w:rPr>
          <w:rFonts w:ascii="Book Antiqua" w:hAnsi="Book Antiqua"/>
          <w:sz w:val="24"/>
          <w:szCs w:val="24"/>
        </w:rPr>
        <w:t>8600 2124</w:t>
      </w:r>
      <w:r w:rsidRPr="00D21E39">
        <w:rPr>
          <w:rFonts w:ascii="Book Antiqua" w:hAnsi="Book Antiqua"/>
          <w:sz w:val="24"/>
          <w:szCs w:val="24"/>
        </w:rPr>
        <w:t xml:space="preserve">   Facsimile: +61 (03) 9603 9320</w:t>
      </w:r>
    </w:p>
    <w:p w14:paraId="0E210E70" w14:textId="77777777" w:rsidR="00BB7114" w:rsidRPr="002F1CEE" w:rsidRDefault="00303C13" w:rsidP="00BB7114">
      <w:pPr>
        <w:spacing w:before="120" w:after="120"/>
        <w:ind w:left="720" w:hanging="720"/>
        <w:jc w:val="both"/>
        <w:rPr>
          <w:rFonts w:ascii="Book Antiqua" w:hAnsi="Book Antiqua"/>
        </w:rPr>
      </w:pPr>
      <w:r w:rsidRPr="00A45022">
        <w:rPr>
          <w:rFonts w:ascii="Book Antiqua" w:hAnsi="Book Antiqua"/>
        </w:rPr>
        <w:t>10.4</w:t>
      </w:r>
      <w:r>
        <w:tab/>
      </w:r>
      <w:r w:rsidR="00BB7114" w:rsidRPr="002F1CEE">
        <w:rPr>
          <w:rFonts w:ascii="Book Antiqua" w:hAnsi="Book Antiqua"/>
        </w:rPr>
        <w:t xml:space="preserve">No party should communicate either by email or by telephone directly with the Costs Registrars. These communications must be to the Court , via </w:t>
      </w:r>
    </w:p>
    <w:p w14:paraId="253399A8" w14:textId="77777777" w:rsidR="00BB7114" w:rsidRPr="002F1CEE" w:rsidRDefault="00BB7114" w:rsidP="00BB7114">
      <w:pPr>
        <w:pStyle w:val="ListParagraph"/>
        <w:spacing w:before="120" w:after="120"/>
        <w:ind w:left="1440"/>
        <w:jc w:val="both"/>
        <w:rPr>
          <w:rFonts w:ascii="Book Antiqua" w:hAnsi="Book Antiqua"/>
          <w:sz w:val="24"/>
          <w:szCs w:val="24"/>
        </w:rPr>
      </w:pPr>
      <w:r w:rsidRPr="002F1CEE">
        <w:rPr>
          <w:rFonts w:ascii="Book Antiqua" w:hAnsi="Book Antiqua"/>
          <w:sz w:val="24"/>
          <w:szCs w:val="24"/>
        </w:rPr>
        <w:t xml:space="preserve">Email: </w:t>
      </w:r>
      <w:hyperlink r:id="rId22" w:history="1">
        <w:r w:rsidR="00266BB2" w:rsidRPr="007D2315">
          <w:rPr>
            <w:rStyle w:val="Hyperlink"/>
            <w:rFonts w:ascii="Book Antiqua" w:hAnsi="Book Antiqua"/>
            <w:sz w:val="24"/>
            <w:szCs w:val="24"/>
          </w:rPr>
          <w:t>costs.court@supcourt.vic.gov.au</w:t>
        </w:r>
      </w:hyperlink>
      <w:r w:rsidRPr="002F1CEE">
        <w:rPr>
          <w:rFonts w:ascii="Book Antiqua" w:hAnsi="Book Antiqua"/>
          <w:sz w:val="24"/>
          <w:szCs w:val="24"/>
        </w:rPr>
        <w:t xml:space="preserve"> </w:t>
      </w:r>
    </w:p>
    <w:p w14:paraId="479A99FF" w14:textId="16F39EA3" w:rsidR="00BB7114" w:rsidRPr="002F1CEE" w:rsidRDefault="00BB7114" w:rsidP="00BB7114">
      <w:pPr>
        <w:pStyle w:val="ListParagraph"/>
        <w:spacing w:before="120" w:after="120"/>
        <w:ind w:left="1440"/>
        <w:jc w:val="both"/>
        <w:rPr>
          <w:rFonts w:ascii="Book Antiqua" w:hAnsi="Book Antiqua"/>
          <w:sz w:val="24"/>
          <w:szCs w:val="24"/>
        </w:rPr>
      </w:pPr>
      <w:r w:rsidRPr="002F1CEE">
        <w:rPr>
          <w:rFonts w:ascii="Book Antiqua" w:hAnsi="Book Antiqua"/>
          <w:sz w:val="24"/>
          <w:szCs w:val="24"/>
        </w:rPr>
        <w:t xml:space="preserve">Phone: +61 (03) </w:t>
      </w:r>
      <w:r w:rsidR="00897A82">
        <w:rPr>
          <w:rFonts w:ascii="Book Antiqua" w:hAnsi="Book Antiqua"/>
          <w:sz w:val="24"/>
          <w:szCs w:val="24"/>
        </w:rPr>
        <w:t>8600 2155</w:t>
      </w:r>
      <w:r w:rsidRPr="002F1CEE">
        <w:rPr>
          <w:rFonts w:ascii="Book Antiqua" w:hAnsi="Book Antiqua"/>
          <w:sz w:val="24"/>
          <w:szCs w:val="24"/>
        </w:rPr>
        <w:t xml:space="preserve">   </w:t>
      </w:r>
    </w:p>
    <w:p w14:paraId="1112AEEB" w14:textId="77777777" w:rsidR="00BB7114" w:rsidRPr="002F1CEE" w:rsidRDefault="00BB7114" w:rsidP="00303C13">
      <w:pPr>
        <w:pStyle w:val="ListParagraph"/>
        <w:spacing w:before="120" w:after="240"/>
        <w:ind w:left="1440"/>
        <w:contextualSpacing w:val="0"/>
        <w:jc w:val="both"/>
        <w:rPr>
          <w:rFonts w:ascii="Book Antiqua" w:hAnsi="Book Antiqua"/>
          <w:sz w:val="24"/>
          <w:szCs w:val="24"/>
        </w:rPr>
      </w:pPr>
      <w:r w:rsidRPr="002F1CEE">
        <w:rPr>
          <w:rFonts w:ascii="Book Antiqua" w:hAnsi="Book Antiqua"/>
          <w:sz w:val="24"/>
          <w:szCs w:val="24"/>
        </w:rPr>
        <w:t>Facsimile: +61 (03) 9603 9320</w:t>
      </w:r>
    </w:p>
    <w:p w14:paraId="14CD3AB3" w14:textId="77777777" w:rsidR="00DA1779" w:rsidRPr="00377B34" w:rsidRDefault="00303C13" w:rsidP="00303C13">
      <w:pPr>
        <w:pStyle w:val="Heading1"/>
      </w:pPr>
      <w:r>
        <w:t>11.</w:t>
      </w:r>
      <w:r>
        <w:tab/>
      </w:r>
      <w:r w:rsidR="00DA1779" w:rsidRPr="00377B34">
        <w:t>Applications by Solicitor for costs pursuant to s</w:t>
      </w:r>
      <w:r w:rsidR="00377B34" w:rsidRPr="00377B34">
        <w:t> </w:t>
      </w:r>
      <w:r w:rsidR="00DA1779" w:rsidRPr="00377B34">
        <w:t xml:space="preserve">134AB(31) of the </w:t>
      </w:r>
      <w:r w:rsidR="00DA1779" w:rsidRPr="00377B34">
        <w:rPr>
          <w:i/>
        </w:rPr>
        <w:t>Accident Compensation Act 1985</w:t>
      </w:r>
      <w:r w:rsidR="00DA1779" w:rsidRPr="00377B34">
        <w:t xml:space="preserve"> or s</w:t>
      </w:r>
      <w:r w:rsidR="00377B34" w:rsidRPr="00377B34">
        <w:t> </w:t>
      </w:r>
      <w:r w:rsidR="00DA1779" w:rsidRPr="00377B34">
        <w:t xml:space="preserve">344(7) of the </w:t>
      </w:r>
      <w:r w:rsidR="00DA1779" w:rsidRPr="00377B34">
        <w:rPr>
          <w:i/>
        </w:rPr>
        <w:t>Workplace Injury Rehabilitation and Compensation Act 2013</w:t>
      </w:r>
      <w:r w:rsidR="00DA1779" w:rsidRPr="00377B34">
        <w:t xml:space="preserve"> following resolution or judgement in a damages proceeding. </w:t>
      </w:r>
    </w:p>
    <w:p w14:paraId="2051A9E4" w14:textId="77777777" w:rsidR="00DA1779" w:rsidRPr="00D21E39" w:rsidRDefault="00303C13" w:rsidP="00303C13">
      <w:pPr>
        <w:pStyle w:val="ListParagraph"/>
        <w:spacing w:before="120" w:after="120"/>
        <w:ind w:hanging="720"/>
        <w:contextualSpacing w:val="0"/>
        <w:jc w:val="both"/>
        <w:rPr>
          <w:rFonts w:ascii="Book Antiqua" w:hAnsi="Book Antiqua"/>
          <w:sz w:val="24"/>
          <w:szCs w:val="24"/>
        </w:rPr>
      </w:pPr>
      <w:r>
        <w:rPr>
          <w:rFonts w:ascii="Book Antiqua" w:hAnsi="Book Antiqua"/>
          <w:sz w:val="24"/>
          <w:szCs w:val="24"/>
        </w:rPr>
        <w:t>11.1</w:t>
      </w:r>
      <w:r>
        <w:rPr>
          <w:rFonts w:ascii="Book Antiqua" w:hAnsi="Book Antiqua"/>
          <w:sz w:val="24"/>
          <w:szCs w:val="24"/>
        </w:rPr>
        <w:tab/>
      </w:r>
      <w:r w:rsidR="00DA1779" w:rsidRPr="00D21E39">
        <w:rPr>
          <w:rFonts w:ascii="Book Antiqua" w:hAnsi="Book Antiqua"/>
          <w:sz w:val="24"/>
          <w:szCs w:val="24"/>
        </w:rPr>
        <w:t xml:space="preserve">If, after a solicitor seeking costs pursuant to s 134AB(31) of the </w:t>
      </w:r>
      <w:r w:rsidR="00DA1779" w:rsidRPr="00D21E39">
        <w:rPr>
          <w:rFonts w:ascii="Book Antiqua" w:hAnsi="Book Antiqua"/>
          <w:i/>
          <w:sz w:val="24"/>
          <w:szCs w:val="24"/>
        </w:rPr>
        <w:t>Accident Compensation Act 1985</w:t>
      </w:r>
      <w:r w:rsidR="00DA1779" w:rsidRPr="00D21E39">
        <w:rPr>
          <w:rFonts w:ascii="Book Antiqua" w:hAnsi="Book Antiqua"/>
          <w:sz w:val="24"/>
          <w:szCs w:val="24"/>
        </w:rPr>
        <w:t xml:space="preserve"> has complied with County Court Practice Note PNCLD 2-2016, a</w:t>
      </w:r>
      <w:r w:rsidR="00EE53E8" w:rsidRPr="00D21E39">
        <w:rPr>
          <w:rFonts w:ascii="Book Antiqua" w:hAnsi="Book Antiqua"/>
          <w:sz w:val="24"/>
          <w:szCs w:val="24"/>
        </w:rPr>
        <w:t xml:space="preserve">nd the </w:t>
      </w:r>
      <w:r w:rsidR="00DA1779" w:rsidRPr="00D21E39">
        <w:rPr>
          <w:rFonts w:ascii="Book Antiqua" w:hAnsi="Book Antiqua"/>
          <w:sz w:val="24"/>
          <w:szCs w:val="24"/>
        </w:rPr>
        <w:t xml:space="preserve">County Court Judge </w:t>
      </w:r>
      <w:r w:rsidR="00EE53E8" w:rsidRPr="00D21E39">
        <w:rPr>
          <w:rFonts w:ascii="Book Antiqua" w:hAnsi="Book Antiqua"/>
          <w:sz w:val="24"/>
          <w:szCs w:val="24"/>
        </w:rPr>
        <w:t xml:space="preserve">orders that the </w:t>
      </w:r>
      <w:r w:rsidR="00DA1779" w:rsidRPr="00D21E39">
        <w:rPr>
          <w:rFonts w:ascii="Book Antiqua" w:hAnsi="Book Antiqua"/>
          <w:sz w:val="24"/>
          <w:szCs w:val="24"/>
        </w:rPr>
        <w:t xml:space="preserve">claim for costs </w:t>
      </w:r>
      <w:r w:rsidR="00EE53E8" w:rsidRPr="00D21E39">
        <w:rPr>
          <w:rFonts w:ascii="Book Antiqua" w:hAnsi="Book Antiqua"/>
          <w:sz w:val="24"/>
          <w:szCs w:val="24"/>
        </w:rPr>
        <w:t xml:space="preserve">is to be reviewed by </w:t>
      </w:r>
      <w:r w:rsidR="00DA1779" w:rsidRPr="00D21E39">
        <w:rPr>
          <w:rFonts w:ascii="Book Antiqua" w:hAnsi="Book Antiqua"/>
          <w:sz w:val="24"/>
          <w:szCs w:val="24"/>
        </w:rPr>
        <w:t>the Costs Court , the following steps w</w:t>
      </w:r>
      <w:r w:rsidR="00624DF2">
        <w:rPr>
          <w:rFonts w:ascii="Book Antiqua" w:hAnsi="Book Antiqua"/>
          <w:sz w:val="24"/>
          <w:szCs w:val="24"/>
        </w:rPr>
        <w:t>ill</w:t>
      </w:r>
      <w:r w:rsidR="00DA1779" w:rsidRPr="00D21E39">
        <w:rPr>
          <w:rFonts w:ascii="Book Antiqua" w:hAnsi="Book Antiqua"/>
          <w:sz w:val="24"/>
          <w:szCs w:val="24"/>
        </w:rPr>
        <w:t xml:space="preserve"> apply:</w:t>
      </w:r>
    </w:p>
    <w:p w14:paraId="77EF4087" w14:textId="77777777" w:rsidR="00DA1779" w:rsidRPr="00D21E39" w:rsidRDefault="00303C13" w:rsidP="00303C13">
      <w:pPr>
        <w:pStyle w:val="ListParagraph"/>
        <w:spacing w:before="120" w:after="120"/>
        <w:contextualSpacing w:val="0"/>
        <w:jc w:val="both"/>
        <w:rPr>
          <w:rFonts w:ascii="Book Antiqua" w:hAnsi="Book Antiqua"/>
          <w:sz w:val="24"/>
          <w:szCs w:val="24"/>
        </w:rPr>
      </w:pPr>
      <w:r>
        <w:rPr>
          <w:rFonts w:ascii="Book Antiqua" w:hAnsi="Book Antiqua"/>
          <w:sz w:val="24"/>
          <w:szCs w:val="24"/>
        </w:rPr>
        <w:t>11.1.1</w:t>
      </w:r>
      <w:r>
        <w:rPr>
          <w:rFonts w:ascii="Book Antiqua" w:hAnsi="Book Antiqua"/>
          <w:sz w:val="24"/>
          <w:szCs w:val="24"/>
        </w:rPr>
        <w:tab/>
      </w:r>
      <w:r w:rsidR="00DA1779" w:rsidRPr="00D21E39">
        <w:rPr>
          <w:rFonts w:ascii="Book Antiqua" w:hAnsi="Book Antiqua"/>
          <w:sz w:val="24"/>
          <w:szCs w:val="24"/>
        </w:rPr>
        <w:t>The Judge makes an order:</w:t>
      </w:r>
    </w:p>
    <w:p w14:paraId="308B7DCB" w14:textId="77777777" w:rsidR="00DA1779" w:rsidRPr="00D21E39" w:rsidRDefault="00DA1779" w:rsidP="00032D2B">
      <w:pPr>
        <w:pStyle w:val="ListParagraph"/>
        <w:spacing w:before="120" w:after="120"/>
        <w:ind w:left="2160" w:hanging="720"/>
        <w:jc w:val="both"/>
        <w:rPr>
          <w:rFonts w:ascii="Book Antiqua" w:hAnsi="Book Antiqua"/>
          <w:sz w:val="24"/>
          <w:szCs w:val="24"/>
        </w:rPr>
      </w:pPr>
      <w:r w:rsidRPr="00D21E39">
        <w:rPr>
          <w:rFonts w:ascii="Book Antiqua" w:hAnsi="Book Antiqua"/>
          <w:sz w:val="24"/>
          <w:szCs w:val="24"/>
        </w:rPr>
        <w:t>(a)</w:t>
      </w:r>
      <w:r w:rsidRPr="00D21E39">
        <w:rPr>
          <w:rFonts w:ascii="Book Antiqua" w:hAnsi="Book Antiqua"/>
          <w:sz w:val="24"/>
          <w:szCs w:val="24"/>
        </w:rPr>
        <w:tab/>
        <w:t>referring the application for costs to the Costs Court for review; and</w:t>
      </w:r>
    </w:p>
    <w:p w14:paraId="7265AD3C" w14:textId="77777777" w:rsidR="00DA1779" w:rsidRPr="00D21E39" w:rsidRDefault="00DA1779" w:rsidP="00303C13">
      <w:pPr>
        <w:pStyle w:val="ListParagraph"/>
        <w:spacing w:before="120" w:after="120"/>
        <w:ind w:left="2160" w:hanging="720"/>
        <w:contextualSpacing w:val="0"/>
        <w:jc w:val="both"/>
        <w:rPr>
          <w:rFonts w:ascii="Book Antiqua" w:hAnsi="Book Antiqua"/>
          <w:sz w:val="24"/>
          <w:szCs w:val="24"/>
        </w:rPr>
      </w:pPr>
      <w:r w:rsidRPr="00D21E39">
        <w:rPr>
          <w:rFonts w:ascii="Book Antiqua" w:hAnsi="Book Antiqua"/>
          <w:sz w:val="24"/>
          <w:szCs w:val="24"/>
        </w:rPr>
        <w:t>(b)</w:t>
      </w:r>
      <w:r w:rsidRPr="00D21E39">
        <w:rPr>
          <w:rFonts w:ascii="Book Antiqua" w:hAnsi="Book Antiqua"/>
          <w:sz w:val="24"/>
          <w:szCs w:val="24"/>
        </w:rPr>
        <w:tab/>
        <w:t>that the solicitor files a Summons for Taxation seeking a review of the costs</w:t>
      </w:r>
      <w:r w:rsidR="00D62181">
        <w:rPr>
          <w:rFonts w:ascii="Book Antiqua" w:hAnsi="Book Antiqua"/>
          <w:sz w:val="24"/>
          <w:szCs w:val="24"/>
        </w:rPr>
        <w:t>.</w:t>
      </w:r>
    </w:p>
    <w:p w14:paraId="41B3C47E" w14:textId="77777777" w:rsidR="005313BF" w:rsidRPr="005313BF" w:rsidRDefault="00303C13" w:rsidP="00303C13">
      <w:pPr>
        <w:pStyle w:val="ListParagraph"/>
        <w:spacing w:before="120" w:after="120"/>
        <w:ind w:left="1440" w:hanging="720"/>
        <w:contextualSpacing w:val="0"/>
        <w:jc w:val="both"/>
        <w:rPr>
          <w:rFonts w:ascii="Book Antiqua" w:hAnsi="Book Antiqua"/>
          <w:sz w:val="24"/>
          <w:szCs w:val="24"/>
        </w:rPr>
      </w:pPr>
      <w:r>
        <w:rPr>
          <w:rFonts w:ascii="Book Antiqua" w:hAnsi="Book Antiqua"/>
          <w:sz w:val="24"/>
          <w:szCs w:val="24"/>
        </w:rPr>
        <w:t>11.1.2</w:t>
      </w:r>
      <w:r>
        <w:rPr>
          <w:rFonts w:ascii="Book Antiqua" w:hAnsi="Book Antiqua"/>
          <w:sz w:val="24"/>
          <w:szCs w:val="24"/>
        </w:rPr>
        <w:tab/>
      </w:r>
      <w:r w:rsidR="005313BF" w:rsidRPr="00D21E39">
        <w:rPr>
          <w:rFonts w:ascii="Book Antiqua" w:hAnsi="Book Antiqua"/>
          <w:sz w:val="24"/>
          <w:szCs w:val="24"/>
        </w:rPr>
        <w:t xml:space="preserve">The Summons for Taxation of costs seeks a review pursuant to the Judge’s order and the fee on summons is paid. </w:t>
      </w:r>
      <w:r w:rsidR="00CA6C2C">
        <w:rPr>
          <w:rFonts w:ascii="Book Antiqua" w:hAnsi="Book Antiqua"/>
          <w:sz w:val="24"/>
          <w:szCs w:val="24"/>
        </w:rPr>
        <w:t xml:space="preserve"> </w:t>
      </w:r>
      <w:r w:rsidR="00624DF2">
        <w:rPr>
          <w:rFonts w:ascii="Book Antiqua" w:hAnsi="Book Antiqua"/>
          <w:sz w:val="24"/>
          <w:szCs w:val="24"/>
        </w:rPr>
        <w:t>(</w:t>
      </w:r>
      <w:r w:rsidR="005313BF">
        <w:rPr>
          <w:rFonts w:ascii="Book Antiqua" w:hAnsi="Book Antiqua"/>
          <w:sz w:val="24"/>
          <w:szCs w:val="24"/>
        </w:rPr>
        <w:t xml:space="preserve">Refer </w:t>
      </w:r>
      <w:r w:rsidR="005313BF" w:rsidRPr="005313BF">
        <w:rPr>
          <w:rFonts w:ascii="Book Antiqua" w:hAnsi="Book Antiqua"/>
          <w:sz w:val="24"/>
          <w:szCs w:val="24"/>
        </w:rPr>
        <w:t>to the Prothonotary’s fees on the</w:t>
      </w:r>
      <w:r w:rsidR="005313BF">
        <w:rPr>
          <w:rFonts w:ascii="Book Antiqua" w:hAnsi="Book Antiqua"/>
          <w:sz w:val="24"/>
          <w:szCs w:val="24"/>
        </w:rPr>
        <w:t xml:space="preserve"> </w:t>
      </w:r>
      <w:hyperlink r:id="rId23" w:history="1">
        <w:r w:rsidR="005313BF" w:rsidRPr="005313BF">
          <w:rPr>
            <w:rStyle w:val="Hyperlink"/>
            <w:rFonts w:ascii="Book Antiqua" w:hAnsi="Book Antiqua"/>
            <w:sz w:val="24"/>
            <w:szCs w:val="24"/>
          </w:rPr>
          <w:t>website</w:t>
        </w:r>
      </w:hyperlink>
      <w:r w:rsidR="005313BF" w:rsidRPr="005313BF">
        <w:rPr>
          <w:rFonts w:ascii="Book Antiqua" w:hAnsi="Book Antiqua"/>
          <w:sz w:val="24"/>
          <w:szCs w:val="24"/>
        </w:rPr>
        <w:t>).  A Costs Court file is then created.</w:t>
      </w:r>
    </w:p>
    <w:p w14:paraId="2885EC9E" w14:textId="77777777" w:rsidR="00DA1779" w:rsidRPr="005313BF" w:rsidRDefault="00303C13" w:rsidP="00303C13">
      <w:pPr>
        <w:pStyle w:val="ListParagraph"/>
        <w:spacing w:before="120" w:after="120"/>
        <w:ind w:left="1440" w:hanging="720"/>
        <w:contextualSpacing w:val="0"/>
        <w:jc w:val="both"/>
        <w:rPr>
          <w:rFonts w:ascii="Book Antiqua" w:hAnsi="Book Antiqua"/>
          <w:sz w:val="24"/>
          <w:szCs w:val="24"/>
        </w:rPr>
      </w:pPr>
      <w:r>
        <w:rPr>
          <w:rFonts w:ascii="Book Antiqua" w:hAnsi="Book Antiqua"/>
          <w:sz w:val="24"/>
          <w:szCs w:val="24"/>
        </w:rPr>
        <w:t>11.1.3</w:t>
      </w:r>
      <w:r>
        <w:rPr>
          <w:rFonts w:ascii="Book Antiqua" w:hAnsi="Book Antiqua"/>
          <w:sz w:val="24"/>
          <w:szCs w:val="24"/>
        </w:rPr>
        <w:tab/>
      </w:r>
      <w:r w:rsidR="00EE53E8" w:rsidRPr="005313BF" w:rsidDel="00EE53E8">
        <w:rPr>
          <w:rFonts w:ascii="Book Antiqua" w:hAnsi="Book Antiqua"/>
          <w:sz w:val="24"/>
          <w:szCs w:val="24"/>
        </w:rPr>
        <w:t xml:space="preserve"> </w:t>
      </w:r>
      <w:r w:rsidR="00EE53E8" w:rsidRPr="005313BF">
        <w:rPr>
          <w:rFonts w:ascii="Book Antiqua" w:hAnsi="Book Antiqua"/>
          <w:sz w:val="24"/>
          <w:szCs w:val="24"/>
        </w:rPr>
        <w:t xml:space="preserve">With </w:t>
      </w:r>
      <w:r w:rsidR="00FE6380" w:rsidRPr="005313BF">
        <w:rPr>
          <w:rFonts w:ascii="Book Antiqua" w:hAnsi="Book Antiqua"/>
          <w:sz w:val="24"/>
          <w:szCs w:val="24"/>
        </w:rPr>
        <w:t>the Summons the solicitor must file a copy of the referral order and copies of any affidavits filed in the County Court in accordance with County Court practice note</w:t>
      </w:r>
      <w:r w:rsidR="004213D7" w:rsidRPr="005313BF">
        <w:rPr>
          <w:rFonts w:ascii="Book Antiqua" w:hAnsi="Book Antiqua"/>
          <w:sz w:val="24"/>
          <w:szCs w:val="24"/>
        </w:rPr>
        <w:t xml:space="preserve"> </w:t>
      </w:r>
      <w:hyperlink r:id="rId24" w:history="1">
        <w:r w:rsidR="005313BF" w:rsidRPr="005313BF">
          <w:rPr>
            <w:rStyle w:val="Hyperlink"/>
            <w:rFonts w:ascii="Book Antiqua" w:hAnsi="Book Antiqua"/>
            <w:color w:val="auto"/>
            <w:sz w:val="24"/>
            <w:szCs w:val="24"/>
          </w:rPr>
          <w:t>PNCLD 6-2016</w:t>
        </w:r>
      </w:hyperlink>
      <w:r w:rsidR="00D62181">
        <w:rPr>
          <w:rFonts w:ascii="Book Antiqua" w:hAnsi="Book Antiqua"/>
          <w:sz w:val="24"/>
          <w:szCs w:val="24"/>
        </w:rPr>
        <w:t>.</w:t>
      </w:r>
    </w:p>
    <w:p w14:paraId="34D330E2" w14:textId="77777777" w:rsidR="00DA1779" w:rsidRPr="00D21E39" w:rsidRDefault="00303C13" w:rsidP="00303C13">
      <w:pPr>
        <w:pStyle w:val="ListParagraph"/>
        <w:spacing w:before="120" w:after="120"/>
        <w:ind w:left="1440" w:hanging="720"/>
        <w:contextualSpacing w:val="0"/>
        <w:jc w:val="both"/>
        <w:rPr>
          <w:rFonts w:ascii="Book Antiqua" w:hAnsi="Book Antiqua"/>
          <w:sz w:val="24"/>
          <w:szCs w:val="24"/>
        </w:rPr>
      </w:pPr>
      <w:r>
        <w:rPr>
          <w:rFonts w:ascii="Book Antiqua" w:hAnsi="Book Antiqua"/>
          <w:sz w:val="24"/>
          <w:szCs w:val="24"/>
        </w:rPr>
        <w:t>11.1.4</w:t>
      </w:r>
      <w:r>
        <w:rPr>
          <w:rFonts w:ascii="Book Antiqua" w:hAnsi="Book Antiqua"/>
          <w:sz w:val="24"/>
          <w:szCs w:val="24"/>
        </w:rPr>
        <w:tab/>
      </w:r>
      <w:r w:rsidR="00DA1779" w:rsidRPr="00D21E39">
        <w:rPr>
          <w:rFonts w:ascii="Book Antiqua" w:hAnsi="Book Antiqua"/>
          <w:sz w:val="24"/>
          <w:szCs w:val="24"/>
        </w:rPr>
        <w:t xml:space="preserve">The matter will </w:t>
      </w:r>
      <w:r w:rsidR="00CA6C2C">
        <w:rPr>
          <w:rFonts w:ascii="Book Antiqua" w:hAnsi="Book Antiqua"/>
          <w:sz w:val="24"/>
          <w:szCs w:val="24"/>
        </w:rPr>
        <w:t>be referred to assessment by a C</w:t>
      </w:r>
      <w:r w:rsidR="00DA1779" w:rsidRPr="00D21E39">
        <w:rPr>
          <w:rFonts w:ascii="Book Antiqua" w:hAnsi="Book Antiqua"/>
          <w:sz w:val="24"/>
          <w:szCs w:val="24"/>
        </w:rPr>
        <w:t>o</w:t>
      </w:r>
      <w:r w:rsidR="00CA6C2C">
        <w:rPr>
          <w:rFonts w:ascii="Book Antiqua" w:hAnsi="Book Antiqua"/>
          <w:sz w:val="24"/>
          <w:szCs w:val="24"/>
        </w:rPr>
        <w:t>sts Registrar or Judicial R</w:t>
      </w:r>
      <w:r w:rsidR="00DA1779" w:rsidRPr="00D21E39">
        <w:rPr>
          <w:rFonts w:ascii="Book Antiqua" w:hAnsi="Book Antiqua"/>
          <w:sz w:val="24"/>
          <w:szCs w:val="24"/>
        </w:rPr>
        <w:t>egistrar pursuant to Part 8 of Order 63</w:t>
      </w:r>
      <w:r w:rsidR="00624DF2">
        <w:rPr>
          <w:rFonts w:ascii="Book Antiqua" w:hAnsi="Book Antiqua"/>
          <w:sz w:val="24"/>
          <w:szCs w:val="24"/>
        </w:rPr>
        <w:t xml:space="preserve"> </w:t>
      </w:r>
      <w:r w:rsidR="00DA1779" w:rsidRPr="00D21E39">
        <w:rPr>
          <w:rFonts w:ascii="Book Antiqua" w:hAnsi="Book Antiqua"/>
          <w:sz w:val="24"/>
          <w:szCs w:val="24"/>
        </w:rPr>
        <w:t>-</w:t>
      </w:r>
      <w:r w:rsidR="00624DF2">
        <w:rPr>
          <w:rFonts w:ascii="Book Antiqua" w:hAnsi="Book Antiqua"/>
          <w:sz w:val="24"/>
          <w:szCs w:val="24"/>
        </w:rPr>
        <w:t xml:space="preserve"> </w:t>
      </w:r>
      <w:r w:rsidR="00DA1779" w:rsidRPr="00D21E39">
        <w:rPr>
          <w:rFonts w:ascii="Book Antiqua" w:hAnsi="Book Antiqua"/>
          <w:sz w:val="24"/>
          <w:szCs w:val="24"/>
        </w:rPr>
        <w:t>Alternate Assessment Procedure.</w:t>
      </w:r>
    </w:p>
    <w:p w14:paraId="25070C85" w14:textId="77777777" w:rsidR="00DA1779" w:rsidRPr="00D21E39" w:rsidRDefault="00303C13" w:rsidP="00303C13">
      <w:pPr>
        <w:pStyle w:val="ListParagraph"/>
        <w:spacing w:before="120" w:after="120"/>
        <w:ind w:left="1440" w:hanging="720"/>
        <w:contextualSpacing w:val="0"/>
        <w:jc w:val="both"/>
        <w:rPr>
          <w:rFonts w:ascii="Book Antiqua" w:hAnsi="Book Antiqua"/>
          <w:sz w:val="24"/>
          <w:szCs w:val="24"/>
        </w:rPr>
      </w:pPr>
      <w:r>
        <w:rPr>
          <w:rFonts w:ascii="Book Antiqua" w:hAnsi="Book Antiqua"/>
          <w:sz w:val="24"/>
          <w:szCs w:val="24"/>
        </w:rPr>
        <w:t>11.1.5</w:t>
      </w:r>
      <w:r>
        <w:rPr>
          <w:rFonts w:ascii="Book Antiqua" w:hAnsi="Book Antiqua"/>
          <w:sz w:val="24"/>
          <w:szCs w:val="24"/>
        </w:rPr>
        <w:tab/>
      </w:r>
      <w:r w:rsidR="00DA1779" w:rsidRPr="00D21E39">
        <w:rPr>
          <w:rFonts w:ascii="Book Antiqua" w:hAnsi="Book Antiqua"/>
          <w:sz w:val="24"/>
          <w:szCs w:val="24"/>
        </w:rPr>
        <w:t xml:space="preserve">Upon completion of the assessment the County Court Judge and the applicant will be advised of the review result. </w:t>
      </w:r>
      <w:r w:rsidR="00CA6C2C">
        <w:rPr>
          <w:rFonts w:ascii="Book Antiqua" w:hAnsi="Book Antiqua"/>
          <w:sz w:val="24"/>
          <w:szCs w:val="24"/>
        </w:rPr>
        <w:t xml:space="preserve"> </w:t>
      </w:r>
      <w:r w:rsidR="00DA1779" w:rsidRPr="00D21E39">
        <w:rPr>
          <w:rFonts w:ascii="Book Antiqua" w:hAnsi="Book Antiqua"/>
          <w:sz w:val="24"/>
          <w:szCs w:val="24"/>
        </w:rPr>
        <w:t>If the applicant does not ob</w:t>
      </w:r>
      <w:r w:rsidR="00594C2B" w:rsidRPr="00D21E39">
        <w:rPr>
          <w:rFonts w:ascii="Book Antiqua" w:hAnsi="Book Antiqua"/>
          <w:sz w:val="24"/>
          <w:szCs w:val="24"/>
        </w:rPr>
        <w:t>ject to the assessment then the</w:t>
      </w:r>
      <w:r w:rsidR="00DA1779" w:rsidRPr="00D21E39">
        <w:rPr>
          <w:rFonts w:ascii="Book Antiqua" w:hAnsi="Book Antiqua"/>
          <w:sz w:val="24"/>
          <w:szCs w:val="24"/>
        </w:rPr>
        <w:t xml:space="preserve"> Judge will further consider the </w:t>
      </w:r>
      <w:r w:rsidR="00DA1779" w:rsidRPr="00D21E39">
        <w:rPr>
          <w:rFonts w:ascii="Book Antiqua" w:hAnsi="Book Antiqua"/>
          <w:sz w:val="24"/>
          <w:szCs w:val="24"/>
        </w:rPr>
        <w:lastRenderedPageBreak/>
        <w:t xml:space="preserve">application and/or make an order pursuant to s 31 of the </w:t>
      </w:r>
      <w:r w:rsidR="00DA1779" w:rsidRPr="00D21E39">
        <w:rPr>
          <w:rFonts w:ascii="Book Antiqua" w:hAnsi="Book Antiqua"/>
          <w:i/>
          <w:sz w:val="24"/>
          <w:szCs w:val="24"/>
        </w:rPr>
        <w:t>Accident Compensation Act 1985</w:t>
      </w:r>
      <w:r w:rsidR="00DA1779" w:rsidRPr="00D21E39">
        <w:rPr>
          <w:rFonts w:ascii="Book Antiqua" w:hAnsi="Book Antiqua"/>
          <w:sz w:val="24"/>
          <w:szCs w:val="24"/>
        </w:rPr>
        <w:t xml:space="preserve">.  </w:t>
      </w:r>
    </w:p>
    <w:p w14:paraId="1A78098F" w14:textId="77777777" w:rsidR="00DA1779" w:rsidRDefault="00303C13" w:rsidP="00303C13">
      <w:pPr>
        <w:pStyle w:val="ListParagraph"/>
        <w:spacing w:before="120" w:after="240"/>
        <w:ind w:hanging="720"/>
        <w:contextualSpacing w:val="0"/>
        <w:jc w:val="both"/>
        <w:rPr>
          <w:rFonts w:ascii="Book Antiqua" w:hAnsi="Book Antiqua"/>
          <w:sz w:val="24"/>
          <w:szCs w:val="24"/>
        </w:rPr>
      </w:pPr>
      <w:r>
        <w:rPr>
          <w:rFonts w:ascii="Book Antiqua" w:hAnsi="Book Antiqua"/>
          <w:sz w:val="24"/>
          <w:szCs w:val="24"/>
        </w:rPr>
        <w:t>11.2</w:t>
      </w:r>
      <w:r>
        <w:rPr>
          <w:rFonts w:ascii="Book Antiqua" w:hAnsi="Book Antiqua"/>
          <w:sz w:val="24"/>
          <w:szCs w:val="24"/>
        </w:rPr>
        <w:tab/>
      </w:r>
      <w:r w:rsidR="00DA1779" w:rsidRPr="00D21E39">
        <w:rPr>
          <w:rFonts w:ascii="Book Antiqua" w:hAnsi="Book Antiqua"/>
          <w:sz w:val="24"/>
          <w:szCs w:val="24"/>
        </w:rPr>
        <w:t xml:space="preserve">If the applicant informs the Judge of an objection to the review result </w:t>
      </w:r>
      <w:r w:rsidR="00FE6380" w:rsidRPr="00D21E39">
        <w:rPr>
          <w:rFonts w:ascii="Book Antiqua" w:hAnsi="Book Antiqua"/>
          <w:sz w:val="24"/>
          <w:szCs w:val="24"/>
        </w:rPr>
        <w:t xml:space="preserve">the Judge may make further any orders, including refusing the </w:t>
      </w:r>
      <w:r w:rsidR="00DA1779" w:rsidRPr="00D21E39">
        <w:rPr>
          <w:rFonts w:ascii="Book Antiqua" w:hAnsi="Book Antiqua"/>
          <w:sz w:val="24"/>
          <w:szCs w:val="24"/>
        </w:rPr>
        <w:t xml:space="preserve">application.  The applicant can then apply to the Costs Court for the costs to be assessed pursuant to </w:t>
      </w:r>
      <w:r w:rsidR="00FE6380" w:rsidRPr="00D21E39">
        <w:rPr>
          <w:rFonts w:ascii="Book Antiqua" w:hAnsi="Book Antiqua"/>
          <w:sz w:val="24"/>
          <w:szCs w:val="24"/>
        </w:rPr>
        <w:t xml:space="preserve">the </w:t>
      </w:r>
      <w:r w:rsidR="00E633FE" w:rsidRPr="00953083">
        <w:rPr>
          <w:rFonts w:ascii="Book Antiqua" w:hAnsi="Book Antiqua"/>
          <w:b/>
          <w:sz w:val="24"/>
          <w:szCs w:val="24"/>
        </w:rPr>
        <w:t>Legal Profession Legislation</w:t>
      </w:r>
      <w:r w:rsidR="00E633FE" w:rsidRPr="005313BF">
        <w:rPr>
          <w:rFonts w:ascii="Book Antiqua" w:hAnsi="Book Antiqua"/>
          <w:sz w:val="24"/>
          <w:szCs w:val="24"/>
        </w:rPr>
        <w:t>.</w:t>
      </w:r>
      <w:r w:rsidR="00DA1779" w:rsidRPr="005313BF">
        <w:rPr>
          <w:rFonts w:ascii="Book Antiqua" w:hAnsi="Book Antiqua"/>
          <w:sz w:val="24"/>
          <w:szCs w:val="24"/>
        </w:rPr>
        <w:t xml:space="preserve"> </w:t>
      </w:r>
      <w:r w:rsidR="00DA1779" w:rsidRPr="00D21E39">
        <w:rPr>
          <w:rFonts w:ascii="Book Antiqua" w:hAnsi="Book Antiqua"/>
          <w:sz w:val="24"/>
          <w:szCs w:val="24"/>
        </w:rPr>
        <w:t xml:space="preserve">  </w:t>
      </w:r>
    </w:p>
    <w:p w14:paraId="0A13721E" w14:textId="77777777" w:rsidR="00DA1779" w:rsidRPr="00DA1779" w:rsidRDefault="00303C13" w:rsidP="00303C13">
      <w:pPr>
        <w:pStyle w:val="Heading1"/>
      </w:pPr>
      <w:r>
        <w:t>12.</w:t>
      </w:r>
      <w:r>
        <w:tab/>
      </w:r>
      <w:r w:rsidR="00DA1779" w:rsidRPr="00DA1779">
        <w:t xml:space="preserve">Guide to Discretionary items in the bill of costs </w:t>
      </w:r>
    </w:p>
    <w:p w14:paraId="270DA119" w14:textId="77777777" w:rsidR="00DA1779" w:rsidRPr="00DA1779" w:rsidRDefault="00303C13" w:rsidP="00303C13">
      <w:pPr>
        <w:pStyle w:val="ListParagraph"/>
        <w:spacing w:before="120" w:after="120"/>
        <w:ind w:hanging="720"/>
        <w:contextualSpacing w:val="0"/>
        <w:jc w:val="both"/>
        <w:rPr>
          <w:rFonts w:ascii="Book Antiqua" w:hAnsi="Book Antiqua"/>
          <w:sz w:val="24"/>
          <w:szCs w:val="24"/>
        </w:rPr>
      </w:pPr>
      <w:r>
        <w:rPr>
          <w:rFonts w:ascii="Book Antiqua" w:hAnsi="Book Antiqua"/>
          <w:sz w:val="24"/>
          <w:szCs w:val="24"/>
        </w:rPr>
        <w:t>12.1</w:t>
      </w:r>
      <w:r>
        <w:rPr>
          <w:rFonts w:ascii="Book Antiqua" w:hAnsi="Book Antiqua"/>
          <w:sz w:val="24"/>
          <w:szCs w:val="24"/>
        </w:rPr>
        <w:tab/>
      </w:r>
      <w:r w:rsidR="00DA1779" w:rsidRPr="00DA1779">
        <w:rPr>
          <w:rFonts w:ascii="Book Antiqua" w:hAnsi="Book Antiqua"/>
          <w:sz w:val="24"/>
          <w:szCs w:val="24"/>
        </w:rPr>
        <w:t xml:space="preserve">With </w:t>
      </w:r>
      <w:r w:rsidR="00701163" w:rsidRPr="00701163">
        <w:rPr>
          <w:rFonts w:ascii="Book Antiqua" w:hAnsi="Book Antiqua"/>
          <w:b/>
          <w:sz w:val="24"/>
          <w:szCs w:val="24"/>
          <w:u w:val="single"/>
        </w:rPr>
        <w:t>Party Party</w:t>
      </w:r>
      <w:r w:rsidR="00701163">
        <w:rPr>
          <w:rFonts w:ascii="Book Antiqua" w:hAnsi="Book Antiqua"/>
          <w:sz w:val="24"/>
          <w:szCs w:val="24"/>
        </w:rPr>
        <w:t xml:space="preserve"> </w:t>
      </w:r>
      <w:r w:rsidR="00DA1779" w:rsidRPr="00DA1779">
        <w:rPr>
          <w:rFonts w:ascii="Book Antiqua" w:hAnsi="Book Antiqua"/>
          <w:sz w:val="24"/>
          <w:szCs w:val="24"/>
        </w:rPr>
        <w:t xml:space="preserve">bills of costs, </w:t>
      </w:r>
      <w:r w:rsidR="00701163" w:rsidRPr="00701163">
        <w:rPr>
          <w:rFonts w:ascii="Book Antiqua" w:hAnsi="Book Antiqua"/>
          <w:b/>
          <w:sz w:val="24"/>
          <w:szCs w:val="24"/>
          <w:u w:val="single"/>
        </w:rPr>
        <w:t xml:space="preserve">the test for </w:t>
      </w:r>
      <w:r w:rsidR="00DA1779" w:rsidRPr="00701163">
        <w:rPr>
          <w:rFonts w:ascii="Book Antiqua" w:hAnsi="Book Antiqua"/>
          <w:b/>
          <w:sz w:val="24"/>
          <w:szCs w:val="24"/>
          <w:u w:val="single"/>
        </w:rPr>
        <w:t xml:space="preserve">taxing </w:t>
      </w:r>
      <w:r w:rsidR="00701163" w:rsidRPr="00701163">
        <w:rPr>
          <w:rFonts w:ascii="Book Antiqua" w:hAnsi="Book Antiqua"/>
          <w:b/>
          <w:sz w:val="24"/>
          <w:szCs w:val="24"/>
          <w:u w:val="single"/>
        </w:rPr>
        <w:t xml:space="preserve">on the standard basis will </w:t>
      </w:r>
      <w:r w:rsidR="00FE6380">
        <w:rPr>
          <w:rFonts w:ascii="Book Antiqua" w:hAnsi="Book Antiqua"/>
          <w:b/>
          <w:sz w:val="24"/>
          <w:szCs w:val="24"/>
          <w:u w:val="single"/>
        </w:rPr>
        <w:t>b</w:t>
      </w:r>
      <w:r w:rsidR="00701163" w:rsidRPr="00FE6380">
        <w:rPr>
          <w:rFonts w:ascii="Book Antiqua" w:hAnsi="Book Antiqua"/>
          <w:b/>
          <w:sz w:val="24"/>
          <w:szCs w:val="24"/>
          <w:u w:val="single"/>
        </w:rPr>
        <w:t>e</w:t>
      </w:r>
      <w:r w:rsidR="00701163" w:rsidRPr="00D21E39">
        <w:rPr>
          <w:rFonts w:ascii="Book Antiqua" w:hAnsi="Book Antiqua"/>
          <w:sz w:val="24"/>
          <w:szCs w:val="24"/>
          <w:u w:val="single"/>
        </w:rPr>
        <w:t xml:space="preserve"> </w:t>
      </w:r>
      <w:r w:rsidR="00701163" w:rsidRPr="00FE6380">
        <w:rPr>
          <w:rFonts w:ascii="Book Antiqua" w:hAnsi="Book Antiqua"/>
          <w:b/>
          <w:sz w:val="24"/>
          <w:szCs w:val="24"/>
          <w:u w:val="single"/>
        </w:rPr>
        <w:t>whether</w:t>
      </w:r>
      <w:r w:rsidR="00DA1779" w:rsidRPr="00DA1779">
        <w:rPr>
          <w:rFonts w:ascii="Book Antiqua" w:hAnsi="Book Antiqua"/>
          <w:sz w:val="24"/>
          <w:szCs w:val="24"/>
        </w:rPr>
        <w:t xml:space="preserve"> costs are reasonably incurred and of a reasonable amount, including any claims for items referred to in this guide and any disbursement claims </w:t>
      </w:r>
    </w:p>
    <w:p w14:paraId="50E9F866" w14:textId="77777777" w:rsidR="00266BB2" w:rsidRDefault="00303C13" w:rsidP="00303C13">
      <w:pPr>
        <w:pStyle w:val="ListParagraph"/>
        <w:spacing w:before="120" w:after="120"/>
        <w:ind w:hanging="720"/>
        <w:contextualSpacing w:val="0"/>
        <w:jc w:val="both"/>
        <w:rPr>
          <w:rFonts w:ascii="Book Antiqua" w:hAnsi="Book Antiqua"/>
          <w:sz w:val="24"/>
          <w:szCs w:val="24"/>
        </w:rPr>
      </w:pPr>
      <w:r>
        <w:rPr>
          <w:rFonts w:ascii="Book Antiqua" w:hAnsi="Book Antiqua"/>
          <w:sz w:val="24"/>
          <w:szCs w:val="24"/>
        </w:rPr>
        <w:t>12.2</w:t>
      </w:r>
      <w:r>
        <w:rPr>
          <w:rFonts w:ascii="Book Antiqua" w:hAnsi="Book Antiqua"/>
          <w:sz w:val="24"/>
          <w:szCs w:val="24"/>
        </w:rPr>
        <w:tab/>
      </w:r>
      <w:r w:rsidR="00DA1779" w:rsidRPr="00DA1779">
        <w:rPr>
          <w:rFonts w:ascii="Book Antiqua" w:hAnsi="Book Antiqua"/>
          <w:sz w:val="24"/>
          <w:szCs w:val="24"/>
        </w:rPr>
        <w:t xml:space="preserve">The Supreme Court scale of costs is found at Appendix A of the </w:t>
      </w:r>
      <w:r w:rsidR="00DA1779" w:rsidRPr="001667FC">
        <w:rPr>
          <w:rFonts w:ascii="Book Antiqua" w:hAnsi="Book Antiqua"/>
          <w:i/>
          <w:sz w:val="24"/>
          <w:szCs w:val="24"/>
        </w:rPr>
        <w:t>Supreme Court (General Civil Procedure) Rules 2015</w:t>
      </w:r>
      <w:r w:rsidR="00DA1779" w:rsidRPr="00DA1779">
        <w:rPr>
          <w:rFonts w:ascii="Book Antiqua" w:hAnsi="Book Antiqua"/>
          <w:sz w:val="24"/>
          <w:szCs w:val="24"/>
        </w:rPr>
        <w:t xml:space="preserve"> and is the scale of costs applied for taxation of </w:t>
      </w:r>
      <w:r w:rsidR="00BF5947" w:rsidRPr="00BF5947">
        <w:rPr>
          <w:rFonts w:ascii="Book Antiqua" w:hAnsi="Book Antiqua"/>
          <w:b/>
          <w:sz w:val="24"/>
          <w:szCs w:val="24"/>
          <w:u w:val="single"/>
        </w:rPr>
        <w:t>party party</w:t>
      </w:r>
      <w:r w:rsidR="00DA1779" w:rsidRPr="00DA1779">
        <w:rPr>
          <w:rFonts w:ascii="Book Antiqua" w:hAnsi="Book Antiqua"/>
          <w:sz w:val="24"/>
          <w:szCs w:val="24"/>
        </w:rPr>
        <w:t xml:space="preserve"> costs in Supreme Court matters.  </w:t>
      </w:r>
    </w:p>
    <w:p w14:paraId="3AEB435C" w14:textId="77777777" w:rsidR="00DA1779" w:rsidRDefault="00303C13" w:rsidP="00303C13">
      <w:pPr>
        <w:pStyle w:val="ListParagraph"/>
        <w:spacing w:before="120" w:after="120"/>
        <w:ind w:hanging="720"/>
        <w:contextualSpacing w:val="0"/>
        <w:jc w:val="both"/>
        <w:rPr>
          <w:rFonts w:ascii="Book Antiqua" w:hAnsi="Book Antiqua"/>
          <w:sz w:val="24"/>
          <w:szCs w:val="24"/>
        </w:rPr>
      </w:pPr>
      <w:r>
        <w:rPr>
          <w:rFonts w:ascii="Book Antiqua" w:hAnsi="Book Antiqua"/>
          <w:sz w:val="24"/>
          <w:szCs w:val="24"/>
        </w:rPr>
        <w:t>12.3</w:t>
      </w:r>
      <w:r>
        <w:rPr>
          <w:rFonts w:ascii="Book Antiqua" w:hAnsi="Book Antiqua"/>
          <w:sz w:val="24"/>
          <w:szCs w:val="24"/>
        </w:rPr>
        <w:tab/>
      </w:r>
      <w:r w:rsidR="00DA1779" w:rsidRPr="00DA1779">
        <w:rPr>
          <w:rFonts w:ascii="Book Antiqua" w:hAnsi="Book Antiqua"/>
          <w:sz w:val="24"/>
          <w:szCs w:val="24"/>
        </w:rPr>
        <w:t xml:space="preserve">Awards of costs on the County Court scale are allowed at eighty percent </w:t>
      </w:r>
      <w:r w:rsidR="001B609C">
        <w:rPr>
          <w:rFonts w:ascii="Book Antiqua" w:hAnsi="Book Antiqua"/>
          <w:sz w:val="24"/>
          <w:szCs w:val="24"/>
        </w:rPr>
        <w:t xml:space="preserve">(80%) </w:t>
      </w:r>
      <w:r w:rsidR="00DA1779" w:rsidRPr="00DA1779">
        <w:rPr>
          <w:rFonts w:ascii="Book Antiqua" w:hAnsi="Book Antiqua"/>
          <w:sz w:val="24"/>
          <w:szCs w:val="24"/>
        </w:rPr>
        <w:t>of the Supreme Court scale.  County Court scale awards are made by the County Court and generally by VCAT.  The Magistrates’ Court scale applies to Magistrates’ Court costs orders.  The jurisdictional scale of costs applies to the costs of t</w:t>
      </w:r>
      <w:r w:rsidR="00731CA6">
        <w:rPr>
          <w:rFonts w:ascii="Book Antiqua" w:hAnsi="Book Antiqua"/>
          <w:sz w:val="24"/>
          <w:szCs w:val="24"/>
        </w:rPr>
        <w:t>axation in accordance with Rule</w:t>
      </w:r>
      <w:r w:rsidR="00DA1779" w:rsidRPr="00DA1779">
        <w:rPr>
          <w:rFonts w:ascii="Book Antiqua" w:hAnsi="Book Antiqua"/>
          <w:sz w:val="24"/>
          <w:szCs w:val="24"/>
        </w:rPr>
        <w:t xml:space="preserve"> 63.36.</w:t>
      </w:r>
    </w:p>
    <w:p w14:paraId="6E84063F" w14:textId="77777777" w:rsidR="00266BB2" w:rsidRPr="00DA1779" w:rsidRDefault="00303C13" w:rsidP="00303C13">
      <w:pPr>
        <w:pStyle w:val="ListParagraph"/>
        <w:spacing w:before="120" w:after="120"/>
        <w:ind w:hanging="720"/>
        <w:contextualSpacing w:val="0"/>
        <w:jc w:val="both"/>
        <w:rPr>
          <w:rFonts w:ascii="Book Antiqua" w:hAnsi="Book Antiqua"/>
          <w:sz w:val="24"/>
          <w:szCs w:val="24"/>
        </w:rPr>
      </w:pPr>
      <w:r>
        <w:rPr>
          <w:rFonts w:ascii="Book Antiqua" w:hAnsi="Book Antiqua"/>
          <w:sz w:val="24"/>
          <w:szCs w:val="24"/>
        </w:rPr>
        <w:t>12.4</w:t>
      </w:r>
      <w:r>
        <w:rPr>
          <w:rFonts w:ascii="Book Antiqua" w:hAnsi="Book Antiqua"/>
          <w:sz w:val="24"/>
          <w:szCs w:val="24"/>
        </w:rPr>
        <w:tab/>
      </w:r>
      <w:r w:rsidR="00266BB2">
        <w:rPr>
          <w:rFonts w:ascii="Book Antiqua" w:hAnsi="Book Antiqua"/>
          <w:sz w:val="24"/>
          <w:szCs w:val="24"/>
        </w:rPr>
        <w:t xml:space="preserve">All bills of costs drawn on the County Court scale are to be drawn using the rates in the Supreme Court scale and a 20% reduction made at the end of the bill. </w:t>
      </w:r>
    </w:p>
    <w:p w14:paraId="59F09951" w14:textId="77777777" w:rsidR="00DA1779" w:rsidRPr="00DA1779" w:rsidRDefault="00303C13" w:rsidP="00303C13">
      <w:pPr>
        <w:pStyle w:val="ListParagraph"/>
        <w:spacing w:before="120" w:after="120"/>
        <w:ind w:hanging="720"/>
        <w:contextualSpacing w:val="0"/>
        <w:jc w:val="both"/>
        <w:rPr>
          <w:rFonts w:ascii="Book Antiqua" w:hAnsi="Book Antiqua"/>
          <w:sz w:val="24"/>
          <w:szCs w:val="24"/>
        </w:rPr>
      </w:pPr>
      <w:r>
        <w:rPr>
          <w:rFonts w:ascii="Book Antiqua" w:hAnsi="Book Antiqua"/>
          <w:sz w:val="24"/>
          <w:szCs w:val="24"/>
        </w:rPr>
        <w:t>12.5</w:t>
      </w:r>
      <w:r>
        <w:rPr>
          <w:rFonts w:ascii="Book Antiqua" w:hAnsi="Book Antiqua"/>
          <w:sz w:val="24"/>
          <w:szCs w:val="24"/>
        </w:rPr>
        <w:tab/>
      </w:r>
      <w:r w:rsidR="00DA1779" w:rsidRPr="00DA1779">
        <w:rPr>
          <w:rFonts w:ascii="Book Antiqua" w:hAnsi="Book Antiqua"/>
          <w:sz w:val="24"/>
          <w:szCs w:val="24"/>
        </w:rPr>
        <w:t>In relation to the Supreme Court scale, items 4 and 17 include a discretion</w:t>
      </w:r>
      <w:r w:rsidR="00624DF2">
        <w:rPr>
          <w:rFonts w:ascii="Book Antiqua" w:hAnsi="Book Antiqua"/>
          <w:sz w:val="24"/>
          <w:szCs w:val="24"/>
        </w:rPr>
        <w:t xml:space="preserve"> of</w:t>
      </w:r>
      <w:r w:rsidR="00DA1779" w:rsidRPr="00DA1779">
        <w:rPr>
          <w:rFonts w:ascii="Book Antiqua" w:hAnsi="Book Antiqua"/>
          <w:sz w:val="24"/>
          <w:szCs w:val="24"/>
        </w:rPr>
        <w:t xml:space="preserve"> the Costs Court in relation to amounts to be allowed.  Where the County Court scale is applied (i.e. at eighty percent of the Supreme Court scale), the allowances to Item 4 may be reduced to eighty percent of the guideline amount.  The information set out in the table below provides a guide about how those discretions are commonly exercised.</w:t>
      </w:r>
    </w:p>
    <w:p w14:paraId="7E36B122" w14:textId="77777777" w:rsidR="00DA1779" w:rsidRPr="00DA1779" w:rsidRDefault="00303C13" w:rsidP="00303C13">
      <w:pPr>
        <w:pStyle w:val="ListParagraph"/>
        <w:spacing w:before="120" w:after="120"/>
        <w:ind w:hanging="720"/>
        <w:contextualSpacing w:val="0"/>
        <w:jc w:val="both"/>
        <w:rPr>
          <w:rFonts w:ascii="Book Antiqua" w:hAnsi="Book Antiqua"/>
          <w:sz w:val="24"/>
          <w:szCs w:val="24"/>
        </w:rPr>
      </w:pPr>
      <w:r>
        <w:rPr>
          <w:rFonts w:ascii="Book Antiqua" w:hAnsi="Book Antiqua"/>
          <w:sz w:val="24"/>
          <w:szCs w:val="24"/>
        </w:rPr>
        <w:t>12.6</w:t>
      </w:r>
      <w:r>
        <w:rPr>
          <w:rFonts w:ascii="Book Antiqua" w:hAnsi="Book Antiqua"/>
          <w:sz w:val="24"/>
          <w:szCs w:val="24"/>
        </w:rPr>
        <w:tab/>
      </w:r>
      <w:r w:rsidR="00DA1779" w:rsidRPr="00DA1779">
        <w:rPr>
          <w:rFonts w:ascii="Book Antiqua" w:hAnsi="Book Antiqua"/>
          <w:sz w:val="24"/>
          <w:szCs w:val="24"/>
        </w:rPr>
        <w:t xml:space="preserve">Scale item 4 provides that reproduction by photocopy or other machine made copy including hard copies of electronic documents shall be at the discretion of the Costs Court. </w:t>
      </w:r>
    </w:p>
    <w:tbl>
      <w:tblPr>
        <w:tblW w:w="8460" w:type="dxa"/>
        <w:tblInd w:w="71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516"/>
        <w:gridCol w:w="14"/>
        <w:gridCol w:w="2930"/>
      </w:tblGrid>
      <w:tr w:rsidR="00DA1779" w:rsidRPr="001E630E" w14:paraId="71A28405" w14:textId="77777777" w:rsidTr="00005AE6">
        <w:trPr>
          <w:trHeight w:val="435"/>
        </w:trPr>
        <w:tc>
          <w:tcPr>
            <w:tcW w:w="5530" w:type="dxa"/>
            <w:gridSpan w:val="2"/>
            <w:tcBorders>
              <w:top w:val="single" w:sz="6" w:space="0" w:color="000000"/>
              <w:bottom w:val="single" w:sz="6" w:space="0" w:color="000000"/>
              <w:right w:val="single" w:sz="6" w:space="0" w:color="000000"/>
            </w:tcBorders>
          </w:tcPr>
          <w:p w14:paraId="13365719" w14:textId="77777777" w:rsidR="00DA1779" w:rsidRPr="00DA1779" w:rsidRDefault="00DA1779" w:rsidP="00125980">
            <w:pPr>
              <w:autoSpaceDE w:val="0"/>
              <w:autoSpaceDN w:val="0"/>
              <w:adjustRightInd w:val="0"/>
              <w:rPr>
                <w:rFonts w:ascii="Book Antiqua" w:hAnsi="Book Antiqua"/>
              </w:rPr>
            </w:pPr>
            <w:r w:rsidRPr="00DA1779">
              <w:rPr>
                <w:rFonts w:ascii="Book Antiqua" w:hAnsi="Book Antiqua"/>
              </w:rPr>
              <w:t xml:space="preserve">As a guide, the Costs Court may allow Scale item 4 claims on the following basis— </w:t>
            </w:r>
          </w:p>
        </w:tc>
        <w:tc>
          <w:tcPr>
            <w:tcW w:w="2930" w:type="dxa"/>
            <w:tcBorders>
              <w:top w:val="single" w:sz="6" w:space="0" w:color="000000"/>
              <w:left w:val="single" w:sz="6" w:space="0" w:color="000000"/>
              <w:bottom w:val="single" w:sz="6" w:space="0" w:color="000000"/>
            </w:tcBorders>
          </w:tcPr>
          <w:p w14:paraId="26B8035F" w14:textId="77777777" w:rsidR="00DA1779" w:rsidRPr="00DA1779" w:rsidRDefault="00DA1779" w:rsidP="00125980">
            <w:pPr>
              <w:autoSpaceDE w:val="0"/>
              <w:autoSpaceDN w:val="0"/>
              <w:adjustRightInd w:val="0"/>
              <w:rPr>
                <w:rFonts w:ascii="Book Antiqua" w:hAnsi="Book Antiqua"/>
              </w:rPr>
            </w:pPr>
            <w:r w:rsidRPr="00DA1779">
              <w:rPr>
                <w:rFonts w:ascii="Book Antiqua" w:hAnsi="Book Antiqua"/>
              </w:rPr>
              <w:t xml:space="preserve">for each printed side of a page </w:t>
            </w:r>
          </w:p>
          <w:p w14:paraId="7C660A35" w14:textId="77777777" w:rsidR="00DA1779" w:rsidRPr="00DA1779" w:rsidRDefault="00DA1779" w:rsidP="00125980">
            <w:pPr>
              <w:autoSpaceDE w:val="0"/>
              <w:autoSpaceDN w:val="0"/>
              <w:adjustRightInd w:val="0"/>
              <w:rPr>
                <w:rFonts w:ascii="Book Antiqua" w:hAnsi="Book Antiqua"/>
              </w:rPr>
            </w:pPr>
            <w:r w:rsidRPr="00DA1779">
              <w:rPr>
                <w:rFonts w:ascii="Book Antiqua" w:hAnsi="Book Antiqua"/>
              </w:rPr>
              <w:t>0.25 cents</w:t>
            </w:r>
          </w:p>
        </w:tc>
      </w:tr>
      <w:tr w:rsidR="00DA1779" w:rsidRPr="001E630E" w14:paraId="5DDD44E1" w14:textId="77777777" w:rsidTr="00005AE6">
        <w:trPr>
          <w:trHeight w:val="435"/>
        </w:trPr>
        <w:tc>
          <w:tcPr>
            <w:tcW w:w="5530" w:type="dxa"/>
            <w:gridSpan w:val="2"/>
            <w:tcBorders>
              <w:top w:val="single" w:sz="6" w:space="0" w:color="000000"/>
              <w:bottom w:val="single" w:sz="6" w:space="0" w:color="000000"/>
              <w:right w:val="single" w:sz="6" w:space="0" w:color="000000"/>
            </w:tcBorders>
          </w:tcPr>
          <w:p w14:paraId="02AF9BE5" w14:textId="77777777" w:rsidR="00DA1779" w:rsidRPr="00DA1779" w:rsidRDefault="00DA1779" w:rsidP="007D2315">
            <w:pPr>
              <w:autoSpaceDE w:val="0"/>
              <w:autoSpaceDN w:val="0"/>
              <w:adjustRightInd w:val="0"/>
              <w:rPr>
                <w:rFonts w:ascii="Book Antiqua" w:hAnsi="Book Antiqua"/>
              </w:rPr>
            </w:pPr>
            <w:r w:rsidRPr="00DA1779">
              <w:rPr>
                <w:rFonts w:ascii="Book Antiqua" w:hAnsi="Book Antiqua"/>
              </w:rPr>
              <w:t xml:space="preserve">Where large or bulk </w:t>
            </w:r>
            <w:r w:rsidR="00266BB2" w:rsidRPr="00DA1779">
              <w:rPr>
                <w:rFonts w:ascii="Book Antiqua" w:hAnsi="Book Antiqua"/>
              </w:rPr>
              <w:t>copying</w:t>
            </w:r>
            <w:r w:rsidR="00266BB2">
              <w:rPr>
                <w:rFonts w:ascii="Book Antiqua" w:hAnsi="Book Antiqua"/>
              </w:rPr>
              <w:t xml:space="preserve"> is claimed </w:t>
            </w:r>
            <w:r w:rsidRPr="00DA1779">
              <w:rPr>
                <w:rFonts w:ascii="Book Antiqua" w:hAnsi="Book Antiqua"/>
              </w:rPr>
              <w:t xml:space="preserve"> the rate allowed may be lower than 0.25 c per page. </w:t>
            </w:r>
          </w:p>
        </w:tc>
        <w:tc>
          <w:tcPr>
            <w:tcW w:w="2930" w:type="dxa"/>
            <w:tcBorders>
              <w:top w:val="single" w:sz="6" w:space="0" w:color="000000"/>
              <w:left w:val="single" w:sz="6" w:space="0" w:color="000000"/>
              <w:bottom w:val="single" w:sz="6" w:space="0" w:color="000000"/>
            </w:tcBorders>
          </w:tcPr>
          <w:p w14:paraId="25FC5F35" w14:textId="77777777" w:rsidR="00DA1779" w:rsidRPr="00DA1779" w:rsidRDefault="00DA1779" w:rsidP="00125980">
            <w:pPr>
              <w:autoSpaceDE w:val="0"/>
              <w:autoSpaceDN w:val="0"/>
              <w:adjustRightInd w:val="0"/>
              <w:rPr>
                <w:rFonts w:ascii="Book Antiqua" w:hAnsi="Book Antiqua"/>
              </w:rPr>
            </w:pPr>
          </w:p>
        </w:tc>
      </w:tr>
      <w:tr w:rsidR="00DA1779" w:rsidRPr="001E630E" w14:paraId="2EC42D77" w14:textId="77777777" w:rsidTr="00005AE6">
        <w:trPr>
          <w:trHeight w:val="435"/>
        </w:trPr>
        <w:tc>
          <w:tcPr>
            <w:tcW w:w="8460" w:type="dxa"/>
            <w:gridSpan w:val="3"/>
            <w:tcBorders>
              <w:top w:val="single" w:sz="6" w:space="0" w:color="000000"/>
              <w:bottom w:val="single" w:sz="6" w:space="0" w:color="000000"/>
            </w:tcBorders>
          </w:tcPr>
          <w:p w14:paraId="0CA8474E" w14:textId="77777777" w:rsidR="00DA1779" w:rsidRPr="00DA1779" w:rsidRDefault="00DA1779" w:rsidP="00125980">
            <w:pPr>
              <w:autoSpaceDE w:val="0"/>
              <w:autoSpaceDN w:val="0"/>
              <w:adjustRightInd w:val="0"/>
              <w:rPr>
                <w:rFonts w:ascii="Book Antiqua" w:hAnsi="Book Antiqua"/>
              </w:rPr>
            </w:pPr>
            <w:r w:rsidRPr="00DA1779">
              <w:rPr>
                <w:rFonts w:ascii="Book Antiqua" w:hAnsi="Book Antiqua"/>
              </w:rPr>
              <w:t xml:space="preserve">If printed out of the office, the amount charged by the service provider must be claimed as a disbursement and will be allowed if reasonable. </w:t>
            </w:r>
          </w:p>
        </w:tc>
      </w:tr>
      <w:tr w:rsidR="00DA1779" w:rsidRPr="001E630E" w14:paraId="1EA70204" w14:textId="77777777" w:rsidTr="00005AE6">
        <w:trPr>
          <w:trHeight w:val="435"/>
        </w:trPr>
        <w:tc>
          <w:tcPr>
            <w:tcW w:w="5516" w:type="dxa"/>
            <w:tcBorders>
              <w:top w:val="single" w:sz="6" w:space="0" w:color="000000"/>
              <w:bottom w:val="single" w:sz="6" w:space="0" w:color="000000"/>
            </w:tcBorders>
          </w:tcPr>
          <w:p w14:paraId="3710F590" w14:textId="77777777" w:rsidR="00DA1779" w:rsidRPr="00DA1779" w:rsidRDefault="00DA1779" w:rsidP="00125980">
            <w:pPr>
              <w:autoSpaceDE w:val="0"/>
              <w:autoSpaceDN w:val="0"/>
              <w:adjustRightInd w:val="0"/>
              <w:rPr>
                <w:rFonts w:ascii="Book Antiqua" w:hAnsi="Book Antiqua"/>
              </w:rPr>
            </w:pPr>
          </w:p>
        </w:tc>
        <w:tc>
          <w:tcPr>
            <w:tcW w:w="2944" w:type="dxa"/>
            <w:gridSpan w:val="2"/>
            <w:tcBorders>
              <w:top w:val="single" w:sz="6" w:space="0" w:color="000000"/>
              <w:bottom w:val="single" w:sz="6" w:space="0" w:color="000000"/>
            </w:tcBorders>
          </w:tcPr>
          <w:p w14:paraId="20A96C28" w14:textId="77777777" w:rsidR="00DA1779" w:rsidRPr="00DA1779" w:rsidRDefault="00DA1779" w:rsidP="00125980">
            <w:pPr>
              <w:autoSpaceDE w:val="0"/>
              <w:autoSpaceDN w:val="0"/>
              <w:adjustRightInd w:val="0"/>
              <w:rPr>
                <w:rFonts w:ascii="Book Antiqua" w:hAnsi="Book Antiqua"/>
              </w:rPr>
            </w:pPr>
          </w:p>
        </w:tc>
      </w:tr>
      <w:tr w:rsidR="00DA1779" w:rsidRPr="001E630E" w14:paraId="1EB38CE1" w14:textId="77777777" w:rsidTr="00005AE6">
        <w:trPr>
          <w:trHeight w:val="435"/>
        </w:trPr>
        <w:tc>
          <w:tcPr>
            <w:tcW w:w="5516" w:type="dxa"/>
            <w:tcBorders>
              <w:top w:val="single" w:sz="6" w:space="0" w:color="000000"/>
              <w:bottom w:val="single" w:sz="6" w:space="0" w:color="000000"/>
              <w:right w:val="single" w:sz="4" w:space="0" w:color="auto"/>
            </w:tcBorders>
          </w:tcPr>
          <w:p w14:paraId="080511DF" w14:textId="77777777" w:rsidR="00DA1779" w:rsidRPr="00DA1779" w:rsidRDefault="00DA1779" w:rsidP="00125980">
            <w:pPr>
              <w:autoSpaceDE w:val="0"/>
              <w:autoSpaceDN w:val="0"/>
              <w:adjustRightInd w:val="0"/>
              <w:rPr>
                <w:rFonts w:ascii="Book Antiqua" w:hAnsi="Book Antiqua"/>
              </w:rPr>
            </w:pPr>
            <w:r w:rsidRPr="00DA1779">
              <w:rPr>
                <w:rFonts w:ascii="Book Antiqua" w:hAnsi="Book Antiqua"/>
              </w:rPr>
              <w:t xml:space="preserve">Item 17 Care, skill and attention </w:t>
            </w:r>
          </w:p>
          <w:p w14:paraId="458B5740" w14:textId="77777777" w:rsidR="00DA1779" w:rsidRPr="00DA1779" w:rsidRDefault="00DA1779" w:rsidP="00125980">
            <w:pPr>
              <w:autoSpaceDE w:val="0"/>
              <w:autoSpaceDN w:val="0"/>
              <w:adjustRightInd w:val="0"/>
              <w:rPr>
                <w:rFonts w:ascii="Book Antiqua" w:hAnsi="Book Antiqua"/>
              </w:rPr>
            </w:pPr>
            <w:r w:rsidRPr="00DA1779">
              <w:rPr>
                <w:rFonts w:ascii="Book Antiqua" w:hAnsi="Book Antiqua"/>
              </w:rPr>
              <w:t xml:space="preserve">The Costs Court will consider </w:t>
            </w:r>
            <w:r w:rsidR="00AA0CA8">
              <w:rPr>
                <w:rFonts w:ascii="Book Antiqua" w:hAnsi="Book Antiqua"/>
              </w:rPr>
              <w:t>the matters set out in Rule 63.4</w:t>
            </w:r>
            <w:r w:rsidRPr="00DA1779">
              <w:rPr>
                <w:rFonts w:ascii="Book Antiqua" w:hAnsi="Book Antiqua"/>
              </w:rPr>
              <w:t xml:space="preserve">8 and item 17 including work already </w:t>
            </w:r>
            <w:r w:rsidRPr="00DA1779">
              <w:rPr>
                <w:rFonts w:ascii="Book Antiqua" w:hAnsi="Book Antiqua"/>
              </w:rPr>
              <w:lastRenderedPageBreak/>
              <w:t>allowed, research, (item 13) and allowances made for Counsel</w:t>
            </w:r>
          </w:p>
        </w:tc>
        <w:tc>
          <w:tcPr>
            <w:tcW w:w="2944" w:type="dxa"/>
            <w:gridSpan w:val="2"/>
            <w:tcBorders>
              <w:top w:val="single" w:sz="6" w:space="0" w:color="000000"/>
              <w:left w:val="single" w:sz="4" w:space="0" w:color="auto"/>
              <w:bottom w:val="single" w:sz="6" w:space="0" w:color="000000"/>
            </w:tcBorders>
          </w:tcPr>
          <w:p w14:paraId="0D9F17C8" w14:textId="77777777" w:rsidR="00DA1779" w:rsidRPr="00DA1779" w:rsidRDefault="00DA1779" w:rsidP="00125980">
            <w:pPr>
              <w:autoSpaceDE w:val="0"/>
              <w:autoSpaceDN w:val="0"/>
              <w:adjustRightInd w:val="0"/>
              <w:rPr>
                <w:rFonts w:ascii="Book Antiqua" w:hAnsi="Book Antiqua"/>
              </w:rPr>
            </w:pPr>
            <w:r w:rsidRPr="00DA1779">
              <w:rPr>
                <w:rFonts w:ascii="Book Antiqua" w:hAnsi="Book Antiqua"/>
              </w:rPr>
              <w:lastRenderedPageBreak/>
              <w:t xml:space="preserve">A percentage of the amount allowed in the bill of costs is commonly within the range of </w:t>
            </w:r>
          </w:p>
          <w:p w14:paraId="2B600BDB" w14:textId="77777777" w:rsidR="00DA1779" w:rsidRPr="00DA1779" w:rsidRDefault="00DA1779" w:rsidP="00125980">
            <w:pPr>
              <w:autoSpaceDE w:val="0"/>
              <w:autoSpaceDN w:val="0"/>
              <w:adjustRightInd w:val="0"/>
              <w:rPr>
                <w:rFonts w:ascii="Book Antiqua" w:hAnsi="Book Antiqua"/>
              </w:rPr>
            </w:pPr>
            <w:r w:rsidRPr="00DA1779">
              <w:rPr>
                <w:rFonts w:ascii="Book Antiqua" w:hAnsi="Book Antiqua"/>
              </w:rPr>
              <w:lastRenderedPageBreak/>
              <w:t xml:space="preserve">0 – 15% </w:t>
            </w:r>
          </w:p>
        </w:tc>
      </w:tr>
    </w:tbl>
    <w:p w14:paraId="69304FAE" w14:textId="77777777" w:rsidR="00582DAF" w:rsidRDefault="00303C13" w:rsidP="00303C13">
      <w:pPr>
        <w:pStyle w:val="ListParagraph"/>
        <w:spacing w:before="120" w:after="120"/>
        <w:ind w:hanging="720"/>
        <w:contextualSpacing w:val="0"/>
        <w:jc w:val="both"/>
        <w:rPr>
          <w:rFonts w:ascii="Book Antiqua" w:hAnsi="Book Antiqua"/>
          <w:sz w:val="24"/>
          <w:szCs w:val="24"/>
        </w:rPr>
      </w:pPr>
      <w:r>
        <w:rPr>
          <w:rFonts w:ascii="Book Antiqua" w:hAnsi="Book Antiqua"/>
          <w:sz w:val="24"/>
          <w:szCs w:val="24"/>
        </w:rPr>
        <w:lastRenderedPageBreak/>
        <w:t>12.7</w:t>
      </w:r>
      <w:r>
        <w:rPr>
          <w:rFonts w:ascii="Book Antiqua" w:hAnsi="Book Antiqua"/>
          <w:sz w:val="24"/>
          <w:szCs w:val="24"/>
        </w:rPr>
        <w:tab/>
      </w:r>
      <w:r w:rsidR="00731CA6">
        <w:rPr>
          <w:rFonts w:ascii="Book Antiqua" w:hAnsi="Book Antiqua"/>
          <w:sz w:val="24"/>
          <w:szCs w:val="24"/>
        </w:rPr>
        <w:t xml:space="preserve">Item 19 contains maxima fees for Counsel. </w:t>
      </w:r>
      <w:r w:rsidR="00CA6C2C">
        <w:rPr>
          <w:rFonts w:ascii="Book Antiqua" w:hAnsi="Book Antiqua"/>
          <w:sz w:val="24"/>
          <w:szCs w:val="24"/>
        </w:rPr>
        <w:t xml:space="preserve"> </w:t>
      </w:r>
      <w:r w:rsidR="00731CA6">
        <w:rPr>
          <w:rFonts w:ascii="Book Antiqua" w:hAnsi="Book Antiqua"/>
          <w:sz w:val="24"/>
          <w:szCs w:val="24"/>
        </w:rPr>
        <w:t xml:space="preserve">Where costs are taxed pursuant to an order of the Supreme Court, Counsel’s fees in excess of scale cannot be allowed by the Costs Court unless the Supreme Court otherwise orders. </w:t>
      </w:r>
      <w:r w:rsidR="00CA6C2C">
        <w:rPr>
          <w:rFonts w:ascii="Book Antiqua" w:hAnsi="Book Antiqua"/>
          <w:sz w:val="24"/>
          <w:szCs w:val="24"/>
        </w:rPr>
        <w:t xml:space="preserve"> </w:t>
      </w:r>
      <w:r w:rsidR="00912ED7">
        <w:rPr>
          <w:rFonts w:ascii="Book Antiqua" w:hAnsi="Book Antiqua"/>
          <w:sz w:val="24"/>
          <w:szCs w:val="24"/>
        </w:rPr>
        <w:t>Therefore,</w:t>
      </w:r>
      <w:r w:rsidR="00731CA6">
        <w:rPr>
          <w:rFonts w:ascii="Book Antiqua" w:hAnsi="Book Antiqua"/>
          <w:sz w:val="24"/>
          <w:szCs w:val="24"/>
        </w:rPr>
        <w:t xml:space="preserve"> where costs are sought pursuant to an order of the Supreme Court, and the party seeks sums for Counsel’s fees in excess of the maxim</w:t>
      </w:r>
      <w:r w:rsidR="00624DF2">
        <w:rPr>
          <w:rFonts w:ascii="Book Antiqua" w:hAnsi="Book Antiqua"/>
          <w:sz w:val="24"/>
          <w:szCs w:val="24"/>
        </w:rPr>
        <w:t>a</w:t>
      </w:r>
      <w:r w:rsidR="00731CA6">
        <w:rPr>
          <w:rFonts w:ascii="Book Antiqua" w:hAnsi="Book Antiqua"/>
          <w:sz w:val="24"/>
          <w:szCs w:val="24"/>
        </w:rPr>
        <w:t xml:space="preserve"> in the scale, an application </w:t>
      </w:r>
      <w:r w:rsidR="00266BB2">
        <w:rPr>
          <w:rFonts w:ascii="Book Antiqua" w:hAnsi="Book Antiqua"/>
          <w:sz w:val="24"/>
          <w:szCs w:val="24"/>
        </w:rPr>
        <w:t>should</w:t>
      </w:r>
      <w:r w:rsidR="00731CA6">
        <w:rPr>
          <w:rFonts w:ascii="Book Antiqua" w:hAnsi="Book Antiqua"/>
          <w:sz w:val="24"/>
          <w:szCs w:val="24"/>
        </w:rPr>
        <w:t xml:space="preserve"> be made to the </w:t>
      </w:r>
      <w:r w:rsidR="00FE6380" w:rsidRPr="00D21E39">
        <w:rPr>
          <w:rFonts w:ascii="Book Antiqua" w:hAnsi="Book Antiqua"/>
          <w:sz w:val="24"/>
          <w:szCs w:val="24"/>
        </w:rPr>
        <w:t xml:space="preserve">Judge making the costs order </w:t>
      </w:r>
      <w:r w:rsidR="00731CA6" w:rsidRPr="00D21E39">
        <w:rPr>
          <w:rFonts w:ascii="Book Antiqua" w:hAnsi="Book Antiqua"/>
          <w:sz w:val="24"/>
          <w:szCs w:val="24"/>
        </w:rPr>
        <w:t xml:space="preserve">at </w:t>
      </w:r>
      <w:r w:rsidR="00731CA6">
        <w:rPr>
          <w:rFonts w:ascii="Book Antiqua" w:hAnsi="Book Antiqua"/>
          <w:sz w:val="24"/>
          <w:szCs w:val="24"/>
        </w:rPr>
        <w:t>the time the costs order is sought</w:t>
      </w:r>
      <w:r w:rsidR="00266BB2">
        <w:rPr>
          <w:rFonts w:ascii="Book Antiqua" w:hAnsi="Book Antiqua"/>
          <w:sz w:val="24"/>
          <w:szCs w:val="24"/>
        </w:rPr>
        <w:t>.  If</w:t>
      </w:r>
      <w:r w:rsidR="00731CA6">
        <w:rPr>
          <w:rFonts w:ascii="Book Antiqua" w:hAnsi="Book Antiqua"/>
          <w:sz w:val="24"/>
          <w:szCs w:val="24"/>
        </w:rPr>
        <w:t xml:space="preserve"> an order </w:t>
      </w:r>
      <w:r w:rsidR="00266BB2">
        <w:rPr>
          <w:rFonts w:ascii="Book Antiqua" w:hAnsi="Book Antiqua"/>
          <w:sz w:val="24"/>
          <w:szCs w:val="24"/>
        </w:rPr>
        <w:t xml:space="preserve">is </w:t>
      </w:r>
      <w:r w:rsidR="00731CA6">
        <w:rPr>
          <w:rFonts w:ascii="Book Antiqua" w:hAnsi="Book Antiqua"/>
          <w:sz w:val="24"/>
          <w:szCs w:val="24"/>
        </w:rPr>
        <w:t xml:space="preserve">made that Counsel’s fees in excess of the scale </w:t>
      </w:r>
      <w:r w:rsidR="00912ED7">
        <w:rPr>
          <w:rFonts w:ascii="Book Antiqua" w:hAnsi="Book Antiqua"/>
          <w:sz w:val="24"/>
          <w:szCs w:val="24"/>
        </w:rPr>
        <w:t xml:space="preserve">are to </w:t>
      </w:r>
      <w:r w:rsidR="00731CA6">
        <w:rPr>
          <w:rFonts w:ascii="Book Antiqua" w:hAnsi="Book Antiqua"/>
          <w:sz w:val="24"/>
          <w:szCs w:val="24"/>
        </w:rPr>
        <w:t xml:space="preserve">be allowed </w:t>
      </w:r>
      <w:r w:rsidR="00912ED7">
        <w:rPr>
          <w:rFonts w:ascii="Book Antiqua" w:hAnsi="Book Antiqua"/>
          <w:sz w:val="24"/>
          <w:szCs w:val="24"/>
        </w:rPr>
        <w:t xml:space="preserve">the Costs Court will allow the ordered fees </w:t>
      </w:r>
      <w:r w:rsidR="00731CA6">
        <w:rPr>
          <w:rFonts w:ascii="Book Antiqua" w:hAnsi="Book Antiqua"/>
          <w:sz w:val="24"/>
          <w:szCs w:val="24"/>
        </w:rPr>
        <w:t>on taxation</w:t>
      </w:r>
      <w:r w:rsidR="00912ED7">
        <w:rPr>
          <w:rFonts w:ascii="Book Antiqua" w:hAnsi="Book Antiqua"/>
          <w:sz w:val="24"/>
          <w:szCs w:val="24"/>
        </w:rPr>
        <w:t>.</w:t>
      </w:r>
      <w:r w:rsidR="00731CA6">
        <w:rPr>
          <w:rFonts w:ascii="Book Antiqua" w:hAnsi="Book Antiqua"/>
          <w:sz w:val="24"/>
          <w:szCs w:val="24"/>
        </w:rPr>
        <w:t xml:space="preserve"> </w:t>
      </w:r>
    </w:p>
    <w:p w14:paraId="7D6DAC09" w14:textId="77777777" w:rsidR="00731CA6" w:rsidRDefault="00303C13" w:rsidP="00303C13">
      <w:pPr>
        <w:pStyle w:val="ListParagraph"/>
        <w:spacing w:before="120" w:after="120"/>
        <w:ind w:hanging="720"/>
        <w:contextualSpacing w:val="0"/>
        <w:jc w:val="both"/>
        <w:rPr>
          <w:rFonts w:ascii="Book Antiqua" w:hAnsi="Book Antiqua"/>
          <w:sz w:val="24"/>
          <w:szCs w:val="24"/>
        </w:rPr>
      </w:pPr>
      <w:r>
        <w:rPr>
          <w:rFonts w:ascii="Book Antiqua" w:hAnsi="Book Antiqua"/>
          <w:sz w:val="24"/>
          <w:szCs w:val="24"/>
        </w:rPr>
        <w:t>12.8</w:t>
      </w:r>
      <w:r>
        <w:rPr>
          <w:rFonts w:ascii="Book Antiqua" w:hAnsi="Book Antiqua"/>
          <w:sz w:val="24"/>
          <w:szCs w:val="24"/>
        </w:rPr>
        <w:tab/>
      </w:r>
      <w:r w:rsidR="00731CA6">
        <w:rPr>
          <w:rFonts w:ascii="Book Antiqua" w:hAnsi="Book Antiqua"/>
          <w:sz w:val="24"/>
          <w:szCs w:val="24"/>
        </w:rPr>
        <w:t>The Supreme Court may fix the rate or amount of Counsel’s fees above scale, or direct the Costs Court to allow fees of Counsel in excess of scale when assessing or taxing the costs.</w:t>
      </w:r>
      <w:r w:rsidR="00CA6C2C">
        <w:rPr>
          <w:rFonts w:ascii="Book Antiqua" w:hAnsi="Book Antiqua"/>
          <w:sz w:val="24"/>
          <w:szCs w:val="24"/>
        </w:rPr>
        <w:t xml:space="preserve"> </w:t>
      </w:r>
      <w:r w:rsidR="00731CA6">
        <w:rPr>
          <w:rFonts w:ascii="Book Antiqua" w:hAnsi="Book Antiqua"/>
          <w:sz w:val="24"/>
          <w:szCs w:val="24"/>
        </w:rPr>
        <w:t xml:space="preserve"> In the latter case the Costs Judge, Judicial Registrar or Costs Registrar will fix the rate of charge in excess of the scale amount. </w:t>
      </w:r>
    </w:p>
    <w:p w14:paraId="736DCFB3" w14:textId="77777777" w:rsidR="00731CA6" w:rsidRDefault="00303C13" w:rsidP="00303C13">
      <w:pPr>
        <w:pStyle w:val="ListParagraph"/>
        <w:spacing w:before="120" w:after="240"/>
        <w:ind w:hanging="720"/>
        <w:contextualSpacing w:val="0"/>
        <w:jc w:val="both"/>
        <w:rPr>
          <w:rFonts w:ascii="Book Antiqua" w:hAnsi="Book Antiqua"/>
          <w:sz w:val="24"/>
          <w:szCs w:val="24"/>
        </w:rPr>
      </w:pPr>
      <w:r>
        <w:rPr>
          <w:rFonts w:ascii="Book Antiqua" w:hAnsi="Book Antiqua"/>
          <w:sz w:val="24"/>
          <w:szCs w:val="24"/>
        </w:rPr>
        <w:t>12.9</w:t>
      </w:r>
      <w:r>
        <w:rPr>
          <w:rFonts w:ascii="Book Antiqua" w:hAnsi="Book Antiqua"/>
          <w:sz w:val="24"/>
          <w:szCs w:val="24"/>
        </w:rPr>
        <w:tab/>
      </w:r>
      <w:r w:rsidR="00731CA6">
        <w:rPr>
          <w:rFonts w:ascii="Book Antiqua" w:hAnsi="Book Antiqua"/>
          <w:sz w:val="24"/>
          <w:szCs w:val="24"/>
        </w:rPr>
        <w:t xml:space="preserve">The Costs Court only has a full discretion to allow fees in excess of the maximum in limited circumstances. </w:t>
      </w:r>
      <w:r w:rsidR="00CA6C2C">
        <w:rPr>
          <w:rFonts w:ascii="Book Antiqua" w:hAnsi="Book Antiqua"/>
          <w:sz w:val="24"/>
          <w:szCs w:val="24"/>
        </w:rPr>
        <w:t xml:space="preserve"> </w:t>
      </w:r>
      <w:r w:rsidR="00731CA6">
        <w:rPr>
          <w:rFonts w:ascii="Book Antiqua" w:hAnsi="Book Antiqua"/>
          <w:sz w:val="24"/>
          <w:szCs w:val="24"/>
        </w:rPr>
        <w:t xml:space="preserve">For example, pursuant to a notice of discontinuance or arising from the acceptance of a formal Offer of Compromise, or taxation pursuant to the terms of a Release, or reviews under </w:t>
      </w:r>
      <w:r w:rsidR="00FE6380" w:rsidRPr="00D21E39">
        <w:rPr>
          <w:rFonts w:ascii="Book Antiqua" w:hAnsi="Book Antiqua"/>
          <w:sz w:val="24"/>
          <w:szCs w:val="24"/>
        </w:rPr>
        <w:t xml:space="preserve">the </w:t>
      </w:r>
      <w:r w:rsidR="00731CA6" w:rsidRPr="00D21E39">
        <w:rPr>
          <w:rFonts w:ascii="Book Antiqua" w:hAnsi="Book Antiqua"/>
          <w:sz w:val="24"/>
          <w:szCs w:val="24"/>
        </w:rPr>
        <w:t>Legal Profession legislation in accordance with scale.</w:t>
      </w:r>
    </w:p>
    <w:p w14:paraId="56C5FEBC" w14:textId="77777777" w:rsidR="00DA1779" w:rsidRPr="00DA1779" w:rsidRDefault="00303C13" w:rsidP="00303C13">
      <w:pPr>
        <w:pStyle w:val="Heading1"/>
      </w:pPr>
      <w:r>
        <w:t>13.</w:t>
      </w:r>
      <w:r>
        <w:tab/>
      </w:r>
      <w:r w:rsidR="00DA1779" w:rsidRPr="00DA1779">
        <w:t>Appearances by persons without an entitlement to appear in the Costs Court</w:t>
      </w:r>
    </w:p>
    <w:p w14:paraId="04CA641E" w14:textId="77777777" w:rsidR="00DA1779" w:rsidRPr="00DA1779" w:rsidRDefault="00303C13" w:rsidP="00303C13">
      <w:pPr>
        <w:pStyle w:val="ListParagraph"/>
        <w:spacing w:before="120" w:after="120"/>
        <w:ind w:hanging="720"/>
        <w:contextualSpacing w:val="0"/>
        <w:jc w:val="both"/>
        <w:rPr>
          <w:rFonts w:ascii="Book Antiqua" w:hAnsi="Book Antiqua"/>
          <w:sz w:val="24"/>
          <w:szCs w:val="24"/>
        </w:rPr>
      </w:pPr>
      <w:r>
        <w:rPr>
          <w:rFonts w:ascii="Book Antiqua" w:hAnsi="Book Antiqua"/>
          <w:sz w:val="24"/>
          <w:szCs w:val="24"/>
        </w:rPr>
        <w:t>13.1</w:t>
      </w:r>
      <w:r>
        <w:rPr>
          <w:rFonts w:ascii="Book Antiqua" w:hAnsi="Book Antiqua"/>
          <w:sz w:val="24"/>
          <w:szCs w:val="24"/>
        </w:rPr>
        <w:tab/>
      </w:r>
      <w:r w:rsidR="00DA1779" w:rsidRPr="00DA1779">
        <w:rPr>
          <w:rFonts w:ascii="Book Antiqua" w:hAnsi="Book Antiqua"/>
          <w:sz w:val="24"/>
          <w:szCs w:val="24"/>
        </w:rPr>
        <w:t xml:space="preserve">The right to appear on behalf of another in the Supreme Court is reserved to those admitted to legal practice. </w:t>
      </w:r>
      <w:r w:rsidR="00CA6C2C">
        <w:rPr>
          <w:rFonts w:ascii="Book Antiqua" w:hAnsi="Book Antiqua"/>
          <w:sz w:val="24"/>
          <w:szCs w:val="24"/>
        </w:rPr>
        <w:t xml:space="preserve"> </w:t>
      </w:r>
      <w:r w:rsidR="00DA1779" w:rsidRPr="00DA1779">
        <w:rPr>
          <w:rFonts w:ascii="Book Antiqua" w:hAnsi="Book Antiqua"/>
          <w:sz w:val="24"/>
          <w:szCs w:val="24"/>
        </w:rPr>
        <w:t>Those without a right to appear must obtain the leave of the Court.</w:t>
      </w:r>
    </w:p>
    <w:p w14:paraId="636F8300" w14:textId="77777777" w:rsidR="00DA1779" w:rsidRPr="00DA1779" w:rsidRDefault="00303C13" w:rsidP="00303C13">
      <w:pPr>
        <w:pStyle w:val="ListParagraph"/>
        <w:spacing w:before="120" w:after="120"/>
        <w:ind w:hanging="720"/>
        <w:contextualSpacing w:val="0"/>
        <w:jc w:val="both"/>
        <w:rPr>
          <w:rFonts w:ascii="Book Antiqua" w:hAnsi="Book Antiqua"/>
          <w:sz w:val="24"/>
          <w:szCs w:val="24"/>
        </w:rPr>
      </w:pPr>
      <w:r>
        <w:rPr>
          <w:rFonts w:ascii="Book Antiqua" w:hAnsi="Book Antiqua"/>
          <w:sz w:val="24"/>
          <w:szCs w:val="24"/>
        </w:rPr>
        <w:t>13.2</w:t>
      </w:r>
      <w:r>
        <w:rPr>
          <w:rFonts w:ascii="Book Antiqua" w:hAnsi="Book Antiqua"/>
          <w:sz w:val="24"/>
          <w:szCs w:val="24"/>
        </w:rPr>
        <w:tab/>
      </w:r>
      <w:r w:rsidR="00DA1779" w:rsidRPr="00DA1779">
        <w:rPr>
          <w:rFonts w:ascii="Book Antiqua" w:hAnsi="Book Antiqua"/>
          <w:sz w:val="24"/>
          <w:szCs w:val="24"/>
        </w:rPr>
        <w:t>All persons who do not have a right to appear before the Court shall indicate their intention to apply for leave to appear before the commencement of any hearing in which they seek to appear.</w:t>
      </w:r>
    </w:p>
    <w:p w14:paraId="4801885E" w14:textId="77777777" w:rsidR="00DA1779" w:rsidRPr="000373E9" w:rsidRDefault="00303C13" w:rsidP="00303C13">
      <w:pPr>
        <w:pStyle w:val="ListParagraph"/>
        <w:spacing w:before="120" w:after="120"/>
        <w:ind w:hanging="720"/>
        <w:jc w:val="both"/>
        <w:rPr>
          <w:rFonts w:ascii="Book Antiqua" w:hAnsi="Book Antiqua"/>
          <w:sz w:val="24"/>
          <w:szCs w:val="24"/>
        </w:rPr>
      </w:pPr>
      <w:r>
        <w:rPr>
          <w:rFonts w:ascii="Book Antiqua" w:hAnsi="Book Antiqua"/>
          <w:sz w:val="24"/>
          <w:szCs w:val="24"/>
        </w:rPr>
        <w:t>13.3</w:t>
      </w:r>
      <w:r>
        <w:rPr>
          <w:rFonts w:ascii="Book Antiqua" w:hAnsi="Book Antiqua"/>
          <w:sz w:val="24"/>
          <w:szCs w:val="24"/>
        </w:rPr>
        <w:tab/>
      </w:r>
      <w:r w:rsidR="00DA1779" w:rsidRPr="00DA1779">
        <w:rPr>
          <w:rFonts w:ascii="Book Antiqua" w:hAnsi="Book Antiqua"/>
          <w:sz w:val="24"/>
          <w:szCs w:val="24"/>
        </w:rPr>
        <w:t xml:space="preserve">This should be done by letter addressed to the Associate to the Associate Judge, Judicial Registrar or Costs Registrar which should contain an acknowledgement that the person seeking leave to appear has read and understands their obligations under the </w:t>
      </w:r>
      <w:r w:rsidR="00DA1779" w:rsidRPr="00594C2B">
        <w:rPr>
          <w:rFonts w:ascii="Book Antiqua" w:hAnsi="Book Antiqua"/>
          <w:i/>
          <w:sz w:val="24"/>
          <w:szCs w:val="24"/>
        </w:rPr>
        <w:t>Civil Procedure Act 2010</w:t>
      </w:r>
      <w:r w:rsidR="00DA1779" w:rsidRPr="00DA1779">
        <w:rPr>
          <w:rFonts w:ascii="Book Antiqua" w:hAnsi="Book Antiqua"/>
          <w:sz w:val="24"/>
          <w:szCs w:val="24"/>
        </w:rPr>
        <w:t xml:space="preserve"> and the potential sanctions for breach of those obligations. </w:t>
      </w:r>
      <w:r w:rsidR="00CA6C2C">
        <w:rPr>
          <w:rFonts w:ascii="Book Antiqua" w:hAnsi="Book Antiqua"/>
          <w:sz w:val="24"/>
          <w:szCs w:val="24"/>
        </w:rPr>
        <w:t xml:space="preserve"> </w:t>
      </w:r>
      <w:r w:rsidR="008F790D" w:rsidRPr="000373E9">
        <w:rPr>
          <w:rFonts w:ascii="Book Antiqua" w:hAnsi="Book Antiqua"/>
          <w:sz w:val="24"/>
          <w:szCs w:val="24"/>
        </w:rPr>
        <w:t xml:space="preserve">The letter must be filed with the Court </w:t>
      </w:r>
      <w:r w:rsidR="00454E93" w:rsidRPr="000373E9">
        <w:rPr>
          <w:rFonts w:ascii="Book Antiqua" w:hAnsi="Book Antiqua"/>
          <w:sz w:val="24"/>
          <w:szCs w:val="24"/>
        </w:rPr>
        <w:t xml:space="preserve">electronically </w:t>
      </w:r>
      <w:r w:rsidR="008F790D" w:rsidRPr="000373E9">
        <w:rPr>
          <w:rFonts w:ascii="Book Antiqua" w:hAnsi="Book Antiqua"/>
          <w:sz w:val="24"/>
          <w:szCs w:val="24"/>
        </w:rPr>
        <w:t xml:space="preserve">and a </w:t>
      </w:r>
      <w:r w:rsidR="00DA1779" w:rsidRPr="000373E9">
        <w:rPr>
          <w:rFonts w:ascii="Book Antiqua" w:hAnsi="Book Antiqua"/>
          <w:sz w:val="24"/>
          <w:szCs w:val="24"/>
        </w:rPr>
        <w:t>copy of the letter sent to the other parties in the matter.</w:t>
      </w:r>
    </w:p>
    <w:p w14:paraId="7DD9512A" w14:textId="77777777" w:rsidR="00DA1779" w:rsidRPr="00DA1779" w:rsidRDefault="00303C13" w:rsidP="00303C13">
      <w:pPr>
        <w:pStyle w:val="ListParagraph"/>
        <w:spacing w:before="120" w:after="120"/>
        <w:ind w:left="0"/>
        <w:jc w:val="both"/>
        <w:rPr>
          <w:rFonts w:ascii="Book Antiqua" w:hAnsi="Book Antiqua"/>
          <w:sz w:val="24"/>
          <w:szCs w:val="24"/>
        </w:rPr>
      </w:pPr>
      <w:r>
        <w:rPr>
          <w:rFonts w:ascii="Book Antiqua" w:hAnsi="Book Antiqua"/>
          <w:sz w:val="24"/>
          <w:szCs w:val="24"/>
        </w:rPr>
        <w:t>13.4</w:t>
      </w:r>
      <w:r>
        <w:rPr>
          <w:rFonts w:ascii="Book Antiqua" w:hAnsi="Book Antiqua"/>
          <w:sz w:val="24"/>
          <w:szCs w:val="24"/>
        </w:rPr>
        <w:tab/>
      </w:r>
      <w:r w:rsidR="00DA1779" w:rsidRPr="00DA1779">
        <w:rPr>
          <w:rFonts w:ascii="Book Antiqua" w:hAnsi="Book Antiqua"/>
          <w:sz w:val="24"/>
          <w:szCs w:val="24"/>
        </w:rPr>
        <w:t>Where a person seeks leave to appear before the Court they shall disclose:</w:t>
      </w:r>
    </w:p>
    <w:p w14:paraId="150BC25B" w14:textId="77777777" w:rsidR="00DA1779" w:rsidRPr="00DA1779" w:rsidRDefault="00303C13" w:rsidP="00303C13">
      <w:pPr>
        <w:pStyle w:val="ListParagraph"/>
        <w:spacing w:before="120" w:after="120"/>
        <w:ind w:left="1440" w:hanging="720"/>
        <w:contextualSpacing w:val="0"/>
        <w:jc w:val="both"/>
        <w:rPr>
          <w:rFonts w:ascii="Book Antiqua" w:hAnsi="Book Antiqua"/>
          <w:sz w:val="24"/>
          <w:szCs w:val="24"/>
        </w:rPr>
      </w:pPr>
      <w:r>
        <w:rPr>
          <w:rFonts w:ascii="Book Antiqua" w:hAnsi="Book Antiqua"/>
          <w:sz w:val="24"/>
          <w:szCs w:val="24"/>
        </w:rPr>
        <w:t>13.4.1</w:t>
      </w:r>
      <w:r>
        <w:rPr>
          <w:rFonts w:ascii="Book Antiqua" w:hAnsi="Book Antiqua"/>
          <w:sz w:val="24"/>
          <w:szCs w:val="24"/>
        </w:rPr>
        <w:tab/>
      </w:r>
      <w:r w:rsidR="00DA1779" w:rsidRPr="00DA1779">
        <w:rPr>
          <w:rFonts w:ascii="Book Antiqua" w:hAnsi="Book Antiqua"/>
          <w:sz w:val="24"/>
          <w:szCs w:val="24"/>
        </w:rPr>
        <w:t xml:space="preserve">Whether they are a disqualified person or have been found guilty of a relevant offence </w:t>
      </w:r>
      <w:r w:rsidR="00701163">
        <w:rPr>
          <w:rFonts w:ascii="Book Antiqua" w:hAnsi="Book Antiqua"/>
          <w:sz w:val="24"/>
          <w:szCs w:val="24"/>
        </w:rPr>
        <w:t xml:space="preserve">under </w:t>
      </w:r>
      <w:r w:rsidR="00701163" w:rsidRPr="00701163">
        <w:rPr>
          <w:rFonts w:ascii="Book Antiqua" w:hAnsi="Book Antiqua"/>
          <w:b/>
          <w:sz w:val="24"/>
          <w:szCs w:val="24"/>
          <w:u w:val="single"/>
        </w:rPr>
        <w:t>Legal Profession Legislation</w:t>
      </w:r>
      <w:r w:rsidR="00DA1779" w:rsidRPr="00DA1779">
        <w:rPr>
          <w:rFonts w:ascii="Book Antiqua" w:hAnsi="Book Antiqua"/>
          <w:sz w:val="24"/>
          <w:szCs w:val="24"/>
        </w:rPr>
        <w:t>;</w:t>
      </w:r>
    </w:p>
    <w:p w14:paraId="7F2BC78A" w14:textId="77777777" w:rsidR="00DA1779" w:rsidRPr="00DA1779" w:rsidRDefault="00303C13" w:rsidP="00303C13">
      <w:pPr>
        <w:pStyle w:val="ListParagraph"/>
        <w:spacing w:before="120" w:after="120"/>
        <w:ind w:left="1440" w:hanging="720"/>
        <w:contextualSpacing w:val="0"/>
        <w:jc w:val="both"/>
        <w:rPr>
          <w:rFonts w:ascii="Book Antiqua" w:hAnsi="Book Antiqua"/>
          <w:sz w:val="24"/>
          <w:szCs w:val="24"/>
        </w:rPr>
      </w:pPr>
      <w:r>
        <w:rPr>
          <w:rFonts w:ascii="Book Antiqua" w:hAnsi="Book Antiqua"/>
          <w:sz w:val="24"/>
          <w:szCs w:val="24"/>
        </w:rPr>
        <w:t>13.4.2</w:t>
      </w:r>
      <w:r>
        <w:rPr>
          <w:rFonts w:ascii="Book Antiqua" w:hAnsi="Book Antiqua"/>
          <w:sz w:val="24"/>
          <w:szCs w:val="24"/>
        </w:rPr>
        <w:tab/>
      </w:r>
      <w:r w:rsidR="00DA1779" w:rsidRPr="00DA1779">
        <w:rPr>
          <w:rFonts w:ascii="Book Antiqua" w:hAnsi="Book Antiqua"/>
          <w:sz w:val="24"/>
          <w:szCs w:val="24"/>
        </w:rPr>
        <w:t xml:space="preserve">If so whether the solicitor on the record (if any) for the party they seek to appear for has been informed of this fact and whether the Legal Services Board has given approval </w:t>
      </w:r>
      <w:r w:rsidR="00701163">
        <w:rPr>
          <w:rFonts w:ascii="Book Antiqua" w:hAnsi="Book Antiqua"/>
          <w:sz w:val="24"/>
          <w:szCs w:val="24"/>
        </w:rPr>
        <w:t xml:space="preserve">under </w:t>
      </w:r>
      <w:r w:rsidR="00701163" w:rsidRPr="00701163">
        <w:rPr>
          <w:rFonts w:ascii="Book Antiqua" w:hAnsi="Book Antiqua"/>
          <w:b/>
          <w:sz w:val="24"/>
          <w:szCs w:val="24"/>
          <w:u w:val="single"/>
        </w:rPr>
        <w:t>Legal Profession Legislation</w:t>
      </w:r>
      <w:r w:rsidR="00DA1779" w:rsidRPr="00DA1779">
        <w:rPr>
          <w:rFonts w:ascii="Book Antiqua" w:hAnsi="Book Antiqua"/>
          <w:sz w:val="24"/>
          <w:szCs w:val="24"/>
        </w:rPr>
        <w:t>.</w:t>
      </w:r>
    </w:p>
    <w:p w14:paraId="4D92F8F6" w14:textId="77777777" w:rsidR="00DC24A7" w:rsidRPr="006F60CF" w:rsidRDefault="00303C13" w:rsidP="00303C13">
      <w:pPr>
        <w:pStyle w:val="ListParagraph"/>
        <w:spacing w:before="120" w:after="240"/>
        <w:ind w:left="1440" w:hanging="720"/>
        <w:contextualSpacing w:val="0"/>
        <w:jc w:val="both"/>
        <w:rPr>
          <w:rFonts w:ascii="Book Antiqua" w:hAnsi="Book Antiqua"/>
          <w:sz w:val="24"/>
          <w:szCs w:val="24"/>
        </w:rPr>
      </w:pPr>
      <w:r>
        <w:rPr>
          <w:rFonts w:ascii="Book Antiqua" w:hAnsi="Book Antiqua"/>
          <w:sz w:val="24"/>
          <w:szCs w:val="24"/>
        </w:rPr>
        <w:lastRenderedPageBreak/>
        <w:t>13.4.3</w:t>
      </w:r>
      <w:r>
        <w:rPr>
          <w:rFonts w:ascii="Book Antiqua" w:hAnsi="Book Antiqua"/>
          <w:sz w:val="24"/>
          <w:szCs w:val="24"/>
        </w:rPr>
        <w:tab/>
      </w:r>
      <w:r w:rsidR="00DA1779" w:rsidRPr="00DA1779">
        <w:rPr>
          <w:rFonts w:ascii="Book Antiqua" w:hAnsi="Book Antiqua"/>
          <w:sz w:val="24"/>
          <w:szCs w:val="24"/>
        </w:rPr>
        <w:t xml:space="preserve">Any legal practitioner who engages a person to appear before the Costs Court who requires the leave of Court to appear shall satisfy themselves that the person is suitable to appear on behalf of their client. </w:t>
      </w:r>
      <w:r w:rsidR="00CA6C2C">
        <w:rPr>
          <w:rFonts w:ascii="Book Antiqua" w:hAnsi="Book Antiqua"/>
          <w:sz w:val="24"/>
          <w:szCs w:val="24"/>
        </w:rPr>
        <w:t xml:space="preserve"> </w:t>
      </w:r>
      <w:r w:rsidR="00DA1779" w:rsidRPr="00DA1779">
        <w:rPr>
          <w:rFonts w:ascii="Book Antiqua" w:hAnsi="Book Antiqua"/>
          <w:sz w:val="24"/>
          <w:szCs w:val="24"/>
        </w:rPr>
        <w:t xml:space="preserve">They must also inform their client in circumstances where the costs of that appearance will not be able to be claimed on taxation (See </w:t>
      </w:r>
      <w:r w:rsidR="00DA1779" w:rsidRPr="00594C2B">
        <w:rPr>
          <w:rFonts w:ascii="Book Antiqua" w:hAnsi="Book Antiqua"/>
          <w:i/>
          <w:sz w:val="24"/>
          <w:szCs w:val="24"/>
        </w:rPr>
        <w:t>Mietto v G4S Custodial Services Pty Ltd</w:t>
      </w:r>
      <w:r w:rsidR="00DA1779" w:rsidRPr="00DA1779">
        <w:rPr>
          <w:rFonts w:ascii="Book Antiqua" w:hAnsi="Book Antiqua"/>
          <w:sz w:val="24"/>
          <w:szCs w:val="24"/>
        </w:rPr>
        <w:t xml:space="preserve"> [2010] VSC 304).</w:t>
      </w:r>
    </w:p>
    <w:p w14:paraId="1A65CAB7" w14:textId="77777777" w:rsidR="003817CD" w:rsidRPr="007917BE" w:rsidRDefault="00277B7B" w:rsidP="00303C13">
      <w:pPr>
        <w:pStyle w:val="Heading1"/>
      </w:pPr>
      <w:r>
        <w:t>AMENDMENT HISTORY</w:t>
      </w:r>
    </w:p>
    <w:p w14:paraId="4E1E7DAF" w14:textId="77777777" w:rsidR="00210EFB" w:rsidRDefault="00210EFB" w:rsidP="00680452">
      <w:pPr>
        <w:spacing w:before="120" w:after="120"/>
        <w:ind w:left="2160" w:hanging="2160"/>
        <w:jc w:val="both"/>
        <w:rPr>
          <w:rFonts w:ascii="Book Antiqua" w:hAnsi="Book Antiqua"/>
        </w:rPr>
      </w:pPr>
      <w:r>
        <w:rPr>
          <w:rFonts w:ascii="Book Antiqua" w:hAnsi="Book Antiqua"/>
        </w:rPr>
        <w:t>1 October 2018:</w:t>
      </w:r>
      <w:r>
        <w:rPr>
          <w:rFonts w:ascii="Book Antiqua" w:hAnsi="Book Antiqua"/>
        </w:rPr>
        <w:tab/>
        <w:t>This Practice Note was reissued on 1 October 2018 and amends the version issued on 27 June 2017.</w:t>
      </w:r>
    </w:p>
    <w:p w14:paraId="02C88D0D" w14:textId="77777777" w:rsidR="00AB3FFA" w:rsidRPr="00277B7B" w:rsidRDefault="002F1CEE" w:rsidP="00680452">
      <w:pPr>
        <w:spacing w:before="120" w:after="120"/>
        <w:ind w:left="2160" w:hanging="2160"/>
        <w:jc w:val="both"/>
        <w:rPr>
          <w:rFonts w:ascii="Book Antiqua" w:hAnsi="Book Antiqua"/>
        </w:rPr>
      </w:pPr>
      <w:r>
        <w:rPr>
          <w:rFonts w:ascii="Book Antiqua" w:hAnsi="Book Antiqua"/>
        </w:rPr>
        <w:t>27 June</w:t>
      </w:r>
      <w:r w:rsidR="00277B7B" w:rsidRPr="00277B7B">
        <w:rPr>
          <w:rFonts w:ascii="Book Antiqua" w:hAnsi="Book Antiqua"/>
        </w:rPr>
        <w:t xml:space="preserve"> 201</w:t>
      </w:r>
      <w:r w:rsidR="001A6216">
        <w:rPr>
          <w:rFonts w:ascii="Book Antiqua" w:hAnsi="Book Antiqua"/>
        </w:rPr>
        <w:t>7</w:t>
      </w:r>
      <w:r w:rsidR="00277B7B" w:rsidRPr="00277B7B">
        <w:rPr>
          <w:rFonts w:ascii="Book Antiqua" w:hAnsi="Book Antiqua"/>
        </w:rPr>
        <w:t xml:space="preserve">: </w:t>
      </w:r>
      <w:r w:rsidR="00680452">
        <w:rPr>
          <w:rFonts w:ascii="Book Antiqua" w:hAnsi="Book Antiqua"/>
        </w:rPr>
        <w:tab/>
      </w:r>
      <w:r w:rsidR="00277B7B" w:rsidRPr="00277B7B">
        <w:rPr>
          <w:rFonts w:ascii="Book Antiqua" w:hAnsi="Book Antiqua"/>
        </w:rPr>
        <w:t>This Practice Note</w:t>
      </w:r>
      <w:r>
        <w:rPr>
          <w:rFonts w:ascii="Book Antiqua" w:hAnsi="Book Antiqua"/>
        </w:rPr>
        <w:t xml:space="preserve"> was issued on 27 June</w:t>
      </w:r>
      <w:r w:rsidR="00277B7B">
        <w:rPr>
          <w:rFonts w:ascii="Book Antiqua" w:hAnsi="Book Antiqua"/>
        </w:rPr>
        <w:t xml:space="preserve"> 201</w:t>
      </w:r>
      <w:r w:rsidR="001A6216">
        <w:rPr>
          <w:rFonts w:ascii="Book Antiqua" w:hAnsi="Book Antiqua"/>
        </w:rPr>
        <w:t>7</w:t>
      </w:r>
      <w:r w:rsidR="00277B7B">
        <w:rPr>
          <w:rFonts w:ascii="Book Antiqua" w:hAnsi="Book Antiqua"/>
        </w:rPr>
        <w:t xml:space="preserve"> and </w:t>
      </w:r>
      <w:r w:rsidR="00277B7B" w:rsidRPr="00277B7B">
        <w:rPr>
          <w:rFonts w:ascii="Book Antiqua" w:hAnsi="Book Antiqua"/>
        </w:rPr>
        <w:t>replace</w:t>
      </w:r>
      <w:r w:rsidR="00277B7B">
        <w:rPr>
          <w:rFonts w:ascii="Book Antiqua" w:hAnsi="Book Antiqua"/>
        </w:rPr>
        <w:t>d</w:t>
      </w:r>
      <w:r>
        <w:rPr>
          <w:rFonts w:ascii="Book Antiqua" w:hAnsi="Book Antiqua"/>
        </w:rPr>
        <w:t xml:space="preserve"> former Practice Note SC Gen 11</w:t>
      </w:r>
      <w:r w:rsidR="00210EFB">
        <w:rPr>
          <w:rFonts w:ascii="Book Antiqua" w:hAnsi="Book Antiqua"/>
        </w:rPr>
        <w:t xml:space="preserve"> issued on 30 January 2017</w:t>
      </w:r>
      <w:r w:rsidR="00005AE6">
        <w:rPr>
          <w:rFonts w:ascii="Book Antiqua" w:hAnsi="Book Antiqua"/>
        </w:rPr>
        <w:t>.</w:t>
      </w:r>
    </w:p>
    <w:p w14:paraId="62D7E378" w14:textId="77777777" w:rsidR="00277B7B" w:rsidRPr="007917BE" w:rsidRDefault="00277B7B" w:rsidP="00CD0331">
      <w:pPr>
        <w:spacing w:before="120" w:after="120"/>
        <w:ind w:left="720" w:hanging="720"/>
        <w:jc w:val="both"/>
        <w:rPr>
          <w:rFonts w:ascii="Book Antiqua" w:hAnsi="Book Antiqua"/>
        </w:rPr>
      </w:pPr>
    </w:p>
    <w:p w14:paraId="0F3E51D5" w14:textId="77777777" w:rsidR="00AB3FFA" w:rsidRPr="007917BE" w:rsidRDefault="00AB3FFA" w:rsidP="00CD0331">
      <w:pPr>
        <w:spacing w:before="120" w:after="120"/>
        <w:ind w:left="720" w:hanging="720"/>
        <w:jc w:val="both"/>
        <w:rPr>
          <w:rFonts w:ascii="Book Antiqua" w:hAnsi="Book Antiqua"/>
        </w:rPr>
      </w:pPr>
    </w:p>
    <w:p w14:paraId="64D61DB0" w14:textId="77777777" w:rsidR="00AB3FFA" w:rsidRPr="007917BE" w:rsidRDefault="00CA6C2C" w:rsidP="00CD0331">
      <w:pPr>
        <w:spacing w:before="120" w:after="120"/>
        <w:ind w:left="720" w:hanging="720"/>
        <w:jc w:val="right"/>
        <w:rPr>
          <w:rFonts w:ascii="Book Antiqua" w:hAnsi="Book Antiqua"/>
        </w:rPr>
      </w:pPr>
      <w:r>
        <w:rPr>
          <w:rFonts w:ascii="Book Antiqua" w:hAnsi="Book Antiqua"/>
        </w:rPr>
        <w:t>Vivienne Macgillivray</w:t>
      </w:r>
    </w:p>
    <w:p w14:paraId="053DC374" w14:textId="77777777" w:rsidR="00AB3FFA" w:rsidRPr="007917BE" w:rsidRDefault="00AB3FFA" w:rsidP="00CD0331">
      <w:pPr>
        <w:spacing w:before="120" w:after="120"/>
        <w:ind w:left="720" w:hanging="720"/>
        <w:jc w:val="right"/>
        <w:rPr>
          <w:rFonts w:ascii="Book Antiqua" w:hAnsi="Book Antiqua"/>
        </w:rPr>
      </w:pPr>
      <w:r w:rsidRPr="007917BE">
        <w:rPr>
          <w:rFonts w:ascii="Book Antiqua" w:hAnsi="Book Antiqua"/>
        </w:rPr>
        <w:t>Executive Associate to the Chief Justice</w:t>
      </w:r>
    </w:p>
    <w:p w14:paraId="2D7FFCCD" w14:textId="77777777" w:rsidR="00AB3FFA" w:rsidRPr="000373E9" w:rsidRDefault="00210EFB" w:rsidP="00CD0331">
      <w:pPr>
        <w:spacing w:before="120" w:after="120"/>
        <w:ind w:left="720" w:hanging="720"/>
        <w:jc w:val="right"/>
        <w:rPr>
          <w:rFonts w:ascii="Book Antiqua" w:hAnsi="Book Antiqua"/>
          <w:color w:val="FF0000"/>
        </w:rPr>
      </w:pPr>
      <w:r>
        <w:rPr>
          <w:rFonts w:ascii="Book Antiqua" w:hAnsi="Book Antiqua"/>
        </w:rPr>
        <w:t>1 October 2018</w:t>
      </w:r>
    </w:p>
    <w:p w14:paraId="22121F23" w14:textId="77777777" w:rsidR="00DA1779" w:rsidRDefault="00DA1779">
      <w:pPr>
        <w:rPr>
          <w:rFonts w:ascii="Book Antiqua" w:hAnsi="Book Antiqua"/>
        </w:rPr>
      </w:pPr>
      <w:r>
        <w:rPr>
          <w:rFonts w:ascii="Book Antiqua" w:hAnsi="Book Antiqua"/>
        </w:rPr>
        <w:br w:type="page"/>
      </w:r>
    </w:p>
    <w:p w14:paraId="2C415350" w14:textId="77777777" w:rsidR="00DA1779" w:rsidRDefault="00DA1779" w:rsidP="00DA1779">
      <w:pPr>
        <w:rPr>
          <w:b/>
          <w:u w:val="single"/>
        </w:rPr>
      </w:pPr>
      <w:r>
        <w:rPr>
          <w:noProof/>
        </w:rPr>
        <w:lastRenderedPageBreak/>
        <mc:AlternateContent>
          <mc:Choice Requires="wps">
            <w:drawing>
              <wp:anchor distT="0" distB="0" distL="114300" distR="114300" simplePos="0" relativeHeight="251659776" behindDoc="0" locked="1" layoutInCell="1" allowOverlap="0" wp14:anchorId="6F077696" wp14:editId="0C5D5148">
                <wp:simplePos x="0" y="0"/>
                <wp:positionH relativeFrom="page">
                  <wp:posOffset>445770</wp:posOffset>
                </wp:positionH>
                <wp:positionV relativeFrom="page">
                  <wp:posOffset>429260</wp:posOffset>
                </wp:positionV>
                <wp:extent cx="4872355"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2355" cy="685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5E46EC" w14:textId="77777777" w:rsidR="00ED38F9" w:rsidRPr="001048F3" w:rsidRDefault="00ED38F9" w:rsidP="00DA1779">
                            <w:pPr>
                              <w:pStyle w:val="FactsheetTitle"/>
                              <w:rPr>
                                <w:sz w:val="40"/>
                                <w:szCs w:val="40"/>
                              </w:rPr>
                            </w:pPr>
                            <w:r>
                              <w:rPr>
                                <w:sz w:val="40"/>
                                <w:szCs w:val="40"/>
                              </w:rPr>
                              <w:t>COSTS COURT</w:t>
                            </w:r>
                            <w:r w:rsidRPr="001048F3">
                              <w:rPr>
                                <w:sz w:val="40"/>
                                <w:szCs w:val="40"/>
                              </w:rPr>
                              <w:t xml:space="preserve">– </w:t>
                            </w:r>
                            <w:r>
                              <w:rPr>
                                <w:sz w:val="40"/>
                                <w:szCs w:val="40"/>
                              </w:rPr>
                              <w:t xml:space="preserve">Party Party Taxation Information </w:t>
                            </w:r>
                            <w:r w:rsidRPr="001048F3">
                              <w:rPr>
                                <w:sz w:val="40"/>
                                <w:szCs w:val="40"/>
                              </w:rPr>
                              <w:t>Form</w:t>
                            </w:r>
                            <w:r w:rsidR="00514FFD">
                              <w:rPr>
                                <w:sz w:val="40"/>
                                <w:szCs w:val="40"/>
                              </w:rPr>
                              <w:t xml:space="preserve"> </w:t>
                            </w:r>
                          </w:p>
                          <w:p w14:paraId="60D3BEAC" w14:textId="77777777" w:rsidR="00ED38F9" w:rsidRDefault="00ED38F9" w:rsidP="00DA17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77696" id="_x0000_t202" coordsize="21600,21600" o:spt="202" path="m,l,21600r21600,l21600,xe">
                <v:stroke joinstyle="miter"/>
                <v:path gradientshapeok="t" o:connecttype="rect"/>
              </v:shapetype>
              <v:shape id="Text Box 2" o:spid="_x0000_s1026" type="#_x0000_t202" style="position:absolute;margin-left:35.1pt;margin-top:33.8pt;width:383.65pt;height:5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" o:allowoverlap="f" stroked="f">
                <v:fill opacity="0"/>
                <v:textbox>
                  <w:txbxContent>
                    <w:p w14:paraId="695E46EC" w14:textId="77777777" w:rsidR="00ED38F9" w:rsidRPr="001048F3" w:rsidRDefault="00ED38F9" w:rsidP="00DA1779">
                      <w:pPr>
                        <w:pStyle w:val="FactsheetTitle"/>
                        <w:rPr>
                          <w:sz w:val="40"/>
                          <w:szCs w:val="40"/>
                        </w:rPr>
                      </w:pPr>
                      <w:r>
                        <w:rPr>
                          <w:sz w:val="40"/>
                          <w:szCs w:val="40"/>
                        </w:rPr>
                        <w:t>COSTS COURT</w:t>
                      </w:r>
                      <w:r w:rsidRPr="001048F3">
                        <w:rPr>
                          <w:sz w:val="40"/>
                          <w:szCs w:val="40"/>
                        </w:rPr>
                        <w:t xml:space="preserve">– </w:t>
                      </w:r>
                      <w:r>
                        <w:rPr>
                          <w:sz w:val="40"/>
                          <w:szCs w:val="40"/>
                        </w:rPr>
                        <w:t xml:space="preserve">Party Party Taxation Information </w:t>
                      </w:r>
                      <w:r w:rsidRPr="001048F3">
                        <w:rPr>
                          <w:sz w:val="40"/>
                          <w:szCs w:val="40"/>
                        </w:rPr>
                        <w:t>Form</w:t>
                      </w:r>
                      <w:r w:rsidR="00514FFD">
                        <w:rPr>
                          <w:sz w:val="40"/>
                          <w:szCs w:val="40"/>
                        </w:rPr>
                        <w:t xml:space="preserve"> </w:t>
                      </w:r>
                    </w:p>
                    <w:p w14:paraId="60D3BEAC" w14:textId="77777777" w:rsidR="00ED38F9" w:rsidRDefault="00ED38F9" w:rsidP="00DA1779"/>
                  </w:txbxContent>
                </v:textbox>
                <w10:wrap anchorx="page" anchory="page"/>
                <w10:anchorlock/>
              </v:shape>
            </w:pict>
          </mc:Fallback>
        </mc:AlternateContent>
      </w:r>
    </w:p>
    <w:p w14:paraId="6125F67B" w14:textId="77777777" w:rsidR="00DA1779" w:rsidRDefault="00514FFD" w:rsidP="00DA1779">
      <w:pPr>
        <w:rPr>
          <w:b/>
          <w:u w:val="single"/>
        </w:rPr>
      </w:pPr>
      <w:r>
        <w:rPr>
          <w:rStyle w:val="FootnoteReference"/>
          <w:b/>
          <w:u w:val="single"/>
        </w:rPr>
        <w:footnoteReference w:id="2"/>
      </w:r>
    </w:p>
    <w:p w14:paraId="086DC566" w14:textId="77777777" w:rsidR="00DA1779" w:rsidRDefault="00DA1779" w:rsidP="00DA1779">
      <w:pPr>
        <w:rPr>
          <w:b/>
          <w:u w:val="single"/>
        </w:rPr>
      </w:pPr>
    </w:p>
    <w:tbl>
      <w:tblPr>
        <w:tblW w:w="108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6"/>
        <w:gridCol w:w="1715"/>
        <w:gridCol w:w="1703"/>
        <w:gridCol w:w="1527"/>
      </w:tblGrid>
      <w:tr w:rsidR="00DA1779" w:rsidRPr="00EE38F4" w14:paraId="01AD3FD6" w14:textId="77777777" w:rsidTr="00125980">
        <w:trPr>
          <w:trHeight w:val="371"/>
        </w:trPr>
        <w:tc>
          <w:tcPr>
            <w:tcW w:w="5896" w:type="dxa"/>
          </w:tcPr>
          <w:p w14:paraId="763A7F11" w14:textId="77777777" w:rsidR="00DA1779" w:rsidRPr="00EE38F4" w:rsidRDefault="00DA1779" w:rsidP="00125980">
            <w:pPr>
              <w:pStyle w:val="Default"/>
              <w:spacing w:before="120" w:after="120" w:line="276" w:lineRule="auto"/>
              <w:rPr>
                <w:color w:val="auto"/>
                <w:sz w:val="18"/>
                <w:szCs w:val="18"/>
              </w:rPr>
            </w:pPr>
            <w:r w:rsidRPr="00EE38F4">
              <w:rPr>
                <w:rFonts w:ascii="Arial" w:hAnsi="Arial" w:cs="Arial"/>
                <w:b/>
                <w:bCs/>
                <w:color w:val="auto"/>
                <w:sz w:val="18"/>
                <w:szCs w:val="18"/>
              </w:rPr>
              <w:t xml:space="preserve">Hearing Return Date </w:t>
            </w:r>
            <w:r w:rsidRPr="00EE38F4">
              <w:rPr>
                <w:rFonts w:ascii="Arial" w:hAnsi="Arial" w:cs="Arial"/>
                <w:color w:val="auto"/>
                <w:sz w:val="18"/>
                <w:szCs w:val="18"/>
              </w:rPr>
              <w:t xml:space="preserve">(Court Use Only) </w:t>
            </w:r>
          </w:p>
        </w:tc>
        <w:tc>
          <w:tcPr>
            <w:tcW w:w="4945" w:type="dxa"/>
            <w:gridSpan w:val="3"/>
          </w:tcPr>
          <w:p w14:paraId="3D29A50A" w14:textId="77777777" w:rsidR="00DA1779" w:rsidRPr="00EE38F4" w:rsidRDefault="00DA1779" w:rsidP="00125980">
            <w:pPr>
              <w:pStyle w:val="Default"/>
              <w:ind w:left="720"/>
              <w:rPr>
                <w:rFonts w:ascii="Arial" w:hAnsi="Arial" w:cs="Arial"/>
                <w:color w:val="auto"/>
                <w:sz w:val="40"/>
                <w:szCs w:val="40"/>
              </w:rPr>
            </w:pPr>
          </w:p>
        </w:tc>
      </w:tr>
      <w:tr w:rsidR="00DA1779" w:rsidRPr="00EE38F4" w14:paraId="7A24D22C" w14:textId="77777777" w:rsidTr="00125980">
        <w:trPr>
          <w:trHeight w:val="84"/>
        </w:trPr>
        <w:tc>
          <w:tcPr>
            <w:tcW w:w="5896" w:type="dxa"/>
          </w:tcPr>
          <w:p w14:paraId="6E76A7FE" w14:textId="77777777" w:rsidR="00DA1779" w:rsidRPr="00EE38F4" w:rsidRDefault="00DA1779" w:rsidP="00125980">
            <w:pPr>
              <w:pStyle w:val="Default"/>
              <w:spacing w:before="120" w:after="120" w:line="276" w:lineRule="auto"/>
              <w:rPr>
                <w:rFonts w:ascii="Arial" w:hAnsi="Arial" w:cs="Arial"/>
                <w:color w:val="auto"/>
                <w:sz w:val="18"/>
                <w:szCs w:val="18"/>
              </w:rPr>
            </w:pPr>
            <w:r w:rsidRPr="00EE38F4">
              <w:rPr>
                <w:rFonts w:ascii="Arial" w:hAnsi="Arial" w:cs="Arial"/>
                <w:b/>
                <w:bCs/>
                <w:color w:val="auto"/>
                <w:sz w:val="18"/>
                <w:szCs w:val="18"/>
              </w:rPr>
              <w:t xml:space="preserve">Proceeding number: </w:t>
            </w:r>
          </w:p>
        </w:tc>
        <w:tc>
          <w:tcPr>
            <w:tcW w:w="4945" w:type="dxa"/>
            <w:gridSpan w:val="3"/>
          </w:tcPr>
          <w:p w14:paraId="59179E68" w14:textId="77777777" w:rsidR="00DA1779" w:rsidRPr="00EE38F4" w:rsidRDefault="00DA1779" w:rsidP="00125980">
            <w:pPr>
              <w:pStyle w:val="Default"/>
              <w:rPr>
                <w:rFonts w:ascii="Arial" w:hAnsi="Arial" w:cs="Arial"/>
                <w:b/>
                <w:bCs/>
                <w:color w:val="auto"/>
                <w:sz w:val="18"/>
                <w:szCs w:val="18"/>
              </w:rPr>
            </w:pPr>
          </w:p>
        </w:tc>
      </w:tr>
      <w:tr w:rsidR="00DA1779" w:rsidRPr="00EE38F4" w14:paraId="6E203673" w14:textId="77777777" w:rsidTr="00125980">
        <w:trPr>
          <w:trHeight w:val="485"/>
        </w:trPr>
        <w:tc>
          <w:tcPr>
            <w:tcW w:w="5896" w:type="dxa"/>
          </w:tcPr>
          <w:p w14:paraId="719FCC61" w14:textId="77777777" w:rsidR="00DA1779" w:rsidRPr="00EE38F4" w:rsidRDefault="00DA1779" w:rsidP="00125980">
            <w:pPr>
              <w:pStyle w:val="Default"/>
              <w:spacing w:before="120" w:after="120" w:line="276" w:lineRule="auto"/>
              <w:rPr>
                <w:rFonts w:ascii="Arial" w:hAnsi="Arial" w:cs="Arial"/>
                <w:color w:val="auto"/>
                <w:sz w:val="18"/>
                <w:szCs w:val="18"/>
              </w:rPr>
            </w:pPr>
            <w:r>
              <w:rPr>
                <w:rFonts w:ascii="Arial" w:hAnsi="Arial" w:cs="Arial"/>
                <w:b/>
                <w:bCs/>
                <w:color w:val="auto"/>
                <w:sz w:val="18"/>
                <w:szCs w:val="18"/>
              </w:rPr>
              <w:t>Estimated time required for taxation hearing</w:t>
            </w:r>
            <w:r w:rsidRPr="00EE38F4">
              <w:rPr>
                <w:rFonts w:ascii="Arial" w:hAnsi="Arial" w:cs="Arial"/>
                <w:b/>
                <w:bCs/>
                <w:color w:val="auto"/>
                <w:sz w:val="18"/>
                <w:szCs w:val="18"/>
              </w:rPr>
              <w:t xml:space="preserve">: </w:t>
            </w:r>
          </w:p>
        </w:tc>
        <w:tc>
          <w:tcPr>
            <w:tcW w:w="4945" w:type="dxa"/>
            <w:gridSpan w:val="3"/>
          </w:tcPr>
          <w:p w14:paraId="1A70A2BF" w14:textId="77777777" w:rsidR="00DA1779" w:rsidRPr="00EE38F4" w:rsidRDefault="00DA1779" w:rsidP="00125980">
            <w:pPr>
              <w:pStyle w:val="Default"/>
              <w:rPr>
                <w:rFonts w:ascii="Arial" w:hAnsi="Arial" w:cs="Arial"/>
                <w:b/>
                <w:bCs/>
                <w:color w:val="auto"/>
                <w:sz w:val="18"/>
                <w:szCs w:val="18"/>
              </w:rPr>
            </w:pPr>
          </w:p>
        </w:tc>
      </w:tr>
      <w:tr w:rsidR="00DA1779" w:rsidRPr="00EE38F4" w14:paraId="69BE5D49" w14:textId="77777777" w:rsidTr="00125980">
        <w:trPr>
          <w:trHeight w:val="323"/>
        </w:trPr>
        <w:tc>
          <w:tcPr>
            <w:tcW w:w="5896" w:type="dxa"/>
          </w:tcPr>
          <w:p w14:paraId="64D5DB67" w14:textId="77777777" w:rsidR="00DA1779" w:rsidRPr="00EE38F4" w:rsidRDefault="00DA1779" w:rsidP="00125980">
            <w:pPr>
              <w:pStyle w:val="Default"/>
              <w:spacing w:before="120" w:after="60" w:line="276" w:lineRule="auto"/>
              <w:rPr>
                <w:rFonts w:ascii="Arial" w:hAnsi="Arial" w:cs="Arial"/>
                <w:color w:val="auto"/>
                <w:sz w:val="18"/>
                <w:szCs w:val="18"/>
              </w:rPr>
            </w:pPr>
            <w:r w:rsidRPr="00EE38F4">
              <w:rPr>
                <w:rFonts w:ascii="Arial" w:hAnsi="Arial" w:cs="Arial"/>
                <w:b/>
                <w:bCs/>
                <w:color w:val="auto"/>
                <w:sz w:val="18"/>
                <w:szCs w:val="18"/>
              </w:rPr>
              <w:t xml:space="preserve">Summary of Order for taxation or agreement </w:t>
            </w:r>
          </w:p>
          <w:p w14:paraId="7B4EE18B" w14:textId="77777777" w:rsidR="00DA1779" w:rsidRPr="00D74444" w:rsidRDefault="00DA1779" w:rsidP="00125980">
            <w:pPr>
              <w:pStyle w:val="Default"/>
              <w:spacing w:before="60" w:after="120" w:line="276" w:lineRule="auto"/>
              <w:rPr>
                <w:rFonts w:ascii="Arial" w:hAnsi="Arial" w:cs="Arial"/>
                <w:color w:val="auto"/>
                <w:sz w:val="18"/>
                <w:szCs w:val="18"/>
              </w:rPr>
            </w:pPr>
            <w:r w:rsidRPr="00EE38F4">
              <w:rPr>
                <w:rFonts w:ascii="Arial" w:hAnsi="Arial" w:cs="Arial"/>
                <w:color w:val="auto"/>
                <w:sz w:val="18"/>
                <w:szCs w:val="18"/>
              </w:rPr>
              <w:t>Provide a short summary of the Order or agreement or Rule that establishes the entitlement for costs</w:t>
            </w:r>
            <w:r>
              <w:rPr>
                <w:rFonts w:ascii="Arial" w:hAnsi="Arial" w:cs="Arial"/>
                <w:color w:val="auto"/>
                <w:sz w:val="18"/>
                <w:szCs w:val="18"/>
              </w:rPr>
              <w:t xml:space="preserve">. </w:t>
            </w:r>
          </w:p>
        </w:tc>
        <w:tc>
          <w:tcPr>
            <w:tcW w:w="4945" w:type="dxa"/>
            <w:gridSpan w:val="3"/>
          </w:tcPr>
          <w:p w14:paraId="1C2F9D9D" w14:textId="77777777" w:rsidR="00DA1779" w:rsidRPr="00EE38F4" w:rsidRDefault="00DA1779" w:rsidP="00125980">
            <w:pPr>
              <w:pStyle w:val="Default"/>
              <w:rPr>
                <w:rFonts w:ascii="Arial" w:hAnsi="Arial" w:cs="Arial"/>
                <w:b/>
                <w:bCs/>
                <w:color w:val="auto"/>
                <w:sz w:val="18"/>
                <w:szCs w:val="18"/>
              </w:rPr>
            </w:pPr>
          </w:p>
        </w:tc>
      </w:tr>
      <w:tr w:rsidR="00DA1779" w:rsidRPr="00EE38F4" w14:paraId="4327AAE9" w14:textId="77777777" w:rsidTr="00125980">
        <w:trPr>
          <w:trHeight w:val="323"/>
        </w:trPr>
        <w:tc>
          <w:tcPr>
            <w:tcW w:w="5896" w:type="dxa"/>
          </w:tcPr>
          <w:p w14:paraId="470D9DC6" w14:textId="77777777" w:rsidR="00DA1779" w:rsidRPr="00D74444" w:rsidRDefault="00DA1779" w:rsidP="00125980">
            <w:pPr>
              <w:pStyle w:val="Default"/>
              <w:spacing w:before="120" w:after="120" w:line="276" w:lineRule="auto"/>
              <w:rPr>
                <w:rFonts w:ascii="Arial" w:hAnsi="Arial" w:cs="Arial"/>
                <w:color w:val="auto"/>
                <w:sz w:val="18"/>
                <w:szCs w:val="18"/>
              </w:rPr>
            </w:pPr>
            <w:r w:rsidRPr="00EE38F4">
              <w:rPr>
                <w:rFonts w:ascii="Arial" w:hAnsi="Arial" w:cs="Arial"/>
                <w:b/>
                <w:bCs/>
                <w:color w:val="auto"/>
                <w:sz w:val="18"/>
                <w:szCs w:val="18"/>
              </w:rPr>
              <w:t xml:space="preserve">A Short Summary of the principal litigation or Austlii reference to the decision of the Court  </w:t>
            </w:r>
          </w:p>
        </w:tc>
        <w:tc>
          <w:tcPr>
            <w:tcW w:w="4945" w:type="dxa"/>
            <w:gridSpan w:val="3"/>
          </w:tcPr>
          <w:p w14:paraId="706A901D" w14:textId="77777777" w:rsidR="00DA1779" w:rsidRPr="00EE38F4" w:rsidRDefault="00DA1779" w:rsidP="00125980">
            <w:pPr>
              <w:pStyle w:val="Default"/>
              <w:rPr>
                <w:rFonts w:ascii="Arial" w:hAnsi="Arial" w:cs="Arial"/>
                <w:b/>
                <w:bCs/>
                <w:color w:val="auto"/>
                <w:sz w:val="18"/>
                <w:szCs w:val="18"/>
              </w:rPr>
            </w:pPr>
          </w:p>
        </w:tc>
      </w:tr>
      <w:tr w:rsidR="00DA1779" w:rsidRPr="00EE38F4" w14:paraId="56F181C6" w14:textId="77777777" w:rsidTr="00125980">
        <w:trPr>
          <w:trHeight w:val="220"/>
        </w:trPr>
        <w:tc>
          <w:tcPr>
            <w:tcW w:w="5896" w:type="dxa"/>
          </w:tcPr>
          <w:p w14:paraId="63D48894" w14:textId="77777777" w:rsidR="00DA1779" w:rsidRPr="00EE38F4" w:rsidRDefault="00DA1779" w:rsidP="00125980">
            <w:pPr>
              <w:pStyle w:val="Default"/>
              <w:spacing w:before="120" w:after="60" w:line="276" w:lineRule="auto"/>
              <w:rPr>
                <w:rFonts w:ascii="Arial" w:hAnsi="Arial" w:cs="Arial"/>
                <w:color w:val="auto"/>
                <w:sz w:val="18"/>
                <w:szCs w:val="18"/>
              </w:rPr>
            </w:pPr>
            <w:r w:rsidRPr="00EE38F4">
              <w:rPr>
                <w:rFonts w:ascii="Arial" w:hAnsi="Arial" w:cs="Arial"/>
                <w:b/>
                <w:bCs/>
                <w:color w:val="auto"/>
                <w:sz w:val="18"/>
                <w:szCs w:val="18"/>
              </w:rPr>
              <w:t xml:space="preserve">Who is bringing the application? </w:t>
            </w:r>
          </w:p>
          <w:p w14:paraId="6B889118" w14:textId="77777777" w:rsidR="00DA1779" w:rsidRPr="00EE38F4" w:rsidRDefault="00DA1779" w:rsidP="00125980">
            <w:pPr>
              <w:pStyle w:val="Default"/>
              <w:spacing w:before="60" w:after="120" w:line="276" w:lineRule="auto"/>
              <w:rPr>
                <w:rFonts w:ascii="Arial" w:hAnsi="Arial" w:cs="Arial"/>
                <w:color w:val="auto"/>
                <w:sz w:val="18"/>
                <w:szCs w:val="18"/>
              </w:rPr>
            </w:pPr>
            <w:r>
              <w:rPr>
                <w:rFonts w:ascii="Arial" w:hAnsi="Arial" w:cs="Arial"/>
                <w:color w:val="auto"/>
                <w:sz w:val="18"/>
                <w:szCs w:val="18"/>
              </w:rPr>
              <w:t xml:space="preserve">Party type and name of party. </w:t>
            </w:r>
          </w:p>
        </w:tc>
        <w:tc>
          <w:tcPr>
            <w:tcW w:w="4945" w:type="dxa"/>
            <w:gridSpan w:val="3"/>
            <w:tcBorders>
              <w:bottom w:val="single" w:sz="4" w:space="0" w:color="auto"/>
            </w:tcBorders>
          </w:tcPr>
          <w:p w14:paraId="7133452B" w14:textId="77777777" w:rsidR="00DA1779" w:rsidRPr="00EE38F4" w:rsidRDefault="00DA1779" w:rsidP="00125980">
            <w:pPr>
              <w:pStyle w:val="Default"/>
              <w:rPr>
                <w:rFonts w:ascii="Arial" w:hAnsi="Arial" w:cs="Arial"/>
                <w:b/>
                <w:bCs/>
                <w:color w:val="auto"/>
                <w:sz w:val="18"/>
                <w:szCs w:val="18"/>
              </w:rPr>
            </w:pPr>
          </w:p>
        </w:tc>
      </w:tr>
      <w:tr w:rsidR="00DA1779" w:rsidRPr="00EE38F4" w14:paraId="491CDE51" w14:textId="77777777" w:rsidTr="00125980">
        <w:trPr>
          <w:trHeight w:val="457"/>
        </w:trPr>
        <w:tc>
          <w:tcPr>
            <w:tcW w:w="5896" w:type="dxa"/>
          </w:tcPr>
          <w:p w14:paraId="0A0C6C37" w14:textId="77777777" w:rsidR="00DA1779" w:rsidRDefault="00DA1779" w:rsidP="00125980">
            <w:pPr>
              <w:pStyle w:val="Default"/>
              <w:spacing w:before="120" w:after="120" w:line="276" w:lineRule="auto"/>
              <w:rPr>
                <w:rFonts w:ascii="Arial" w:hAnsi="Arial" w:cs="Arial"/>
                <w:b/>
                <w:bCs/>
                <w:color w:val="auto"/>
                <w:sz w:val="18"/>
                <w:szCs w:val="18"/>
              </w:rPr>
            </w:pPr>
            <w:r>
              <w:rPr>
                <w:rFonts w:ascii="Arial" w:hAnsi="Arial" w:cs="Arial"/>
                <w:b/>
                <w:bCs/>
                <w:color w:val="auto"/>
                <w:sz w:val="18"/>
                <w:szCs w:val="18"/>
              </w:rPr>
              <w:t>Amount of costs claimed</w:t>
            </w:r>
          </w:p>
          <w:p w14:paraId="19A020F2" w14:textId="77777777" w:rsidR="00DA1779" w:rsidRPr="00BC553D" w:rsidRDefault="00DA1779" w:rsidP="00125980">
            <w:pPr>
              <w:pStyle w:val="Default"/>
              <w:spacing w:before="120" w:after="120" w:line="276" w:lineRule="auto"/>
              <w:rPr>
                <w:rFonts w:ascii="Arial" w:hAnsi="Arial" w:cs="Arial"/>
                <w:bCs/>
                <w:color w:val="auto"/>
                <w:sz w:val="18"/>
                <w:szCs w:val="18"/>
              </w:rPr>
            </w:pPr>
            <w:r w:rsidRPr="00BC553D">
              <w:rPr>
                <w:rFonts w:ascii="Arial" w:hAnsi="Arial" w:cs="Arial"/>
                <w:bCs/>
                <w:color w:val="auto"/>
                <w:sz w:val="18"/>
                <w:szCs w:val="18"/>
              </w:rPr>
              <w:t xml:space="preserve">The amount of professional charges and disbursements claimed in the bill of costs </w:t>
            </w:r>
          </w:p>
        </w:tc>
        <w:tc>
          <w:tcPr>
            <w:tcW w:w="1715" w:type="dxa"/>
            <w:tcBorders>
              <w:right w:val="single" w:sz="4" w:space="0" w:color="auto"/>
            </w:tcBorders>
          </w:tcPr>
          <w:p w14:paraId="2F1CA8C6" w14:textId="77777777" w:rsidR="00DA1779" w:rsidRPr="003002C5" w:rsidRDefault="00DA1779" w:rsidP="00125980">
            <w:pPr>
              <w:pStyle w:val="Default"/>
              <w:spacing w:before="60" w:after="60"/>
              <w:rPr>
                <w:rFonts w:ascii="Arial" w:hAnsi="Arial" w:cs="Arial"/>
                <w:b/>
                <w:bCs/>
                <w:color w:val="auto"/>
                <w:sz w:val="18"/>
                <w:szCs w:val="18"/>
              </w:rPr>
            </w:pPr>
            <w:r w:rsidRPr="003002C5">
              <w:rPr>
                <w:rFonts w:ascii="Arial" w:hAnsi="Arial" w:cs="Arial"/>
                <w:b/>
                <w:bCs/>
                <w:color w:val="auto"/>
                <w:sz w:val="18"/>
                <w:szCs w:val="18"/>
              </w:rPr>
              <w:t>Professional charges</w:t>
            </w:r>
          </w:p>
          <w:p w14:paraId="79838AFE" w14:textId="77777777" w:rsidR="00DA1779" w:rsidRPr="003002C5" w:rsidRDefault="00DA1779" w:rsidP="00125980">
            <w:pPr>
              <w:pStyle w:val="Default"/>
              <w:spacing w:before="60"/>
              <w:rPr>
                <w:rFonts w:ascii="Arial" w:hAnsi="Arial" w:cs="Arial"/>
                <w:b/>
                <w:bCs/>
                <w:color w:val="auto"/>
                <w:sz w:val="18"/>
                <w:szCs w:val="18"/>
              </w:rPr>
            </w:pPr>
            <w:r w:rsidRPr="003002C5">
              <w:rPr>
                <w:rFonts w:ascii="Arial" w:hAnsi="Arial" w:cs="Arial"/>
                <w:b/>
                <w:bCs/>
                <w:color w:val="auto"/>
                <w:sz w:val="18"/>
                <w:szCs w:val="18"/>
              </w:rPr>
              <w:t>$</w:t>
            </w:r>
          </w:p>
        </w:tc>
        <w:tc>
          <w:tcPr>
            <w:tcW w:w="1703" w:type="dxa"/>
            <w:tcBorders>
              <w:left w:val="single" w:sz="4" w:space="0" w:color="auto"/>
              <w:right w:val="single" w:sz="4" w:space="0" w:color="auto"/>
            </w:tcBorders>
          </w:tcPr>
          <w:p w14:paraId="46783506" w14:textId="77777777" w:rsidR="00DA1779" w:rsidRPr="003002C5" w:rsidRDefault="00DA1779" w:rsidP="00125980">
            <w:pPr>
              <w:pStyle w:val="Default"/>
              <w:spacing w:before="60"/>
              <w:rPr>
                <w:rFonts w:ascii="Arial" w:hAnsi="Arial" w:cs="Arial"/>
                <w:b/>
                <w:bCs/>
                <w:color w:val="auto"/>
                <w:sz w:val="18"/>
                <w:szCs w:val="18"/>
              </w:rPr>
            </w:pPr>
            <w:r w:rsidRPr="003002C5">
              <w:rPr>
                <w:rFonts w:ascii="Arial" w:hAnsi="Arial" w:cs="Arial"/>
                <w:b/>
                <w:bCs/>
                <w:color w:val="auto"/>
                <w:sz w:val="18"/>
                <w:szCs w:val="18"/>
              </w:rPr>
              <w:t xml:space="preserve">Disbursements </w:t>
            </w:r>
          </w:p>
          <w:p w14:paraId="0C96FFAC" w14:textId="77777777" w:rsidR="00DA1779" w:rsidRPr="003002C5" w:rsidRDefault="00DA1779" w:rsidP="00125980">
            <w:pPr>
              <w:pStyle w:val="Default"/>
              <w:spacing w:before="60"/>
              <w:rPr>
                <w:rFonts w:ascii="Arial" w:hAnsi="Arial" w:cs="Arial"/>
                <w:b/>
                <w:bCs/>
                <w:color w:val="auto"/>
                <w:sz w:val="18"/>
                <w:szCs w:val="18"/>
              </w:rPr>
            </w:pPr>
          </w:p>
          <w:p w14:paraId="17DB30D2" w14:textId="77777777" w:rsidR="00DA1779" w:rsidRPr="003002C5" w:rsidRDefault="00DA1779" w:rsidP="00125980">
            <w:pPr>
              <w:pStyle w:val="Default"/>
              <w:spacing w:before="60" w:after="60"/>
              <w:rPr>
                <w:rFonts w:ascii="Arial" w:hAnsi="Arial" w:cs="Arial"/>
                <w:b/>
                <w:bCs/>
                <w:color w:val="auto"/>
                <w:sz w:val="18"/>
                <w:szCs w:val="18"/>
              </w:rPr>
            </w:pPr>
            <w:r w:rsidRPr="003002C5">
              <w:rPr>
                <w:rFonts w:ascii="Arial" w:hAnsi="Arial" w:cs="Arial"/>
                <w:b/>
                <w:bCs/>
                <w:color w:val="auto"/>
                <w:sz w:val="18"/>
                <w:szCs w:val="18"/>
              </w:rPr>
              <w:t>$</w:t>
            </w:r>
          </w:p>
        </w:tc>
        <w:tc>
          <w:tcPr>
            <w:tcW w:w="1527" w:type="dxa"/>
            <w:tcBorders>
              <w:left w:val="single" w:sz="4" w:space="0" w:color="auto"/>
            </w:tcBorders>
          </w:tcPr>
          <w:p w14:paraId="4EEC98C4" w14:textId="77777777" w:rsidR="00DA1779" w:rsidRPr="003002C5" w:rsidRDefault="00DA1779" w:rsidP="00125980">
            <w:pPr>
              <w:pStyle w:val="Default"/>
              <w:spacing w:before="60"/>
              <w:rPr>
                <w:rFonts w:ascii="Arial" w:hAnsi="Arial" w:cs="Arial"/>
                <w:b/>
                <w:bCs/>
                <w:color w:val="auto"/>
                <w:sz w:val="18"/>
                <w:szCs w:val="18"/>
              </w:rPr>
            </w:pPr>
            <w:r w:rsidRPr="003002C5">
              <w:rPr>
                <w:rFonts w:ascii="Arial" w:hAnsi="Arial" w:cs="Arial"/>
                <w:b/>
                <w:bCs/>
                <w:color w:val="auto"/>
                <w:sz w:val="18"/>
                <w:szCs w:val="18"/>
              </w:rPr>
              <w:t>Total</w:t>
            </w:r>
          </w:p>
          <w:p w14:paraId="65AD850C" w14:textId="77777777" w:rsidR="00DA1779" w:rsidRPr="003002C5" w:rsidRDefault="00DA1779" w:rsidP="00125980">
            <w:pPr>
              <w:pStyle w:val="Default"/>
              <w:spacing w:before="60"/>
              <w:rPr>
                <w:rFonts w:ascii="Arial" w:hAnsi="Arial" w:cs="Arial"/>
                <w:b/>
                <w:bCs/>
                <w:color w:val="auto"/>
                <w:sz w:val="18"/>
                <w:szCs w:val="18"/>
              </w:rPr>
            </w:pPr>
          </w:p>
          <w:p w14:paraId="4CD60223" w14:textId="77777777" w:rsidR="00DA1779" w:rsidRPr="003002C5" w:rsidRDefault="00DA1779" w:rsidP="00125980">
            <w:pPr>
              <w:pStyle w:val="Default"/>
              <w:spacing w:before="60"/>
              <w:rPr>
                <w:rFonts w:ascii="Arial" w:hAnsi="Arial" w:cs="Arial"/>
                <w:b/>
                <w:bCs/>
                <w:color w:val="auto"/>
                <w:sz w:val="18"/>
                <w:szCs w:val="18"/>
              </w:rPr>
            </w:pPr>
            <w:r w:rsidRPr="003002C5">
              <w:rPr>
                <w:rFonts w:ascii="Arial" w:hAnsi="Arial" w:cs="Arial"/>
                <w:b/>
                <w:bCs/>
                <w:color w:val="auto"/>
                <w:sz w:val="18"/>
                <w:szCs w:val="18"/>
              </w:rPr>
              <w:t>$</w:t>
            </w:r>
          </w:p>
        </w:tc>
      </w:tr>
      <w:tr w:rsidR="00DA1779" w:rsidRPr="00EE38F4" w14:paraId="62FD2B4D" w14:textId="77777777" w:rsidTr="00125980">
        <w:trPr>
          <w:trHeight w:val="634"/>
        </w:trPr>
        <w:tc>
          <w:tcPr>
            <w:tcW w:w="5896" w:type="dxa"/>
          </w:tcPr>
          <w:p w14:paraId="7389AEF3" w14:textId="77777777" w:rsidR="00DA1779" w:rsidRPr="00EE38F4" w:rsidRDefault="00DA1779" w:rsidP="00125980">
            <w:pPr>
              <w:spacing w:before="60" w:after="60"/>
              <w:rPr>
                <w:rFonts w:ascii="Arial" w:hAnsi="Arial" w:cs="Arial"/>
                <w:b/>
                <w:sz w:val="18"/>
                <w:szCs w:val="18"/>
              </w:rPr>
            </w:pPr>
            <w:r w:rsidRPr="00EE38F4">
              <w:rPr>
                <w:rFonts w:ascii="Arial" w:hAnsi="Arial" w:cs="Arial"/>
                <w:b/>
                <w:sz w:val="18"/>
                <w:szCs w:val="18"/>
              </w:rPr>
              <w:t xml:space="preserve">Any reason why the matter should be referred to a </w:t>
            </w:r>
            <w:r>
              <w:rPr>
                <w:rFonts w:ascii="Arial" w:hAnsi="Arial" w:cs="Arial"/>
                <w:b/>
                <w:sz w:val="18"/>
                <w:szCs w:val="18"/>
              </w:rPr>
              <w:t>Callover</w:t>
            </w:r>
            <w:r w:rsidRPr="00EE38F4">
              <w:rPr>
                <w:rFonts w:ascii="Arial" w:hAnsi="Arial" w:cs="Arial"/>
                <w:b/>
                <w:sz w:val="18"/>
                <w:szCs w:val="18"/>
              </w:rPr>
              <w:t xml:space="preserve"> – i.e. Self-represented Liti</w:t>
            </w:r>
            <w:r>
              <w:rPr>
                <w:rFonts w:ascii="Arial" w:hAnsi="Arial" w:cs="Arial"/>
                <w:b/>
                <w:sz w:val="18"/>
                <w:szCs w:val="18"/>
              </w:rPr>
              <w:t>gant as applicant or respondent.</w:t>
            </w:r>
            <w:r w:rsidRPr="00EE38F4">
              <w:rPr>
                <w:rFonts w:ascii="Arial" w:hAnsi="Arial" w:cs="Arial"/>
                <w:b/>
                <w:sz w:val="18"/>
                <w:szCs w:val="18"/>
              </w:rPr>
              <w:t xml:space="preserve"> </w:t>
            </w:r>
          </w:p>
          <w:p w14:paraId="0409A534" w14:textId="77777777" w:rsidR="00DA1779" w:rsidRPr="00D74444" w:rsidRDefault="00DA1779" w:rsidP="00125980">
            <w:pPr>
              <w:spacing w:before="60" w:after="120"/>
              <w:rPr>
                <w:rFonts w:ascii="Arial" w:hAnsi="Arial" w:cs="Arial"/>
                <w:b/>
                <w:sz w:val="18"/>
                <w:szCs w:val="18"/>
              </w:rPr>
            </w:pPr>
            <w:r>
              <w:rPr>
                <w:rFonts w:ascii="Arial" w:hAnsi="Arial" w:cs="Arial"/>
                <w:b/>
                <w:sz w:val="18"/>
                <w:szCs w:val="18"/>
              </w:rPr>
              <w:t xml:space="preserve">Any other relevant matter.  </w:t>
            </w:r>
          </w:p>
        </w:tc>
        <w:tc>
          <w:tcPr>
            <w:tcW w:w="4945" w:type="dxa"/>
            <w:gridSpan w:val="3"/>
          </w:tcPr>
          <w:p w14:paraId="0113785D" w14:textId="77777777" w:rsidR="00DA1779" w:rsidRPr="00EE38F4" w:rsidRDefault="00DA1779" w:rsidP="00125980">
            <w:pPr>
              <w:pStyle w:val="Default"/>
              <w:rPr>
                <w:rFonts w:ascii="Arial" w:hAnsi="Arial" w:cs="Arial"/>
                <w:b/>
                <w:bCs/>
                <w:color w:val="auto"/>
                <w:sz w:val="18"/>
                <w:szCs w:val="18"/>
              </w:rPr>
            </w:pPr>
          </w:p>
        </w:tc>
      </w:tr>
      <w:tr w:rsidR="00DA1779" w:rsidRPr="00EE38F4" w14:paraId="5ADDCCEE" w14:textId="77777777" w:rsidTr="00125980">
        <w:trPr>
          <w:trHeight w:val="187"/>
        </w:trPr>
        <w:tc>
          <w:tcPr>
            <w:tcW w:w="5896" w:type="dxa"/>
          </w:tcPr>
          <w:p w14:paraId="25730690" w14:textId="77777777" w:rsidR="00DA1779" w:rsidRPr="00D74444" w:rsidRDefault="00DA1779" w:rsidP="00125980">
            <w:pPr>
              <w:pStyle w:val="Default"/>
              <w:spacing w:before="120" w:after="120" w:line="276" w:lineRule="auto"/>
              <w:rPr>
                <w:rFonts w:ascii="Arial" w:hAnsi="Arial" w:cs="Arial"/>
                <w:b/>
                <w:bCs/>
                <w:color w:val="auto"/>
                <w:sz w:val="18"/>
                <w:szCs w:val="18"/>
              </w:rPr>
            </w:pPr>
            <w:r w:rsidRPr="00EE38F4">
              <w:rPr>
                <w:rFonts w:ascii="Arial" w:hAnsi="Arial" w:cs="Arial"/>
                <w:b/>
                <w:bCs/>
                <w:color w:val="auto"/>
                <w:sz w:val="18"/>
                <w:szCs w:val="18"/>
              </w:rPr>
              <w:t xml:space="preserve">Whether the matter likely to be Opposed / Unopposed / Ex-Parte / or by Consent? </w:t>
            </w:r>
          </w:p>
        </w:tc>
        <w:tc>
          <w:tcPr>
            <w:tcW w:w="4945" w:type="dxa"/>
            <w:gridSpan w:val="3"/>
          </w:tcPr>
          <w:p w14:paraId="48CF7C3B" w14:textId="77777777" w:rsidR="00DA1779" w:rsidRPr="00EE38F4" w:rsidRDefault="00DA1779" w:rsidP="00125980">
            <w:pPr>
              <w:pStyle w:val="Default"/>
              <w:rPr>
                <w:rFonts w:ascii="Arial" w:hAnsi="Arial" w:cs="Arial"/>
                <w:b/>
                <w:bCs/>
                <w:color w:val="auto"/>
                <w:sz w:val="18"/>
                <w:szCs w:val="18"/>
              </w:rPr>
            </w:pPr>
          </w:p>
        </w:tc>
      </w:tr>
      <w:tr w:rsidR="00DA1779" w:rsidRPr="00EE38F4" w14:paraId="52601858" w14:textId="77777777" w:rsidTr="00125980">
        <w:trPr>
          <w:trHeight w:val="187"/>
        </w:trPr>
        <w:tc>
          <w:tcPr>
            <w:tcW w:w="5896" w:type="dxa"/>
          </w:tcPr>
          <w:p w14:paraId="0A0BBD13" w14:textId="77777777" w:rsidR="00DA1779" w:rsidRPr="00EE38F4" w:rsidRDefault="00DA1779" w:rsidP="00125980">
            <w:pPr>
              <w:pStyle w:val="Default"/>
              <w:spacing w:before="120" w:after="120" w:line="276" w:lineRule="auto"/>
              <w:rPr>
                <w:rFonts w:ascii="Arial" w:hAnsi="Arial" w:cs="Arial"/>
                <w:b/>
                <w:bCs/>
                <w:color w:val="auto"/>
                <w:sz w:val="18"/>
                <w:szCs w:val="18"/>
              </w:rPr>
            </w:pPr>
            <w:r w:rsidRPr="00EE38F4">
              <w:rPr>
                <w:rFonts w:ascii="Arial" w:hAnsi="Arial" w:cs="Arial"/>
                <w:b/>
                <w:bCs/>
                <w:color w:val="auto"/>
                <w:sz w:val="18"/>
                <w:szCs w:val="18"/>
              </w:rPr>
              <w:t xml:space="preserve">Details  of Respondent’s legal practitioner if known </w:t>
            </w:r>
          </w:p>
        </w:tc>
        <w:tc>
          <w:tcPr>
            <w:tcW w:w="4945" w:type="dxa"/>
            <w:gridSpan w:val="3"/>
          </w:tcPr>
          <w:p w14:paraId="7F6149FB" w14:textId="77777777" w:rsidR="00DA1779" w:rsidRPr="00EE38F4" w:rsidRDefault="00DA1779" w:rsidP="00125980">
            <w:pPr>
              <w:pStyle w:val="Default"/>
              <w:rPr>
                <w:rFonts w:ascii="Arial" w:hAnsi="Arial" w:cs="Arial"/>
                <w:b/>
                <w:bCs/>
                <w:color w:val="auto"/>
                <w:sz w:val="18"/>
                <w:szCs w:val="18"/>
              </w:rPr>
            </w:pPr>
          </w:p>
        </w:tc>
      </w:tr>
      <w:tr w:rsidR="00DA1779" w:rsidRPr="00EE38F4" w14:paraId="3CD8AE41" w14:textId="77777777" w:rsidTr="00125980">
        <w:trPr>
          <w:trHeight w:val="84"/>
        </w:trPr>
        <w:tc>
          <w:tcPr>
            <w:tcW w:w="5896" w:type="dxa"/>
          </w:tcPr>
          <w:p w14:paraId="4B92D30A" w14:textId="77777777" w:rsidR="00DA1779" w:rsidRPr="00D74444" w:rsidRDefault="00DA1779" w:rsidP="00125980">
            <w:pPr>
              <w:pStyle w:val="Default"/>
              <w:spacing w:before="120" w:after="120" w:line="276" w:lineRule="auto"/>
              <w:rPr>
                <w:rFonts w:ascii="Arial" w:hAnsi="Arial" w:cs="Arial"/>
                <w:b/>
                <w:bCs/>
                <w:color w:val="auto"/>
                <w:sz w:val="18"/>
                <w:szCs w:val="18"/>
              </w:rPr>
            </w:pPr>
            <w:r w:rsidRPr="00EE38F4">
              <w:rPr>
                <w:rFonts w:ascii="Arial" w:hAnsi="Arial" w:cs="Arial"/>
                <w:b/>
                <w:bCs/>
                <w:color w:val="auto"/>
                <w:sz w:val="18"/>
                <w:szCs w:val="18"/>
              </w:rPr>
              <w:t xml:space="preserve">Applicant’s Firm name: </w:t>
            </w:r>
          </w:p>
        </w:tc>
        <w:tc>
          <w:tcPr>
            <w:tcW w:w="4945" w:type="dxa"/>
            <w:gridSpan w:val="3"/>
          </w:tcPr>
          <w:p w14:paraId="5AB71620" w14:textId="77777777" w:rsidR="00DA1779" w:rsidRPr="00EE38F4" w:rsidRDefault="00DA1779" w:rsidP="00125980">
            <w:pPr>
              <w:pStyle w:val="Default"/>
              <w:rPr>
                <w:rFonts w:ascii="Arial" w:hAnsi="Arial" w:cs="Arial"/>
                <w:b/>
                <w:bCs/>
                <w:color w:val="auto"/>
                <w:sz w:val="18"/>
                <w:szCs w:val="18"/>
              </w:rPr>
            </w:pPr>
          </w:p>
        </w:tc>
      </w:tr>
      <w:tr w:rsidR="00DA1779" w:rsidRPr="00EE38F4" w14:paraId="701F821F" w14:textId="77777777" w:rsidTr="00125980">
        <w:trPr>
          <w:trHeight w:val="84"/>
        </w:trPr>
        <w:tc>
          <w:tcPr>
            <w:tcW w:w="5896" w:type="dxa"/>
          </w:tcPr>
          <w:p w14:paraId="5FA1CB47" w14:textId="77777777" w:rsidR="00DA1779" w:rsidRPr="00D74444" w:rsidRDefault="00DA1779" w:rsidP="00125980">
            <w:pPr>
              <w:pStyle w:val="Default"/>
              <w:spacing w:before="120" w:after="120" w:line="276" w:lineRule="auto"/>
              <w:rPr>
                <w:rFonts w:ascii="Arial" w:hAnsi="Arial" w:cs="Arial"/>
                <w:b/>
                <w:bCs/>
                <w:color w:val="auto"/>
                <w:sz w:val="18"/>
                <w:szCs w:val="18"/>
              </w:rPr>
            </w:pPr>
            <w:r w:rsidRPr="00EE38F4">
              <w:rPr>
                <w:rFonts w:ascii="Arial" w:hAnsi="Arial" w:cs="Arial"/>
                <w:b/>
                <w:bCs/>
                <w:color w:val="auto"/>
                <w:sz w:val="18"/>
                <w:szCs w:val="18"/>
              </w:rPr>
              <w:t xml:space="preserve">Practitioner with conduct: </w:t>
            </w:r>
          </w:p>
        </w:tc>
        <w:tc>
          <w:tcPr>
            <w:tcW w:w="4945" w:type="dxa"/>
            <w:gridSpan w:val="3"/>
          </w:tcPr>
          <w:p w14:paraId="5D005090" w14:textId="77777777" w:rsidR="00DA1779" w:rsidRPr="00EE38F4" w:rsidRDefault="00DA1779" w:rsidP="00125980">
            <w:pPr>
              <w:pStyle w:val="Default"/>
              <w:rPr>
                <w:rFonts w:ascii="Arial" w:hAnsi="Arial" w:cs="Arial"/>
                <w:b/>
                <w:bCs/>
                <w:color w:val="auto"/>
                <w:sz w:val="18"/>
                <w:szCs w:val="18"/>
              </w:rPr>
            </w:pPr>
          </w:p>
        </w:tc>
      </w:tr>
      <w:tr w:rsidR="00DA1779" w:rsidRPr="00EE38F4" w14:paraId="1E4DA4FB" w14:textId="77777777" w:rsidTr="00125980">
        <w:trPr>
          <w:trHeight w:val="84"/>
        </w:trPr>
        <w:tc>
          <w:tcPr>
            <w:tcW w:w="5896" w:type="dxa"/>
          </w:tcPr>
          <w:p w14:paraId="03CFC8FD" w14:textId="77777777" w:rsidR="00DA1779" w:rsidRPr="00EE38F4" w:rsidRDefault="00DA1779" w:rsidP="00125980">
            <w:pPr>
              <w:pStyle w:val="Default"/>
              <w:spacing w:before="120" w:after="120" w:line="276" w:lineRule="auto"/>
              <w:rPr>
                <w:rFonts w:ascii="Arial" w:hAnsi="Arial" w:cs="Arial"/>
                <w:b/>
                <w:bCs/>
                <w:color w:val="auto"/>
                <w:sz w:val="18"/>
                <w:szCs w:val="18"/>
              </w:rPr>
            </w:pPr>
            <w:r w:rsidRPr="00EE38F4">
              <w:rPr>
                <w:rFonts w:ascii="Arial" w:hAnsi="Arial" w:cs="Arial"/>
                <w:b/>
                <w:bCs/>
                <w:color w:val="auto"/>
                <w:sz w:val="18"/>
                <w:szCs w:val="18"/>
              </w:rPr>
              <w:t xml:space="preserve">Costs Lawyer or Consultant who drew the bill </w:t>
            </w:r>
          </w:p>
        </w:tc>
        <w:tc>
          <w:tcPr>
            <w:tcW w:w="4945" w:type="dxa"/>
            <w:gridSpan w:val="3"/>
          </w:tcPr>
          <w:p w14:paraId="555E50C6" w14:textId="77777777" w:rsidR="00DA1779" w:rsidRPr="00EE38F4" w:rsidRDefault="00DA1779" w:rsidP="00125980">
            <w:pPr>
              <w:pStyle w:val="Default"/>
              <w:rPr>
                <w:rFonts w:ascii="Arial" w:hAnsi="Arial" w:cs="Arial"/>
                <w:b/>
                <w:bCs/>
                <w:color w:val="auto"/>
                <w:sz w:val="18"/>
                <w:szCs w:val="18"/>
              </w:rPr>
            </w:pPr>
          </w:p>
        </w:tc>
      </w:tr>
      <w:tr w:rsidR="00DA1779" w:rsidRPr="00EE38F4" w14:paraId="5595A99C" w14:textId="77777777" w:rsidTr="00125980">
        <w:trPr>
          <w:trHeight w:val="84"/>
        </w:trPr>
        <w:tc>
          <w:tcPr>
            <w:tcW w:w="5896" w:type="dxa"/>
          </w:tcPr>
          <w:p w14:paraId="23BEFDFD" w14:textId="77777777" w:rsidR="00DA1779" w:rsidRPr="00D74444" w:rsidRDefault="00DA1779" w:rsidP="00125980">
            <w:pPr>
              <w:pStyle w:val="Default"/>
              <w:spacing w:before="120" w:after="120" w:line="276" w:lineRule="auto"/>
              <w:rPr>
                <w:rFonts w:ascii="Arial" w:hAnsi="Arial" w:cs="Arial"/>
                <w:b/>
                <w:bCs/>
                <w:color w:val="auto"/>
                <w:sz w:val="18"/>
                <w:szCs w:val="18"/>
              </w:rPr>
            </w:pPr>
            <w:r w:rsidRPr="00EE38F4">
              <w:rPr>
                <w:rFonts w:ascii="Arial" w:hAnsi="Arial" w:cs="Arial"/>
                <w:b/>
                <w:bCs/>
                <w:color w:val="auto"/>
                <w:sz w:val="18"/>
                <w:szCs w:val="18"/>
              </w:rPr>
              <w:t xml:space="preserve">Direct telephone number: </w:t>
            </w:r>
          </w:p>
        </w:tc>
        <w:tc>
          <w:tcPr>
            <w:tcW w:w="4945" w:type="dxa"/>
            <w:gridSpan w:val="3"/>
          </w:tcPr>
          <w:p w14:paraId="71228D5A" w14:textId="77777777" w:rsidR="00DA1779" w:rsidRPr="00EE38F4" w:rsidRDefault="00DA1779" w:rsidP="00125980">
            <w:pPr>
              <w:pStyle w:val="Default"/>
              <w:rPr>
                <w:rFonts w:ascii="Arial" w:hAnsi="Arial" w:cs="Arial"/>
                <w:b/>
                <w:bCs/>
                <w:color w:val="auto"/>
                <w:sz w:val="18"/>
                <w:szCs w:val="18"/>
              </w:rPr>
            </w:pPr>
          </w:p>
        </w:tc>
      </w:tr>
      <w:tr w:rsidR="00DA1779" w:rsidRPr="00EE38F4" w14:paraId="7E2A81BA" w14:textId="77777777" w:rsidTr="00125980">
        <w:trPr>
          <w:trHeight w:val="84"/>
        </w:trPr>
        <w:tc>
          <w:tcPr>
            <w:tcW w:w="5896" w:type="dxa"/>
          </w:tcPr>
          <w:p w14:paraId="69989F82" w14:textId="77777777" w:rsidR="00DA1779" w:rsidRPr="00D74444" w:rsidRDefault="00DA1779" w:rsidP="00125980">
            <w:pPr>
              <w:pStyle w:val="Default"/>
              <w:spacing w:before="120" w:after="120" w:line="276" w:lineRule="auto"/>
              <w:rPr>
                <w:rFonts w:ascii="Arial" w:hAnsi="Arial" w:cs="Arial"/>
                <w:b/>
                <w:bCs/>
                <w:color w:val="auto"/>
                <w:sz w:val="18"/>
                <w:szCs w:val="18"/>
              </w:rPr>
            </w:pPr>
            <w:r w:rsidRPr="00EE38F4">
              <w:rPr>
                <w:rFonts w:ascii="Arial" w:hAnsi="Arial" w:cs="Arial"/>
                <w:b/>
                <w:bCs/>
                <w:color w:val="auto"/>
                <w:sz w:val="18"/>
                <w:szCs w:val="18"/>
              </w:rPr>
              <w:t xml:space="preserve">Email address: </w:t>
            </w:r>
          </w:p>
        </w:tc>
        <w:tc>
          <w:tcPr>
            <w:tcW w:w="4945" w:type="dxa"/>
            <w:gridSpan w:val="3"/>
          </w:tcPr>
          <w:p w14:paraId="1F2C3644" w14:textId="77777777" w:rsidR="00DA1779" w:rsidRPr="00EE38F4" w:rsidRDefault="00DA1779" w:rsidP="00125980">
            <w:pPr>
              <w:pStyle w:val="Default"/>
              <w:rPr>
                <w:rFonts w:ascii="Arial" w:hAnsi="Arial" w:cs="Arial"/>
                <w:b/>
                <w:bCs/>
                <w:color w:val="auto"/>
                <w:sz w:val="18"/>
                <w:szCs w:val="18"/>
              </w:rPr>
            </w:pPr>
          </w:p>
        </w:tc>
      </w:tr>
      <w:tr w:rsidR="00DA1779" w:rsidRPr="00EE38F4" w14:paraId="40640C0A" w14:textId="77777777" w:rsidTr="00125980">
        <w:trPr>
          <w:trHeight w:val="84"/>
        </w:trPr>
        <w:tc>
          <w:tcPr>
            <w:tcW w:w="5896" w:type="dxa"/>
          </w:tcPr>
          <w:p w14:paraId="3FBFB129" w14:textId="77777777" w:rsidR="00DA1779" w:rsidRPr="003002C5" w:rsidRDefault="00DA1779" w:rsidP="00125980">
            <w:pPr>
              <w:pStyle w:val="Default"/>
              <w:spacing w:before="120" w:after="60" w:line="276" w:lineRule="auto"/>
              <w:rPr>
                <w:rFonts w:ascii="Arial" w:hAnsi="Arial" w:cs="Arial"/>
                <w:b/>
                <w:bCs/>
                <w:color w:val="auto"/>
                <w:sz w:val="18"/>
                <w:szCs w:val="18"/>
              </w:rPr>
            </w:pPr>
            <w:r w:rsidRPr="002F1CEE">
              <w:rPr>
                <w:rFonts w:ascii="Arial" w:hAnsi="Arial" w:cs="Arial"/>
                <w:b/>
                <w:bCs/>
                <w:color w:val="auto"/>
                <w:sz w:val="18"/>
                <w:szCs w:val="18"/>
              </w:rPr>
              <w:t xml:space="preserve">Unavailable </w:t>
            </w:r>
            <w:r w:rsidR="00BB7114" w:rsidRPr="002F1CEE">
              <w:rPr>
                <w:rFonts w:ascii="Arial" w:hAnsi="Arial" w:cs="Arial"/>
                <w:b/>
                <w:bCs/>
                <w:color w:val="auto"/>
                <w:sz w:val="18"/>
                <w:szCs w:val="18"/>
              </w:rPr>
              <w:t>mediation/</w:t>
            </w:r>
            <w:r w:rsidRPr="002F1CEE">
              <w:rPr>
                <w:rFonts w:ascii="Arial" w:hAnsi="Arial" w:cs="Arial"/>
                <w:b/>
                <w:bCs/>
                <w:color w:val="auto"/>
                <w:sz w:val="18"/>
                <w:szCs w:val="18"/>
              </w:rPr>
              <w:t xml:space="preserve">hearing date/s (if any): </w:t>
            </w:r>
          </w:p>
          <w:p w14:paraId="37FC3DA6" w14:textId="77777777" w:rsidR="00DA1779" w:rsidRPr="00EE38F4" w:rsidRDefault="00DA1779" w:rsidP="00125980">
            <w:pPr>
              <w:pStyle w:val="Default"/>
              <w:spacing w:before="60" w:after="120" w:line="276" w:lineRule="auto"/>
              <w:rPr>
                <w:rFonts w:ascii="Arial" w:hAnsi="Arial" w:cs="Arial"/>
                <w:color w:val="auto"/>
                <w:sz w:val="18"/>
                <w:szCs w:val="18"/>
              </w:rPr>
            </w:pPr>
            <w:r w:rsidRPr="00EE38F4">
              <w:rPr>
                <w:rFonts w:ascii="Arial" w:hAnsi="Arial" w:cs="Arial"/>
                <w:color w:val="auto"/>
                <w:sz w:val="18"/>
                <w:szCs w:val="18"/>
              </w:rPr>
              <w:t xml:space="preserve">List any dates within two months of the filing date that the filing party is </w:t>
            </w:r>
            <w:r w:rsidRPr="00EE38F4">
              <w:rPr>
                <w:rFonts w:ascii="Arial" w:hAnsi="Arial" w:cs="Arial"/>
                <w:b/>
                <w:color w:val="auto"/>
                <w:sz w:val="18"/>
                <w:szCs w:val="18"/>
                <w:u w:val="single"/>
              </w:rPr>
              <w:t xml:space="preserve">not </w:t>
            </w:r>
            <w:r w:rsidRPr="00EE38F4">
              <w:rPr>
                <w:rFonts w:ascii="Arial" w:hAnsi="Arial" w:cs="Arial"/>
                <w:color w:val="auto"/>
                <w:sz w:val="18"/>
                <w:szCs w:val="18"/>
              </w:rPr>
              <w:t xml:space="preserve">available </w:t>
            </w:r>
          </w:p>
        </w:tc>
        <w:tc>
          <w:tcPr>
            <w:tcW w:w="4945" w:type="dxa"/>
            <w:gridSpan w:val="3"/>
          </w:tcPr>
          <w:p w14:paraId="62D5D548" w14:textId="77777777" w:rsidR="00DA1779" w:rsidRPr="00EE38F4" w:rsidRDefault="00DA1779" w:rsidP="00125980">
            <w:pPr>
              <w:pStyle w:val="Default"/>
              <w:rPr>
                <w:rFonts w:ascii="Arial" w:hAnsi="Arial" w:cs="Arial"/>
                <w:b/>
                <w:bCs/>
                <w:color w:val="auto"/>
                <w:sz w:val="18"/>
                <w:szCs w:val="18"/>
              </w:rPr>
            </w:pPr>
          </w:p>
        </w:tc>
      </w:tr>
      <w:tr w:rsidR="00DA1779" w:rsidRPr="00EE38F4" w14:paraId="043AFFA5" w14:textId="77777777" w:rsidTr="00125980">
        <w:trPr>
          <w:trHeight w:val="619"/>
        </w:trPr>
        <w:tc>
          <w:tcPr>
            <w:tcW w:w="5896" w:type="dxa"/>
          </w:tcPr>
          <w:p w14:paraId="592EB027" w14:textId="77777777" w:rsidR="00DA1779" w:rsidRPr="00D74444" w:rsidRDefault="00DA1779" w:rsidP="00125980">
            <w:pPr>
              <w:pStyle w:val="Default"/>
              <w:spacing w:before="120" w:after="120" w:line="276" w:lineRule="auto"/>
              <w:rPr>
                <w:rFonts w:ascii="Arial" w:hAnsi="Arial" w:cs="Arial"/>
                <w:b/>
                <w:bCs/>
                <w:color w:val="auto"/>
                <w:sz w:val="18"/>
                <w:szCs w:val="18"/>
              </w:rPr>
            </w:pPr>
            <w:r w:rsidRPr="00EE38F4">
              <w:rPr>
                <w:rFonts w:ascii="Arial" w:hAnsi="Arial" w:cs="Arial"/>
                <w:b/>
                <w:bCs/>
                <w:color w:val="auto"/>
                <w:sz w:val="18"/>
                <w:szCs w:val="18"/>
              </w:rPr>
              <w:t xml:space="preserve">Date and signature </w:t>
            </w:r>
          </w:p>
        </w:tc>
        <w:tc>
          <w:tcPr>
            <w:tcW w:w="4945" w:type="dxa"/>
            <w:gridSpan w:val="3"/>
          </w:tcPr>
          <w:p w14:paraId="6F289DCF" w14:textId="77777777" w:rsidR="00DA1779" w:rsidRPr="00EE38F4" w:rsidRDefault="00DA1779" w:rsidP="00125980">
            <w:pPr>
              <w:pStyle w:val="Default"/>
              <w:rPr>
                <w:rFonts w:ascii="Arial" w:hAnsi="Arial" w:cs="Arial"/>
                <w:b/>
                <w:bCs/>
                <w:color w:val="auto"/>
                <w:sz w:val="18"/>
                <w:szCs w:val="18"/>
              </w:rPr>
            </w:pPr>
          </w:p>
        </w:tc>
      </w:tr>
    </w:tbl>
    <w:p w14:paraId="666E10B7" w14:textId="77777777" w:rsidR="002613E8" w:rsidRDefault="002613E8" w:rsidP="00DA1779"/>
    <w:p w14:paraId="27842A07" w14:textId="77777777" w:rsidR="002613E8" w:rsidRDefault="002613E8">
      <w:r>
        <w:br w:type="page"/>
      </w:r>
    </w:p>
    <w:p w14:paraId="144D1774" w14:textId="77777777" w:rsidR="002613E8" w:rsidRPr="001048F3" w:rsidRDefault="002613E8" w:rsidP="002613E8">
      <w:pPr>
        <w:pStyle w:val="FactsheetTitle"/>
        <w:rPr>
          <w:sz w:val="40"/>
          <w:szCs w:val="40"/>
        </w:rPr>
      </w:pPr>
      <w:r>
        <w:rPr>
          <w:sz w:val="40"/>
          <w:szCs w:val="40"/>
        </w:rPr>
        <w:lastRenderedPageBreak/>
        <w:t>COSTS COURT</w:t>
      </w:r>
      <w:r w:rsidRPr="001048F3">
        <w:rPr>
          <w:sz w:val="40"/>
          <w:szCs w:val="40"/>
        </w:rPr>
        <w:t xml:space="preserve">– </w:t>
      </w:r>
      <w:r>
        <w:rPr>
          <w:sz w:val="40"/>
          <w:szCs w:val="40"/>
        </w:rPr>
        <w:t xml:space="preserve">Legal Profession Legislation </w:t>
      </w:r>
      <w:r w:rsidR="00F006B4">
        <w:rPr>
          <w:sz w:val="40"/>
          <w:szCs w:val="40"/>
        </w:rPr>
        <w:t xml:space="preserve">and other matters </w:t>
      </w:r>
      <w:r>
        <w:rPr>
          <w:sz w:val="40"/>
          <w:szCs w:val="40"/>
        </w:rPr>
        <w:t xml:space="preserve">Taxation Information </w:t>
      </w:r>
      <w:r w:rsidRPr="001048F3">
        <w:rPr>
          <w:sz w:val="40"/>
          <w:szCs w:val="40"/>
        </w:rPr>
        <w:t>Form</w:t>
      </w:r>
      <w:r w:rsidR="006661AC">
        <w:rPr>
          <w:rStyle w:val="FootnoteReference"/>
          <w:sz w:val="40"/>
          <w:szCs w:val="40"/>
        </w:rPr>
        <w:footnoteReference w:id="3"/>
      </w:r>
    </w:p>
    <w:p w14:paraId="6C896680" w14:textId="77777777" w:rsidR="00DA1779" w:rsidRPr="00EE38F4" w:rsidRDefault="00DA1779" w:rsidP="00DA1779"/>
    <w:tbl>
      <w:tblPr>
        <w:tblW w:w="108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6"/>
        <w:gridCol w:w="1715"/>
        <w:gridCol w:w="1703"/>
        <w:gridCol w:w="1527"/>
      </w:tblGrid>
      <w:tr w:rsidR="002613E8" w:rsidRPr="00EE38F4" w14:paraId="51D67342" w14:textId="77777777" w:rsidTr="00ED38F9">
        <w:trPr>
          <w:trHeight w:val="371"/>
        </w:trPr>
        <w:tc>
          <w:tcPr>
            <w:tcW w:w="5896" w:type="dxa"/>
          </w:tcPr>
          <w:p w14:paraId="6E2E2087" w14:textId="77777777" w:rsidR="002613E8" w:rsidRPr="00EE38F4" w:rsidRDefault="002613E8" w:rsidP="00ED38F9">
            <w:pPr>
              <w:pStyle w:val="Default"/>
              <w:spacing w:before="120" w:after="120" w:line="276" w:lineRule="auto"/>
              <w:rPr>
                <w:color w:val="auto"/>
                <w:sz w:val="18"/>
                <w:szCs w:val="18"/>
              </w:rPr>
            </w:pPr>
            <w:r w:rsidRPr="00EE38F4">
              <w:rPr>
                <w:rFonts w:ascii="Arial" w:hAnsi="Arial" w:cs="Arial"/>
                <w:b/>
                <w:bCs/>
                <w:color w:val="auto"/>
                <w:sz w:val="18"/>
                <w:szCs w:val="18"/>
              </w:rPr>
              <w:t xml:space="preserve">Hearing Return Date </w:t>
            </w:r>
            <w:r w:rsidRPr="00EE38F4">
              <w:rPr>
                <w:rFonts w:ascii="Arial" w:hAnsi="Arial" w:cs="Arial"/>
                <w:color w:val="auto"/>
                <w:sz w:val="18"/>
                <w:szCs w:val="18"/>
              </w:rPr>
              <w:t xml:space="preserve">(Court Use Only) </w:t>
            </w:r>
          </w:p>
        </w:tc>
        <w:tc>
          <w:tcPr>
            <w:tcW w:w="4945" w:type="dxa"/>
            <w:gridSpan w:val="3"/>
          </w:tcPr>
          <w:p w14:paraId="7AA2C7C3" w14:textId="77777777" w:rsidR="002613E8" w:rsidRPr="00EE38F4" w:rsidRDefault="002613E8" w:rsidP="00ED38F9">
            <w:pPr>
              <w:pStyle w:val="Default"/>
              <w:ind w:left="720"/>
              <w:rPr>
                <w:rFonts w:ascii="Arial" w:hAnsi="Arial" w:cs="Arial"/>
                <w:color w:val="auto"/>
                <w:sz w:val="40"/>
                <w:szCs w:val="40"/>
              </w:rPr>
            </w:pPr>
          </w:p>
        </w:tc>
      </w:tr>
      <w:tr w:rsidR="002613E8" w:rsidRPr="00EE38F4" w14:paraId="6B17A449" w14:textId="77777777" w:rsidTr="00ED38F9">
        <w:trPr>
          <w:trHeight w:val="84"/>
        </w:trPr>
        <w:tc>
          <w:tcPr>
            <w:tcW w:w="5896" w:type="dxa"/>
          </w:tcPr>
          <w:p w14:paraId="2B1088B7" w14:textId="77777777" w:rsidR="002613E8" w:rsidRPr="00EE38F4" w:rsidRDefault="002613E8" w:rsidP="00ED38F9">
            <w:pPr>
              <w:pStyle w:val="Default"/>
              <w:spacing w:before="120" w:after="120" w:line="276" w:lineRule="auto"/>
              <w:rPr>
                <w:rFonts w:ascii="Arial" w:hAnsi="Arial" w:cs="Arial"/>
                <w:color w:val="auto"/>
                <w:sz w:val="18"/>
                <w:szCs w:val="18"/>
              </w:rPr>
            </w:pPr>
            <w:r w:rsidRPr="00EE38F4">
              <w:rPr>
                <w:rFonts w:ascii="Arial" w:hAnsi="Arial" w:cs="Arial"/>
                <w:b/>
                <w:bCs/>
                <w:color w:val="auto"/>
                <w:sz w:val="18"/>
                <w:szCs w:val="18"/>
              </w:rPr>
              <w:t xml:space="preserve">Proceeding number: </w:t>
            </w:r>
          </w:p>
        </w:tc>
        <w:tc>
          <w:tcPr>
            <w:tcW w:w="4945" w:type="dxa"/>
            <w:gridSpan w:val="3"/>
          </w:tcPr>
          <w:p w14:paraId="345990E0" w14:textId="77777777" w:rsidR="002613E8" w:rsidRPr="00EE38F4" w:rsidRDefault="002613E8" w:rsidP="00ED38F9">
            <w:pPr>
              <w:pStyle w:val="Default"/>
              <w:rPr>
                <w:rFonts w:ascii="Arial" w:hAnsi="Arial" w:cs="Arial"/>
                <w:b/>
                <w:bCs/>
                <w:color w:val="auto"/>
                <w:sz w:val="18"/>
                <w:szCs w:val="18"/>
              </w:rPr>
            </w:pPr>
          </w:p>
        </w:tc>
      </w:tr>
      <w:tr w:rsidR="002613E8" w:rsidRPr="00EE38F4" w14:paraId="6903FDA0" w14:textId="77777777" w:rsidTr="00ED38F9">
        <w:trPr>
          <w:trHeight w:val="485"/>
        </w:trPr>
        <w:tc>
          <w:tcPr>
            <w:tcW w:w="5896" w:type="dxa"/>
          </w:tcPr>
          <w:p w14:paraId="0506663B" w14:textId="77777777" w:rsidR="002613E8" w:rsidRPr="00EE38F4" w:rsidRDefault="002613E8" w:rsidP="00ED38F9">
            <w:pPr>
              <w:pStyle w:val="Default"/>
              <w:spacing w:before="120" w:after="120" w:line="276" w:lineRule="auto"/>
              <w:rPr>
                <w:rFonts w:ascii="Arial" w:hAnsi="Arial" w:cs="Arial"/>
                <w:color w:val="auto"/>
                <w:sz w:val="18"/>
                <w:szCs w:val="18"/>
              </w:rPr>
            </w:pPr>
            <w:r>
              <w:rPr>
                <w:rFonts w:ascii="Arial" w:hAnsi="Arial" w:cs="Arial"/>
                <w:b/>
                <w:bCs/>
                <w:color w:val="auto"/>
                <w:sz w:val="18"/>
                <w:szCs w:val="18"/>
              </w:rPr>
              <w:t>Estimated time required for taxation hearing</w:t>
            </w:r>
            <w:r w:rsidRPr="00EE38F4">
              <w:rPr>
                <w:rFonts w:ascii="Arial" w:hAnsi="Arial" w:cs="Arial"/>
                <w:b/>
                <w:bCs/>
                <w:color w:val="auto"/>
                <w:sz w:val="18"/>
                <w:szCs w:val="18"/>
              </w:rPr>
              <w:t xml:space="preserve">: </w:t>
            </w:r>
          </w:p>
        </w:tc>
        <w:tc>
          <w:tcPr>
            <w:tcW w:w="4945" w:type="dxa"/>
            <w:gridSpan w:val="3"/>
          </w:tcPr>
          <w:p w14:paraId="618C9383" w14:textId="77777777" w:rsidR="002613E8" w:rsidRPr="00EE38F4" w:rsidRDefault="002613E8" w:rsidP="00ED38F9">
            <w:pPr>
              <w:pStyle w:val="Default"/>
              <w:rPr>
                <w:rFonts w:ascii="Arial" w:hAnsi="Arial" w:cs="Arial"/>
                <w:b/>
                <w:bCs/>
                <w:color w:val="auto"/>
                <w:sz w:val="18"/>
                <w:szCs w:val="18"/>
              </w:rPr>
            </w:pPr>
          </w:p>
        </w:tc>
      </w:tr>
      <w:tr w:rsidR="002613E8" w:rsidRPr="00EE38F4" w14:paraId="6206515A" w14:textId="77777777" w:rsidTr="00ED38F9">
        <w:trPr>
          <w:trHeight w:val="323"/>
        </w:trPr>
        <w:tc>
          <w:tcPr>
            <w:tcW w:w="5896" w:type="dxa"/>
          </w:tcPr>
          <w:p w14:paraId="5925D8B0" w14:textId="77777777" w:rsidR="002613E8" w:rsidRPr="00D74444" w:rsidRDefault="002613E8" w:rsidP="007D2315">
            <w:pPr>
              <w:pStyle w:val="Default"/>
              <w:spacing w:before="120" w:after="60" w:line="276" w:lineRule="auto"/>
              <w:rPr>
                <w:rFonts w:ascii="Arial" w:hAnsi="Arial" w:cs="Arial"/>
                <w:color w:val="auto"/>
                <w:sz w:val="18"/>
                <w:szCs w:val="18"/>
              </w:rPr>
            </w:pPr>
            <w:r w:rsidRPr="00EE38F4">
              <w:rPr>
                <w:rFonts w:ascii="Arial" w:hAnsi="Arial" w:cs="Arial"/>
                <w:b/>
                <w:bCs/>
                <w:color w:val="auto"/>
                <w:sz w:val="18"/>
                <w:szCs w:val="18"/>
              </w:rPr>
              <w:t xml:space="preserve">Summary of </w:t>
            </w:r>
            <w:r>
              <w:rPr>
                <w:rFonts w:ascii="Arial" w:hAnsi="Arial" w:cs="Arial"/>
                <w:b/>
                <w:bCs/>
                <w:color w:val="auto"/>
                <w:sz w:val="18"/>
                <w:szCs w:val="18"/>
              </w:rPr>
              <w:t xml:space="preserve">application including details of retainer </w:t>
            </w:r>
            <w:r>
              <w:rPr>
                <w:rFonts w:ascii="Arial" w:hAnsi="Arial" w:cs="Arial"/>
                <w:color w:val="auto"/>
                <w:sz w:val="18"/>
                <w:szCs w:val="18"/>
              </w:rPr>
              <w:t xml:space="preserve"> </w:t>
            </w:r>
          </w:p>
        </w:tc>
        <w:tc>
          <w:tcPr>
            <w:tcW w:w="4945" w:type="dxa"/>
            <w:gridSpan w:val="3"/>
          </w:tcPr>
          <w:p w14:paraId="1BF6B18E" w14:textId="77777777" w:rsidR="002613E8" w:rsidRPr="00EE38F4" w:rsidRDefault="002613E8" w:rsidP="00ED38F9">
            <w:pPr>
              <w:pStyle w:val="Default"/>
              <w:rPr>
                <w:rFonts w:ascii="Arial" w:hAnsi="Arial" w:cs="Arial"/>
                <w:b/>
                <w:bCs/>
                <w:color w:val="auto"/>
                <w:sz w:val="18"/>
                <w:szCs w:val="18"/>
              </w:rPr>
            </w:pPr>
          </w:p>
        </w:tc>
      </w:tr>
      <w:tr w:rsidR="002613E8" w:rsidRPr="00EE38F4" w14:paraId="66BFFD0E" w14:textId="77777777" w:rsidTr="00ED38F9">
        <w:trPr>
          <w:trHeight w:val="323"/>
        </w:trPr>
        <w:tc>
          <w:tcPr>
            <w:tcW w:w="5896" w:type="dxa"/>
          </w:tcPr>
          <w:p w14:paraId="276BCF73" w14:textId="77777777" w:rsidR="002613E8" w:rsidRPr="00D74444" w:rsidRDefault="002613E8" w:rsidP="00ED38F9">
            <w:pPr>
              <w:pStyle w:val="Default"/>
              <w:spacing w:before="120" w:after="120" w:line="276" w:lineRule="auto"/>
              <w:rPr>
                <w:rFonts w:ascii="Arial" w:hAnsi="Arial" w:cs="Arial"/>
                <w:color w:val="auto"/>
                <w:sz w:val="18"/>
                <w:szCs w:val="18"/>
              </w:rPr>
            </w:pPr>
            <w:r w:rsidRPr="00EE38F4">
              <w:rPr>
                <w:rFonts w:ascii="Arial" w:hAnsi="Arial" w:cs="Arial"/>
                <w:b/>
                <w:bCs/>
                <w:color w:val="auto"/>
                <w:sz w:val="18"/>
                <w:szCs w:val="18"/>
              </w:rPr>
              <w:t xml:space="preserve">A Short Summary of the principal litigation or Austlii reference to the decision of the Court  </w:t>
            </w:r>
          </w:p>
        </w:tc>
        <w:tc>
          <w:tcPr>
            <w:tcW w:w="4945" w:type="dxa"/>
            <w:gridSpan w:val="3"/>
          </w:tcPr>
          <w:p w14:paraId="6E023BE0" w14:textId="77777777" w:rsidR="002613E8" w:rsidRPr="00EE38F4" w:rsidRDefault="002613E8" w:rsidP="00ED38F9">
            <w:pPr>
              <w:pStyle w:val="Default"/>
              <w:rPr>
                <w:rFonts w:ascii="Arial" w:hAnsi="Arial" w:cs="Arial"/>
                <w:b/>
                <w:bCs/>
                <w:color w:val="auto"/>
                <w:sz w:val="18"/>
                <w:szCs w:val="18"/>
              </w:rPr>
            </w:pPr>
          </w:p>
        </w:tc>
      </w:tr>
      <w:tr w:rsidR="002613E8" w:rsidRPr="00EE38F4" w14:paraId="484E88ED" w14:textId="77777777" w:rsidTr="00ED38F9">
        <w:trPr>
          <w:trHeight w:val="220"/>
        </w:trPr>
        <w:tc>
          <w:tcPr>
            <w:tcW w:w="5896" w:type="dxa"/>
          </w:tcPr>
          <w:p w14:paraId="6E5BE583" w14:textId="77777777" w:rsidR="002613E8" w:rsidRPr="00EE38F4" w:rsidRDefault="002613E8" w:rsidP="00ED38F9">
            <w:pPr>
              <w:pStyle w:val="Default"/>
              <w:spacing w:before="120" w:after="60" w:line="276" w:lineRule="auto"/>
              <w:rPr>
                <w:rFonts w:ascii="Arial" w:hAnsi="Arial" w:cs="Arial"/>
                <w:color w:val="auto"/>
                <w:sz w:val="18"/>
                <w:szCs w:val="18"/>
              </w:rPr>
            </w:pPr>
            <w:r w:rsidRPr="00EE38F4">
              <w:rPr>
                <w:rFonts w:ascii="Arial" w:hAnsi="Arial" w:cs="Arial"/>
                <w:b/>
                <w:bCs/>
                <w:color w:val="auto"/>
                <w:sz w:val="18"/>
                <w:szCs w:val="18"/>
              </w:rPr>
              <w:t xml:space="preserve">Who is bringing the application? </w:t>
            </w:r>
          </w:p>
          <w:p w14:paraId="5680D437" w14:textId="77777777" w:rsidR="002613E8" w:rsidRPr="00EE38F4" w:rsidRDefault="002613E8" w:rsidP="00ED38F9">
            <w:pPr>
              <w:pStyle w:val="Default"/>
              <w:spacing w:before="60" w:after="120" w:line="276" w:lineRule="auto"/>
              <w:rPr>
                <w:rFonts w:ascii="Arial" w:hAnsi="Arial" w:cs="Arial"/>
                <w:color w:val="auto"/>
                <w:sz w:val="18"/>
                <w:szCs w:val="18"/>
              </w:rPr>
            </w:pPr>
            <w:r>
              <w:rPr>
                <w:rFonts w:ascii="Arial" w:hAnsi="Arial" w:cs="Arial"/>
                <w:color w:val="auto"/>
                <w:sz w:val="18"/>
                <w:szCs w:val="18"/>
              </w:rPr>
              <w:t xml:space="preserve">Party type and name of party. </w:t>
            </w:r>
          </w:p>
        </w:tc>
        <w:tc>
          <w:tcPr>
            <w:tcW w:w="4945" w:type="dxa"/>
            <w:gridSpan w:val="3"/>
            <w:tcBorders>
              <w:bottom w:val="single" w:sz="4" w:space="0" w:color="auto"/>
            </w:tcBorders>
          </w:tcPr>
          <w:p w14:paraId="275A251D" w14:textId="77777777" w:rsidR="002613E8" w:rsidRPr="00EE38F4" w:rsidRDefault="002613E8" w:rsidP="00ED38F9">
            <w:pPr>
              <w:pStyle w:val="Default"/>
              <w:rPr>
                <w:rFonts w:ascii="Arial" w:hAnsi="Arial" w:cs="Arial"/>
                <w:b/>
                <w:bCs/>
                <w:color w:val="auto"/>
                <w:sz w:val="18"/>
                <w:szCs w:val="18"/>
              </w:rPr>
            </w:pPr>
          </w:p>
        </w:tc>
      </w:tr>
      <w:tr w:rsidR="002613E8" w:rsidRPr="003002C5" w14:paraId="29FD2F3B" w14:textId="77777777" w:rsidTr="00ED38F9">
        <w:trPr>
          <w:trHeight w:val="457"/>
        </w:trPr>
        <w:tc>
          <w:tcPr>
            <w:tcW w:w="5896" w:type="dxa"/>
          </w:tcPr>
          <w:p w14:paraId="07E7B934" w14:textId="77777777" w:rsidR="002613E8" w:rsidRDefault="002613E8" w:rsidP="00ED38F9">
            <w:pPr>
              <w:pStyle w:val="Default"/>
              <w:spacing w:before="120" w:after="120" w:line="276" w:lineRule="auto"/>
              <w:rPr>
                <w:rFonts w:ascii="Arial" w:hAnsi="Arial" w:cs="Arial"/>
                <w:b/>
                <w:bCs/>
                <w:color w:val="auto"/>
                <w:sz w:val="18"/>
                <w:szCs w:val="18"/>
              </w:rPr>
            </w:pPr>
            <w:r>
              <w:rPr>
                <w:rFonts w:ascii="Arial" w:hAnsi="Arial" w:cs="Arial"/>
                <w:b/>
                <w:bCs/>
                <w:color w:val="auto"/>
                <w:sz w:val="18"/>
                <w:szCs w:val="18"/>
              </w:rPr>
              <w:t>Amount of costs charged</w:t>
            </w:r>
          </w:p>
          <w:p w14:paraId="5FB8AFD8" w14:textId="77777777" w:rsidR="002613E8" w:rsidRPr="00BC553D" w:rsidRDefault="002613E8" w:rsidP="002613E8">
            <w:pPr>
              <w:pStyle w:val="Default"/>
              <w:spacing w:before="120" w:after="120" w:line="276" w:lineRule="auto"/>
              <w:rPr>
                <w:rFonts w:ascii="Arial" w:hAnsi="Arial" w:cs="Arial"/>
                <w:bCs/>
                <w:color w:val="auto"/>
                <w:sz w:val="18"/>
                <w:szCs w:val="18"/>
              </w:rPr>
            </w:pPr>
            <w:r w:rsidRPr="00BC553D">
              <w:rPr>
                <w:rFonts w:ascii="Arial" w:hAnsi="Arial" w:cs="Arial"/>
                <w:bCs/>
                <w:color w:val="auto"/>
                <w:sz w:val="18"/>
                <w:szCs w:val="18"/>
              </w:rPr>
              <w:t xml:space="preserve">The amount of professional charges and disbursements </w:t>
            </w:r>
            <w:r>
              <w:rPr>
                <w:rFonts w:ascii="Arial" w:hAnsi="Arial" w:cs="Arial"/>
                <w:bCs/>
                <w:color w:val="auto"/>
                <w:sz w:val="18"/>
                <w:szCs w:val="18"/>
              </w:rPr>
              <w:t>charged</w:t>
            </w:r>
            <w:r w:rsidRPr="00BC553D">
              <w:rPr>
                <w:rFonts w:ascii="Arial" w:hAnsi="Arial" w:cs="Arial"/>
                <w:bCs/>
                <w:color w:val="auto"/>
                <w:sz w:val="18"/>
                <w:szCs w:val="18"/>
              </w:rPr>
              <w:t xml:space="preserve"> in the bill of costs </w:t>
            </w:r>
          </w:p>
        </w:tc>
        <w:tc>
          <w:tcPr>
            <w:tcW w:w="1715" w:type="dxa"/>
            <w:tcBorders>
              <w:right w:val="single" w:sz="4" w:space="0" w:color="auto"/>
            </w:tcBorders>
          </w:tcPr>
          <w:p w14:paraId="4B3ED4E6" w14:textId="77777777" w:rsidR="002613E8" w:rsidRPr="003002C5" w:rsidRDefault="002613E8" w:rsidP="00ED38F9">
            <w:pPr>
              <w:pStyle w:val="Default"/>
              <w:spacing w:before="60" w:after="60"/>
              <w:rPr>
                <w:rFonts w:ascii="Arial" w:hAnsi="Arial" w:cs="Arial"/>
                <w:b/>
                <w:bCs/>
                <w:color w:val="auto"/>
                <w:sz w:val="18"/>
                <w:szCs w:val="18"/>
              </w:rPr>
            </w:pPr>
            <w:r w:rsidRPr="003002C5">
              <w:rPr>
                <w:rFonts w:ascii="Arial" w:hAnsi="Arial" w:cs="Arial"/>
                <w:b/>
                <w:bCs/>
                <w:color w:val="auto"/>
                <w:sz w:val="18"/>
                <w:szCs w:val="18"/>
              </w:rPr>
              <w:t>Professional charges</w:t>
            </w:r>
          </w:p>
          <w:p w14:paraId="447A56D1" w14:textId="77777777" w:rsidR="002613E8" w:rsidRPr="003002C5" w:rsidRDefault="002613E8" w:rsidP="00ED38F9">
            <w:pPr>
              <w:pStyle w:val="Default"/>
              <w:spacing w:before="60"/>
              <w:rPr>
                <w:rFonts w:ascii="Arial" w:hAnsi="Arial" w:cs="Arial"/>
                <w:b/>
                <w:bCs/>
                <w:color w:val="auto"/>
                <w:sz w:val="18"/>
                <w:szCs w:val="18"/>
              </w:rPr>
            </w:pPr>
            <w:r w:rsidRPr="003002C5">
              <w:rPr>
                <w:rFonts w:ascii="Arial" w:hAnsi="Arial" w:cs="Arial"/>
                <w:b/>
                <w:bCs/>
                <w:color w:val="auto"/>
                <w:sz w:val="18"/>
                <w:szCs w:val="18"/>
              </w:rPr>
              <w:t>$</w:t>
            </w:r>
          </w:p>
        </w:tc>
        <w:tc>
          <w:tcPr>
            <w:tcW w:w="1703" w:type="dxa"/>
            <w:tcBorders>
              <w:left w:val="single" w:sz="4" w:space="0" w:color="auto"/>
              <w:right w:val="single" w:sz="4" w:space="0" w:color="auto"/>
            </w:tcBorders>
          </w:tcPr>
          <w:p w14:paraId="246172E8" w14:textId="77777777" w:rsidR="002613E8" w:rsidRPr="003002C5" w:rsidRDefault="002613E8" w:rsidP="00ED38F9">
            <w:pPr>
              <w:pStyle w:val="Default"/>
              <w:spacing w:before="60"/>
              <w:rPr>
                <w:rFonts w:ascii="Arial" w:hAnsi="Arial" w:cs="Arial"/>
                <w:b/>
                <w:bCs/>
                <w:color w:val="auto"/>
                <w:sz w:val="18"/>
                <w:szCs w:val="18"/>
              </w:rPr>
            </w:pPr>
            <w:r w:rsidRPr="003002C5">
              <w:rPr>
                <w:rFonts w:ascii="Arial" w:hAnsi="Arial" w:cs="Arial"/>
                <w:b/>
                <w:bCs/>
                <w:color w:val="auto"/>
                <w:sz w:val="18"/>
                <w:szCs w:val="18"/>
              </w:rPr>
              <w:t xml:space="preserve">Disbursements </w:t>
            </w:r>
          </w:p>
          <w:p w14:paraId="49820619" w14:textId="77777777" w:rsidR="002613E8" w:rsidRPr="003002C5" w:rsidRDefault="002613E8" w:rsidP="00ED38F9">
            <w:pPr>
              <w:pStyle w:val="Default"/>
              <w:spacing w:before="60"/>
              <w:rPr>
                <w:rFonts w:ascii="Arial" w:hAnsi="Arial" w:cs="Arial"/>
                <w:b/>
                <w:bCs/>
                <w:color w:val="auto"/>
                <w:sz w:val="18"/>
                <w:szCs w:val="18"/>
              </w:rPr>
            </w:pPr>
          </w:p>
          <w:p w14:paraId="1C30C26E" w14:textId="77777777" w:rsidR="002613E8" w:rsidRPr="003002C5" w:rsidRDefault="002613E8" w:rsidP="00ED38F9">
            <w:pPr>
              <w:pStyle w:val="Default"/>
              <w:spacing w:before="60" w:after="60"/>
              <w:rPr>
                <w:rFonts w:ascii="Arial" w:hAnsi="Arial" w:cs="Arial"/>
                <w:b/>
                <w:bCs/>
                <w:color w:val="auto"/>
                <w:sz w:val="18"/>
                <w:szCs w:val="18"/>
              </w:rPr>
            </w:pPr>
            <w:r w:rsidRPr="003002C5">
              <w:rPr>
                <w:rFonts w:ascii="Arial" w:hAnsi="Arial" w:cs="Arial"/>
                <w:b/>
                <w:bCs/>
                <w:color w:val="auto"/>
                <w:sz w:val="18"/>
                <w:szCs w:val="18"/>
              </w:rPr>
              <w:t>$</w:t>
            </w:r>
          </w:p>
        </w:tc>
        <w:tc>
          <w:tcPr>
            <w:tcW w:w="1527" w:type="dxa"/>
            <w:tcBorders>
              <w:left w:val="single" w:sz="4" w:space="0" w:color="auto"/>
            </w:tcBorders>
          </w:tcPr>
          <w:p w14:paraId="159FA52B" w14:textId="77777777" w:rsidR="002613E8" w:rsidRPr="003002C5" w:rsidRDefault="002613E8" w:rsidP="00ED38F9">
            <w:pPr>
              <w:pStyle w:val="Default"/>
              <w:spacing w:before="60"/>
              <w:rPr>
                <w:rFonts w:ascii="Arial" w:hAnsi="Arial" w:cs="Arial"/>
                <w:b/>
                <w:bCs/>
                <w:color w:val="auto"/>
                <w:sz w:val="18"/>
                <w:szCs w:val="18"/>
              </w:rPr>
            </w:pPr>
            <w:r w:rsidRPr="003002C5">
              <w:rPr>
                <w:rFonts w:ascii="Arial" w:hAnsi="Arial" w:cs="Arial"/>
                <w:b/>
                <w:bCs/>
                <w:color w:val="auto"/>
                <w:sz w:val="18"/>
                <w:szCs w:val="18"/>
              </w:rPr>
              <w:t>Total</w:t>
            </w:r>
          </w:p>
          <w:p w14:paraId="289026BC" w14:textId="77777777" w:rsidR="002613E8" w:rsidRPr="003002C5" w:rsidRDefault="002613E8" w:rsidP="00ED38F9">
            <w:pPr>
              <w:pStyle w:val="Default"/>
              <w:spacing w:before="60"/>
              <w:rPr>
                <w:rFonts w:ascii="Arial" w:hAnsi="Arial" w:cs="Arial"/>
                <w:b/>
                <w:bCs/>
                <w:color w:val="auto"/>
                <w:sz w:val="18"/>
                <w:szCs w:val="18"/>
              </w:rPr>
            </w:pPr>
          </w:p>
          <w:p w14:paraId="3D2AB20B" w14:textId="77777777" w:rsidR="002613E8" w:rsidRPr="003002C5" w:rsidRDefault="002613E8" w:rsidP="00ED38F9">
            <w:pPr>
              <w:pStyle w:val="Default"/>
              <w:spacing w:before="60"/>
              <w:rPr>
                <w:rFonts w:ascii="Arial" w:hAnsi="Arial" w:cs="Arial"/>
                <w:b/>
                <w:bCs/>
                <w:color w:val="auto"/>
                <w:sz w:val="18"/>
                <w:szCs w:val="18"/>
              </w:rPr>
            </w:pPr>
            <w:r w:rsidRPr="003002C5">
              <w:rPr>
                <w:rFonts w:ascii="Arial" w:hAnsi="Arial" w:cs="Arial"/>
                <w:b/>
                <w:bCs/>
                <w:color w:val="auto"/>
                <w:sz w:val="18"/>
                <w:szCs w:val="18"/>
              </w:rPr>
              <w:t>$</w:t>
            </w:r>
          </w:p>
        </w:tc>
      </w:tr>
      <w:tr w:rsidR="002613E8" w:rsidRPr="00EE38F4" w14:paraId="61A6CB74" w14:textId="77777777" w:rsidTr="00ED38F9">
        <w:trPr>
          <w:trHeight w:val="634"/>
        </w:trPr>
        <w:tc>
          <w:tcPr>
            <w:tcW w:w="5896" w:type="dxa"/>
          </w:tcPr>
          <w:p w14:paraId="7109BF1A" w14:textId="77777777" w:rsidR="002613E8" w:rsidRPr="00D74444" w:rsidRDefault="0060771E" w:rsidP="00ED38F9">
            <w:pPr>
              <w:spacing w:before="60" w:after="120"/>
              <w:rPr>
                <w:rFonts w:ascii="Arial" w:hAnsi="Arial" w:cs="Arial"/>
                <w:b/>
                <w:sz w:val="18"/>
                <w:szCs w:val="18"/>
              </w:rPr>
            </w:pPr>
            <w:r>
              <w:rPr>
                <w:rFonts w:ascii="Arial" w:hAnsi="Arial" w:cs="Arial"/>
                <w:b/>
                <w:sz w:val="18"/>
                <w:szCs w:val="18"/>
              </w:rPr>
              <w:t xml:space="preserve">Is the applicant self-represented.  </w:t>
            </w:r>
            <w:r w:rsidR="002613E8">
              <w:rPr>
                <w:rFonts w:ascii="Arial" w:hAnsi="Arial" w:cs="Arial"/>
                <w:b/>
                <w:sz w:val="18"/>
                <w:szCs w:val="18"/>
              </w:rPr>
              <w:t xml:space="preserve">Any other relevant matter.  </w:t>
            </w:r>
          </w:p>
        </w:tc>
        <w:tc>
          <w:tcPr>
            <w:tcW w:w="4945" w:type="dxa"/>
            <w:gridSpan w:val="3"/>
          </w:tcPr>
          <w:p w14:paraId="1DF52C07" w14:textId="77777777" w:rsidR="002613E8" w:rsidRPr="00EE38F4" w:rsidRDefault="002613E8" w:rsidP="00ED38F9">
            <w:pPr>
              <w:pStyle w:val="Default"/>
              <w:rPr>
                <w:rFonts w:ascii="Arial" w:hAnsi="Arial" w:cs="Arial"/>
                <w:b/>
                <w:bCs/>
                <w:color w:val="auto"/>
                <w:sz w:val="18"/>
                <w:szCs w:val="18"/>
              </w:rPr>
            </w:pPr>
          </w:p>
        </w:tc>
      </w:tr>
      <w:tr w:rsidR="002613E8" w:rsidRPr="00EE38F4" w14:paraId="5CDA5977" w14:textId="77777777" w:rsidTr="00ED38F9">
        <w:trPr>
          <w:trHeight w:val="187"/>
        </w:trPr>
        <w:tc>
          <w:tcPr>
            <w:tcW w:w="5896" w:type="dxa"/>
          </w:tcPr>
          <w:p w14:paraId="56D802D9" w14:textId="77777777" w:rsidR="002613E8" w:rsidRPr="00D74444" w:rsidRDefault="002613E8" w:rsidP="00ED38F9">
            <w:pPr>
              <w:pStyle w:val="Default"/>
              <w:spacing w:before="120" w:after="120" w:line="276" w:lineRule="auto"/>
              <w:rPr>
                <w:rFonts w:ascii="Arial" w:hAnsi="Arial" w:cs="Arial"/>
                <w:b/>
                <w:bCs/>
                <w:color w:val="auto"/>
                <w:sz w:val="18"/>
                <w:szCs w:val="18"/>
              </w:rPr>
            </w:pPr>
            <w:r w:rsidRPr="00EE38F4">
              <w:rPr>
                <w:rFonts w:ascii="Arial" w:hAnsi="Arial" w:cs="Arial"/>
                <w:b/>
                <w:bCs/>
                <w:color w:val="auto"/>
                <w:sz w:val="18"/>
                <w:szCs w:val="18"/>
              </w:rPr>
              <w:t xml:space="preserve">Whether the matter likely to be Opposed / Unopposed / Ex-Parte / or by Consent? </w:t>
            </w:r>
          </w:p>
        </w:tc>
        <w:tc>
          <w:tcPr>
            <w:tcW w:w="4945" w:type="dxa"/>
            <w:gridSpan w:val="3"/>
          </w:tcPr>
          <w:p w14:paraId="37F21347" w14:textId="77777777" w:rsidR="002613E8" w:rsidRPr="00EE38F4" w:rsidRDefault="002613E8" w:rsidP="00ED38F9">
            <w:pPr>
              <w:pStyle w:val="Default"/>
              <w:rPr>
                <w:rFonts w:ascii="Arial" w:hAnsi="Arial" w:cs="Arial"/>
                <w:b/>
                <w:bCs/>
                <w:color w:val="auto"/>
                <w:sz w:val="18"/>
                <w:szCs w:val="18"/>
              </w:rPr>
            </w:pPr>
          </w:p>
        </w:tc>
      </w:tr>
      <w:tr w:rsidR="002613E8" w:rsidRPr="00EE38F4" w14:paraId="632B148D" w14:textId="77777777" w:rsidTr="00ED38F9">
        <w:trPr>
          <w:trHeight w:val="187"/>
        </w:trPr>
        <w:tc>
          <w:tcPr>
            <w:tcW w:w="5896" w:type="dxa"/>
          </w:tcPr>
          <w:p w14:paraId="3FA71FCB" w14:textId="77777777" w:rsidR="002613E8" w:rsidRPr="00EE38F4" w:rsidRDefault="0060771E" w:rsidP="0060771E">
            <w:pPr>
              <w:pStyle w:val="Default"/>
              <w:spacing w:before="120" w:after="120" w:line="276" w:lineRule="auto"/>
              <w:rPr>
                <w:rFonts w:ascii="Arial" w:hAnsi="Arial" w:cs="Arial"/>
                <w:b/>
                <w:bCs/>
                <w:color w:val="auto"/>
                <w:sz w:val="18"/>
                <w:szCs w:val="18"/>
              </w:rPr>
            </w:pPr>
            <w:r>
              <w:rPr>
                <w:rFonts w:ascii="Arial" w:hAnsi="Arial" w:cs="Arial"/>
                <w:b/>
                <w:bCs/>
                <w:color w:val="auto"/>
                <w:sz w:val="18"/>
                <w:szCs w:val="18"/>
              </w:rPr>
              <w:t xml:space="preserve">Details </w:t>
            </w:r>
            <w:r w:rsidR="002613E8" w:rsidRPr="00EE38F4">
              <w:rPr>
                <w:rFonts w:ascii="Arial" w:hAnsi="Arial" w:cs="Arial"/>
                <w:b/>
                <w:bCs/>
                <w:color w:val="auto"/>
                <w:sz w:val="18"/>
                <w:szCs w:val="18"/>
              </w:rPr>
              <w:t xml:space="preserve">of Respondent </w:t>
            </w:r>
          </w:p>
        </w:tc>
        <w:tc>
          <w:tcPr>
            <w:tcW w:w="4945" w:type="dxa"/>
            <w:gridSpan w:val="3"/>
          </w:tcPr>
          <w:p w14:paraId="097B885D" w14:textId="77777777" w:rsidR="002613E8" w:rsidRPr="00EE38F4" w:rsidRDefault="002613E8" w:rsidP="00ED38F9">
            <w:pPr>
              <w:pStyle w:val="Default"/>
              <w:rPr>
                <w:rFonts w:ascii="Arial" w:hAnsi="Arial" w:cs="Arial"/>
                <w:b/>
                <w:bCs/>
                <w:color w:val="auto"/>
                <w:sz w:val="18"/>
                <w:szCs w:val="18"/>
              </w:rPr>
            </w:pPr>
          </w:p>
        </w:tc>
      </w:tr>
      <w:tr w:rsidR="002613E8" w:rsidRPr="00EE38F4" w14:paraId="6C00A50D" w14:textId="77777777" w:rsidTr="00ED38F9">
        <w:trPr>
          <w:trHeight w:val="84"/>
        </w:trPr>
        <w:tc>
          <w:tcPr>
            <w:tcW w:w="5896" w:type="dxa"/>
          </w:tcPr>
          <w:p w14:paraId="06C04AFB" w14:textId="77777777" w:rsidR="002613E8" w:rsidRPr="00D74444" w:rsidRDefault="002613E8" w:rsidP="00ED38F9">
            <w:pPr>
              <w:pStyle w:val="Default"/>
              <w:spacing w:before="120" w:after="120" w:line="276" w:lineRule="auto"/>
              <w:rPr>
                <w:rFonts w:ascii="Arial" w:hAnsi="Arial" w:cs="Arial"/>
                <w:b/>
                <w:bCs/>
                <w:color w:val="auto"/>
                <w:sz w:val="18"/>
                <w:szCs w:val="18"/>
              </w:rPr>
            </w:pPr>
            <w:r w:rsidRPr="00EE38F4">
              <w:rPr>
                <w:rFonts w:ascii="Arial" w:hAnsi="Arial" w:cs="Arial"/>
                <w:b/>
                <w:bCs/>
                <w:color w:val="auto"/>
                <w:sz w:val="18"/>
                <w:szCs w:val="18"/>
              </w:rPr>
              <w:t xml:space="preserve">Applicant’s Firm name: </w:t>
            </w:r>
          </w:p>
        </w:tc>
        <w:tc>
          <w:tcPr>
            <w:tcW w:w="4945" w:type="dxa"/>
            <w:gridSpan w:val="3"/>
          </w:tcPr>
          <w:p w14:paraId="1A0925ED" w14:textId="77777777" w:rsidR="002613E8" w:rsidRPr="00EE38F4" w:rsidRDefault="002613E8" w:rsidP="00ED38F9">
            <w:pPr>
              <w:pStyle w:val="Default"/>
              <w:rPr>
                <w:rFonts w:ascii="Arial" w:hAnsi="Arial" w:cs="Arial"/>
                <w:b/>
                <w:bCs/>
                <w:color w:val="auto"/>
                <w:sz w:val="18"/>
                <w:szCs w:val="18"/>
              </w:rPr>
            </w:pPr>
          </w:p>
        </w:tc>
      </w:tr>
      <w:tr w:rsidR="002613E8" w:rsidRPr="00EE38F4" w14:paraId="300C84E3" w14:textId="77777777" w:rsidTr="00ED38F9">
        <w:trPr>
          <w:trHeight w:val="84"/>
        </w:trPr>
        <w:tc>
          <w:tcPr>
            <w:tcW w:w="5896" w:type="dxa"/>
          </w:tcPr>
          <w:p w14:paraId="6FC8C726" w14:textId="77777777" w:rsidR="002613E8" w:rsidRPr="00D74444" w:rsidRDefault="002613E8" w:rsidP="00ED38F9">
            <w:pPr>
              <w:pStyle w:val="Default"/>
              <w:spacing w:before="120" w:after="120" w:line="276" w:lineRule="auto"/>
              <w:rPr>
                <w:rFonts w:ascii="Arial" w:hAnsi="Arial" w:cs="Arial"/>
                <w:b/>
                <w:bCs/>
                <w:color w:val="auto"/>
                <w:sz w:val="18"/>
                <w:szCs w:val="18"/>
              </w:rPr>
            </w:pPr>
            <w:r w:rsidRPr="00EE38F4">
              <w:rPr>
                <w:rFonts w:ascii="Arial" w:hAnsi="Arial" w:cs="Arial"/>
                <w:b/>
                <w:bCs/>
                <w:color w:val="auto"/>
                <w:sz w:val="18"/>
                <w:szCs w:val="18"/>
              </w:rPr>
              <w:t xml:space="preserve">Practitioner with conduct: </w:t>
            </w:r>
          </w:p>
        </w:tc>
        <w:tc>
          <w:tcPr>
            <w:tcW w:w="4945" w:type="dxa"/>
            <w:gridSpan w:val="3"/>
          </w:tcPr>
          <w:p w14:paraId="048CFE82" w14:textId="77777777" w:rsidR="002613E8" w:rsidRPr="00EE38F4" w:rsidRDefault="002613E8" w:rsidP="00ED38F9">
            <w:pPr>
              <w:pStyle w:val="Default"/>
              <w:rPr>
                <w:rFonts w:ascii="Arial" w:hAnsi="Arial" w:cs="Arial"/>
                <w:b/>
                <w:bCs/>
                <w:color w:val="auto"/>
                <w:sz w:val="18"/>
                <w:szCs w:val="18"/>
              </w:rPr>
            </w:pPr>
          </w:p>
        </w:tc>
      </w:tr>
      <w:tr w:rsidR="002613E8" w:rsidRPr="00EE38F4" w14:paraId="6A57CEFC" w14:textId="77777777" w:rsidTr="00ED38F9">
        <w:trPr>
          <w:trHeight w:val="84"/>
        </w:trPr>
        <w:tc>
          <w:tcPr>
            <w:tcW w:w="5896" w:type="dxa"/>
          </w:tcPr>
          <w:p w14:paraId="6B52D320" w14:textId="77777777" w:rsidR="002613E8" w:rsidRPr="00EE38F4" w:rsidRDefault="002613E8" w:rsidP="00ED38F9">
            <w:pPr>
              <w:pStyle w:val="Default"/>
              <w:spacing w:before="120" w:after="120" w:line="276" w:lineRule="auto"/>
              <w:rPr>
                <w:rFonts w:ascii="Arial" w:hAnsi="Arial" w:cs="Arial"/>
                <w:b/>
                <w:bCs/>
                <w:color w:val="auto"/>
                <w:sz w:val="18"/>
                <w:szCs w:val="18"/>
              </w:rPr>
            </w:pPr>
            <w:r w:rsidRPr="00EE38F4">
              <w:rPr>
                <w:rFonts w:ascii="Arial" w:hAnsi="Arial" w:cs="Arial"/>
                <w:b/>
                <w:bCs/>
                <w:color w:val="auto"/>
                <w:sz w:val="18"/>
                <w:szCs w:val="18"/>
              </w:rPr>
              <w:t xml:space="preserve">Costs Lawyer or Consultant </w:t>
            </w:r>
            <w:r w:rsidR="0060771E">
              <w:rPr>
                <w:rFonts w:ascii="Arial" w:hAnsi="Arial" w:cs="Arial"/>
                <w:b/>
                <w:bCs/>
                <w:color w:val="auto"/>
                <w:sz w:val="18"/>
                <w:szCs w:val="18"/>
              </w:rPr>
              <w:t xml:space="preserve">engaged on behalf of the applicant </w:t>
            </w:r>
          </w:p>
        </w:tc>
        <w:tc>
          <w:tcPr>
            <w:tcW w:w="4945" w:type="dxa"/>
            <w:gridSpan w:val="3"/>
          </w:tcPr>
          <w:p w14:paraId="637A6A95" w14:textId="77777777" w:rsidR="002613E8" w:rsidRPr="00EE38F4" w:rsidRDefault="002613E8" w:rsidP="00ED38F9">
            <w:pPr>
              <w:pStyle w:val="Default"/>
              <w:rPr>
                <w:rFonts w:ascii="Arial" w:hAnsi="Arial" w:cs="Arial"/>
                <w:b/>
                <w:bCs/>
                <w:color w:val="auto"/>
                <w:sz w:val="18"/>
                <w:szCs w:val="18"/>
              </w:rPr>
            </w:pPr>
          </w:p>
        </w:tc>
      </w:tr>
      <w:tr w:rsidR="002613E8" w:rsidRPr="00EE38F4" w14:paraId="6A2F1F63" w14:textId="77777777" w:rsidTr="00ED38F9">
        <w:trPr>
          <w:trHeight w:val="84"/>
        </w:trPr>
        <w:tc>
          <w:tcPr>
            <w:tcW w:w="5896" w:type="dxa"/>
          </w:tcPr>
          <w:p w14:paraId="45AC993A" w14:textId="77777777" w:rsidR="002613E8" w:rsidRPr="00D74444" w:rsidRDefault="002613E8" w:rsidP="00ED38F9">
            <w:pPr>
              <w:pStyle w:val="Default"/>
              <w:spacing w:before="120" w:after="120" w:line="276" w:lineRule="auto"/>
              <w:rPr>
                <w:rFonts w:ascii="Arial" w:hAnsi="Arial" w:cs="Arial"/>
                <w:b/>
                <w:bCs/>
                <w:color w:val="auto"/>
                <w:sz w:val="18"/>
                <w:szCs w:val="18"/>
              </w:rPr>
            </w:pPr>
            <w:r w:rsidRPr="00EE38F4">
              <w:rPr>
                <w:rFonts w:ascii="Arial" w:hAnsi="Arial" w:cs="Arial"/>
                <w:b/>
                <w:bCs/>
                <w:color w:val="auto"/>
                <w:sz w:val="18"/>
                <w:szCs w:val="18"/>
              </w:rPr>
              <w:t xml:space="preserve">Direct telephone number: </w:t>
            </w:r>
          </w:p>
        </w:tc>
        <w:tc>
          <w:tcPr>
            <w:tcW w:w="4945" w:type="dxa"/>
            <w:gridSpan w:val="3"/>
          </w:tcPr>
          <w:p w14:paraId="097F0D55" w14:textId="77777777" w:rsidR="002613E8" w:rsidRPr="00EE38F4" w:rsidRDefault="002613E8" w:rsidP="00ED38F9">
            <w:pPr>
              <w:pStyle w:val="Default"/>
              <w:rPr>
                <w:rFonts w:ascii="Arial" w:hAnsi="Arial" w:cs="Arial"/>
                <w:b/>
                <w:bCs/>
                <w:color w:val="auto"/>
                <w:sz w:val="18"/>
                <w:szCs w:val="18"/>
              </w:rPr>
            </w:pPr>
          </w:p>
        </w:tc>
      </w:tr>
      <w:tr w:rsidR="002613E8" w:rsidRPr="00EE38F4" w14:paraId="64C37768" w14:textId="77777777" w:rsidTr="00ED38F9">
        <w:trPr>
          <w:trHeight w:val="84"/>
        </w:trPr>
        <w:tc>
          <w:tcPr>
            <w:tcW w:w="5896" w:type="dxa"/>
          </w:tcPr>
          <w:p w14:paraId="2CD40AEF" w14:textId="77777777" w:rsidR="002613E8" w:rsidRPr="00D74444" w:rsidRDefault="002613E8" w:rsidP="00ED38F9">
            <w:pPr>
              <w:pStyle w:val="Default"/>
              <w:spacing w:before="120" w:after="120" w:line="276" w:lineRule="auto"/>
              <w:rPr>
                <w:rFonts w:ascii="Arial" w:hAnsi="Arial" w:cs="Arial"/>
                <w:b/>
                <w:bCs/>
                <w:color w:val="auto"/>
                <w:sz w:val="18"/>
                <w:szCs w:val="18"/>
              </w:rPr>
            </w:pPr>
            <w:r w:rsidRPr="00EE38F4">
              <w:rPr>
                <w:rFonts w:ascii="Arial" w:hAnsi="Arial" w:cs="Arial"/>
                <w:b/>
                <w:bCs/>
                <w:color w:val="auto"/>
                <w:sz w:val="18"/>
                <w:szCs w:val="18"/>
              </w:rPr>
              <w:t xml:space="preserve">Email address: </w:t>
            </w:r>
          </w:p>
        </w:tc>
        <w:tc>
          <w:tcPr>
            <w:tcW w:w="4945" w:type="dxa"/>
            <w:gridSpan w:val="3"/>
          </w:tcPr>
          <w:p w14:paraId="5DB430DD" w14:textId="77777777" w:rsidR="002613E8" w:rsidRPr="00EE38F4" w:rsidRDefault="002613E8" w:rsidP="00ED38F9">
            <w:pPr>
              <w:pStyle w:val="Default"/>
              <w:rPr>
                <w:rFonts w:ascii="Arial" w:hAnsi="Arial" w:cs="Arial"/>
                <w:b/>
                <w:bCs/>
                <w:color w:val="auto"/>
                <w:sz w:val="18"/>
                <w:szCs w:val="18"/>
              </w:rPr>
            </w:pPr>
          </w:p>
        </w:tc>
      </w:tr>
      <w:tr w:rsidR="002613E8" w:rsidRPr="00EE38F4" w14:paraId="5EECD019" w14:textId="77777777" w:rsidTr="00ED38F9">
        <w:trPr>
          <w:trHeight w:val="84"/>
        </w:trPr>
        <w:tc>
          <w:tcPr>
            <w:tcW w:w="5896" w:type="dxa"/>
          </w:tcPr>
          <w:p w14:paraId="39C8CAEA" w14:textId="77777777" w:rsidR="002613E8" w:rsidRPr="003002C5" w:rsidRDefault="002613E8" w:rsidP="00ED38F9">
            <w:pPr>
              <w:pStyle w:val="Default"/>
              <w:spacing w:before="120" w:after="60" w:line="276" w:lineRule="auto"/>
              <w:rPr>
                <w:rFonts w:ascii="Arial" w:hAnsi="Arial" w:cs="Arial"/>
                <w:b/>
                <w:bCs/>
                <w:color w:val="auto"/>
                <w:sz w:val="18"/>
                <w:szCs w:val="18"/>
              </w:rPr>
            </w:pPr>
            <w:r w:rsidRPr="002F1CEE">
              <w:rPr>
                <w:rFonts w:ascii="Arial" w:hAnsi="Arial" w:cs="Arial"/>
                <w:b/>
                <w:bCs/>
                <w:color w:val="auto"/>
                <w:sz w:val="18"/>
                <w:szCs w:val="18"/>
              </w:rPr>
              <w:t xml:space="preserve">Unavailable mediation/hearing date/s (if any): </w:t>
            </w:r>
          </w:p>
          <w:p w14:paraId="671D4FB1" w14:textId="77777777" w:rsidR="002613E8" w:rsidRPr="00EE38F4" w:rsidRDefault="002613E8" w:rsidP="00ED38F9">
            <w:pPr>
              <w:pStyle w:val="Default"/>
              <w:spacing w:before="60" w:after="120" w:line="276" w:lineRule="auto"/>
              <w:rPr>
                <w:rFonts w:ascii="Arial" w:hAnsi="Arial" w:cs="Arial"/>
                <w:color w:val="auto"/>
                <w:sz w:val="18"/>
                <w:szCs w:val="18"/>
              </w:rPr>
            </w:pPr>
            <w:r w:rsidRPr="00EE38F4">
              <w:rPr>
                <w:rFonts w:ascii="Arial" w:hAnsi="Arial" w:cs="Arial"/>
                <w:color w:val="auto"/>
                <w:sz w:val="18"/>
                <w:szCs w:val="18"/>
              </w:rPr>
              <w:t xml:space="preserve">List any dates within two months of the filing date that the filing party is </w:t>
            </w:r>
            <w:r w:rsidRPr="00EE38F4">
              <w:rPr>
                <w:rFonts w:ascii="Arial" w:hAnsi="Arial" w:cs="Arial"/>
                <w:b/>
                <w:color w:val="auto"/>
                <w:sz w:val="18"/>
                <w:szCs w:val="18"/>
                <w:u w:val="single"/>
              </w:rPr>
              <w:t xml:space="preserve">not </w:t>
            </w:r>
            <w:r w:rsidRPr="00EE38F4">
              <w:rPr>
                <w:rFonts w:ascii="Arial" w:hAnsi="Arial" w:cs="Arial"/>
                <w:color w:val="auto"/>
                <w:sz w:val="18"/>
                <w:szCs w:val="18"/>
              </w:rPr>
              <w:t xml:space="preserve">available </w:t>
            </w:r>
          </w:p>
        </w:tc>
        <w:tc>
          <w:tcPr>
            <w:tcW w:w="4945" w:type="dxa"/>
            <w:gridSpan w:val="3"/>
          </w:tcPr>
          <w:p w14:paraId="6A872D96" w14:textId="77777777" w:rsidR="002613E8" w:rsidRPr="00EE38F4" w:rsidRDefault="002613E8" w:rsidP="00ED38F9">
            <w:pPr>
              <w:pStyle w:val="Default"/>
              <w:rPr>
                <w:rFonts w:ascii="Arial" w:hAnsi="Arial" w:cs="Arial"/>
                <w:b/>
                <w:bCs/>
                <w:color w:val="auto"/>
                <w:sz w:val="18"/>
                <w:szCs w:val="18"/>
              </w:rPr>
            </w:pPr>
          </w:p>
        </w:tc>
      </w:tr>
      <w:tr w:rsidR="002613E8" w:rsidRPr="00EE38F4" w14:paraId="6B976457" w14:textId="77777777" w:rsidTr="00ED38F9">
        <w:trPr>
          <w:trHeight w:val="619"/>
        </w:trPr>
        <w:tc>
          <w:tcPr>
            <w:tcW w:w="5896" w:type="dxa"/>
          </w:tcPr>
          <w:p w14:paraId="3DF82B8B" w14:textId="77777777" w:rsidR="002613E8" w:rsidRPr="00D74444" w:rsidRDefault="002613E8" w:rsidP="00ED38F9">
            <w:pPr>
              <w:pStyle w:val="Default"/>
              <w:spacing w:before="120" w:after="120" w:line="276" w:lineRule="auto"/>
              <w:rPr>
                <w:rFonts w:ascii="Arial" w:hAnsi="Arial" w:cs="Arial"/>
                <w:b/>
                <w:bCs/>
                <w:color w:val="auto"/>
                <w:sz w:val="18"/>
                <w:szCs w:val="18"/>
              </w:rPr>
            </w:pPr>
            <w:r w:rsidRPr="00EE38F4">
              <w:rPr>
                <w:rFonts w:ascii="Arial" w:hAnsi="Arial" w:cs="Arial"/>
                <w:b/>
                <w:bCs/>
                <w:color w:val="auto"/>
                <w:sz w:val="18"/>
                <w:szCs w:val="18"/>
              </w:rPr>
              <w:t xml:space="preserve">Date and signature </w:t>
            </w:r>
          </w:p>
        </w:tc>
        <w:tc>
          <w:tcPr>
            <w:tcW w:w="4945" w:type="dxa"/>
            <w:gridSpan w:val="3"/>
          </w:tcPr>
          <w:p w14:paraId="74AB52E0" w14:textId="77777777" w:rsidR="002613E8" w:rsidRPr="00EE38F4" w:rsidRDefault="002613E8" w:rsidP="00ED38F9">
            <w:pPr>
              <w:pStyle w:val="Default"/>
              <w:rPr>
                <w:rFonts w:ascii="Arial" w:hAnsi="Arial" w:cs="Arial"/>
                <w:b/>
                <w:bCs/>
                <w:color w:val="auto"/>
                <w:sz w:val="18"/>
                <w:szCs w:val="18"/>
              </w:rPr>
            </w:pPr>
          </w:p>
        </w:tc>
      </w:tr>
    </w:tbl>
    <w:p w14:paraId="29F15F4F" w14:textId="77777777" w:rsidR="003639B5" w:rsidRPr="007917BE" w:rsidRDefault="003639B5">
      <w:pPr>
        <w:spacing w:before="120" w:after="120"/>
        <w:ind w:left="720" w:hanging="720"/>
        <w:jc w:val="right"/>
        <w:rPr>
          <w:rFonts w:ascii="Book Antiqua" w:hAnsi="Book Antiqua"/>
        </w:rPr>
      </w:pPr>
    </w:p>
    <w:sectPr w:rsidR="003639B5" w:rsidRPr="007917BE" w:rsidSect="003817CD">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83B92" w14:textId="77777777" w:rsidR="004A25B1" w:rsidRDefault="004A25B1">
      <w:r>
        <w:separator/>
      </w:r>
    </w:p>
  </w:endnote>
  <w:endnote w:type="continuationSeparator" w:id="0">
    <w:p w14:paraId="5BDF8C62" w14:textId="77777777" w:rsidR="004A25B1" w:rsidRDefault="004A25B1">
      <w:r>
        <w:continuationSeparator/>
      </w:r>
    </w:p>
  </w:endnote>
  <w:endnote w:type="continuationNotice" w:id="1">
    <w:p w14:paraId="2F3DC4B8" w14:textId="77777777" w:rsidR="004A25B1" w:rsidRDefault="004A2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ECE10" w14:textId="126F57BE" w:rsidR="00ED38F9" w:rsidRDefault="00ED38F9">
    <w:pPr>
      <w:pStyle w:val="Footer"/>
      <w:jc w:val="right"/>
    </w:pPr>
    <w:r>
      <w:fldChar w:fldCharType="begin"/>
    </w:r>
    <w:r>
      <w:instrText xml:space="preserve"> PAGE   \* MERGEFORMAT </w:instrText>
    </w:r>
    <w:r>
      <w:fldChar w:fldCharType="separate"/>
    </w:r>
    <w:r w:rsidR="00663B56">
      <w:rPr>
        <w:noProof/>
      </w:rPr>
      <w:t>4</w:t>
    </w:r>
    <w:r>
      <w:rPr>
        <w:noProof/>
      </w:rPr>
      <w:fldChar w:fldCharType="end"/>
    </w:r>
  </w:p>
  <w:p w14:paraId="7AA3F607" w14:textId="77777777" w:rsidR="00ED38F9" w:rsidRDefault="00ED3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DA774" w14:textId="77777777" w:rsidR="004A25B1" w:rsidRDefault="004A25B1">
      <w:r>
        <w:separator/>
      </w:r>
    </w:p>
  </w:footnote>
  <w:footnote w:type="continuationSeparator" w:id="0">
    <w:p w14:paraId="564BCC4E" w14:textId="77777777" w:rsidR="004A25B1" w:rsidRDefault="004A25B1">
      <w:r>
        <w:continuationSeparator/>
      </w:r>
    </w:p>
  </w:footnote>
  <w:footnote w:type="continuationNotice" w:id="1">
    <w:p w14:paraId="01540CA3" w14:textId="77777777" w:rsidR="004A25B1" w:rsidRDefault="004A25B1"/>
  </w:footnote>
  <w:footnote w:id="2">
    <w:p w14:paraId="2924EA5F" w14:textId="77777777" w:rsidR="00514FFD" w:rsidRDefault="00514FFD" w:rsidP="00514FFD">
      <w:pPr>
        <w:pStyle w:val="FootnoteText"/>
      </w:pPr>
      <w:r>
        <w:rPr>
          <w:rStyle w:val="FootnoteReference"/>
        </w:rPr>
        <w:footnoteRef/>
      </w:r>
      <w:r>
        <w:t xml:space="preserve"> </w:t>
      </w:r>
      <w:r>
        <w:rPr>
          <w:rStyle w:val="FootnoteReference"/>
        </w:rPr>
        <w:footnoteRef/>
      </w:r>
      <w:r>
        <w:t xml:space="preserve"> This form is to be used in all reviews of costs that are Party Party taxations of costs as referred to in Paragraph 7 of Practice Note </w:t>
      </w:r>
      <w:r w:rsidR="00C51330">
        <w:t>SC Gen</w:t>
      </w:r>
      <w:r>
        <w:t xml:space="preserve"> 11  </w:t>
      </w:r>
    </w:p>
    <w:p w14:paraId="08400732" w14:textId="77777777" w:rsidR="00514FFD" w:rsidRDefault="00514FFD">
      <w:pPr>
        <w:pStyle w:val="FootnoteText"/>
      </w:pPr>
    </w:p>
  </w:footnote>
  <w:footnote w:id="3">
    <w:p w14:paraId="1B60C3FC" w14:textId="77777777" w:rsidR="006661AC" w:rsidRDefault="006661AC">
      <w:pPr>
        <w:pStyle w:val="FootnoteText"/>
      </w:pPr>
      <w:r>
        <w:rPr>
          <w:rStyle w:val="FootnoteReference"/>
        </w:rPr>
        <w:footnoteRef/>
      </w:r>
      <w:r>
        <w:t xml:space="preserve"> This form is to be used in all reviews of costs that are not Party Party taxations of costs as referred to in Paragraph 8 of Practice Note </w:t>
      </w:r>
      <w:r w:rsidR="00C51330">
        <w:t>SC Gen</w:t>
      </w:r>
      <w:r>
        <w:t xml:space="preserve"> 11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C855E" w14:textId="77777777" w:rsidR="00ED38F9" w:rsidRDefault="00ED3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0075F1"/>
    <w:multiLevelType w:val="hybridMultilevel"/>
    <w:tmpl w:val="119240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3BCA6C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72A8C"/>
    <w:multiLevelType w:val="multilevel"/>
    <w:tmpl w:val="C64A9E2A"/>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6313F46"/>
    <w:multiLevelType w:val="hybridMultilevel"/>
    <w:tmpl w:val="F1DE61D2"/>
    <w:lvl w:ilvl="0" w:tplc="0C09000F">
      <w:start w:val="1"/>
      <w:numFmt w:val="decimal"/>
      <w:lvlText w:val="%1."/>
      <w:lvlJc w:val="left"/>
      <w:pPr>
        <w:tabs>
          <w:tab w:val="num" w:pos="360"/>
        </w:tabs>
        <w:ind w:left="360" w:hanging="360"/>
      </w:pPr>
    </w:lvl>
    <w:lvl w:ilvl="1" w:tplc="5710611E">
      <w:start w:val="1"/>
      <w:numFmt w:val="lowerRoman"/>
      <w:lvlText w:val="%2."/>
      <w:lvlJc w:val="right"/>
      <w:pPr>
        <w:tabs>
          <w:tab w:val="num" w:pos="720"/>
        </w:tabs>
        <w:ind w:left="720" w:hanging="18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06D67535"/>
    <w:multiLevelType w:val="hybridMultilevel"/>
    <w:tmpl w:val="629A2C0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835799E"/>
    <w:multiLevelType w:val="hybridMultilevel"/>
    <w:tmpl w:val="CE46FD4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E574432"/>
    <w:multiLevelType w:val="hybridMultilevel"/>
    <w:tmpl w:val="F744B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AC67A9"/>
    <w:multiLevelType w:val="multilevel"/>
    <w:tmpl w:val="5C02168E"/>
    <w:lvl w:ilvl="0">
      <w:start w:val="1"/>
      <w:numFmt w:val="decimal"/>
      <w:lvlText w:val="%1."/>
      <w:lvlJc w:val="left"/>
      <w:pPr>
        <w:ind w:left="720" w:hanging="72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DBA23FD"/>
    <w:multiLevelType w:val="hybridMultilevel"/>
    <w:tmpl w:val="5FA21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2F6039"/>
    <w:multiLevelType w:val="hybridMultilevel"/>
    <w:tmpl w:val="50F439F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256E210B"/>
    <w:multiLevelType w:val="hybridMultilevel"/>
    <w:tmpl w:val="A89CE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AFA00FA"/>
    <w:multiLevelType w:val="hybridMultilevel"/>
    <w:tmpl w:val="7D8CF6D2"/>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BDF542E"/>
    <w:multiLevelType w:val="hybridMultilevel"/>
    <w:tmpl w:val="766469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812791"/>
    <w:multiLevelType w:val="hybridMultilevel"/>
    <w:tmpl w:val="3948FEEA"/>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DD97CCC"/>
    <w:multiLevelType w:val="hybridMultilevel"/>
    <w:tmpl w:val="D8166156"/>
    <w:lvl w:ilvl="0" w:tplc="0C090017">
      <w:start w:val="1"/>
      <w:numFmt w:val="lowerLetter"/>
      <w:lvlText w:val="%1)"/>
      <w:lvlJc w:val="left"/>
      <w:pPr>
        <w:ind w:left="1507" w:hanging="360"/>
      </w:pPr>
    </w:lvl>
    <w:lvl w:ilvl="1" w:tplc="0C090019" w:tentative="1">
      <w:start w:val="1"/>
      <w:numFmt w:val="lowerLetter"/>
      <w:lvlText w:val="%2."/>
      <w:lvlJc w:val="left"/>
      <w:pPr>
        <w:ind w:left="2227" w:hanging="360"/>
      </w:pPr>
    </w:lvl>
    <w:lvl w:ilvl="2" w:tplc="0C09001B" w:tentative="1">
      <w:start w:val="1"/>
      <w:numFmt w:val="lowerRoman"/>
      <w:lvlText w:val="%3."/>
      <w:lvlJc w:val="right"/>
      <w:pPr>
        <w:ind w:left="2947" w:hanging="180"/>
      </w:pPr>
    </w:lvl>
    <w:lvl w:ilvl="3" w:tplc="0C09000F" w:tentative="1">
      <w:start w:val="1"/>
      <w:numFmt w:val="decimal"/>
      <w:lvlText w:val="%4."/>
      <w:lvlJc w:val="left"/>
      <w:pPr>
        <w:ind w:left="3667" w:hanging="360"/>
      </w:pPr>
    </w:lvl>
    <w:lvl w:ilvl="4" w:tplc="0C090019" w:tentative="1">
      <w:start w:val="1"/>
      <w:numFmt w:val="lowerLetter"/>
      <w:lvlText w:val="%5."/>
      <w:lvlJc w:val="left"/>
      <w:pPr>
        <w:ind w:left="4387" w:hanging="360"/>
      </w:pPr>
    </w:lvl>
    <w:lvl w:ilvl="5" w:tplc="0C09001B" w:tentative="1">
      <w:start w:val="1"/>
      <w:numFmt w:val="lowerRoman"/>
      <w:lvlText w:val="%6."/>
      <w:lvlJc w:val="right"/>
      <w:pPr>
        <w:ind w:left="5107" w:hanging="180"/>
      </w:pPr>
    </w:lvl>
    <w:lvl w:ilvl="6" w:tplc="0C09000F" w:tentative="1">
      <w:start w:val="1"/>
      <w:numFmt w:val="decimal"/>
      <w:lvlText w:val="%7."/>
      <w:lvlJc w:val="left"/>
      <w:pPr>
        <w:ind w:left="5827" w:hanging="360"/>
      </w:pPr>
    </w:lvl>
    <w:lvl w:ilvl="7" w:tplc="0C090019" w:tentative="1">
      <w:start w:val="1"/>
      <w:numFmt w:val="lowerLetter"/>
      <w:lvlText w:val="%8."/>
      <w:lvlJc w:val="left"/>
      <w:pPr>
        <w:ind w:left="6547" w:hanging="360"/>
      </w:pPr>
    </w:lvl>
    <w:lvl w:ilvl="8" w:tplc="0C09001B" w:tentative="1">
      <w:start w:val="1"/>
      <w:numFmt w:val="lowerRoman"/>
      <w:lvlText w:val="%9."/>
      <w:lvlJc w:val="right"/>
      <w:pPr>
        <w:ind w:left="7267" w:hanging="180"/>
      </w:pPr>
    </w:lvl>
  </w:abstractNum>
  <w:abstractNum w:abstractNumId="15" w15:restartNumberingAfterBreak="0">
    <w:nsid w:val="3F4E5529"/>
    <w:multiLevelType w:val="hybridMultilevel"/>
    <w:tmpl w:val="830CCCA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F5E422B"/>
    <w:multiLevelType w:val="multilevel"/>
    <w:tmpl w:val="753855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0945CC"/>
    <w:multiLevelType w:val="hybridMultilevel"/>
    <w:tmpl w:val="C95A167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5359ECCC"/>
    <w:multiLevelType w:val="hybridMultilevel"/>
    <w:tmpl w:val="C7535ED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63038E7"/>
    <w:multiLevelType w:val="hybridMultilevel"/>
    <w:tmpl w:val="4C2241B2"/>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F660FD9"/>
    <w:multiLevelType w:val="hybridMultilevel"/>
    <w:tmpl w:val="4C96A19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35874F1"/>
    <w:multiLevelType w:val="hybridMultilevel"/>
    <w:tmpl w:val="47FE3D8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664770E4"/>
    <w:multiLevelType w:val="multilevel"/>
    <w:tmpl w:val="512E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CF36E8"/>
    <w:multiLevelType w:val="multilevel"/>
    <w:tmpl w:val="1DB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7D3488"/>
    <w:multiLevelType w:val="multilevel"/>
    <w:tmpl w:val="0148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B21FB7"/>
    <w:multiLevelType w:val="hybridMultilevel"/>
    <w:tmpl w:val="DA92C3A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21F6A44"/>
    <w:multiLevelType w:val="multilevel"/>
    <w:tmpl w:val="1F488E60"/>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7F484A6E"/>
    <w:multiLevelType w:val="hybridMultilevel"/>
    <w:tmpl w:val="1EE8314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11"/>
  </w:num>
  <w:num w:numId="3">
    <w:abstractNumId w:val="20"/>
  </w:num>
  <w:num w:numId="4">
    <w:abstractNumId w:val="27"/>
  </w:num>
  <w:num w:numId="5">
    <w:abstractNumId w:val="9"/>
  </w:num>
  <w:num w:numId="6">
    <w:abstractNumId w:val="22"/>
  </w:num>
  <w:num w:numId="7">
    <w:abstractNumId w:val="24"/>
  </w:num>
  <w:num w:numId="8">
    <w:abstractNumId w:val="17"/>
  </w:num>
  <w:num w:numId="9">
    <w:abstractNumId w:val="3"/>
  </w:num>
  <w:num w:numId="10">
    <w:abstractNumId w:val="15"/>
  </w:num>
  <w:num w:numId="11">
    <w:abstractNumId w:val="19"/>
  </w:num>
  <w:num w:numId="12">
    <w:abstractNumId w:val="21"/>
  </w:num>
  <w:num w:numId="13">
    <w:abstractNumId w:val="5"/>
  </w:num>
  <w:num w:numId="14">
    <w:abstractNumId w:val="4"/>
  </w:num>
  <w:num w:numId="15">
    <w:abstractNumId w:val="12"/>
  </w:num>
  <w:num w:numId="16">
    <w:abstractNumId w:val="0"/>
  </w:num>
  <w:num w:numId="17">
    <w:abstractNumId w:val="10"/>
  </w:num>
  <w:num w:numId="18">
    <w:abstractNumId w:val="23"/>
  </w:num>
  <w:num w:numId="19">
    <w:abstractNumId w:val="8"/>
  </w:num>
  <w:num w:numId="20">
    <w:abstractNumId w:val="6"/>
  </w:num>
  <w:num w:numId="21">
    <w:abstractNumId w:val="14"/>
  </w:num>
  <w:num w:numId="22">
    <w:abstractNumId w:val="13"/>
  </w:num>
  <w:num w:numId="23">
    <w:abstractNumId w:val="16"/>
  </w:num>
  <w:num w:numId="24">
    <w:abstractNumId w:val="2"/>
  </w:num>
  <w:num w:numId="25">
    <w:abstractNumId w:val="2"/>
  </w:num>
  <w:num w:numId="26">
    <w:abstractNumId w:val="2"/>
  </w:num>
  <w:num w:numId="27">
    <w:abstractNumId w:val="2"/>
  </w:num>
  <w:num w:numId="28">
    <w:abstractNumId w:val="2"/>
  </w:num>
  <w:num w:numId="29">
    <w:abstractNumId w:val="7"/>
  </w:num>
  <w:num w:numId="30">
    <w:abstractNumId w:val="26"/>
  </w:num>
  <w:num w:numId="31">
    <w:abstractNumId w:val="18"/>
  </w:num>
  <w:num w:numId="32">
    <w:abstractNumId w:val="2"/>
  </w:num>
  <w:num w:numId="33">
    <w:abstractNumId w:val="2"/>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36"/>
    <w:rsid w:val="00000850"/>
    <w:rsid w:val="00005AE6"/>
    <w:rsid w:val="00007DBA"/>
    <w:rsid w:val="000118DD"/>
    <w:rsid w:val="0001288E"/>
    <w:rsid w:val="000128D0"/>
    <w:rsid w:val="00013D3B"/>
    <w:rsid w:val="00014B10"/>
    <w:rsid w:val="00032D2B"/>
    <w:rsid w:val="0003306E"/>
    <w:rsid w:val="00034D85"/>
    <w:rsid w:val="00035057"/>
    <w:rsid w:val="00036894"/>
    <w:rsid w:val="000373E9"/>
    <w:rsid w:val="00037D26"/>
    <w:rsid w:val="00043448"/>
    <w:rsid w:val="00055F43"/>
    <w:rsid w:val="000566C3"/>
    <w:rsid w:val="0005724E"/>
    <w:rsid w:val="00064FB2"/>
    <w:rsid w:val="00070CA2"/>
    <w:rsid w:val="00070D66"/>
    <w:rsid w:val="00071A96"/>
    <w:rsid w:val="00073139"/>
    <w:rsid w:val="00073769"/>
    <w:rsid w:val="00077863"/>
    <w:rsid w:val="00081A41"/>
    <w:rsid w:val="00095BA5"/>
    <w:rsid w:val="000A1DE7"/>
    <w:rsid w:val="000A4F62"/>
    <w:rsid w:val="000A553C"/>
    <w:rsid w:val="000A6B76"/>
    <w:rsid w:val="000B2E54"/>
    <w:rsid w:val="000B5F50"/>
    <w:rsid w:val="000C0998"/>
    <w:rsid w:val="000C1777"/>
    <w:rsid w:val="000C2CE1"/>
    <w:rsid w:val="000C5F4B"/>
    <w:rsid w:val="000C75E1"/>
    <w:rsid w:val="000D07F1"/>
    <w:rsid w:val="000D3250"/>
    <w:rsid w:val="000D33F8"/>
    <w:rsid w:val="000D5E28"/>
    <w:rsid w:val="000D7A64"/>
    <w:rsid w:val="000E12FA"/>
    <w:rsid w:val="000E524A"/>
    <w:rsid w:val="000F05DC"/>
    <w:rsid w:val="000F1398"/>
    <w:rsid w:val="000F36EA"/>
    <w:rsid w:val="000F3B18"/>
    <w:rsid w:val="000F6EA7"/>
    <w:rsid w:val="00100006"/>
    <w:rsid w:val="00101EC5"/>
    <w:rsid w:val="001033CC"/>
    <w:rsid w:val="00121C72"/>
    <w:rsid w:val="00125980"/>
    <w:rsid w:val="00125C07"/>
    <w:rsid w:val="00127135"/>
    <w:rsid w:val="00133A51"/>
    <w:rsid w:val="001344BA"/>
    <w:rsid w:val="00140683"/>
    <w:rsid w:val="00143136"/>
    <w:rsid w:val="00143818"/>
    <w:rsid w:val="00144DAA"/>
    <w:rsid w:val="00145C92"/>
    <w:rsid w:val="00145D28"/>
    <w:rsid w:val="0014603C"/>
    <w:rsid w:val="0015063E"/>
    <w:rsid w:val="00155A8E"/>
    <w:rsid w:val="0015650D"/>
    <w:rsid w:val="0016054E"/>
    <w:rsid w:val="00161B6C"/>
    <w:rsid w:val="00161CA2"/>
    <w:rsid w:val="001667FC"/>
    <w:rsid w:val="001716EF"/>
    <w:rsid w:val="0018061B"/>
    <w:rsid w:val="00186E37"/>
    <w:rsid w:val="001913C5"/>
    <w:rsid w:val="00194089"/>
    <w:rsid w:val="00194A80"/>
    <w:rsid w:val="00195776"/>
    <w:rsid w:val="00197CA4"/>
    <w:rsid w:val="001A22B3"/>
    <w:rsid w:val="001A5036"/>
    <w:rsid w:val="001A5B39"/>
    <w:rsid w:val="001A6216"/>
    <w:rsid w:val="001A667F"/>
    <w:rsid w:val="001A7651"/>
    <w:rsid w:val="001B3484"/>
    <w:rsid w:val="001B4283"/>
    <w:rsid w:val="001B609C"/>
    <w:rsid w:val="001B7E2C"/>
    <w:rsid w:val="001C116C"/>
    <w:rsid w:val="001C2F4B"/>
    <w:rsid w:val="001C4A34"/>
    <w:rsid w:val="001C634B"/>
    <w:rsid w:val="001D69C2"/>
    <w:rsid w:val="001D7956"/>
    <w:rsid w:val="001E0318"/>
    <w:rsid w:val="00207367"/>
    <w:rsid w:val="00210EFB"/>
    <w:rsid w:val="00216DCF"/>
    <w:rsid w:val="00217758"/>
    <w:rsid w:val="00217E88"/>
    <w:rsid w:val="002218C5"/>
    <w:rsid w:val="00222544"/>
    <w:rsid w:val="00223A62"/>
    <w:rsid w:val="0022666D"/>
    <w:rsid w:val="0023078F"/>
    <w:rsid w:val="0023426A"/>
    <w:rsid w:val="00234B7B"/>
    <w:rsid w:val="00241A4E"/>
    <w:rsid w:val="00245746"/>
    <w:rsid w:val="00247EA1"/>
    <w:rsid w:val="00247F50"/>
    <w:rsid w:val="00255D95"/>
    <w:rsid w:val="002572C2"/>
    <w:rsid w:val="0026005D"/>
    <w:rsid w:val="002613E8"/>
    <w:rsid w:val="00265BF9"/>
    <w:rsid w:val="00266BB2"/>
    <w:rsid w:val="00271B59"/>
    <w:rsid w:val="00275A5A"/>
    <w:rsid w:val="00277B7B"/>
    <w:rsid w:val="002812ED"/>
    <w:rsid w:val="0028130B"/>
    <w:rsid w:val="00285750"/>
    <w:rsid w:val="00297491"/>
    <w:rsid w:val="002A36DF"/>
    <w:rsid w:val="002B465A"/>
    <w:rsid w:val="002C1134"/>
    <w:rsid w:val="002C56E8"/>
    <w:rsid w:val="002D0AB0"/>
    <w:rsid w:val="002D0FD3"/>
    <w:rsid w:val="002D23D8"/>
    <w:rsid w:val="002D6E79"/>
    <w:rsid w:val="002D6F15"/>
    <w:rsid w:val="002E0F6B"/>
    <w:rsid w:val="002E6B43"/>
    <w:rsid w:val="002E7FD2"/>
    <w:rsid w:val="002F1CEE"/>
    <w:rsid w:val="002F4D7F"/>
    <w:rsid w:val="00300F4B"/>
    <w:rsid w:val="00302981"/>
    <w:rsid w:val="0030352D"/>
    <w:rsid w:val="00303C13"/>
    <w:rsid w:val="00305761"/>
    <w:rsid w:val="00307B60"/>
    <w:rsid w:val="00310655"/>
    <w:rsid w:val="00310A32"/>
    <w:rsid w:val="00311051"/>
    <w:rsid w:val="0031222C"/>
    <w:rsid w:val="003166D1"/>
    <w:rsid w:val="00321C75"/>
    <w:rsid w:val="0032286C"/>
    <w:rsid w:val="00334DD3"/>
    <w:rsid w:val="00340257"/>
    <w:rsid w:val="00341F51"/>
    <w:rsid w:val="0034260E"/>
    <w:rsid w:val="00350055"/>
    <w:rsid w:val="003500B9"/>
    <w:rsid w:val="003508E0"/>
    <w:rsid w:val="00353E4C"/>
    <w:rsid w:val="00356593"/>
    <w:rsid w:val="00356969"/>
    <w:rsid w:val="00357A0D"/>
    <w:rsid w:val="003639B5"/>
    <w:rsid w:val="00365D0E"/>
    <w:rsid w:val="00367AD0"/>
    <w:rsid w:val="00375E27"/>
    <w:rsid w:val="00377999"/>
    <w:rsid w:val="00377B34"/>
    <w:rsid w:val="003817CD"/>
    <w:rsid w:val="00381991"/>
    <w:rsid w:val="00381FDA"/>
    <w:rsid w:val="00386C9F"/>
    <w:rsid w:val="00387D2D"/>
    <w:rsid w:val="00387DB3"/>
    <w:rsid w:val="00391CA0"/>
    <w:rsid w:val="003945D8"/>
    <w:rsid w:val="00396EF2"/>
    <w:rsid w:val="00397AAE"/>
    <w:rsid w:val="003A7A5A"/>
    <w:rsid w:val="003A7E6C"/>
    <w:rsid w:val="003B7248"/>
    <w:rsid w:val="003C07C2"/>
    <w:rsid w:val="003C343E"/>
    <w:rsid w:val="003C5C64"/>
    <w:rsid w:val="003C62F1"/>
    <w:rsid w:val="003D0A67"/>
    <w:rsid w:val="003D672F"/>
    <w:rsid w:val="003E4C44"/>
    <w:rsid w:val="003E6152"/>
    <w:rsid w:val="003E66CF"/>
    <w:rsid w:val="003F0D9C"/>
    <w:rsid w:val="003F2FDF"/>
    <w:rsid w:val="003F4E0A"/>
    <w:rsid w:val="0040410A"/>
    <w:rsid w:val="00404CB0"/>
    <w:rsid w:val="00414B77"/>
    <w:rsid w:val="0042138B"/>
    <w:rsid w:val="004213D7"/>
    <w:rsid w:val="0043429A"/>
    <w:rsid w:val="00434BEE"/>
    <w:rsid w:val="004361F0"/>
    <w:rsid w:val="00441431"/>
    <w:rsid w:val="00454495"/>
    <w:rsid w:val="00454E93"/>
    <w:rsid w:val="00455D46"/>
    <w:rsid w:val="00461361"/>
    <w:rsid w:val="00471414"/>
    <w:rsid w:val="00474F94"/>
    <w:rsid w:val="00482EBE"/>
    <w:rsid w:val="00483F1E"/>
    <w:rsid w:val="004912F2"/>
    <w:rsid w:val="00492363"/>
    <w:rsid w:val="00494220"/>
    <w:rsid w:val="004946BD"/>
    <w:rsid w:val="0049669C"/>
    <w:rsid w:val="00496F08"/>
    <w:rsid w:val="004A25B1"/>
    <w:rsid w:val="004B1AC7"/>
    <w:rsid w:val="004B2A72"/>
    <w:rsid w:val="004B4458"/>
    <w:rsid w:val="004B5756"/>
    <w:rsid w:val="004B6E9A"/>
    <w:rsid w:val="004C1FFA"/>
    <w:rsid w:val="004C29B1"/>
    <w:rsid w:val="004D07F1"/>
    <w:rsid w:val="004D1112"/>
    <w:rsid w:val="004D2141"/>
    <w:rsid w:val="004E1038"/>
    <w:rsid w:val="004E1052"/>
    <w:rsid w:val="004E10CA"/>
    <w:rsid w:val="004E284B"/>
    <w:rsid w:val="004F61E8"/>
    <w:rsid w:val="004F6662"/>
    <w:rsid w:val="004F7E81"/>
    <w:rsid w:val="0050429E"/>
    <w:rsid w:val="005050A8"/>
    <w:rsid w:val="00506B52"/>
    <w:rsid w:val="00512025"/>
    <w:rsid w:val="005123B0"/>
    <w:rsid w:val="00514FFD"/>
    <w:rsid w:val="005158D2"/>
    <w:rsid w:val="00516270"/>
    <w:rsid w:val="005173D2"/>
    <w:rsid w:val="00526E42"/>
    <w:rsid w:val="005278A1"/>
    <w:rsid w:val="005313BF"/>
    <w:rsid w:val="00540E14"/>
    <w:rsid w:val="00541EAB"/>
    <w:rsid w:val="00547600"/>
    <w:rsid w:val="00550871"/>
    <w:rsid w:val="005534A5"/>
    <w:rsid w:val="00553534"/>
    <w:rsid w:val="00554A65"/>
    <w:rsid w:val="0055503D"/>
    <w:rsid w:val="00561105"/>
    <w:rsid w:val="0056389E"/>
    <w:rsid w:val="00565B62"/>
    <w:rsid w:val="00571E15"/>
    <w:rsid w:val="005734DA"/>
    <w:rsid w:val="00575849"/>
    <w:rsid w:val="00582015"/>
    <w:rsid w:val="005825BE"/>
    <w:rsid w:val="00582DAF"/>
    <w:rsid w:val="00593530"/>
    <w:rsid w:val="00594C2B"/>
    <w:rsid w:val="005A291A"/>
    <w:rsid w:val="005A386C"/>
    <w:rsid w:val="005A4134"/>
    <w:rsid w:val="005A59BA"/>
    <w:rsid w:val="005A68BF"/>
    <w:rsid w:val="005A6984"/>
    <w:rsid w:val="005B3FF4"/>
    <w:rsid w:val="005B499F"/>
    <w:rsid w:val="005B5CFE"/>
    <w:rsid w:val="005B7E00"/>
    <w:rsid w:val="005C542A"/>
    <w:rsid w:val="005C7F57"/>
    <w:rsid w:val="005D3383"/>
    <w:rsid w:val="005E04B4"/>
    <w:rsid w:val="005E3BB5"/>
    <w:rsid w:val="005E5273"/>
    <w:rsid w:val="005E704A"/>
    <w:rsid w:val="005F02B1"/>
    <w:rsid w:val="005F067C"/>
    <w:rsid w:val="0060771E"/>
    <w:rsid w:val="00607B05"/>
    <w:rsid w:val="006124C3"/>
    <w:rsid w:val="006135A6"/>
    <w:rsid w:val="00613FA8"/>
    <w:rsid w:val="00620D68"/>
    <w:rsid w:val="00624DF2"/>
    <w:rsid w:val="00625C50"/>
    <w:rsid w:val="0062755D"/>
    <w:rsid w:val="00634832"/>
    <w:rsid w:val="00635413"/>
    <w:rsid w:val="00636D64"/>
    <w:rsid w:val="00637EE8"/>
    <w:rsid w:val="0064057F"/>
    <w:rsid w:val="0064143C"/>
    <w:rsid w:val="006513DD"/>
    <w:rsid w:val="00655347"/>
    <w:rsid w:val="006613C4"/>
    <w:rsid w:val="0066386D"/>
    <w:rsid w:val="00663B56"/>
    <w:rsid w:val="006661AC"/>
    <w:rsid w:val="00666E4A"/>
    <w:rsid w:val="00666F54"/>
    <w:rsid w:val="006676CA"/>
    <w:rsid w:val="006710C3"/>
    <w:rsid w:val="006763E3"/>
    <w:rsid w:val="00676B57"/>
    <w:rsid w:val="00676CE9"/>
    <w:rsid w:val="0067716A"/>
    <w:rsid w:val="00680452"/>
    <w:rsid w:val="0068364B"/>
    <w:rsid w:val="00685296"/>
    <w:rsid w:val="00686402"/>
    <w:rsid w:val="0069029C"/>
    <w:rsid w:val="00691BC6"/>
    <w:rsid w:val="006921D0"/>
    <w:rsid w:val="00695864"/>
    <w:rsid w:val="006A29AF"/>
    <w:rsid w:val="006A34BA"/>
    <w:rsid w:val="006A386D"/>
    <w:rsid w:val="006A437F"/>
    <w:rsid w:val="006A4CCD"/>
    <w:rsid w:val="006A5DA3"/>
    <w:rsid w:val="006A74CE"/>
    <w:rsid w:val="006B6D97"/>
    <w:rsid w:val="006C254C"/>
    <w:rsid w:val="006C550C"/>
    <w:rsid w:val="006C55DA"/>
    <w:rsid w:val="006D0F84"/>
    <w:rsid w:val="006E6E2F"/>
    <w:rsid w:val="006F0255"/>
    <w:rsid w:val="006F0430"/>
    <w:rsid w:val="006F3E76"/>
    <w:rsid w:val="006F3FAF"/>
    <w:rsid w:val="006F5F1C"/>
    <w:rsid w:val="006F60CF"/>
    <w:rsid w:val="006F6748"/>
    <w:rsid w:val="00701163"/>
    <w:rsid w:val="00702F63"/>
    <w:rsid w:val="00704897"/>
    <w:rsid w:val="007068FC"/>
    <w:rsid w:val="007107C6"/>
    <w:rsid w:val="007109D8"/>
    <w:rsid w:val="00715F27"/>
    <w:rsid w:val="007166CB"/>
    <w:rsid w:val="0071797E"/>
    <w:rsid w:val="00720BE1"/>
    <w:rsid w:val="00722648"/>
    <w:rsid w:val="00731CA6"/>
    <w:rsid w:val="00737442"/>
    <w:rsid w:val="00741D9B"/>
    <w:rsid w:val="00744921"/>
    <w:rsid w:val="007453B3"/>
    <w:rsid w:val="00746CB2"/>
    <w:rsid w:val="0074724C"/>
    <w:rsid w:val="007513AE"/>
    <w:rsid w:val="0075230A"/>
    <w:rsid w:val="00752628"/>
    <w:rsid w:val="007545AA"/>
    <w:rsid w:val="00755325"/>
    <w:rsid w:val="00756FE4"/>
    <w:rsid w:val="007602AF"/>
    <w:rsid w:val="00767B98"/>
    <w:rsid w:val="00767E01"/>
    <w:rsid w:val="00771C95"/>
    <w:rsid w:val="00780A47"/>
    <w:rsid w:val="00780F23"/>
    <w:rsid w:val="00783F1D"/>
    <w:rsid w:val="00784717"/>
    <w:rsid w:val="007917BE"/>
    <w:rsid w:val="007951CA"/>
    <w:rsid w:val="00796E2E"/>
    <w:rsid w:val="007A0780"/>
    <w:rsid w:val="007A1449"/>
    <w:rsid w:val="007A1D8C"/>
    <w:rsid w:val="007B1869"/>
    <w:rsid w:val="007B3902"/>
    <w:rsid w:val="007C0A8F"/>
    <w:rsid w:val="007C6118"/>
    <w:rsid w:val="007D0506"/>
    <w:rsid w:val="007D1D95"/>
    <w:rsid w:val="007D2315"/>
    <w:rsid w:val="007D42ED"/>
    <w:rsid w:val="007E24CA"/>
    <w:rsid w:val="007E2608"/>
    <w:rsid w:val="007E5564"/>
    <w:rsid w:val="007F1253"/>
    <w:rsid w:val="007F7938"/>
    <w:rsid w:val="007F7C28"/>
    <w:rsid w:val="007F7F97"/>
    <w:rsid w:val="00800C1F"/>
    <w:rsid w:val="00802FC4"/>
    <w:rsid w:val="00804B57"/>
    <w:rsid w:val="00807C5D"/>
    <w:rsid w:val="00810D98"/>
    <w:rsid w:val="008119D2"/>
    <w:rsid w:val="008127B0"/>
    <w:rsid w:val="008150D8"/>
    <w:rsid w:val="00823AB4"/>
    <w:rsid w:val="0082465E"/>
    <w:rsid w:val="0082476F"/>
    <w:rsid w:val="00831D0F"/>
    <w:rsid w:val="00834079"/>
    <w:rsid w:val="00835C7C"/>
    <w:rsid w:val="00836099"/>
    <w:rsid w:val="008429C5"/>
    <w:rsid w:val="008434C3"/>
    <w:rsid w:val="00843503"/>
    <w:rsid w:val="008445D3"/>
    <w:rsid w:val="00845023"/>
    <w:rsid w:val="00850A46"/>
    <w:rsid w:val="008515EE"/>
    <w:rsid w:val="00852A50"/>
    <w:rsid w:val="00854FD4"/>
    <w:rsid w:val="0086055D"/>
    <w:rsid w:val="00872BAD"/>
    <w:rsid w:val="00873C91"/>
    <w:rsid w:val="00880069"/>
    <w:rsid w:val="0088136E"/>
    <w:rsid w:val="008846D6"/>
    <w:rsid w:val="00892D21"/>
    <w:rsid w:val="00892FF7"/>
    <w:rsid w:val="008942F1"/>
    <w:rsid w:val="00897A82"/>
    <w:rsid w:val="008A4768"/>
    <w:rsid w:val="008A636D"/>
    <w:rsid w:val="008B0EC2"/>
    <w:rsid w:val="008B1575"/>
    <w:rsid w:val="008B3490"/>
    <w:rsid w:val="008B47EA"/>
    <w:rsid w:val="008C027C"/>
    <w:rsid w:val="008C41FA"/>
    <w:rsid w:val="008D6EBF"/>
    <w:rsid w:val="008D7477"/>
    <w:rsid w:val="008E2F41"/>
    <w:rsid w:val="008F790D"/>
    <w:rsid w:val="0091164B"/>
    <w:rsid w:val="00912ED7"/>
    <w:rsid w:val="00916516"/>
    <w:rsid w:val="0092369B"/>
    <w:rsid w:val="009251C5"/>
    <w:rsid w:val="00934959"/>
    <w:rsid w:val="00940734"/>
    <w:rsid w:val="00940F44"/>
    <w:rsid w:val="00941002"/>
    <w:rsid w:val="00947689"/>
    <w:rsid w:val="00953083"/>
    <w:rsid w:val="0095377B"/>
    <w:rsid w:val="00955CBF"/>
    <w:rsid w:val="009579B5"/>
    <w:rsid w:val="0096128D"/>
    <w:rsid w:val="00963A32"/>
    <w:rsid w:val="00970632"/>
    <w:rsid w:val="00971150"/>
    <w:rsid w:val="00975561"/>
    <w:rsid w:val="00977898"/>
    <w:rsid w:val="0098076E"/>
    <w:rsid w:val="00984A84"/>
    <w:rsid w:val="009868C6"/>
    <w:rsid w:val="00986D4E"/>
    <w:rsid w:val="00987FD8"/>
    <w:rsid w:val="00990B3C"/>
    <w:rsid w:val="00993D8D"/>
    <w:rsid w:val="009956C6"/>
    <w:rsid w:val="00996F81"/>
    <w:rsid w:val="009A0C30"/>
    <w:rsid w:val="009A16DD"/>
    <w:rsid w:val="009A45B0"/>
    <w:rsid w:val="009B0165"/>
    <w:rsid w:val="009B081D"/>
    <w:rsid w:val="009B1B66"/>
    <w:rsid w:val="009B3159"/>
    <w:rsid w:val="009B5989"/>
    <w:rsid w:val="009B7708"/>
    <w:rsid w:val="009C3906"/>
    <w:rsid w:val="009C393F"/>
    <w:rsid w:val="009C6B44"/>
    <w:rsid w:val="009D0D98"/>
    <w:rsid w:val="009D1753"/>
    <w:rsid w:val="009E4C0D"/>
    <w:rsid w:val="009E5E09"/>
    <w:rsid w:val="009E714C"/>
    <w:rsid w:val="009F27F0"/>
    <w:rsid w:val="009F587A"/>
    <w:rsid w:val="009F7C7A"/>
    <w:rsid w:val="00A02D5F"/>
    <w:rsid w:val="00A03CC1"/>
    <w:rsid w:val="00A04BF1"/>
    <w:rsid w:val="00A04C55"/>
    <w:rsid w:val="00A13D3C"/>
    <w:rsid w:val="00A16095"/>
    <w:rsid w:val="00A1734D"/>
    <w:rsid w:val="00A222B3"/>
    <w:rsid w:val="00A45022"/>
    <w:rsid w:val="00A64EE1"/>
    <w:rsid w:val="00A67FC3"/>
    <w:rsid w:val="00A715A8"/>
    <w:rsid w:val="00A7773B"/>
    <w:rsid w:val="00A7779A"/>
    <w:rsid w:val="00A86698"/>
    <w:rsid w:val="00A86757"/>
    <w:rsid w:val="00A909BA"/>
    <w:rsid w:val="00A9278B"/>
    <w:rsid w:val="00A937DF"/>
    <w:rsid w:val="00AA0705"/>
    <w:rsid w:val="00AA0CA8"/>
    <w:rsid w:val="00AA1164"/>
    <w:rsid w:val="00AA1568"/>
    <w:rsid w:val="00AA1BA4"/>
    <w:rsid w:val="00AA5A1E"/>
    <w:rsid w:val="00AB0464"/>
    <w:rsid w:val="00AB0B61"/>
    <w:rsid w:val="00AB3FFA"/>
    <w:rsid w:val="00AB61BD"/>
    <w:rsid w:val="00AB6B2D"/>
    <w:rsid w:val="00AB6B88"/>
    <w:rsid w:val="00AC2F4D"/>
    <w:rsid w:val="00AD32C4"/>
    <w:rsid w:val="00AE3228"/>
    <w:rsid w:val="00AE3CE5"/>
    <w:rsid w:val="00AE52D6"/>
    <w:rsid w:val="00AF29CC"/>
    <w:rsid w:val="00AF72F1"/>
    <w:rsid w:val="00AF7BEA"/>
    <w:rsid w:val="00B0217A"/>
    <w:rsid w:val="00B03FB3"/>
    <w:rsid w:val="00B120B9"/>
    <w:rsid w:val="00B210B9"/>
    <w:rsid w:val="00B2533E"/>
    <w:rsid w:val="00B26EE9"/>
    <w:rsid w:val="00B27212"/>
    <w:rsid w:val="00B31D34"/>
    <w:rsid w:val="00B323E2"/>
    <w:rsid w:val="00B366E1"/>
    <w:rsid w:val="00B37F5F"/>
    <w:rsid w:val="00B40971"/>
    <w:rsid w:val="00B41CB2"/>
    <w:rsid w:val="00B43CA5"/>
    <w:rsid w:val="00B445A4"/>
    <w:rsid w:val="00B50C4E"/>
    <w:rsid w:val="00B53468"/>
    <w:rsid w:val="00B54563"/>
    <w:rsid w:val="00B54D68"/>
    <w:rsid w:val="00B55DDD"/>
    <w:rsid w:val="00B57556"/>
    <w:rsid w:val="00B6220E"/>
    <w:rsid w:val="00B65F05"/>
    <w:rsid w:val="00B72C47"/>
    <w:rsid w:val="00B84551"/>
    <w:rsid w:val="00B86CFD"/>
    <w:rsid w:val="00B91665"/>
    <w:rsid w:val="00B92511"/>
    <w:rsid w:val="00B92C67"/>
    <w:rsid w:val="00B97019"/>
    <w:rsid w:val="00BA467D"/>
    <w:rsid w:val="00BA4AA3"/>
    <w:rsid w:val="00BA536E"/>
    <w:rsid w:val="00BB025F"/>
    <w:rsid w:val="00BB0B15"/>
    <w:rsid w:val="00BB1424"/>
    <w:rsid w:val="00BB1CFE"/>
    <w:rsid w:val="00BB3539"/>
    <w:rsid w:val="00BB44DE"/>
    <w:rsid w:val="00BB6A06"/>
    <w:rsid w:val="00BB7114"/>
    <w:rsid w:val="00BC00FB"/>
    <w:rsid w:val="00BC53C8"/>
    <w:rsid w:val="00BC63FD"/>
    <w:rsid w:val="00BC7826"/>
    <w:rsid w:val="00BD0D77"/>
    <w:rsid w:val="00BD4E3C"/>
    <w:rsid w:val="00BD53FE"/>
    <w:rsid w:val="00BE1071"/>
    <w:rsid w:val="00BE5E45"/>
    <w:rsid w:val="00BE6133"/>
    <w:rsid w:val="00BE7AC1"/>
    <w:rsid w:val="00BF054A"/>
    <w:rsid w:val="00BF2411"/>
    <w:rsid w:val="00BF5947"/>
    <w:rsid w:val="00BF5F87"/>
    <w:rsid w:val="00BF6922"/>
    <w:rsid w:val="00BF764E"/>
    <w:rsid w:val="00BF7EB5"/>
    <w:rsid w:val="00C02583"/>
    <w:rsid w:val="00C02EEF"/>
    <w:rsid w:val="00C02F5C"/>
    <w:rsid w:val="00C03C6C"/>
    <w:rsid w:val="00C16227"/>
    <w:rsid w:val="00C16789"/>
    <w:rsid w:val="00C25E34"/>
    <w:rsid w:val="00C27E6B"/>
    <w:rsid w:val="00C310B9"/>
    <w:rsid w:val="00C342D5"/>
    <w:rsid w:val="00C401CD"/>
    <w:rsid w:val="00C4035A"/>
    <w:rsid w:val="00C40F06"/>
    <w:rsid w:val="00C41952"/>
    <w:rsid w:val="00C42B04"/>
    <w:rsid w:val="00C430F1"/>
    <w:rsid w:val="00C51330"/>
    <w:rsid w:val="00C53183"/>
    <w:rsid w:val="00C55128"/>
    <w:rsid w:val="00C56DF5"/>
    <w:rsid w:val="00C570CC"/>
    <w:rsid w:val="00C60BB4"/>
    <w:rsid w:val="00C65F24"/>
    <w:rsid w:val="00C719FC"/>
    <w:rsid w:val="00C72624"/>
    <w:rsid w:val="00C92881"/>
    <w:rsid w:val="00C96FB5"/>
    <w:rsid w:val="00C979D7"/>
    <w:rsid w:val="00CA6C2C"/>
    <w:rsid w:val="00CB2437"/>
    <w:rsid w:val="00CB2EDD"/>
    <w:rsid w:val="00CB35DA"/>
    <w:rsid w:val="00CC2810"/>
    <w:rsid w:val="00CC3CCC"/>
    <w:rsid w:val="00CC6705"/>
    <w:rsid w:val="00CC7B27"/>
    <w:rsid w:val="00CD0331"/>
    <w:rsid w:val="00CD0F12"/>
    <w:rsid w:val="00CD4B75"/>
    <w:rsid w:val="00CD791D"/>
    <w:rsid w:val="00CE0037"/>
    <w:rsid w:val="00CE0385"/>
    <w:rsid w:val="00CE4442"/>
    <w:rsid w:val="00CE46FB"/>
    <w:rsid w:val="00CE520C"/>
    <w:rsid w:val="00CF07B3"/>
    <w:rsid w:val="00CF18F8"/>
    <w:rsid w:val="00CF4BEC"/>
    <w:rsid w:val="00CF5F3A"/>
    <w:rsid w:val="00CF6054"/>
    <w:rsid w:val="00CF6947"/>
    <w:rsid w:val="00D005FF"/>
    <w:rsid w:val="00D00C1F"/>
    <w:rsid w:val="00D05D28"/>
    <w:rsid w:val="00D16016"/>
    <w:rsid w:val="00D1679C"/>
    <w:rsid w:val="00D218A6"/>
    <w:rsid w:val="00D21E39"/>
    <w:rsid w:val="00D23722"/>
    <w:rsid w:val="00D23C64"/>
    <w:rsid w:val="00D244E3"/>
    <w:rsid w:val="00D25933"/>
    <w:rsid w:val="00D26B29"/>
    <w:rsid w:val="00D3340C"/>
    <w:rsid w:val="00D37B73"/>
    <w:rsid w:val="00D44645"/>
    <w:rsid w:val="00D54B74"/>
    <w:rsid w:val="00D62181"/>
    <w:rsid w:val="00D62946"/>
    <w:rsid w:val="00D62C14"/>
    <w:rsid w:val="00D636CD"/>
    <w:rsid w:val="00D66FF2"/>
    <w:rsid w:val="00D70CD7"/>
    <w:rsid w:val="00D71E39"/>
    <w:rsid w:val="00D77286"/>
    <w:rsid w:val="00D77D53"/>
    <w:rsid w:val="00D809E3"/>
    <w:rsid w:val="00D80FEA"/>
    <w:rsid w:val="00D85336"/>
    <w:rsid w:val="00D85CCF"/>
    <w:rsid w:val="00D86A6A"/>
    <w:rsid w:val="00D90FA6"/>
    <w:rsid w:val="00D92D46"/>
    <w:rsid w:val="00D961E3"/>
    <w:rsid w:val="00D97628"/>
    <w:rsid w:val="00DA0491"/>
    <w:rsid w:val="00DA1779"/>
    <w:rsid w:val="00DA1E21"/>
    <w:rsid w:val="00DA284A"/>
    <w:rsid w:val="00DA56E9"/>
    <w:rsid w:val="00DB304D"/>
    <w:rsid w:val="00DB6F51"/>
    <w:rsid w:val="00DB7EBE"/>
    <w:rsid w:val="00DC0370"/>
    <w:rsid w:val="00DC0ABE"/>
    <w:rsid w:val="00DC1D8A"/>
    <w:rsid w:val="00DC24A7"/>
    <w:rsid w:val="00DC3601"/>
    <w:rsid w:val="00DC5BE7"/>
    <w:rsid w:val="00DC66BB"/>
    <w:rsid w:val="00DD1823"/>
    <w:rsid w:val="00DE2909"/>
    <w:rsid w:val="00DE6424"/>
    <w:rsid w:val="00DE6CBB"/>
    <w:rsid w:val="00DF032B"/>
    <w:rsid w:val="00DF1F28"/>
    <w:rsid w:val="00DF4878"/>
    <w:rsid w:val="00DF52D4"/>
    <w:rsid w:val="00E05506"/>
    <w:rsid w:val="00E0551B"/>
    <w:rsid w:val="00E05884"/>
    <w:rsid w:val="00E11319"/>
    <w:rsid w:val="00E115C7"/>
    <w:rsid w:val="00E15CF5"/>
    <w:rsid w:val="00E16169"/>
    <w:rsid w:val="00E20381"/>
    <w:rsid w:val="00E2055A"/>
    <w:rsid w:val="00E23A7E"/>
    <w:rsid w:val="00E25646"/>
    <w:rsid w:val="00E26BFB"/>
    <w:rsid w:val="00E27289"/>
    <w:rsid w:val="00E2776C"/>
    <w:rsid w:val="00E27982"/>
    <w:rsid w:val="00E52E8C"/>
    <w:rsid w:val="00E54AD4"/>
    <w:rsid w:val="00E61AA5"/>
    <w:rsid w:val="00E62BC4"/>
    <w:rsid w:val="00E633FE"/>
    <w:rsid w:val="00E65A96"/>
    <w:rsid w:val="00E66EDC"/>
    <w:rsid w:val="00E74ABB"/>
    <w:rsid w:val="00E74D52"/>
    <w:rsid w:val="00E90334"/>
    <w:rsid w:val="00E975C8"/>
    <w:rsid w:val="00EA0DB8"/>
    <w:rsid w:val="00EA141C"/>
    <w:rsid w:val="00EA2EB9"/>
    <w:rsid w:val="00EA6CDF"/>
    <w:rsid w:val="00EC0977"/>
    <w:rsid w:val="00EC3375"/>
    <w:rsid w:val="00EC4A6A"/>
    <w:rsid w:val="00EC6B3A"/>
    <w:rsid w:val="00ED25C1"/>
    <w:rsid w:val="00ED38F9"/>
    <w:rsid w:val="00ED61FE"/>
    <w:rsid w:val="00EE151C"/>
    <w:rsid w:val="00EE3EE5"/>
    <w:rsid w:val="00EE53E8"/>
    <w:rsid w:val="00EE6009"/>
    <w:rsid w:val="00EF154D"/>
    <w:rsid w:val="00EF1683"/>
    <w:rsid w:val="00EF2F58"/>
    <w:rsid w:val="00EF5C7D"/>
    <w:rsid w:val="00F0009F"/>
    <w:rsid w:val="00F006B4"/>
    <w:rsid w:val="00F0621A"/>
    <w:rsid w:val="00F07C59"/>
    <w:rsid w:val="00F24E6E"/>
    <w:rsid w:val="00F25EF5"/>
    <w:rsid w:val="00F33797"/>
    <w:rsid w:val="00F35D0C"/>
    <w:rsid w:val="00F43EC5"/>
    <w:rsid w:val="00F50161"/>
    <w:rsid w:val="00F521A3"/>
    <w:rsid w:val="00F52A10"/>
    <w:rsid w:val="00F630C6"/>
    <w:rsid w:val="00F66463"/>
    <w:rsid w:val="00F80F7B"/>
    <w:rsid w:val="00F85CC5"/>
    <w:rsid w:val="00FA51CA"/>
    <w:rsid w:val="00FA7259"/>
    <w:rsid w:val="00FA726D"/>
    <w:rsid w:val="00FA7381"/>
    <w:rsid w:val="00FA7B26"/>
    <w:rsid w:val="00FB60BC"/>
    <w:rsid w:val="00FC0EA9"/>
    <w:rsid w:val="00FC350B"/>
    <w:rsid w:val="00FC4A80"/>
    <w:rsid w:val="00FC5041"/>
    <w:rsid w:val="00FC697E"/>
    <w:rsid w:val="00FC7E16"/>
    <w:rsid w:val="00FD0B7E"/>
    <w:rsid w:val="00FD2962"/>
    <w:rsid w:val="00FD2C6C"/>
    <w:rsid w:val="00FD2DBF"/>
    <w:rsid w:val="00FD41F1"/>
    <w:rsid w:val="00FD4655"/>
    <w:rsid w:val="00FD6D10"/>
    <w:rsid w:val="00FD72DE"/>
    <w:rsid w:val="00FE13F6"/>
    <w:rsid w:val="00FE1C71"/>
    <w:rsid w:val="00FE2DE4"/>
    <w:rsid w:val="00FE3DB0"/>
    <w:rsid w:val="00FE6380"/>
    <w:rsid w:val="00FE744B"/>
    <w:rsid w:val="00FF1DE7"/>
    <w:rsid w:val="00FF32AD"/>
    <w:rsid w:val="00FF54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167553"/>
  <w15:docId w15:val="{1E115C3E-0256-4555-8B76-79FA58DC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36"/>
    <w:rPr>
      <w:sz w:val="24"/>
      <w:szCs w:val="24"/>
      <w:lang w:val="en-AU" w:eastAsia="en-AU"/>
    </w:rPr>
  </w:style>
  <w:style w:type="paragraph" w:styleId="Heading1">
    <w:name w:val="heading 1"/>
    <w:basedOn w:val="Normal"/>
    <w:next w:val="Normal"/>
    <w:link w:val="Heading1Char"/>
    <w:autoRedefine/>
    <w:qFormat/>
    <w:rsid w:val="00303C13"/>
    <w:pPr>
      <w:keepNext/>
      <w:keepLines/>
      <w:widowControl w:val="0"/>
      <w:spacing w:before="120" w:after="120"/>
      <w:ind w:left="720" w:hanging="720"/>
      <w:jc w:val="both"/>
      <w:outlineLvl w:val="0"/>
    </w:pPr>
    <w:rPr>
      <w:rFonts w:ascii="Book Antiqua" w:hAnsi="Book Antiqua"/>
      <w:b/>
      <w:bCs/>
      <w:caps/>
      <w:kern w:val="32"/>
    </w:rPr>
  </w:style>
  <w:style w:type="paragraph" w:styleId="Heading3">
    <w:name w:val="heading 3"/>
    <w:basedOn w:val="Normal"/>
    <w:link w:val="Heading3Char"/>
    <w:uiPriority w:val="9"/>
    <w:qFormat/>
    <w:rsid w:val="00CE520C"/>
    <w:pPr>
      <w:spacing w:before="240" w:after="240" w:line="336"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2583"/>
    <w:rPr>
      <w:color w:val="0000FF"/>
      <w:u w:val="single"/>
    </w:rPr>
  </w:style>
  <w:style w:type="table" w:styleId="TableGrid">
    <w:name w:val="Table Grid"/>
    <w:basedOn w:val="TableNormal"/>
    <w:rsid w:val="0045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21D0"/>
    <w:rPr>
      <w:rFonts w:ascii="Tahoma" w:hAnsi="Tahoma" w:cs="Tahoma"/>
      <w:sz w:val="16"/>
      <w:szCs w:val="16"/>
    </w:rPr>
  </w:style>
  <w:style w:type="paragraph" w:styleId="FootnoteText">
    <w:name w:val="footnote text"/>
    <w:basedOn w:val="Normal"/>
    <w:semiHidden/>
    <w:rsid w:val="00635413"/>
    <w:rPr>
      <w:sz w:val="20"/>
      <w:szCs w:val="20"/>
    </w:rPr>
  </w:style>
  <w:style w:type="character" w:styleId="FootnoteReference">
    <w:name w:val="footnote reference"/>
    <w:semiHidden/>
    <w:rsid w:val="00635413"/>
    <w:rPr>
      <w:vertAlign w:val="superscript"/>
    </w:rPr>
  </w:style>
  <w:style w:type="character" w:styleId="CommentReference">
    <w:name w:val="annotation reference"/>
    <w:semiHidden/>
    <w:rsid w:val="001A7651"/>
    <w:rPr>
      <w:sz w:val="16"/>
      <w:szCs w:val="16"/>
    </w:rPr>
  </w:style>
  <w:style w:type="paragraph" w:styleId="CommentText">
    <w:name w:val="annotation text"/>
    <w:basedOn w:val="Normal"/>
    <w:semiHidden/>
    <w:rsid w:val="001A7651"/>
    <w:rPr>
      <w:sz w:val="20"/>
      <w:szCs w:val="20"/>
    </w:rPr>
  </w:style>
  <w:style w:type="paragraph" w:styleId="CommentSubject">
    <w:name w:val="annotation subject"/>
    <w:basedOn w:val="CommentText"/>
    <w:next w:val="CommentText"/>
    <w:semiHidden/>
    <w:rsid w:val="001A7651"/>
    <w:rPr>
      <w:b/>
      <w:bCs/>
    </w:rPr>
  </w:style>
  <w:style w:type="character" w:styleId="Emphasis">
    <w:name w:val="Emphasis"/>
    <w:uiPriority w:val="20"/>
    <w:qFormat/>
    <w:rsid w:val="00AF72F1"/>
    <w:rPr>
      <w:i/>
      <w:iCs/>
    </w:rPr>
  </w:style>
  <w:style w:type="paragraph" w:styleId="Header">
    <w:name w:val="header"/>
    <w:basedOn w:val="Normal"/>
    <w:link w:val="HeaderChar"/>
    <w:rsid w:val="00194089"/>
    <w:pPr>
      <w:tabs>
        <w:tab w:val="center" w:pos="4513"/>
        <w:tab w:val="right" w:pos="9026"/>
      </w:tabs>
    </w:pPr>
  </w:style>
  <w:style w:type="character" w:customStyle="1" w:styleId="HeaderChar">
    <w:name w:val="Header Char"/>
    <w:link w:val="Header"/>
    <w:rsid w:val="00194089"/>
    <w:rPr>
      <w:sz w:val="24"/>
      <w:szCs w:val="24"/>
    </w:rPr>
  </w:style>
  <w:style w:type="paragraph" w:styleId="Footer">
    <w:name w:val="footer"/>
    <w:basedOn w:val="Normal"/>
    <w:link w:val="FooterChar"/>
    <w:rsid w:val="00194089"/>
    <w:pPr>
      <w:tabs>
        <w:tab w:val="center" w:pos="4513"/>
        <w:tab w:val="right" w:pos="9026"/>
      </w:tabs>
    </w:pPr>
  </w:style>
  <w:style w:type="character" w:customStyle="1" w:styleId="FooterChar">
    <w:name w:val="Footer Char"/>
    <w:link w:val="Footer"/>
    <w:uiPriority w:val="99"/>
    <w:rsid w:val="00194089"/>
    <w:rPr>
      <w:sz w:val="24"/>
      <w:szCs w:val="24"/>
    </w:rPr>
  </w:style>
  <w:style w:type="character" w:customStyle="1" w:styleId="Heading3Char">
    <w:name w:val="Heading 3 Char"/>
    <w:link w:val="Heading3"/>
    <w:uiPriority w:val="9"/>
    <w:rsid w:val="00CE520C"/>
    <w:rPr>
      <w:b/>
      <w:bCs/>
      <w:sz w:val="24"/>
      <w:szCs w:val="24"/>
    </w:rPr>
  </w:style>
  <w:style w:type="paragraph" w:styleId="NormalWeb">
    <w:name w:val="Normal (Web)"/>
    <w:basedOn w:val="Normal"/>
    <w:uiPriority w:val="99"/>
    <w:unhideWhenUsed/>
    <w:rsid w:val="00CE520C"/>
    <w:pPr>
      <w:spacing w:after="240"/>
    </w:pPr>
    <w:rPr>
      <w:sz w:val="16"/>
      <w:szCs w:val="16"/>
    </w:rPr>
  </w:style>
  <w:style w:type="character" w:customStyle="1" w:styleId="Heading1Char">
    <w:name w:val="Heading 1 Char"/>
    <w:link w:val="Heading1"/>
    <w:rsid w:val="00303C13"/>
    <w:rPr>
      <w:rFonts w:ascii="Book Antiqua" w:hAnsi="Book Antiqua"/>
      <w:b/>
      <w:bCs/>
      <w:caps/>
      <w:kern w:val="32"/>
      <w:sz w:val="24"/>
      <w:szCs w:val="24"/>
      <w:lang w:val="en-AU" w:eastAsia="en-AU"/>
    </w:rPr>
  </w:style>
  <w:style w:type="paragraph" w:customStyle="1" w:styleId="Default">
    <w:name w:val="Default"/>
    <w:rsid w:val="00940F44"/>
    <w:pPr>
      <w:autoSpaceDE w:val="0"/>
      <w:autoSpaceDN w:val="0"/>
      <w:adjustRightInd w:val="0"/>
    </w:pPr>
    <w:rPr>
      <w:color w:val="000000"/>
      <w:sz w:val="24"/>
      <w:szCs w:val="24"/>
      <w:lang w:val="en-AU" w:eastAsia="en-AU"/>
    </w:rPr>
  </w:style>
  <w:style w:type="paragraph" w:styleId="List">
    <w:name w:val="List"/>
    <w:basedOn w:val="Normal"/>
    <w:rsid w:val="00FE3DB0"/>
    <w:pPr>
      <w:ind w:left="283" w:hanging="283"/>
    </w:pPr>
  </w:style>
  <w:style w:type="character" w:styleId="PageNumber">
    <w:name w:val="page number"/>
    <w:rsid w:val="006A4CCD"/>
  </w:style>
  <w:style w:type="paragraph" w:styleId="ListParagraph">
    <w:name w:val="List Paragraph"/>
    <w:basedOn w:val="Normal"/>
    <w:uiPriority w:val="34"/>
    <w:qFormat/>
    <w:rsid w:val="006A4CCD"/>
    <w:pPr>
      <w:ind w:left="720"/>
      <w:contextualSpacing/>
    </w:pPr>
    <w:rPr>
      <w:sz w:val="20"/>
      <w:szCs w:val="20"/>
    </w:rPr>
  </w:style>
  <w:style w:type="paragraph" w:customStyle="1" w:styleId="FactsheetTitle">
    <w:name w:val="Factsheet Title"/>
    <w:basedOn w:val="Normal"/>
    <w:rsid w:val="00DA1779"/>
    <w:pPr>
      <w:outlineLvl w:val="0"/>
    </w:pPr>
    <w:rPr>
      <w:rFonts w:ascii="Arial" w:eastAsia="Cambria" w:hAnsi="Arial"/>
      <w:noProof/>
      <w:color w:val="981E32"/>
      <w:sz w:val="44"/>
      <w:lang w:val="en-US" w:eastAsia="en-US"/>
    </w:rPr>
  </w:style>
  <w:style w:type="character" w:customStyle="1" w:styleId="file-label-new">
    <w:name w:val="file-label-new"/>
    <w:basedOn w:val="DefaultParagraphFont"/>
    <w:rsid w:val="001B609C"/>
  </w:style>
  <w:style w:type="character" w:styleId="FollowedHyperlink">
    <w:name w:val="FollowedHyperlink"/>
    <w:basedOn w:val="DefaultParagraphFont"/>
    <w:semiHidden/>
    <w:unhideWhenUsed/>
    <w:rsid w:val="005313BF"/>
    <w:rPr>
      <w:color w:val="954F72" w:themeColor="followedHyperlink"/>
      <w:u w:val="single"/>
    </w:rPr>
  </w:style>
  <w:style w:type="paragraph" w:styleId="ListBullet">
    <w:name w:val="List Bullet"/>
    <w:basedOn w:val="Normal"/>
    <w:unhideWhenUsed/>
    <w:rsid w:val="00303C13"/>
    <w:pPr>
      <w:numPr>
        <w:numId w:val="3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970160">
      <w:bodyDiv w:val="1"/>
      <w:marLeft w:val="0"/>
      <w:marRight w:val="0"/>
      <w:marTop w:val="0"/>
      <w:marBottom w:val="0"/>
      <w:divBdr>
        <w:top w:val="none" w:sz="0" w:space="0" w:color="auto"/>
        <w:left w:val="none" w:sz="0" w:space="0" w:color="auto"/>
        <w:bottom w:val="none" w:sz="0" w:space="0" w:color="auto"/>
        <w:right w:val="none" w:sz="0" w:space="0" w:color="auto"/>
      </w:divBdr>
      <w:divsChild>
        <w:div w:id="963970008">
          <w:marLeft w:val="0"/>
          <w:marRight w:val="0"/>
          <w:marTop w:val="0"/>
          <w:marBottom w:val="0"/>
          <w:divBdr>
            <w:top w:val="none" w:sz="0" w:space="0" w:color="auto"/>
            <w:left w:val="none" w:sz="0" w:space="0" w:color="auto"/>
            <w:bottom w:val="none" w:sz="0" w:space="0" w:color="auto"/>
            <w:right w:val="none" w:sz="0" w:space="0" w:color="auto"/>
          </w:divBdr>
          <w:divsChild>
            <w:div w:id="1963412794">
              <w:marLeft w:val="0"/>
              <w:marRight w:val="0"/>
              <w:marTop w:val="0"/>
              <w:marBottom w:val="0"/>
              <w:divBdr>
                <w:top w:val="none" w:sz="0" w:space="0" w:color="auto"/>
                <w:left w:val="none" w:sz="0" w:space="0" w:color="auto"/>
                <w:bottom w:val="none" w:sz="0" w:space="0" w:color="auto"/>
                <w:right w:val="none" w:sz="0" w:space="0" w:color="auto"/>
              </w:divBdr>
              <w:divsChild>
                <w:div w:id="51973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63685340">
      <w:bodyDiv w:val="1"/>
      <w:marLeft w:val="0"/>
      <w:marRight w:val="0"/>
      <w:marTop w:val="0"/>
      <w:marBottom w:val="0"/>
      <w:divBdr>
        <w:top w:val="none" w:sz="0" w:space="0" w:color="auto"/>
        <w:left w:val="none" w:sz="0" w:space="0" w:color="auto"/>
        <w:bottom w:val="none" w:sz="0" w:space="0" w:color="auto"/>
        <w:right w:val="none" w:sz="0" w:space="0" w:color="auto"/>
      </w:divBdr>
    </w:div>
    <w:div w:id="617682684">
      <w:bodyDiv w:val="1"/>
      <w:marLeft w:val="0"/>
      <w:marRight w:val="0"/>
      <w:marTop w:val="0"/>
      <w:marBottom w:val="0"/>
      <w:divBdr>
        <w:top w:val="none" w:sz="0" w:space="0" w:color="auto"/>
        <w:left w:val="none" w:sz="0" w:space="0" w:color="auto"/>
        <w:bottom w:val="none" w:sz="0" w:space="0" w:color="auto"/>
        <w:right w:val="none" w:sz="0" w:space="0" w:color="auto"/>
      </w:divBdr>
    </w:div>
    <w:div w:id="660037960">
      <w:bodyDiv w:val="1"/>
      <w:marLeft w:val="0"/>
      <w:marRight w:val="0"/>
      <w:marTop w:val="0"/>
      <w:marBottom w:val="0"/>
      <w:divBdr>
        <w:top w:val="none" w:sz="0" w:space="0" w:color="auto"/>
        <w:left w:val="none" w:sz="0" w:space="0" w:color="auto"/>
        <w:bottom w:val="none" w:sz="0" w:space="0" w:color="auto"/>
        <w:right w:val="none" w:sz="0" w:space="0" w:color="auto"/>
      </w:divBdr>
      <w:divsChild>
        <w:div w:id="1901134058">
          <w:marLeft w:val="0"/>
          <w:marRight w:val="0"/>
          <w:marTop w:val="0"/>
          <w:marBottom w:val="0"/>
          <w:divBdr>
            <w:top w:val="none" w:sz="0" w:space="0" w:color="auto"/>
            <w:left w:val="none" w:sz="0" w:space="0" w:color="auto"/>
            <w:bottom w:val="none" w:sz="0" w:space="0" w:color="auto"/>
            <w:right w:val="none" w:sz="0" w:space="0" w:color="auto"/>
          </w:divBdr>
          <w:divsChild>
            <w:div w:id="465663471">
              <w:marLeft w:val="0"/>
              <w:marRight w:val="0"/>
              <w:marTop w:val="0"/>
              <w:marBottom w:val="0"/>
              <w:divBdr>
                <w:top w:val="none" w:sz="0" w:space="0" w:color="auto"/>
                <w:left w:val="none" w:sz="0" w:space="0" w:color="auto"/>
                <w:bottom w:val="none" w:sz="0" w:space="0" w:color="auto"/>
                <w:right w:val="none" w:sz="0" w:space="0" w:color="auto"/>
              </w:divBdr>
              <w:divsChild>
                <w:div w:id="1401950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52842649">
      <w:bodyDiv w:val="1"/>
      <w:marLeft w:val="0"/>
      <w:marRight w:val="0"/>
      <w:marTop w:val="0"/>
      <w:marBottom w:val="0"/>
      <w:divBdr>
        <w:top w:val="none" w:sz="0" w:space="0" w:color="auto"/>
        <w:left w:val="none" w:sz="0" w:space="0" w:color="auto"/>
        <w:bottom w:val="none" w:sz="0" w:space="0" w:color="auto"/>
        <w:right w:val="none" w:sz="0" w:space="0" w:color="auto"/>
      </w:divBdr>
    </w:div>
    <w:div w:id="1786727947">
      <w:bodyDiv w:val="1"/>
      <w:marLeft w:val="0"/>
      <w:marRight w:val="0"/>
      <w:marTop w:val="0"/>
      <w:marBottom w:val="0"/>
      <w:divBdr>
        <w:top w:val="none" w:sz="0" w:space="0" w:color="auto"/>
        <w:left w:val="none" w:sz="0" w:space="0" w:color="auto"/>
        <w:bottom w:val="none" w:sz="0" w:space="0" w:color="auto"/>
        <w:right w:val="none" w:sz="0" w:space="0" w:color="auto"/>
      </w:divBdr>
      <w:divsChild>
        <w:div w:id="51389141">
          <w:marLeft w:val="0"/>
          <w:marRight w:val="0"/>
          <w:marTop w:val="0"/>
          <w:marBottom w:val="0"/>
          <w:divBdr>
            <w:top w:val="none" w:sz="0" w:space="0" w:color="auto"/>
            <w:left w:val="none" w:sz="0" w:space="0" w:color="auto"/>
            <w:bottom w:val="none" w:sz="0" w:space="0" w:color="auto"/>
            <w:right w:val="none" w:sz="0" w:space="0" w:color="auto"/>
          </w:divBdr>
          <w:divsChild>
            <w:div w:id="132069050">
              <w:marLeft w:val="0"/>
              <w:marRight w:val="0"/>
              <w:marTop w:val="0"/>
              <w:marBottom w:val="0"/>
              <w:divBdr>
                <w:top w:val="none" w:sz="0" w:space="0" w:color="auto"/>
                <w:left w:val="none" w:sz="0" w:space="0" w:color="auto"/>
                <w:bottom w:val="none" w:sz="0" w:space="0" w:color="auto"/>
                <w:right w:val="none" w:sz="0" w:space="0" w:color="auto"/>
              </w:divBdr>
              <w:divsChild>
                <w:div w:id="1414156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9373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costs.court@supcourt.vic.gov.a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wood.associate@supremecourt.vic.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wood.associate@supcourt.vic.gov.a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sts.court@supcourt.vic.gov.au" TargetMode="External"/><Relationship Id="rId20" Type="http://schemas.openxmlformats.org/officeDocument/2006/relationships/hyperlink" Target="mailto:costs.court@supcourt.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countycourt.vic.gov.au/common-law-division-0" TargetMode="External"/><Relationship Id="rId5" Type="http://schemas.openxmlformats.org/officeDocument/2006/relationships/customXml" Target="../customXml/item5.xml"/><Relationship Id="rId15" Type="http://schemas.openxmlformats.org/officeDocument/2006/relationships/hyperlink" Target="mailto:costs.court@supcourt.vic.gov.au" TargetMode="External"/><Relationship Id="rId23" Type="http://schemas.openxmlformats.org/officeDocument/2006/relationships/hyperlink" Target="http://www.supremecourt.vic.gov.au/home/forms+fees+and+services/fees/prothonotary+fees"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costs.court@supcourt.vic.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sts.court@supcourt.vic.gov.au" TargetMode="External"/><Relationship Id="rId22" Type="http://schemas.openxmlformats.org/officeDocument/2006/relationships/hyperlink" Target="mailto:costs.court@supcourt.vic.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12" ma:contentTypeDescription="Create a new document." ma:contentTypeScope="" ma:versionID="4ee726a5436f1f05eeae06a3e4908793">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38af3f63c1128c57b4ac6d6028bf6b42"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eShareCreatedBy xmlns="263eaefd-0475-4860-b86f-622cd66f4e0c" xsi:nil="true"/>
    <FileShareModifiedBy xmlns="263eaefd-0475-4860-b86f-622cd66f4e0c"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414EE-EF98-4B84-9475-0133DEEAA887}">
  <ds:schemaRefs>
    <ds:schemaRef ds:uri="http://schemas.microsoft.com/office/2006/metadata/longProperties"/>
  </ds:schemaRefs>
</ds:datastoreItem>
</file>

<file path=customXml/itemProps2.xml><?xml version="1.0" encoding="utf-8"?>
<ds:datastoreItem xmlns:ds="http://schemas.openxmlformats.org/officeDocument/2006/customXml" ds:itemID="{C284D6B2-7EDD-48CE-957D-3E6E8871CBD7}"/>
</file>

<file path=customXml/itemProps3.xml><?xml version="1.0" encoding="utf-8"?>
<ds:datastoreItem xmlns:ds="http://schemas.openxmlformats.org/officeDocument/2006/customXml" ds:itemID="{173682FA-736D-4334-B886-BC4D23C6E68C}">
  <ds:schemaRefs>
    <ds:schemaRef ds:uri="http://schemas.microsoft.com/sharepoint/v3/contenttype/forms"/>
  </ds:schemaRefs>
</ds:datastoreItem>
</file>

<file path=customXml/itemProps4.xml><?xml version="1.0" encoding="utf-8"?>
<ds:datastoreItem xmlns:ds="http://schemas.openxmlformats.org/officeDocument/2006/customXml" ds:itemID="{F53C5FFA-8516-4FEC-A1E4-38241312D513}">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561d1215-ada0-4b38-9ae1-93a3dfa0013a"/>
    <ds:schemaRef ds:uri="http://purl.org/dc/terms/"/>
    <ds:schemaRef ds:uri="http://schemas.openxmlformats.org/package/2006/metadata/core-properties"/>
    <ds:schemaRef ds:uri="bdde84cb-4b1f-4b74-b4a5-14e1a433eee1"/>
    <ds:schemaRef ds:uri="http://www.w3.org/XML/1998/namespace"/>
  </ds:schemaRefs>
</ds:datastoreItem>
</file>

<file path=customXml/itemProps5.xml><?xml version="1.0" encoding="utf-8"?>
<ds:datastoreItem xmlns:ds="http://schemas.openxmlformats.org/officeDocument/2006/customXml" ds:itemID="{65E2DD48-E5AC-4F69-9F76-C4B493C3FF3A}">
  <ds:schemaRefs>
    <ds:schemaRef ds:uri="http://schemas.openxmlformats.org/officeDocument/2006/bibliography"/>
  </ds:schemaRefs>
</ds:datastoreItem>
</file>

<file path=customXml/itemProps6.xml><?xml version="1.0" encoding="utf-8"?>
<ds:datastoreItem xmlns:ds="http://schemas.openxmlformats.org/officeDocument/2006/customXml" ds:itemID="{48293F51-F092-4994-97F3-F64167300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3085</Words>
  <Characters>17588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Practice Note No. 1 of 2015</vt:lpstr>
    </vt:vector>
  </TitlesOfParts>
  <Company>Supreme Court of Victoria</Company>
  <LinksUpToDate>false</LinksUpToDate>
  <CharactersWithSpaces>20632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No. 1 of 2015</dc:title>
  <dc:subject/>
  <dc:creator>Supreme Court of Victoria</dc:creator>
  <cp:keywords/>
  <dc:description/>
  <cp:lastModifiedBy>Kim Woronczak</cp:lastModifiedBy>
  <cp:revision>2</cp:revision>
  <cp:lastPrinted>2017-06-22T03:04:00Z</cp:lastPrinted>
  <dcterms:created xsi:type="dcterms:W3CDTF">2019-06-14T01:28:00Z</dcterms:created>
  <dcterms:modified xsi:type="dcterms:W3CDTF">2019-06-14T01:28:00Z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0x010100FC344B925675ED46837EB14F9BF5688C</vt:lpwstr>
  </property>
</Properties>
</file>