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EBF84" w14:textId="77777777" w:rsidR="00DB5F29" w:rsidRDefault="00DB5F29" w:rsidP="00DB5F29">
      <w:pPr>
        <w:spacing w:before="240"/>
        <w:jc w:val="center"/>
        <w:rPr>
          <w:rFonts w:cs="Arial"/>
          <w:b/>
          <w:szCs w:val="24"/>
        </w:rPr>
      </w:pPr>
      <w:r>
        <w:rPr>
          <w:rFonts w:cs="Arial"/>
          <w:b/>
          <w:szCs w:val="24"/>
        </w:rPr>
        <w:t>SUPREME COURT OF VICTORIA</w:t>
      </w:r>
    </w:p>
    <w:p w14:paraId="57B6107B" w14:textId="77777777" w:rsidR="00DB5F29" w:rsidRDefault="00DB5F29" w:rsidP="00DB5F29">
      <w:pPr>
        <w:spacing w:before="240" w:after="360"/>
        <w:jc w:val="center"/>
        <w:rPr>
          <w:rFonts w:cs="Arial"/>
          <w:b/>
          <w:szCs w:val="24"/>
        </w:rPr>
      </w:pPr>
      <w:r>
        <w:rPr>
          <w:rFonts w:cs="Arial"/>
          <w:b/>
          <w:szCs w:val="24"/>
        </w:rPr>
        <w:t>GNOTUK (CAMPERDOWN) BUSHFIRE CLASS ACTION</w:t>
      </w:r>
    </w:p>
    <w:p w14:paraId="7EA31D51" w14:textId="77777777" w:rsidR="00DB5F29" w:rsidRDefault="00DB5F29" w:rsidP="00DB5F29">
      <w:pPr>
        <w:spacing w:before="240"/>
        <w:jc w:val="center"/>
        <w:rPr>
          <w:rFonts w:cs="Arial"/>
          <w:b/>
          <w:szCs w:val="24"/>
        </w:rPr>
      </w:pPr>
      <w:r>
        <w:rPr>
          <w:rFonts w:cs="Arial"/>
          <w:b/>
          <w:szCs w:val="24"/>
        </w:rPr>
        <w:t>HAWKER</w:t>
      </w:r>
    </w:p>
    <w:p w14:paraId="52A89613" w14:textId="77777777" w:rsidR="00DB5F29" w:rsidRDefault="00DB5F29" w:rsidP="00DB5F29">
      <w:pPr>
        <w:spacing w:before="240"/>
        <w:jc w:val="center"/>
        <w:rPr>
          <w:rFonts w:cs="Arial"/>
          <w:b/>
          <w:szCs w:val="24"/>
        </w:rPr>
      </w:pPr>
      <w:r>
        <w:rPr>
          <w:rFonts w:cs="Arial"/>
          <w:b/>
          <w:szCs w:val="24"/>
        </w:rPr>
        <w:t>V</w:t>
      </w:r>
    </w:p>
    <w:p w14:paraId="2892353D" w14:textId="77777777" w:rsidR="00DB5F29" w:rsidRDefault="00DB5F29" w:rsidP="00DB5F29">
      <w:pPr>
        <w:spacing w:before="240"/>
        <w:jc w:val="center"/>
        <w:rPr>
          <w:rFonts w:cs="Arial"/>
          <w:b/>
          <w:szCs w:val="24"/>
        </w:rPr>
      </w:pPr>
      <w:r>
        <w:rPr>
          <w:rFonts w:cs="Arial"/>
          <w:b/>
          <w:szCs w:val="24"/>
        </w:rPr>
        <w:t xml:space="preserve">POWERCOR AUSTRALIA LIMITED </w:t>
      </w:r>
    </w:p>
    <w:p w14:paraId="0C1132F0" w14:textId="77777777" w:rsidR="00DB5F29" w:rsidRDefault="00DB5F29" w:rsidP="00DB5F29">
      <w:pPr>
        <w:spacing w:before="240"/>
        <w:jc w:val="center"/>
        <w:rPr>
          <w:rFonts w:cs="Arial"/>
          <w:b/>
          <w:szCs w:val="24"/>
        </w:rPr>
      </w:pPr>
      <w:r>
        <w:rPr>
          <w:rFonts w:cs="Arial"/>
          <w:b/>
          <w:szCs w:val="24"/>
        </w:rPr>
        <w:t>(S CI 2018 01833)</w:t>
      </w:r>
    </w:p>
    <w:p w14:paraId="0ADBE97F" w14:textId="77777777" w:rsidR="00DB5F29" w:rsidRDefault="00DB5F29" w:rsidP="00DB5F29">
      <w:pPr>
        <w:spacing w:before="240"/>
        <w:jc w:val="center"/>
        <w:rPr>
          <w:rFonts w:cs="Arial"/>
          <w:b/>
          <w:sz w:val="36"/>
          <w:szCs w:val="36"/>
        </w:rPr>
      </w:pPr>
      <w:r>
        <w:rPr>
          <w:rFonts w:cs="Arial"/>
          <w:b/>
          <w:sz w:val="36"/>
          <w:szCs w:val="36"/>
        </w:rPr>
        <w:t>IMPORTANT NOTICE</w:t>
      </w:r>
    </w:p>
    <w:p w14:paraId="31996B7A" w14:textId="77777777" w:rsidR="00DB5F29" w:rsidRDefault="00DB5F29" w:rsidP="00DB5F29">
      <w:pPr>
        <w:spacing w:before="240"/>
        <w:jc w:val="center"/>
        <w:rPr>
          <w:rFonts w:cs="Arial"/>
          <w:b/>
          <w:szCs w:val="24"/>
        </w:rPr>
      </w:pPr>
      <w:r>
        <w:rPr>
          <w:rFonts w:cs="Arial"/>
          <w:b/>
          <w:szCs w:val="24"/>
        </w:rPr>
        <w:t>NOTICE OF PROPOSED SETTLEMENT OF GNOTUK BUSHFIRE CLASS ACTION</w:t>
      </w:r>
    </w:p>
    <w:p w14:paraId="65BD05F4" w14:textId="77777777" w:rsidR="00DB5F29" w:rsidRDefault="00DB5F29" w:rsidP="00DB5F29">
      <w:pPr>
        <w:spacing w:before="240"/>
        <w:rPr>
          <w:rFonts w:cs="Arial"/>
          <w:szCs w:val="24"/>
        </w:rPr>
      </w:pPr>
      <w:r>
        <w:rPr>
          <w:rFonts w:cs="Arial"/>
          <w:szCs w:val="24"/>
        </w:rPr>
        <w:t xml:space="preserve">The Supreme Court has ordered that this notice be published for the information of persons who might be group members of the Gnotuk Bushfire Class Action. </w:t>
      </w:r>
    </w:p>
    <w:p w14:paraId="1F9A4B4B" w14:textId="77777777" w:rsidR="00DB5F29" w:rsidRDefault="00DB5F29" w:rsidP="00DB5F29">
      <w:pPr>
        <w:spacing w:before="240"/>
        <w:rPr>
          <w:rFonts w:cs="Arial"/>
          <w:szCs w:val="24"/>
        </w:rPr>
      </w:pPr>
      <w:r>
        <w:rPr>
          <w:rFonts w:cs="Arial"/>
          <w:b/>
          <w:szCs w:val="24"/>
        </w:rPr>
        <w:t>You should read this notice carefully as it may affect your rights. Any questions you have concerning the matters contained in this notice should not be directed to the Court.</w:t>
      </w:r>
      <w:r>
        <w:rPr>
          <w:rFonts w:cs="Arial"/>
          <w:szCs w:val="24"/>
        </w:rPr>
        <w:t xml:space="preserve"> If there is anything in this notice that you do not understand, you should seek legal advice.</w:t>
      </w:r>
    </w:p>
    <w:p w14:paraId="7D473410" w14:textId="77777777" w:rsidR="00DB5F29" w:rsidRDefault="00DB5F29" w:rsidP="00DB5F29">
      <w:pPr>
        <w:pStyle w:val="Heading1"/>
        <w:keepNext/>
        <w:keepLines/>
        <w:numPr>
          <w:ilvl w:val="0"/>
          <w:numId w:val="2"/>
        </w:numPr>
        <w:tabs>
          <w:tab w:val="left" w:pos="720"/>
        </w:tabs>
        <w:spacing w:before="240" w:after="0" w:line="240" w:lineRule="atLeast"/>
        <w:ind w:hanging="720"/>
        <w:rPr>
          <w:b/>
          <w:color w:val="000000"/>
          <w:szCs w:val="24"/>
        </w:rPr>
      </w:pPr>
      <w:r>
        <w:rPr>
          <w:b/>
          <w:color w:val="000000"/>
          <w:szCs w:val="24"/>
        </w:rPr>
        <w:t>What is the Gnotuk Bushfire Class Action?</w:t>
      </w:r>
    </w:p>
    <w:p w14:paraId="2FA55661" w14:textId="77777777" w:rsidR="00DB5F29" w:rsidRDefault="00DB5F29" w:rsidP="00DB5F29">
      <w:pPr>
        <w:spacing w:before="240"/>
        <w:rPr>
          <w:rFonts w:cs="Arial"/>
          <w:szCs w:val="24"/>
        </w:rPr>
      </w:pPr>
      <w:r>
        <w:rPr>
          <w:rFonts w:cs="Arial"/>
          <w:szCs w:val="24"/>
        </w:rPr>
        <w:t xml:space="preserve">The plaintiff alleges that </w:t>
      </w:r>
      <w:proofErr w:type="spellStart"/>
      <w:r>
        <w:rPr>
          <w:rFonts w:cs="Arial"/>
          <w:szCs w:val="24"/>
        </w:rPr>
        <w:t>Powercor</w:t>
      </w:r>
      <w:proofErr w:type="spellEnd"/>
      <w:r>
        <w:rPr>
          <w:rFonts w:cs="Arial"/>
          <w:szCs w:val="24"/>
        </w:rPr>
        <w:t xml:space="preserve"> owed him and the group members a duty to take reasonable precautions to prevent a fire starting as a result of the electrical infrastructure operated and maintained by </w:t>
      </w:r>
      <w:proofErr w:type="spellStart"/>
      <w:r>
        <w:rPr>
          <w:rFonts w:cs="Arial"/>
          <w:szCs w:val="24"/>
        </w:rPr>
        <w:t>Powercor</w:t>
      </w:r>
      <w:proofErr w:type="spellEnd"/>
      <w:r>
        <w:rPr>
          <w:rFonts w:cs="Arial"/>
          <w:szCs w:val="24"/>
        </w:rPr>
        <w:t xml:space="preserve">.  The plaintiff alleges </w:t>
      </w:r>
      <w:proofErr w:type="spellStart"/>
      <w:r>
        <w:rPr>
          <w:rFonts w:cs="Arial"/>
          <w:szCs w:val="24"/>
        </w:rPr>
        <w:t>Powercor</w:t>
      </w:r>
      <w:proofErr w:type="spellEnd"/>
      <w:r>
        <w:rPr>
          <w:rFonts w:cs="Arial"/>
          <w:szCs w:val="24"/>
        </w:rPr>
        <w:t xml:space="preserve"> breached that duty because of negligence by </w:t>
      </w:r>
      <w:proofErr w:type="spellStart"/>
      <w:r>
        <w:rPr>
          <w:rFonts w:cs="Arial"/>
          <w:szCs w:val="24"/>
        </w:rPr>
        <w:t>Powercor</w:t>
      </w:r>
      <w:proofErr w:type="spellEnd"/>
      <w:r>
        <w:rPr>
          <w:rFonts w:cs="Arial"/>
          <w:szCs w:val="24"/>
        </w:rPr>
        <w:t xml:space="preserve"> in the construction, maintenance and operation of the </w:t>
      </w:r>
      <w:proofErr w:type="spellStart"/>
      <w:r>
        <w:rPr>
          <w:rFonts w:cs="Arial"/>
          <w:szCs w:val="24"/>
        </w:rPr>
        <w:t>powerline</w:t>
      </w:r>
      <w:proofErr w:type="spellEnd"/>
      <w:r>
        <w:rPr>
          <w:rFonts w:cs="Arial"/>
          <w:szCs w:val="24"/>
        </w:rPr>
        <w:t xml:space="preserve"> causing the plaintiff and group members to suffer loss and damage.</w:t>
      </w:r>
    </w:p>
    <w:p w14:paraId="74EF97C9" w14:textId="77777777" w:rsidR="00DB5F29" w:rsidRDefault="00DB5F29" w:rsidP="00DB5F29">
      <w:pPr>
        <w:pStyle w:val="Heading1"/>
        <w:numPr>
          <w:ilvl w:val="0"/>
          <w:numId w:val="0"/>
        </w:numPr>
        <w:rPr>
          <w:b/>
          <w:color w:val="000000"/>
          <w:szCs w:val="24"/>
        </w:rPr>
      </w:pPr>
      <w:r>
        <w:rPr>
          <w:b/>
          <w:color w:val="000000"/>
          <w:szCs w:val="24"/>
        </w:rPr>
        <w:t xml:space="preserve">2. </w:t>
      </w:r>
      <w:r>
        <w:rPr>
          <w:b/>
          <w:color w:val="000000"/>
          <w:szCs w:val="24"/>
        </w:rPr>
        <w:tab/>
        <w:t>Are you a group member?</w:t>
      </w:r>
    </w:p>
    <w:p w14:paraId="269EDDFA" w14:textId="77777777" w:rsidR="00DB5F29" w:rsidRDefault="00DB5F29" w:rsidP="00DB5F29">
      <w:pPr>
        <w:spacing w:before="240"/>
        <w:rPr>
          <w:rFonts w:cs="Arial"/>
          <w:szCs w:val="24"/>
        </w:rPr>
      </w:pPr>
      <w:r>
        <w:rPr>
          <w:rFonts w:cs="Arial"/>
          <w:szCs w:val="24"/>
        </w:rPr>
        <w:t>You are a group member in the class action if you:</w:t>
      </w:r>
    </w:p>
    <w:p w14:paraId="37B67F49" w14:textId="77777777" w:rsidR="00DB5F29" w:rsidRDefault="00DB5F29" w:rsidP="00DB5F29">
      <w:pPr>
        <w:pStyle w:val="ListParagraph"/>
        <w:numPr>
          <w:ilvl w:val="0"/>
          <w:numId w:val="3"/>
        </w:numPr>
        <w:spacing w:before="240"/>
        <w:rPr>
          <w:rFonts w:ascii="Book Antiqua" w:hAnsi="Book Antiqua" w:cs="Arial"/>
          <w:sz w:val="24"/>
          <w:szCs w:val="24"/>
        </w:rPr>
      </w:pPr>
      <w:r>
        <w:rPr>
          <w:rFonts w:ascii="Book Antiqua" w:hAnsi="Book Antiqua" w:cs="Arial"/>
          <w:sz w:val="24"/>
          <w:szCs w:val="24"/>
        </w:rPr>
        <w:t>Suffered personal injury or loss of or damage to property as a result of the Gnotuk Fire or are the legal personal representative of the estate of any deceased person who would otherwise have qualified as a group member;</w:t>
      </w:r>
    </w:p>
    <w:p w14:paraId="6F3DE796" w14:textId="77777777" w:rsidR="00DB5F29" w:rsidRDefault="00DB5F29" w:rsidP="00DB5F29">
      <w:pPr>
        <w:pStyle w:val="ListParagraph"/>
        <w:numPr>
          <w:ilvl w:val="0"/>
          <w:numId w:val="3"/>
        </w:numPr>
        <w:spacing w:before="240"/>
        <w:rPr>
          <w:rFonts w:ascii="Book Antiqua" w:hAnsi="Book Antiqua" w:cs="Arial"/>
          <w:sz w:val="24"/>
          <w:szCs w:val="24"/>
        </w:rPr>
      </w:pPr>
      <w:r>
        <w:rPr>
          <w:rFonts w:ascii="Book Antiqua" w:hAnsi="Book Antiqua" w:cs="Arial"/>
          <w:sz w:val="24"/>
          <w:szCs w:val="24"/>
        </w:rPr>
        <w:t>Are not any of the following:</w:t>
      </w:r>
    </w:p>
    <w:p w14:paraId="34EA5E0E" w14:textId="77777777" w:rsidR="00DB5F29" w:rsidRDefault="00DB5F29" w:rsidP="00DB5F29">
      <w:pPr>
        <w:pStyle w:val="ListParagraph"/>
        <w:numPr>
          <w:ilvl w:val="0"/>
          <w:numId w:val="4"/>
        </w:numPr>
        <w:spacing w:before="240"/>
        <w:rPr>
          <w:rFonts w:ascii="Book Antiqua" w:hAnsi="Book Antiqua" w:cs="Arial"/>
          <w:sz w:val="24"/>
          <w:szCs w:val="24"/>
        </w:rPr>
      </w:pPr>
      <w:r>
        <w:rPr>
          <w:rFonts w:ascii="Book Antiqua" w:hAnsi="Book Antiqua" w:cs="Arial"/>
          <w:sz w:val="24"/>
          <w:szCs w:val="24"/>
        </w:rPr>
        <w:t xml:space="preserve">A related party of </w:t>
      </w:r>
      <w:proofErr w:type="spellStart"/>
      <w:r>
        <w:rPr>
          <w:rFonts w:ascii="Book Antiqua" w:hAnsi="Book Antiqua" w:cs="Arial"/>
          <w:sz w:val="24"/>
          <w:szCs w:val="24"/>
        </w:rPr>
        <w:t>Powercor</w:t>
      </w:r>
      <w:proofErr w:type="spellEnd"/>
      <w:r>
        <w:rPr>
          <w:rFonts w:ascii="Book Antiqua" w:hAnsi="Book Antiqua" w:cs="Arial"/>
          <w:sz w:val="24"/>
          <w:szCs w:val="24"/>
        </w:rPr>
        <w:t>;</w:t>
      </w:r>
    </w:p>
    <w:p w14:paraId="1E26FC9B" w14:textId="77777777" w:rsidR="00DB5F29" w:rsidRDefault="00DB5F29" w:rsidP="00DB5F29">
      <w:pPr>
        <w:pStyle w:val="ListParagraph"/>
        <w:numPr>
          <w:ilvl w:val="0"/>
          <w:numId w:val="4"/>
        </w:numPr>
        <w:spacing w:before="240"/>
        <w:rPr>
          <w:rFonts w:ascii="Book Antiqua" w:hAnsi="Book Antiqua" w:cs="Arial"/>
          <w:sz w:val="24"/>
          <w:szCs w:val="24"/>
        </w:rPr>
      </w:pPr>
      <w:r>
        <w:rPr>
          <w:rFonts w:ascii="Book Antiqua" w:hAnsi="Book Antiqua" w:cs="Arial"/>
          <w:sz w:val="24"/>
          <w:szCs w:val="24"/>
        </w:rPr>
        <w:t xml:space="preserve">A related body corporate of </w:t>
      </w:r>
      <w:proofErr w:type="spellStart"/>
      <w:r>
        <w:rPr>
          <w:rFonts w:ascii="Book Antiqua" w:hAnsi="Book Antiqua" w:cs="Arial"/>
          <w:sz w:val="24"/>
          <w:szCs w:val="24"/>
        </w:rPr>
        <w:t>Powercor</w:t>
      </w:r>
      <w:proofErr w:type="spellEnd"/>
      <w:r>
        <w:rPr>
          <w:rFonts w:ascii="Book Antiqua" w:hAnsi="Book Antiqua" w:cs="Arial"/>
          <w:sz w:val="24"/>
          <w:szCs w:val="24"/>
        </w:rPr>
        <w:t>;</w:t>
      </w:r>
    </w:p>
    <w:p w14:paraId="58B57EA7" w14:textId="77777777" w:rsidR="00DB5F29" w:rsidRDefault="00DB5F29" w:rsidP="00DB5F29">
      <w:pPr>
        <w:pStyle w:val="ListParagraph"/>
        <w:numPr>
          <w:ilvl w:val="0"/>
          <w:numId w:val="4"/>
        </w:numPr>
        <w:spacing w:before="240"/>
        <w:rPr>
          <w:rFonts w:ascii="Book Antiqua" w:hAnsi="Book Antiqua" w:cs="Arial"/>
          <w:sz w:val="24"/>
          <w:szCs w:val="24"/>
        </w:rPr>
      </w:pPr>
      <w:r>
        <w:rPr>
          <w:rFonts w:ascii="Book Antiqua" w:hAnsi="Book Antiqua" w:cs="Arial"/>
          <w:sz w:val="24"/>
          <w:szCs w:val="24"/>
        </w:rPr>
        <w:t xml:space="preserve">An associated entity of </w:t>
      </w:r>
      <w:proofErr w:type="spellStart"/>
      <w:r>
        <w:rPr>
          <w:rFonts w:ascii="Book Antiqua" w:hAnsi="Book Antiqua" w:cs="Arial"/>
          <w:sz w:val="24"/>
          <w:szCs w:val="24"/>
        </w:rPr>
        <w:t>Powercor</w:t>
      </w:r>
      <w:proofErr w:type="spellEnd"/>
      <w:r>
        <w:rPr>
          <w:rFonts w:ascii="Book Antiqua" w:hAnsi="Book Antiqua" w:cs="Arial"/>
          <w:sz w:val="24"/>
          <w:szCs w:val="24"/>
        </w:rPr>
        <w:t>;</w:t>
      </w:r>
    </w:p>
    <w:p w14:paraId="45C8BD49" w14:textId="77777777" w:rsidR="00DB5F29" w:rsidRDefault="00DB5F29" w:rsidP="00DB5F29">
      <w:pPr>
        <w:pStyle w:val="ListParagraph"/>
        <w:numPr>
          <w:ilvl w:val="0"/>
          <w:numId w:val="4"/>
        </w:numPr>
        <w:spacing w:before="240"/>
        <w:rPr>
          <w:rFonts w:ascii="Book Antiqua" w:hAnsi="Book Antiqua" w:cs="Arial"/>
          <w:sz w:val="24"/>
          <w:szCs w:val="24"/>
        </w:rPr>
      </w:pPr>
      <w:r>
        <w:rPr>
          <w:rFonts w:ascii="Book Antiqua" w:hAnsi="Book Antiqua" w:cs="Arial"/>
          <w:sz w:val="24"/>
          <w:szCs w:val="24"/>
        </w:rPr>
        <w:t xml:space="preserve">An officer or close associate of </w:t>
      </w:r>
      <w:proofErr w:type="spellStart"/>
      <w:r>
        <w:rPr>
          <w:rFonts w:ascii="Book Antiqua" w:hAnsi="Book Antiqua" w:cs="Arial"/>
          <w:sz w:val="24"/>
          <w:szCs w:val="24"/>
        </w:rPr>
        <w:t>Powercor</w:t>
      </w:r>
      <w:proofErr w:type="spellEnd"/>
      <w:r>
        <w:rPr>
          <w:rFonts w:ascii="Book Antiqua" w:hAnsi="Book Antiqua" w:cs="Arial"/>
          <w:sz w:val="24"/>
          <w:szCs w:val="24"/>
        </w:rPr>
        <w:t>;</w:t>
      </w:r>
    </w:p>
    <w:p w14:paraId="41127395" w14:textId="77777777" w:rsidR="00DB5F29" w:rsidRDefault="00DB5F29" w:rsidP="00DB5F29">
      <w:pPr>
        <w:pStyle w:val="Heading1"/>
        <w:numPr>
          <w:ilvl w:val="0"/>
          <w:numId w:val="0"/>
        </w:numPr>
        <w:rPr>
          <w:b/>
          <w:color w:val="000000"/>
          <w:szCs w:val="24"/>
        </w:rPr>
      </w:pPr>
      <w:r>
        <w:rPr>
          <w:b/>
          <w:color w:val="000000"/>
          <w:szCs w:val="24"/>
        </w:rPr>
        <w:t xml:space="preserve">3. </w:t>
      </w:r>
      <w:r>
        <w:rPr>
          <w:b/>
          <w:color w:val="000000"/>
          <w:szCs w:val="24"/>
        </w:rPr>
        <w:tab/>
        <w:t>The Defendant</w:t>
      </w:r>
    </w:p>
    <w:p w14:paraId="7BE901B4" w14:textId="77777777" w:rsidR="00DB5F29" w:rsidRDefault="00DB5F29" w:rsidP="00DB5F29">
      <w:pPr>
        <w:spacing w:before="240"/>
        <w:rPr>
          <w:rFonts w:cs="Arial"/>
          <w:szCs w:val="24"/>
          <w:u w:val="single"/>
        </w:rPr>
      </w:pPr>
      <w:r>
        <w:rPr>
          <w:rFonts w:cs="Arial"/>
          <w:szCs w:val="24"/>
        </w:rPr>
        <w:t xml:space="preserve">The defendant to the class action is </w:t>
      </w:r>
      <w:proofErr w:type="spellStart"/>
      <w:r>
        <w:rPr>
          <w:rFonts w:cs="Arial"/>
          <w:szCs w:val="24"/>
        </w:rPr>
        <w:t>Powercor</w:t>
      </w:r>
      <w:proofErr w:type="spellEnd"/>
      <w:r>
        <w:rPr>
          <w:rFonts w:cs="Arial"/>
          <w:szCs w:val="24"/>
        </w:rPr>
        <w:t xml:space="preserve"> Australia Ltd.</w:t>
      </w:r>
    </w:p>
    <w:p w14:paraId="34F349C8" w14:textId="77777777" w:rsidR="00DB5F29" w:rsidRDefault="00DB5F29" w:rsidP="00DB5F29">
      <w:pPr>
        <w:pStyle w:val="Heading1"/>
        <w:numPr>
          <w:ilvl w:val="0"/>
          <w:numId w:val="0"/>
        </w:numPr>
        <w:rPr>
          <w:b/>
          <w:color w:val="000000"/>
          <w:szCs w:val="24"/>
        </w:rPr>
      </w:pPr>
      <w:r>
        <w:rPr>
          <w:b/>
          <w:color w:val="000000"/>
          <w:szCs w:val="24"/>
        </w:rPr>
        <w:t xml:space="preserve">4. </w:t>
      </w:r>
      <w:r>
        <w:rPr>
          <w:b/>
          <w:color w:val="000000"/>
          <w:szCs w:val="24"/>
        </w:rPr>
        <w:tab/>
        <w:t>The Allegations</w:t>
      </w:r>
    </w:p>
    <w:p w14:paraId="74624D01" w14:textId="77777777" w:rsidR="00DB5F29" w:rsidRDefault="00DB5F29" w:rsidP="00DB5F29">
      <w:pPr>
        <w:autoSpaceDE w:val="0"/>
        <w:autoSpaceDN w:val="0"/>
        <w:adjustRightInd w:val="0"/>
        <w:spacing w:before="240"/>
        <w:rPr>
          <w:rFonts w:cs="Arial"/>
          <w:szCs w:val="24"/>
        </w:rPr>
      </w:pPr>
      <w:r>
        <w:rPr>
          <w:rFonts w:cs="Arial"/>
          <w:szCs w:val="24"/>
        </w:rPr>
        <w:t xml:space="preserve">The plaintiff makes a number of allegations in the class action to which the defendants raise a </w:t>
      </w:r>
      <w:r>
        <w:rPr>
          <w:rFonts w:cs="Arial"/>
          <w:szCs w:val="24"/>
        </w:rPr>
        <w:lastRenderedPageBreak/>
        <w:t xml:space="preserve">number of responses. In summary, the plaintiff alleges and the defendant disputes that: </w:t>
      </w:r>
    </w:p>
    <w:p w14:paraId="7A3106E9" w14:textId="77777777" w:rsidR="00DB5F29" w:rsidRDefault="00DB5F29" w:rsidP="00DB5F29">
      <w:pPr>
        <w:pStyle w:val="ListParagraph"/>
        <w:numPr>
          <w:ilvl w:val="0"/>
          <w:numId w:val="5"/>
        </w:numPr>
        <w:autoSpaceDE w:val="0"/>
        <w:autoSpaceDN w:val="0"/>
        <w:adjustRightInd w:val="0"/>
        <w:spacing w:before="240" w:after="0" w:line="240" w:lineRule="auto"/>
        <w:ind w:hanging="720"/>
        <w:jc w:val="both"/>
        <w:rPr>
          <w:rFonts w:ascii="Book Antiqua" w:hAnsi="Book Antiqua" w:cs="Arial"/>
          <w:sz w:val="24"/>
          <w:szCs w:val="24"/>
        </w:rPr>
      </w:pPr>
      <w:r>
        <w:rPr>
          <w:rFonts w:ascii="Book Antiqua" w:hAnsi="Book Antiqua" w:cs="Arial"/>
          <w:sz w:val="24"/>
          <w:szCs w:val="24"/>
        </w:rPr>
        <w:t xml:space="preserve">at all material times the defendant knew or ought to have known that a discharge of electricity from </w:t>
      </w:r>
      <w:proofErr w:type="spellStart"/>
      <w:r>
        <w:rPr>
          <w:rFonts w:ascii="Book Antiqua" w:hAnsi="Book Antiqua" w:cs="Arial"/>
          <w:sz w:val="24"/>
          <w:szCs w:val="24"/>
        </w:rPr>
        <w:t>powerlines</w:t>
      </w:r>
      <w:proofErr w:type="spellEnd"/>
      <w:r>
        <w:rPr>
          <w:rFonts w:ascii="Book Antiqua" w:hAnsi="Book Antiqua" w:cs="Arial"/>
          <w:sz w:val="24"/>
          <w:szCs w:val="24"/>
        </w:rPr>
        <w:t xml:space="preserve"> could cause the emission of electricity, heat or sparks from the point of discharge and this discharge of electricity could cause ignition of flammable material in the vicinity of the point of discharge; </w:t>
      </w:r>
    </w:p>
    <w:p w14:paraId="45E31A0C" w14:textId="77777777" w:rsidR="00DB5F29" w:rsidRDefault="00DB5F29" w:rsidP="00DB5F29">
      <w:pPr>
        <w:pStyle w:val="ListParagraph"/>
        <w:numPr>
          <w:ilvl w:val="0"/>
          <w:numId w:val="5"/>
        </w:numPr>
        <w:autoSpaceDE w:val="0"/>
        <w:autoSpaceDN w:val="0"/>
        <w:adjustRightInd w:val="0"/>
        <w:spacing w:before="240" w:after="0" w:line="240" w:lineRule="auto"/>
        <w:ind w:hanging="720"/>
        <w:jc w:val="both"/>
        <w:rPr>
          <w:rFonts w:ascii="Book Antiqua" w:hAnsi="Book Antiqua" w:cs="Arial"/>
          <w:sz w:val="24"/>
          <w:szCs w:val="24"/>
        </w:rPr>
      </w:pPr>
      <w:r>
        <w:rPr>
          <w:rFonts w:ascii="Book Antiqua" w:hAnsi="Book Antiqua" w:cs="Arial"/>
          <w:sz w:val="24"/>
          <w:szCs w:val="24"/>
        </w:rPr>
        <w:t xml:space="preserve">on 17 March 2018, the defendant failed to adequately respond to reports that a </w:t>
      </w:r>
      <w:proofErr w:type="spellStart"/>
      <w:r>
        <w:rPr>
          <w:rFonts w:ascii="Book Antiqua" w:hAnsi="Book Antiqua" w:cs="Arial"/>
          <w:sz w:val="24"/>
          <w:szCs w:val="24"/>
        </w:rPr>
        <w:t>powerline</w:t>
      </w:r>
      <w:proofErr w:type="spellEnd"/>
      <w:r>
        <w:rPr>
          <w:rFonts w:ascii="Book Antiqua" w:hAnsi="Book Antiqua" w:cs="Arial"/>
          <w:sz w:val="24"/>
          <w:szCs w:val="24"/>
        </w:rPr>
        <w:t xml:space="preserve"> was down on Cross Forest Road and accordingly failed to prevent the continuing supply of electricity to the </w:t>
      </w:r>
      <w:proofErr w:type="spellStart"/>
      <w:r>
        <w:rPr>
          <w:rFonts w:ascii="Book Antiqua" w:hAnsi="Book Antiqua" w:cs="Arial"/>
          <w:sz w:val="24"/>
          <w:szCs w:val="24"/>
        </w:rPr>
        <w:t>powerline</w:t>
      </w:r>
      <w:proofErr w:type="spellEnd"/>
      <w:r>
        <w:rPr>
          <w:rFonts w:ascii="Book Antiqua" w:hAnsi="Book Antiqua" w:cs="Arial"/>
          <w:sz w:val="24"/>
          <w:szCs w:val="24"/>
        </w:rPr>
        <w:t xml:space="preserve"> within a reasonable time;</w:t>
      </w:r>
    </w:p>
    <w:p w14:paraId="346B0C83" w14:textId="77777777" w:rsidR="00DB5F29" w:rsidRDefault="00DB5F29" w:rsidP="00DB5F29">
      <w:pPr>
        <w:pStyle w:val="ListParagraph"/>
        <w:numPr>
          <w:ilvl w:val="0"/>
          <w:numId w:val="5"/>
        </w:numPr>
        <w:autoSpaceDE w:val="0"/>
        <w:autoSpaceDN w:val="0"/>
        <w:adjustRightInd w:val="0"/>
        <w:spacing w:before="240" w:after="0" w:line="240" w:lineRule="auto"/>
        <w:ind w:hanging="720"/>
        <w:jc w:val="both"/>
        <w:rPr>
          <w:rFonts w:ascii="Book Antiqua" w:hAnsi="Book Antiqua" w:cs="Arial"/>
          <w:sz w:val="24"/>
          <w:szCs w:val="24"/>
        </w:rPr>
      </w:pPr>
      <w:r>
        <w:rPr>
          <w:rFonts w:ascii="Book Antiqua" w:hAnsi="Book Antiqua" w:cs="Arial"/>
          <w:sz w:val="24"/>
          <w:szCs w:val="24"/>
        </w:rPr>
        <w:t xml:space="preserve">the Gnotuk bushfire started as a result of a </w:t>
      </w:r>
      <w:proofErr w:type="spellStart"/>
      <w:r>
        <w:rPr>
          <w:rFonts w:ascii="Book Antiqua" w:hAnsi="Book Antiqua" w:cs="Arial"/>
          <w:sz w:val="24"/>
          <w:szCs w:val="24"/>
        </w:rPr>
        <w:t>powerline</w:t>
      </w:r>
      <w:proofErr w:type="spellEnd"/>
      <w:r>
        <w:rPr>
          <w:rFonts w:ascii="Book Antiqua" w:hAnsi="Book Antiqua" w:cs="Arial"/>
          <w:sz w:val="24"/>
          <w:szCs w:val="24"/>
        </w:rPr>
        <w:t xml:space="preserve"> that broke as a consequence of a falling branch of a eucalyptus tree shortly after 9pm. At 9:05pm the defendant was notified of the broken </w:t>
      </w:r>
      <w:proofErr w:type="spellStart"/>
      <w:r>
        <w:rPr>
          <w:rFonts w:ascii="Book Antiqua" w:hAnsi="Book Antiqua" w:cs="Arial"/>
          <w:sz w:val="24"/>
          <w:szCs w:val="24"/>
        </w:rPr>
        <w:t>powerline</w:t>
      </w:r>
      <w:proofErr w:type="spellEnd"/>
      <w:r>
        <w:rPr>
          <w:rFonts w:ascii="Book Antiqua" w:hAnsi="Book Antiqua" w:cs="Arial"/>
          <w:sz w:val="24"/>
          <w:szCs w:val="24"/>
        </w:rPr>
        <w:t xml:space="preserve"> and at 9:25pm heat and sparks ejected from the fallen </w:t>
      </w:r>
      <w:proofErr w:type="spellStart"/>
      <w:r>
        <w:rPr>
          <w:rFonts w:ascii="Book Antiqua" w:hAnsi="Book Antiqua" w:cs="Arial"/>
          <w:sz w:val="24"/>
          <w:szCs w:val="24"/>
        </w:rPr>
        <w:t>powerline</w:t>
      </w:r>
      <w:proofErr w:type="spellEnd"/>
      <w:r>
        <w:rPr>
          <w:rFonts w:ascii="Book Antiqua" w:hAnsi="Book Antiqua" w:cs="Arial"/>
          <w:sz w:val="24"/>
          <w:szCs w:val="24"/>
        </w:rPr>
        <w:t xml:space="preserve"> and the sparks landed in and ignited long, dry grass near the base of the power pole. </w:t>
      </w:r>
    </w:p>
    <w:p w14:paraId="09CBC261" w14:textId="77777777" w:rsidR="00DB5F29" w:rsidRDefault="00DB5F29" w:rsidP="00DB5F29">
      <w:pPr>
        <w:spacing w:before="240"/>
        <w:rPr>
          <w:rFonts w:cs="Arial"/>
          <w:szCs w:val="24"/>
        </w:rPr>
      </w:pPr>
      <w:r>
        <w:rPr>
          <w:rFonts w:cs="Arial"/>
          <w:szCs w:val="24"/>
        </w:rPr>
        <w:t xml:space="preserve">The full allegations and responses of the parties are set out in the statement of claim and defence which may be accessed at the website http://maddenslawyers.com.au. </w:t>
      </w:r>
    </w:p>
    <w:p w14:paraId="68ECACF9" w14:textId="77777777" w:rsidR="00DB5F29" w:rsidRDefault="00DB5F29" w:rsidP="00DB5F29">
      <w:pPr>
        <w:pStyle w:val="Heading1"/>
        <w:numPr>
          <w:ilvl w:val="0"/>
          <w:numId w:val="0"/>
        </w:numPr>
        <w:rPr>
          <w:b/>
          <w:color w:val="000000"/>
          <w:szCs w:val="24"/>
        </w:rPr>
      </w:pPr>
      <w:r>
        <w:rPr>
          <w:b/>
          <w:color w:val="000000"/>
          <w:szCs w:val="24"/>
        </w:rPr>
        <w:t>5.</w:t>
      </w:r>
      <w:r>
        <w:rPr>
          <w:b/>
          <w:color w:val="000000"/>
          <w:szCs w:val="24"/>
        </w:rPr>
        <w:tab/>
        <w:t xml:space="preserve">Proposed settlement </w:t>
      </w:r>
      <w:r>
        <w:rPr>
          <w:b/>
          <w:color w:val="000000"/>
          <w:szCs w:val="24"/>
        </w:rPr>
        <w:tab/>
      </w:r>
    </w:p>
    <w:p w14:paraId="5AB4ACF7" w14:textId="77777777" w:rsidR="00DB5F29" w:rsidRDefault="00DB5F29" w:rsidP="00DB5F29">
      <w:pPr>
        <w:spacing w:before="240"/>
        <w:rPr>
          <w:rFonts w:cs="Arial"/>
          <w:szCs w:val="24"/>
        </w:rPr>
      </w:pPr>
      <w:r>
        <w:rPr>
          <w:rFonts w:cs="Arial"/>
          <w:szCs w:val="24"/>
        </w:rPr>
        <w:t xml:space="preserve">The parties have agreed to a settlement of the class action, under which the proceeding will be dismissed, with each party bearing their own legal costs. Any costs orders previously made in this proceeding will be vacated and the proceeding will not continue to trial. The defendant will be released from any claims that the plaintiff and the group members may have </w:t>
      </w:r>
      <w:r>
        <w:rPr>
          <w:szCs w:val="24"/>
        </w:rPr>
        <w:t>arising out of or relating in any way to the facts, matters or circumstances set out in the statement of claim.</w:t>
      </w:r>
    </w:p>
    <w:p w14:paraId="605C57C5" w14:textId="77777777" w:rsidR="00DB5F29" w:rsidRDefault="00DB5F29" w:rsidP="00DB5F29">
      <w:pPr>
        <w:spacing w:before="240"/>
        <w:rPr>
          <w:rFonts w:cs="Arial"/>
          <w:szCs w:val="24"/>
        </w:rPr>
      </w:pPr>
      <w:r>
        <w:rPr>
          <w:rFonts w:cs="Arial"/>
          <w:szCs w:val="24"/>
        </w:rPr>
        <w:t xml:space="preserve">The settlement cannot take effect without Court approval. The Court will consider whether or not to approve the settlement on </w:t>
      </w:r>
      <w:r>
        <w:rPr>
          <w:rFonts w:cs="Arial"/>
          <w:b/>
          <w:szCs w:val="24"/>
        </w:rPr>
        <w:t>29 July</w:t>
      </w:r>
      <w:r>
        <w:rPr>
          <w:rFonts w:cs="Arial"/>
          <w:szCs w:val="24"/>
        </w:rPr>
        <w:t xml:space="preserve"> 2019. </w:t>
      </w:r>
    </w:p>
    <w:p w14:paraId="51A00AD0" w14:textId="77777777" w:rsidR="00DB5F29" w:rsidRDefault="00DB5F29" w:rsidP="00DB5F29">
      <w:pPr>
        <w:spacing w:before="240"/>
        <w:rPr>
          <w:rFonts w:cs="Arial"/>
          <w:b/>
          <w:szCs w:val="24"/>
        </w:rPr>
      </w:pPr>
      <w:r>
        <w:rPr>
          <w:rFonts w:cs="Arial"/>
          <w:szCs w:val="24"/>
        </w:rPr>
        <w:t>If you are a group member in the proceeding and the settlement is approved, you will be bound by the settlement and you will not be able to bring any case against the defendant for any loss suffered as a result of the Gnotuk bushfire.</w:t>
      </w:r>
    </w:p>
    <w:p w14:paraId="03CBBD22" w14:textId="77777777" w:rsidR="00DB5F29" w:rsidRDefault="00DB5F29" w:rsidP="00DB5F29">
      <w:pPr>
        <w:pStyle w:val="Heading1"/>
        <w:numPr>
          <w:ilvl w:val="0"/>
          <w:numId w:val="0"/>
        </w:numPr>
        <w:rPr>
          <w:b/>
          <w:color w:val="000000"/>
          <w:szCs w:val="24"/>
        </w:rPr>
      </w:pPr>
      <w:r>
        <w:rPr>
          <w:b/>
          <w:color w:val="000000"/>
          <w:szCs w:val="24"/>
        </w:rPr>
        <w:t>6.</w:t>
      </w:r>
      <w:r>
        <w:rPr>
          <w:b/>
          <w:color w:val="000000"/>
          <w:szCs w:val="24"/>
        </w:rPr>
        <w:tab/>
        <w:t>Legal costs</w:t>
      </w:r>
    </w:p>
    <w:p w14:paraId="3A238696" w14:textId="77777777" w:rsidR="00DB5F29" w:rsidRDefault="00DB5F29" w:rsidP="00DB5F29">
      <w:pPr>
        <w:spacing w:before="240"/>
        <w:rPr>
          <w:rFonts w:cs="Arial"/>
          <w:szCs w:val="24"/>
        </w:rPr>
      </w:pPr>
      <w:r>
        <w:rPr>
          <w:rFonts w:cs="Arial"/>
          <w:szCs w:val="24"/>
        </w:rPr>
        <w:t xml:space="preserve">As Maddens Lawyers act on a ‘no-win no-fee' basis, in accordance with Maddens Lawyers Conditional Costs Agreement, you will not be required to pay any legal fees if the settlement is approved. The plaintiff’s costs of running the proceeding will be borne by Maddens Lawyers. </w:t>
      </w:r>
    </w:p>
    <w:p w14:paraId="7FEEFC09" w14:textId="77777777" w:rsidR="00DB5F29" w:rsidRDefault="00DB5F29" w:rsidP="00DB5F29">
      <w:pPr>
        <w:pStyle w:val="Heading1"/>
        <w:numPr>
          <w:ilvl w:val="0"/>
          <w:numId w:val="0"/>
        </w:numPr>
        <w:rPr>
          <w:b/>
          <w:color w:val="000000"/>
          <w:szCs w:val="24"/>
        </w:rPr>
      </w:pPr>
      <w:r>
        <w:rPr>
          <w:b/>
          <w:color w:val="000000"/>
          <w:szCs w:val="24"/>
        </w:rPr>
        <w:t>7.</w:t>
      </w:r>
      <w:r>
        <w:rPr>
          <w:b/>
          <w:color w:val="000000"/>
          <w:szCs w:val="24"/>
        </w:rPr>
        <w:tab/>
        <w:t>What You Must Do</w:t>
      </w:r>
    </w:p>
    <w:p w14:paraId="0E47D36B" w14:textId="77777777" w:rsidR="00DB5F29" w:rsidRDefault="00DB5F29" w:rsidP="00DB5F29">
      <w:pPr>
        <w:spacing w:before="240"/>
        <w:rPr>
          <w:rFonts w:cs="Arial"/>
          <w:szCs w:val="24"/>
        </w:rPr>
      </w:pPr>
      <w:r>
        <w:rPr>
          <w:rFonts w:cs="Arial"/>
          <w:szCs w:val="24"/>
        </w:rPr>
        <w:t xml:space="preserve">There are only two options which you must consider. </w:t>
      </w:r>
    </w:p>
    <w:p w14:paraId="748663F2" w14:textId="77777777" w:rsidR="00DB5F29" w:rsidRDefault="00DB5F29" w:rsidP="00DB5F29">
      <w:pPr>
        <w:spacing w:before="240"/>
        <w:ind w:left="1440" w:hanging="1440"/>
        <w:rPr>
          <w:rFonts w:cs="Arial"/>
          <w:szCs w:val="24"/>
        </w:rPr>
      </w:pPr>
      <w:r>
        <w:rPr>
          <w:rFonts w:cs="Arial"/>
          <w:b/>
          <w:szCs w:val="24"/>
        </w:rPr>
        <w:t xml:space="preserve">Option A </w:t>
      </w:r>
      <w:r>
        <w:rPr>
          <w:rFonts w:cs="Arial"/>
          <w:b/>
          <w:szCs w:val="24"/>
        </w:rPr>
        <w:tab/>
      </w:r>
      <w:r>
        <w:rPr>
          <w:rFonts w:cs="Arial"/>
          <w:b/>
          <w:i/>
          <w:szCs w:val="24"/>
        </w:rPr>
        <w:t xml:space="preserve">If you support the settlement </w:t>
      </w:r>
      <w:r>
        <w:rPr>
          <w:rFonts w:cs="Arial"/>
          <w:szCs w:val="24"/>
        </w:rPr>
        <w:t xml:space="preserve">then you do not need to do anything.  If the settlement is approved, you will be bound by the settlement and unable to bring any further legal proceedings in relation to the Gnotuk bushfire. </w:t>
      </w:r>
    </w:p>
    <w:p w14:paraId="62B51DF8" w14:textId="77777777" w:rsidR="00DB5F29" w:rsidRDefault="00DB5F29" w:rsidP="00DB5F29">
      <w:pPr>
        <w:spacing w:before="240"/>
        <w:ind w:left="1440" w:hanging="1440"/>
        <w:rPr>
          <w:rFonts w:cs="Arial"/>
          <w:szCs w:val="24"/>
        </w:rPr>
      </w:pPr>
      <w:r>
        <w:rPr>
          <w:rFonts w:cs="Arial"/>
          <w:b/>
          <w:szCs w:val="24"/>
        </w:rPr>
        <w:t>Option B</w:t>
      </w:r>
      <w:r>
        <w:rPr>
          <w:rFonts w:cs="Arial"/>
          <w:b/>
          <w:szCs w:val="24"/>
        </w:rPr>
        <w:tab/>
      </w:r>
      <w:r>
        <w:rPr>
          <w:rFonts w:cs="Arial"/>
          <w:b/>
          <w:i/>
          <w:szCs w:val="24"/>
        </w:rPr>
        <w:t xml:space="preserve">If you oppose the settlement and wish to object </w:t>
      </w:r>
      <w:r>
        <w:rPr>
          <w:rFonts w:cs="Arial"/>
          <w:szCs w:val="24"/>
        </w:rPr>
        <w:t xml:space="preserve">then you must complete the “Notice of Objection to Proposed Settlement” which is Annexure 1 to this Notice.  You must return the Notice to Maddens Lawyers before </w:t>
      </w:r>
      <w:r>
        <w:rPr>
          <w:rFonts w:cs="Arial"/>
          <w:b/>
          <w:szCs w:val="24"/>
        </w:rPr>
        <w:t xml:space="preserve">4pm </w:t>
      </w:r>
      <w:r>
        <w:rPr>
          <w:rFonts w:cs="Arial"/>
          <w:szCs w:val="24"/>
        </w:rPr>
        <w:t xml:space="preserve">on </w:t>
      </w:r>
      <w:r>
        <w:rPr>
          <w:rFonts w:cs="Arial"/>
          <w:b/>
          <w:szCs w:val="24"/>
        </w:rPr>
        <w:t>21 June 2019</w:t>
      </w:r>
      <w:r>
        <w:rPr>
          <w:rFonts w:cs="Arial"/>
          <w:szCs w:val="24"/>
        </w:rPr>
        <w:t>.</w:t>
      </w:r>
      <w:r>
        <w:rPr>
          <w:rFonts w:cs="Arial"/>
          <w:b/>
          <w:szCs w:val="24"/>
        </w:rPr>
        <w:t xml:space="preserve"> </w:t>
      </w:r>
      <w:r>
        <w:rPr>
          <w:rFonts w:cs="Arial"/>
          <w:szCs w:val="24"/>
        </w:rPr>
        <w:t xml:space="preserve">If </w:t>
      </w:r>
      <w:r>
        <w:rPr>
          <w:rFonts w:cs="Arial"/>
          <w:szCs w:val="24"/>
        </w:rPr>
        <w:lastRenderedPageBreak/>
        <w:t xml:space="preserve">you object you are entitled to attend Court on </w:t>
      </w:r>
      <w:r>
        <w:rPr>
          <w:rFonts w:cs="Arial"/>
          <w:b/>
          <w:szCs w:val="24"/>
        </w:rPr>
        <w:t>29 July 2019</w:t>
      </w:r>
      <w:r>
        <w:rPr>
          <w:rFonts w:cs="Arial"/>
          <w:szCs w:val="24"/>
        </w:rPr>
        <w:t xml:space="preserve"> when the Court considers whether to approve the proposed settlement to argue your objection.  You may need to advise the Court whether you are prepared to replace Mr Hawker as the plaintiff to continue the class action.  </w:t>
      </w:r>
    </w:p>
    <w:p w14:paraId="594B9207" w14:textId="77777777" w:rsidR="00DB5F29" w:rsidRDefault="00DB5F29" w:rsidP="00DB5F29">
      <w:pPr>
        <w:spacing w:before="240"/>
        <w:ind w:left="1440"/>
        <w:rPr>
          <w:rFonts w:cs="Arial"/>
          <w:szCs w:val="24"/>
        </w:rPr>
      </w:pPr>
      <w:r>
        <w:rPr>
          <w:rFonts w:cs="Arial"/>
          <w:b/>
          <w:szCs w:val="24"/>
        </w:rPr>
        <w:t>Please note</w:t>
      </w:r>
      <w:r>
        <w:rPr>
          <w:rFonts w:cs="Arial"/>
          <w:szCs w:val="24"/>
        </w:rPr>
        <w:t>: even if you take this Option B and object to the proposed settlement and the Court nonetheless approves the settlement, you will still be bound by the settlement.</w:t>
      </w:r>
    </w:p>
    <w:p w14:paraId="432DF5B4" w14:textId="77777777" w:rsidR="00DB5F29" w:rsidRDefault="00DB5F29" w:rsidP="00DB5F29">
      <w:pPr>
        <w:spacing w:before="240"/>
        <w:rPr>
          <w:rFonts w:cs="Arial"/>
          <w:b/>
          <w:szCs w:val="24"/>
        </w:rPr>
      </w:pPr>
      <w:r>
        <w:rPr>
          <w:rFonts w:cs="Arial"/>
          <w:szCs w:val="24"/>
        </w:rPr>
        <w:t xml:space="preserve">If you are not sure what to do, you should contact Maddens Lawyers or seek independent legal advice.  You must act quickly because the deadline for objections is </w:t>
      </w:r>
      <w:r>
        <w:rPr>
          <w:rFonts w:cs="Arial"/>
          <w:b/>
          <w:szCs w:val="24"/>
        </w:rPr>
        <w:t>4pm on 21 June 2019.</w:t>
      </w:r>
    </w:p>
    <w:p w14:paraId="5537C817" w14:textId="77777777" w:rsidR="00DB5F29" w:rsidRDefault="00DB5F29" w:rsidP="00DB5F29">
      <w:pPr>
        <w:pStyle w:val="Heading1"/>
        <w:numPr>
          <w:ilvl w:val="0"/>
          <w:numId w:val="0"/>
        </w:numPr>
        <w:rPr>
          <w:b/>
          <w:color w:val="000000"/>
          <w:szCs w:val="24"/>
        </w:rPr>
      </w:pPr>
      <w:r>
        <w:rPr>
          <w:b/>
          <w:color w:val="000000"/>
          <w:szCs w:val="24"/>
        </w:rPr>
        <w:t>8.</w:t>
      </w:r>
      <w:r>
        <w:rPr>
          <w:b/>
          <w:color w:val="000000"/>
          <w:szCs w:val="24"/>
        </w:rPr>
        <w:tab/>
        <w:t>When your objection will be considered</w:t>
      </w:r>
    </w:p>
    <w:p w14:paraId="5804020E" w14:textId="77777777" w:rsidR="00DB5F29" w:rsidRDefault="00DB5F29" w:rsidP="00DB5F29">
      <w:pPr>
        <w:spacing w:before="240"/>
        <w:rPr>
          <w:rFonts w:cs="Arial"/>
          <w:szCs w:val="24"/>
        </w:rPr>
      </w:pPr>
      <w:r>
        <w:rPr>
          <w:rFonts w:cs="Arial"/>
          <w:szCs w:val="24"/>
        </w:rPr>
        <w:t>The Court has ordered that any objections to the proposed settlement (from group members who take Option B above) will be considered by the Court at the Supreme Court, Melbourne, 210 William Street, Victoria</w:t>
      </w:r>
      <w:r>
        <w:rPr>
          <w:rFonts w:cs="Arial"/>
          <w:b/>
          <w:bCs/>
          <w:szCs w:val="24"/>
        </w:rPr>
        <w:t xml:space="preserve"> </w:t>
      </w:r>
      <w:r>
        <w:rPr>
          <w:rFonts w:cs="Arial"/>
          <w:szCs w:val="24"/>
        </w:rPr>
        <w:t xml:space="preserve">on </w:t>
      </w:r>
      <w:r>
        <w:rPr>
          <w:rFonts w:cs="Arial"/>
          <w:b/>
          <w:szCs w:val="24"/>
        </w:rPr>
        <w:t>29 July</w:t>
      </w:r>
      <w:r>
        <w:rPr>
          <w:rFonts w:cs="Arial"/>
          <w:szCs w:val="24"/>
        </w:rPr>
        <w:t xml:space="preserve"> </w:t>
      </w:r>
      <w:r>
        <w:rPr>
          <w:rFonts w:cs="Arial"/>
          <w:b/>
          <w:szCs w:val="24"/>
        </w:rPr>
        <w:t>2019</w:t>
      </w:r>
      <w:r>
        <w:rPr>
          <w:rFonts w:cs="Arial"/>
          <w:szCs w:val="24"/>
        </w:rPr>
        <w:t xml:space="preserve">. </w:t>
      </w:r>
    </w:p>
    <w:p w14:paraId="2CCFBBEA" w14:textId="77777777" w:rsidR="00DB5F29" w:rsidRDefault="00DB5F29" w:rsidP="00DB5F29">
      <w:pPr>
        <w:spacing w:before="240"/>
        <w:rPr>
          <w:rFonts w:cs="Arial"/>
          <w:szCs w:val="24"/>
        </w:rPr>
      </w:pPr>
      <w:r>
        <w:rPr>
          <w:rFonts w:cs="Arial"/>
          <w:szCs w:val="24"/>
        </w:rPr>
        <w:t xml:space="preserve">If there are no objections, or the objections are overruled, then the proposed settlement will be given final approval by the Court.  It will then take effect and the proceeding will be considered finalised.  </w:t>
      </w:r>
    </w:p>
    <w:p w14:paraId="3868B7E8" w14:textId="77777777" w:rsidR="00DB5F29" w:rsidRDefault="00DB5F29" w:rsidP="00DB5F29">
      <w:pPr>
        <w:pStyle w:val="Heading1"/>
        <w:numPr>
          <w:ilvl w:val="0"/>
          <w:numId w:val="0"/>
        </w:numPr>
        <w:rPr>
          <w:b/>
          <w:color w:val="000000"/>
          <w:szCs w:val="24"/>
        </w:rPr>
      </w:pPr>
      <w:r>
        <w:rPr>
          <w:b/>
          <w:color w:val="000000"/>
          <w:szCs w:val="24"/>
        </w:rPr>
        <w:t>9.</w:t>
      </w:r>
      <w:r>
        <w:rPr>
          <w:b/>
          <w:color w:val="000000"/>
          <w:szCs w:val="24"/>
        </w:rPr>
        <w:tab/>
        <w:t>Addresses for questions</w:t>
      </w:r>
    </w:p>
    <w:p w14:paraId="24640617" w14:textId="77777777" w:rsidR="00DB5F29" w:rsidRDefault="00DB5F29" w:rsidP="00DB5F29">
      <w:pPr>
        <w:spacing w:before="240"/>
        <w:rPr>
          <w:rFonts w:cs="Arial"/>
          <w:szCs w:val="24"/>
        </w:rPr>
      </w:pPr>
      <w:r>
        <w:rPr>
          <w:rFonts w:cs="Arial"/>
          <w:szCs w:val="24"/>
        </w:rPr>
        <w:t xml:space="preserve">If you have any questions about the settlement or this notice, you can contact Maddens Lawyers at any time, or seek your own independent legal advice. </w:t>
      </w:r>
    </w:p>
    <w:p w14:paraId="2C4A6CC9" w14:textId="77777777" w:rsidR="00DB5F29" w:rsidRDefault="00DB5F29" w:rsidP="00DB5F29">
      <w:pPr>
        <w:spacing w:before="360"/>
        <w:rPr>
          <w:rFonts w:cs="Arial"/>
          <w:b/>
          <w:szCs w:val="24"/>
        </w:rPr>
      </w:pPr>
      <w:r>
        <w:rPr>
          <w:rFonts w:cs="Arial"/>
          <w:b/>
          <w:szCs w:val="24"/>
        </w:rPr>
        <w:t xml:space="preserve">Contact details for Maddens Lawyers </w:t>
      </w:r>
      <w:r>
        <w:rPr>
          <w:rFonts w:cs="Arial"/>
          <w:b/>
          <w:szCs w:val="24"/>
        </w:rPr>
        <w:tab/>
      </w:r>
    </w:p>
    <w:p w14:paraId="3E3C18FC" w14:textId="77777777" w:rsidR="00DB5F29" w:rsidRDefault="00DB5F29" w:rsidP="00DB5F29">
      <w:pPr>
        <w:spacing w:line="276" w:lineRule="auto"/>
        <w:rPr>
          <w:rFonts w:cs="Arial"/>
          <w:szCs w:val="24"/>
        </w:rPr>
      </w:pPr>
      <w:proofErr w:type="spellStart"/>
      <w:r>
        <w:rPr>
          <w:rFonts w:cs="Arial"/>
          <w:szCs w:val="24"/>
        </w:rPr>
        <w:t>Att</w:t>
      </w:r>
      <w:proofErr w:type="spellEnd"/>
      <w:r>
        <w:rPr>
          <w:rFonts w:cs="Arial"/>
          <w:szCs w:val="24"/>
        </w:rPr>
        <w:t>: Jess Walker</w:t>
      </w:r>
    </w:p>
    <w:p w14:paraId="22975DB4" w14:textId="77777777" w:rsidR="00DB5F29" w:rsidRDefault="00DB5F29" w:rsidP="00DB5F29">
      <w:pPr>
        <w:spacing w:line="276" w:lineRule="auto"/>
        <w:rPr>
          <w:rFonts w:cs="Arial"/>
          <w:szCs w:val="24"/>
        </w:rPr>
      </w:pPr>
      <w:r>
        <w:rPr>
          <w:rFonts w:cs="Arial"/>
          <w:szCs w:val="24"/>
        </w:rPr>
        <w:t>Gnotuk Bushfire Class Action</w:t>
      </w:r>
    </w:p>
    <w:p w14:paraId="23F29A49" w14:textId="77777777" w:rsidR="00DB5F29" w:rsidRDefault="00DB5F29" w:rsidP="00DB5F29">
      <w:pPr>
        <w:spacing w:line="276" w:lineRule="auto"/>
        <w:rPr>
          <w:rFonts w:cs="Arial"/>
          <w:szCs w:val="24"/>
        </w:rPr>
      </w:pPr>
      <w:r>
        <w:rPr>
          <w:rFonts w:cs="Arial"/>
          <w:szCs w:val="24"/>
        </w:rPr>
        <w:t>Maddens Lawyers</w:t>
      </w:r>
    </w:p>
    <w:p w14:paraId="2D159878" w14:textId="77777777" w:rsidR="00DB5F29" w:rsidRDefault="00DB5F29" w:rsidP="00DB5F29">
      <w:pPr>
        <w:spacing w:line="276" w:lineRule="auto"/>
        <w:rPr>
          <w:rFonts w:cs="Arial"/>
          <w:szCs w:val="24"/>
        </w:rPr>
      </w:pPr>
      <w:r>
        <w:rPr>
          <w:rFonts w:cs="Arial"/>
          <w:szCs w:val="24"/>
        </w:rPr>
        <w:t>219 Koroit Street</w:t>
      </w:r>
    </w:p>
    <w:p w14:paraId="3087050B" w14:textId="77777777" w:rsidR="00DB5F29" w:rsidRDefault="00DB5F29" w:rsidP="00DB5F29">
      <w:pPr>
        <w:spacing w:line="276" w:lineRule="auto"/>
        <w:rPr>
          <w:rFonts w:cs="Arial"/>
          <w:szCs w:val="24"/>
        </w:rPr>
      </w:pPr>
      <w:r>
        <w:rPr>
          <w:rFonts w:cs="Arial"/>
          <w:szCs w:val="24"/>
        </w:rPr>
        <w:t>Warrnambool VIC 3280</w:t>
      </w:r>
    </w:p>
    <w:p w14:paraId="46D93B7B" w14:textId="77777777" w:rsidR="00DB5F29" w:rsidRDefault="00DB5F29" w:rsidP="00DB5F29">
      <w:pPr>
        <w:spacing w:line="276" w:lineRule="auto"/>
        <w:rPr>
          <w:rFonts w:cs="Arial"/>
          <w:szCs w:val="24"/>
        </w:rPr>
      </w:pPr>
      <w:r>
        <w:rPr>
          <w:rFonts w:cs="Arial"/>
          <w:szCs w:val="24"/>
        </w:rPr>
        <w:t>Telephone: (03) 5560 2000</w:t>
      </w:r>
    </w:p>
    <w:p w14:paraId="16CBB846" w14:textId="77777777" w:rsidR="00DB5F29" w:rsidRDefault="00DB5F29" w:rsidP="00DB5F29">
      <w:pPr>
        <w:spacing w:line="276" w:lineRule="auto"/>
      </w:pPr>
      <w:r>
        <w:rPr>
          <w:rFonts w:cs="Arial"/>
          <w:szCs w:val="24"/>
        </w:rPr>
        <w:t xml:space="preserve">Email: </w:t>
      </w:r>
      <w:hyperlink r:id="rId5" w:history="1">
        <w:r>
          <w:rPr>
            <w:rStyle w:val="Hyperlink"/>
            <w:rFonts w:cs="Arial"/>
            <w:szCs w:val="24"/>
          </w:rPr>
          <w:t>jlw@maddenslawyers.com.au</w:t>
        </w:r>
      </w:hyperlink>
    </w:p>
    <w:p w14:paraId="2069200F" w14:textId="77777777" w:rsidR="00DB5F29" w:rsidRDefault="00DB5F29" w:rsidP="00DB5F29">
      <w:pPr>
        <w:spacing w:line="276" w:lineRule="auto"/>
        <w:rPr>
          <w:rFonts w:cs="Arial"/>
          <w:szCs w:val="24"/>
        </w:rPr>
      </w:pPr>
    </w:p>
    <w:p w14:paraId="7BFFB5FD" w14:textId="77777777" w:rsidR="00DB5F29" w:rsidRPr="002B3314" w:rsidRDefault="00DB5F29" w:rsidP="00DB5F29">
      <w:pPr>
        <w:spacing w:line="276" w:lineRule="auto"/>
        <w:rPr>
          <w:rFonts w:cs="Arial"/>
          <w:szCs w:val="24"/>
        </w:rPr>
      </w:pPr>
      <w:r>
        <w:rPr>
          <w:rFonts w:cs="Arial"/>
          <w:b/>
          <w:szCs w:val="24"/>
        </w:rPr>
        <w:t>Contact details for the Supreme Court of Victoria</w:t>
      </w:r>
    </w:p>
    <w:p w14:paraId="1BF5A33F" w14:textId="77777777" w:rsidR="00DB5F29" w:rsidRDefault="00DB5F29" w:rsidP="00DB5F29">
      <w:pPr>
        <w:keepNext/>
        <w:spacing w:line="276" w:lineRule="auto"/>
        <w:rPr>
          <w:rFonts w:cs="Arial"/>
          <w:szCs w:val="24"/>
        </w:rPr>
      </w:pPr>
      <w:r>
        <w:rPr>
          <w:rFonts w:cs="Arial"/>
          <w:szCs w:val="24"/>
        </w:rPr>
        <w:t xml:space="preserve">Note: Questions you have concerning the matters contained in this notice should </w:t>
      </w:r>
      <w:r>
        <w:rPr>
          <w:rFonts w:cs="Arial"/>
          <w:b/>
          <w:szCs w:val="24"/>
          <w:u w:val="single"/>
        </w:rPr>
        <w:t>not</w:t>
      </w:r>
      <w:r>
        <w:rPr>
          <w:rFonts w:cs="Arial"/>
          <w:szCs w:val="24"/>
        </w:rPr>
        <w:t xml:space="preserve"> be directed to the Court. </w:t>
      </w:r>
    </w:p>
    <w:p w14:paraId="398476F0" w14:textId="77777777" w:rsidR="00DB5F29" w:rsidRDefault="00DB5F29" w:rsidP="00DB5F29">
      <w:pPr>
        <w:keepNext/>
        <w:spacing w:line="276" w:lineRule="auto"/>
        <w:rPr>
          <w:rFonts w:cs="Arial"/>
          <w:szCs w:val="24"/>
        </w:rPr>
      </w:pPr>
      <w:proofErr w:type="spellStart"/>
      <w:r>
        <w:rPr>
          <w:rFonts w:cs="Arial"/>
          <w:szCs w:val="24"/>
        </w:rPr>
        <w:t>Att</w:t>
      </w:r>
      <w:proofErr w:type="spellEnd"/>
      <w:r>
        <w:rPr>
          <w:rFonts w:cs="Arial"/>
          <w:szCs w:val="24"/>
        </w:rPr>
        <w:t>: Deputy Registrar –</w:t>
      </w:r>
      <w:r>
        <w:rPr>
          <w:szCs w:val="24"/>
        </w:rPr>
        <w:t> </w:t>
      </w:r>
      <w:r>
        <w:rPr>
          <w:rFonts w:cs="Arial"/>
          <w:szCs w:val="24"/>
        </w:rPr>
        <w:t>Common Law</w:t>
      </w:r>
    </w:p>
    <w:p w14:paraId="29D3A0DE" w14:textId="77777777" w:rsidR="00DB5F29" w:rsidRDefault="00DB5F29" w:rsidP="00DB5F29">
      <w:pPr>
        <w:keepNext/>
        <w:spacing w:line="276" w:lineRule="auto"/>
        <w:rPr>
          <w:rFonts w:cs="Arial"/>
          <w:szCs w:val="24"/>
        </w:rPr>
      </w:pPr>
      <w:r>
        <w:rPr>
          <w:rFonts w:cs="Arial"/>
          <w:szCs w:val="24"/>
        </w:rPr>
        <w:t>Supreme Court</w:t>
      </w:r>
    </w:p>
    <w:p w14:paraId="36CF29A9" w14:textId="77777777" w:rsidR="00DB5F29" w:rsidRDefault="00DB5F29" w:rsidP="00DB5F29">
      <w:pPr>
        <w:keepNext/>
        <w:spacing w:line="276" w:lineRule="auto"/>
        <w:rPr>
          <w:rFonts w:cs="Arial"/>
          <w:szCs w:val="24"/>
        </w:rPr>
      </w:pPr>
      <w:r>
        <w:rPr>
          <w:rFonts w:cs="Arial"/>
          <w:szCs w:val="24"/>
        </w:rPr>
        <w:t>Ground Floor, 436 Lonsdale Street, Melbourne</w:t>
      </w:r>
      <w:r>
        <w:rPr>
          <w:rFonts w:cs="Arial"/>
          <w:b/>
          <w:bCs/>
          <w:szCs w:val="24"/>
        </w:rPr>
        <w:t xml:space="preserve"> </w:t>
      </w:r>
      <w:r>
        <w:rPr>
          <w:rFonts w:cs="Arial"/>
          <w:szCs w:val="24"/>
        </w:rPr>
        <w:t>3000</w:t>
      </w:r>
    </w:p>
    <w:p w14:paraId="447DF709" w14:textId="77777777" w:rsidR="00DB5F29" w:rsidRDefault="00DB5F29" w:rsidP="00DB5F29">
      <w:pPr>
        <w:keepNext/>
        <w:spacing w:line="276" w:lineRule="auto"/>
        <w:rPr>
          <w:rFonts w:cs="Arial"/>
          <w:szCs w:val="24"/>
        </w:rPr>
      </w:pPr>
      <w:r>
        <w:rPr>
          <w:rFonts w:cs="Arial"/>
          <w:szCs w:val="24"/>
        </w:rPr>
        <w:t>Telephone: 03 9603 9300</w:t>
      </w:r>
      <w:r>
        <w:rPr>
          <w:rFonts w:cs="Arial"/>
          <w:color w:val="282828"/>
          <w:szCs w:val="24"/>
        </w:rPr>
        <w:t> </w:t>
      </w:r>
    </w:p>
    <w:p w14:paraId="2F7AE86A" w14:textId="77777777" w:rsidR="00DB5F29" w:rsidRDefault="00DB5F29" w:rsidP="00DB5F29">
      <w:pPr>
        <w:keepNext/>
        <w:spacing w:line="276" w:lineRule="auto"/>
        <w:rPr>
          <w:rFonts w:cs="Arial"/>
          <w:szCs w:val="24"/>
        </w:rPr>
      </w:pPr>
      <w:r>
        <w:rPr>
          <w:rFonts w:cs="Arial"/>
          <w:szCs w:val="24"/>
        </w:rPr>
        <w:t xml:space="preserve">Email: </w:t>
      </w:r>
      <w:hyperlink r:id="rId6" w:history="1">
        <w:r>
          <w:rPr>
            <w:rStyle w:val="Hyperlink"/>
            <w:rFonts w:cs="Arial"/>
            <w:szCs w:val="24"/>
          </w:rPr>
          <w:t>cldclassactions@supremecourt.vic.gov.au</w:t>
        </w:r>
      </w:hyperlink>
    </w:p>
    <w:p w14:paraId="193303AD" w14:textId="77777777" w:rsidR="00DB5F29" w:rsidRDefault="00DB5F29" w:rsidP="00DB5F29">
      <w:pPr>
        <w:widowControl/>
        <w:spacing w:after="240" w:line="312" w:lineRule="auto"/>
        <w:jc w:val="left"/>
        <w:rPr>
          <w:szCs w:val="24"/>
        </w:rPr>
      </w:pPr>
    </w:p>
    <w:p w14:paraId="5520BD2B" w14:textId="77777777" w:rsidR="00DB5F29" w:rsidRDefault="00DB5F29" w:rsidP="00DB5F29">
      <w:pPr>
        <w:widowControl/>
        <w:spacing w:after="240" w:line="312" w:lineRule="auto"/>
        <w:jc w:val="left"/>
        <w:rPr>
          <w:szCs w:val="24"/>
        </w:rPr>
      </w:pPr>
    </w:p>
    <w:p w14:paraId="6405F2BC" w14:textId="77777777" w:rsidR="00DB5F29" w:rsidRDefault="00DB5F29" w:rsidP="00DB5F29">
      <w:pPr>
        <w:spacing w:before="240"/>
        <w:jc w:val="center"/>
        <w:rPr>
          <w:rFonts w:cs="Arial"/>
          <w:b/>
          <w:szCs w:val="24"/>
        </w:rPr>
      </w:pPr>
      <w:r>
        <w:rPr>
          <w:rFonts w:cs="Arial"/>
          <w:b/>
          <w:szCs w:val="24"/>
        </w:rPr>
        <w:lastRenderedPageBreak/>
        <w:t xml:space="preserve">Hawker v </w:t>
      </w:r>
      <w:proofErr w:type="spellStart"/>
      <w:r>
        <w:rPr>
          <w:rFonts w:cs="Arial"/>
          <w:b/>
          <w:szCs w:val="24"/>
        </w:rPr>
        <w:t>Powercor</w:t>
      </w:r>
      <w:proofErr w:type="spellEnd"/>
      <w:r>
        <w:rPr>
          <w:rFonts w:cs="Arial"/>
          <w:b/>
          <w:szCs w:val="24"/>
        </w:rPr>
        <w:t xml:space="preserve"> Australia Ltd S CI 2018 01833</w:t>
      </w:r>
    </w:p>
    <w:p w14:paraId="533E0783" w14:textId="77777777" w:rsidR="00DB5F29" w:rsidRDefault="00DB5F29" w:rsidP="00DB5F29">
      <w:pPr>
        <w:spacing w:before="240"/>
        <w:jc w:val="center"/>
        <w:rPr>
          <w:rFonts w:cs="Arial"/>
          <w:i/>
          <w:szCs w:val="24"/>
        </w:rPr>
      </w:pPr>
      <w:proofErr w:type="spellStart"/>
      <w:r>
        <w:rPr>
          <w:rFonts w:cs="Arial"/>
          <w:i/>
          <w:szCs w:val="24"/>
        </w:rPr>
        <w:t>Gntouk</w:t>
      </w:r>
      <w:proofErr w:type="spellEnd"/>
      <w:r>
        <w:rPr>
          <w:rFonts w:cs="Arial"/>
          <w:i/>
          <w:szCs w:val="24"/>
        </w:rPr>
        <w:t xml:space="preserve"> Bushfire Class Action</w:t>
      </w:r>
    </w:p>
    <w:p w14:paraId="0DB3180A" w14:textId="77777777" w:rsidR="00DB5F29" w:rsidRDefault="00DB5F29" w:rsidP="00DB5F29">
      <w:pPr>
        <w:spacing w:before="240"/>
        <w:rPr>
          <w:rFonts w:cs="Arial"/>
          <w:i/>
          <w:szCs w:val="24"/>
        </w:rPr>
      </w:pPr>
    </w:p>
    <w:p w14:paraId="2AADFD3E" w14:textId="77777777" w:rsidR="00DB5F29" w:rsidRDefault="00DB5F29" w:rsidP="00DB5F29">
      <w:pPr>
        <w:spacing w:before="240"/>
        <w:rPr>
          <w:rFonts w:cs="Arial"/>
          <w:b/>
          <w:szCs w:val="24"/>
        </w:rPr>
      </w:pPr>
      <w:r>
        <w:rPr>
          <w:rFonts w:cs="Arial"/>
          <w:b/>
          <w:i/>
          <w:szCs w:val="24"/>
        </w:rPr>
        <w:tab/>
      </w:r>
      <w:r>
        <w:rPr>
          <w:rFonts w:cs="Arial"/>
          <w:b/>
          <w:szCs w:val="24"/>
        </w:rPr>
        <w:t xml:space="preserve">NOTICE OF </w:t>
      </w:r>
      <w:r>
        <w:rPr>
          <w:rFonts w:cs="Arial"/>
          <w:b/>
          <w:szCs w:val="24"/>
          <w:u w:val="single"/>
        </w:rPr>
        <w:t>OBJECTION</w:t>
      </w:r>
      <w:r>
        <w:rPr>
          <w:rFonts w:cs="Arial"/>
          <w:b/>
          <w:szCs w:val="24"/>
        </w:rPr>
        <w:t xml:space="preserve"> TO PROPOSED SETTLEMENT</w:t>
      </w:r>
    </w:p>
    <w:p w14:paraId="6FD9038B" w14:textId="77777777" w:rsidR="00DB5F29" w:rsidRDefault="00DB5F29" w:rsidP="00DB5F29">
      <w:pPr>
        <w:spacing w:before="240"/>
        <w:rPr>
          <w:rFonts w:cs="Arial"/>
          <w:szCs w:val="24"/>
        </w:rPr>
      </w:pPr>
    </w:p>
    <w:p w14:paraId="7369EB65" w14:textId="77777777" w:rsidR="00DB5F29" w:rsidRDefault="00DB5F29" w:rsidP="00DB5F29">
      <w:pPr>
        <w:spacing w:before="240"/>
        <w:rPr>
          <w:rFonts w:cs="Arial"/>
          <w:szCs w:val="24"/>
        </w:rPr>
      </w:pPr>
      <w:r>
        <w:rPr>
          <w:rFonts w:cs="Arial"/>
          <w:szCs w:val="24"/>
        </w:rPr>
        <w:t>The person identified below:</w:t>
      </w:r>
    </w:p>
    <w:p w14:paraId="4178844B" w14:textId="77777777" w:rsidR="00DB5F29" w:rsidRDefault="00DB5F29" w:rsidP="00DB5F29">
      <w:pPr>
        <w:widowControl/>
        <w:numPr>
          <w:ilvl w:val="0"/>
          <w:numId w:val="6"/>
        </w:numPr>
        <w:spacing w:before="240" w:after="120" w:line="240" w:lineRule="auto"/>
        <w:ind w:hanging="720"/>
        <w:rPr>
          <w:rFonts w:eastAsia="Calibri" w:cs="Arial"/>
          <w:szCs w:val="24"/>
        </w:rPr>
      </w:pPr>
      <w:r>
        <w:rPr>
          <w:rFonts w:eastAsia="Calibri" w:cs="Arial"/>
          <w:szCs w:val="24"/>
        </w:rPr>
        <w:t>was affected by the Gnotuk bushfire; and</w:t>
      </w:r>
    </w:p>
    <w:p w14:paraId="4777FBCD" w14:textId="77777777" w:rsidR="00DB5F29" w:rsidRDefault="00DB5F29" w:rsidP="00DB5F29">
      <w:pPr>
        <w:widowControl/>
        <w:numPr>
          <w:ilvl w:val="0"/>
          <w:numId w:val="6"/>
        </w:numPr>
        <w:spacing w:before="240" w:after="120" w:line="240" w:lineRule="auto"/>
        <w:ind w:hanging="720"/>
        <w:rPr>
          <w:rFonts w:eastAsia="Calibri" w:cs="Arial"/>
          <w:szCs w:val="24"/>
        </w:rPr>
      </w:pPr>
      <w:r>
        <w:rPr>
          <w:rFonts w:eastAsia="Calibri" w:cs="Arial"/>
          <w:szCs w:val="24"/>
        </w:rPr>
        <w:t>is a group member in this class action; and</w:t>
      </w:r>
    </w:p>
    <w:p w14:paraId="6103B70B" w14:textId="77777777" w:rsidR="00DB5F29" w:rsidRDefault="00DB5F29" w:rsidP="00DB5F29">
      <w:pPr>
        <w:widowControl/>
        <w:numPr>
          <w:ilvl w:val="0"/>
          <w:numId w:val="6"/>
        </w:numPr>
        <w:spacing w:before="240" w:after="120" w:line="240" w:lineRule="auto"/>
        <w:ind w:hanging="720"/>
        <w:rPr>
          <w:rFonts w:eastAsia="Calibri" w:cs="Arial"/>
          <w:szCs w:val="24"/>
        </w:rPr>
      </w:pPr>
      <w:r>
        <w:rPr>
          <w:rFonts w:eastAsia="Calibri" w:cs="Arial"/>
          <w:szCs w:val="24"/>
        </w:rPr>
        <w:t xml:space="preserve">wishes to object to the proposed settlement of the class action. </w:t>
      </w:r>
    </w:p>
    <w:p w14:paraId="66921D73" w14:textId="77777777" w:rsidR="00DB5F29" w:rsidRDefault="00DB5F29" w:rsidP="00DB5F29">
      <w:pPr>
        <w:spacing w:before="240"/>
        <w:rPr>
          <w:rFonts w:cs="Arial"/>
          <w:szCs w:val="24"/>
        </w:rPr>
      </w:pPr>
    </w:p>
    <w:p w14:paraId="0E80B9AB" w14:textId="77777777" w:rsidR="00DB5F29" w:rsidRDefault="00DB5F29" w:rsidP="00DB5F29">
      <w:pPr>
        <w:spacing w:before="240"/>
        <w:rPr>
          <w:rFonts w:cs="Arial"/>
          <w:szCs w:val="24"/>
        </w:rPr>
      </w:pPr>
      <w:r>
        <w:rPr>
          <w:rFonts w:cs="Arial"/>
          <w:szCs w:val="24"/>
        </w:rPr>
        <w:t>The group member’s contact details are as follows:</w:t>
      </w:r>
    </w:p>
    <w:p w14:paraId="7B5F9661" w14:textId="77777777" w:rsidR="00DB5F29" w:rsidRDefault="00DB5F29" w:rsidP="00DB5F29">
      <w:pPr>
        <w:spacing w:line="276" w:lineRule="auto"/>
        <w:rPr>
          <w:rFonts w:cs="Arial"/>
          <w:szCs w:val="24"/>
        </w:rPr>
      </w:pPr>
    </w:p>
    <w:tbl>
      <w:tblPr>
        <w:tblW w:w="0" w:type="auto"/>
        <w:tblLook w:val="04A0" w:firstRow="1" w:lastRow="0" w:firstColumn="1" w:lastColumn="0" w:noHBand="0" w:noVBand="1"/>
      </w:tblPr>
      <w:tblGrid>
        <w:gridCol w:w="4621"/>
        <w:gridCol w:w="4621"/>
      </w:tblGrid>
      <w:tr w:rsidR="00DB5F29" w:rsidRPr="00F7573B" w14:paraId="21100249" w14:textId="77777777" w:rsidTr="002369C1">
        <w:tc>
          <w:tcPr>
            <w:tcW w:w="4621" w:type="dxa"/>
            <w:shd w:val="clear" w:color="auto" w:fill="auto"/>
          </w:tcPr>
          <w:p w14:paraId="1D190F76" w14:textId="77777777" w:rsidR="00DB5F29" w:rsidRPr="00F7573B" w:rsidRDefault="00DB5F29" w:rsidP="002369C1">
            <w:pPr>
              <w:spacing w:line="276" w:lineRule="auto"/>
              <w:rPr>
                <w:rFonts w:cs="Arial"/>
                <w:szCs w:val="24"/>
                <w:lang w:eastAsia="en-AU"/>
              </w:rPr>
            </w:pPr>
            <w:r w:rsidRPr="00F7573B">
              <w:rPr>
                <w:rFonts w:cs="Arial"/>
                <w:szCs w:val="24"/>
                <w:lang w:eastAsia="en-AU"/>
              </w:rPr>
              <w:t>Name of group member:</w:t>
            </w:r>
          </w:p>
          <w:p w14:paraId="6572DE08" w14:textId="77777777" w:rsidR="00DB5F29" w:rsidRPr="00F7573B" w:rsidRDefault="00DB5F29" w:rsidP="002369C1">
            <w:pPr>
              <w:spacing w:line="276" w:lineRule="auto"/>
              <w:rPr>
                <w:rFonts w:cs="Arial"/>
                <w:szCs w:val="24"/>
                <w:lang w:eastAsia="en-AU"/>
              </w:rPr>
            </w:pPr>
          </w:p>
        </w:tc>
        <w:tc>
          <w:tcPr>
            <w:tcW w:w="4621" w:type="dxa"/>
            <w:shd w:val="clear" w:color="auto" w:fill="auto"/>
          </w:tcPr>
          <w:p w14:paraId="02BCD3A5" w14:textId="77777777" w:rsidR="00DB5F29" w:rsidRPr="00F7573B" w:rsidRDefault="00DB5F29" w:rsidP="002369C1">
            <w:pPr>
              <w:spacing w:line="276" w:lineRule="auto"/>
              <w:rPr>
                <w:rFonts w:cs="Arial"/>
                <w:szCs w:val="24"/>
                <w:lang w:eastAsia="en-AU"/>
              </w:rPr>
            </w:pPr>
          </w:p>
        </w:tc>
      </w:tr>
      <w:tr w:rsidR="00DB5F29" w:rsidRPr="00F7573B" w14:paraId="5BF72BEE" w14:textId="77777777" w:rsidTr="002369C1">
        <w:tc>
          <w:tcPr>
            <w:tcW w:w="4621" w:type="dxa"/>
            <w:shd w:val="clear" w:color="auto" w:fill="auto"/>
          </w:tcPr>
          <w:p w14:paraId="7E347DD7" w14:textId="77777777" w:rsidR="00DB5F29" w:rsidRPr="00F7573B" w:rsidRDefault="00DB5F29" w:rsidP="002369C1">
            <w:pPr>
              <w:spacing w:line="276" w:lineRule="auto"/>
              <w:rPr>
                <w:rFonts w:cs="Arial"/>
                <w:szCs w:val="24"/>
                <w:lang w:eastAsia="en-AU"/>
              </w:rPr>
            </w:pPr>
            <w:r w:rsidRPr="00F7573B">
              <w:rPr>
                <w:rFonts w:cs="Arial"/>
                <w:szCs w:val="24"/>
                <w:lang w:eastAsia="en-AU"/>
              </w:rPr>
              <w:t>Telephone number:</w:t>
            </w:r>
          </w:p>
          <w:p w14:paraId="3ECC9159" w14:textId="77777777" w:rsidR="00DB5F29" w:rsidRPr="00F7573B" w:rsidRDefault="00DB5F29" w:rsidP="002369C1">
            <w:pPr>
              <w:spacing w:line="276" w:lineRule="auto"/>
              <w:rPr>
                <w:rFonts w:cs="Arial"/>
                <w:szCs w:val="24"/>
                <w:lang w:eastAsia="en-AU"/>
              </w:rPr>
            </w:pPr>
          </w:p>
        </w:tc>
        <w:tc>
          <w:tcPr>
            <w:tcW w:w="4621" w:type="dxa"/>
            <w:shd w:val="clear" w:color="auto" w:fill="auto"/>
          </w:tcPr>
          <w:p w14:paraId="48F0E111" w14:textId="77777777" w:rsidR="00DB5F29" w:rsidRPr="00F7573B" w:rsidRDefault="00DB5F29" w:rsidP="002369C1">
            <w:pPr>
              <w:spacing w:line="276" w:lineRule="auto"/>
              <w:rPr>
                <w:rFonts w:cs="Arial"/>
                <w:szCs w:val="24"/>
                <w:lang w:eastAsia="en-AU"/>
              </w:rPr>
            </w:pPr>
          </w:p>
        </w:tc>
      </w:tr>
      <w:tr w:rsidR="00DB5F29" w:rsidRPr="00F7573B" w14:paraId="7B729DF2" w14:textId="77777777" w:rsidTr="002369C1">
        <w:trPr>
          <w:trHeight w:val="547"/>
        </w:trPr>
        <w:tc>
          <w:tcPr>
            <w:tcW w:w="4621" w:type="dxa"/>
            <w:shd w:val="clear" w:color="auto" w:fill="auto"/>
          </w:tcPr>
          <w:p w14:paraId="345D32BC" w14:textId="77777777" w:rsidR="00DB5F29" w:rsidRPr="00F7573B" w:rsidRDefault="00DB5F29" w:rsidP="002369C1">
            <w:pPr>
              <w:spacing w:line="276" w:lineRule="auto"/>
              <w:rPr>
                <w:rFonts w:cs="Arial"/>
                <w:szCs w:val="24"/>
                <w:lang w:eastAsia="en-AU"/>
              </w:rPr>
            </w:pPr>
            <w:r w:rsidRPr="00F7573B">
              <w:rPr>
                <w:rFonts w:cs="Arial"/>
                <w:szCs w:val="24"/>
                <w:lang w:eastAsia="en-AU"/>
              </w:rPr>
              <w:t>Postal address:</w:t>
            </w:r>
          </w:p>
          <w:p w14:paraId="76703800" w14:textId="77777777" w:rsidR="00DB5F29" w:rsidRPr="00F7573B" w:rsidRDefault="00DB5F29" w:rsidP="002369C1">
            <w:pPr>
              <w:spacing w:line="276" w:lineRule="auto"/>
              <w:rPr>
                <w:rFonts w:cs="Arial"/>
                <w:szCs w:val="24"/>
                <w:lang w:eastAsia="en-AU"/>
              </w:rPr>
            </w:pPr>
          </w:p>
        </w:tc>
        <w:tc>
          <w:tcPr>
            <w:tcW w:w="4621" w:type="dxa"/>
            <w:shd w:val="clear" w:color="auto" w:fill="auto"/>
          </w:tcPr>
          <w:p w14:paraId="4A2152CF" w14:textId="77777777" w:rsidR="00DB5F29" w:rsidRPr="00F7573B" w:rsidRDefault="00DB5F29" w:rsidP="002369C1">
            <w:pPr>
              <w:spacing w:line="276" w:lineRule="auto"/>
              <w:rPr>
                <w:rFonts w:cs="Arial"/>
                <w:szCs w:val="24"/>
                <w:lang w:eastAsia="en-AU"/>
              </w:rPr>
            </w:pPr>
          </w:p>
        </w:tc>
      </w:tr>
      <w:tr w:rsidR="00DB5F29" w:rsidRPr="00F7573B" w14:paraId="28C686FB" w14:textId="77777777" w:rsidTr="002369C1">
        <w:tc>
          <w:tcPr>
            <w:tcW w:w="4621" w:type="dxa"/>
            <w:shd w:val="clear" w:color="auto" w:fill="auto"/>
          </w:tcPr>
          <w:p w14:paraId="77224971" w14:textId="77777777" w:rsidR="00DB5F29" w:rsidRPr="00F7573B" w:rsidRDefault="00DB5F29" w:rsidP="002369C1">
            <w:pPr>
              <w:spacing w:line="276" w:lineRule="auto"/>
              <w:rPr>
                <w:rFonts w:cs="Arial"/>
                <w:szCs w:val="24"/>
                <w:lang w:eastAsia="en-AU"/>
              </w:rPr>
            </w:pPr>
            <w:r w:rsidRPr="00F7573B">
              <w:rPr>
                <w:rFonts w:cs="Arial"/>
                <w:szCs w:val="24"/>
                <w:lang w:eastAsia="en-AU"/>
              </w:rPr>
              <w:t>Email address:</w:t>
            </w:r>
          </w:p>
          <w:p w14:paraId="7968700E" w14:textId="77777777" w:rsidR="00DB5F29" w:rsidRPr="00F7573B" w:rsidRDefault="00DB5F29" w:rsidP="002369C1">
            <w:pPr>
              <w:spacing w:line="276" w:lineRule="auto"/>
              <w:rPr>
                <w:rFonts w:cs="Arial"/>
                <w:szCs w:val="24"/>
                <w:lang w:eastAsia="en-AU"/>
              </w:rPr>
            </w:pPr>
          </w:p>
        </w:tc>
        <w:tc>
          <w:tcPr>
            <w:tcW w:w="4621" w:type="dxa"/>
            <w:shd w:val="clear" w:color="auto" w:fill="auto"/>
          </w:tcPr>
          <w:p w14:paraId="369FBA9A" w14:textId="77777777" w:rsidR="00DB5F29" w:rsidRPr="00F7573B" w:rsidRDefault="00DB5F29" w:rsidP="002369C1">
            <w:pPr>
              <w:spacing w:line="276" w:lineRule="auto"/>
              <w:rPr>
                <w:rFonts w:cs="Arial"/>
                <w:szCs w:val="24"/>
                <w:lang w:eastAsia="en-AU"/>
              </w:rPr>
            </w:pPr>
            <w:bookmarkStart w:id="0" w:name="_GoBack"/>
            <w:bookmarkEnd w:id="0"/>
          </w:p>
        </w:tc>
      </w:tr>
      <w:tr w:rsidR="00DB5F29" w:rsidRPr="00F7573B" w14:paraId="312BD5FE" w14:textId="77777777" w:rsidTr="002369C1">
        <w:tc>
          <w:tcPr>
            <w:tcW w:w="4621" w:type="dxa"/>
            <w:shd w:val="clear" w:color="auto" w:fill="auto"/>
          </w:tcPr>
          <w:p w14:paraId="63350746" w14:textId="77777777" w:rsidR="00DB5F29" w:rsidRPr="00F7573B" w:rsidRDefault="00DB5F29" w:rsidP="002369C1">
            <w:pPr>
              <w:spacing w:line="276" w:lineRule="auto"/>
              <w:rPr>
                <w:rFonts w:cs="Arial"/>
                <w:szCs w:val="24"/>
                <w:lang w:eastAsia="en-AU"/>
              </w:rPr>
            </w:pPr>
          </w:p>
        </w:tc>
        <w:tc>
          <w:tcPr>
            <w:tcW w:w="4621" w:type="dxa"/>
            <w:shd w:val="clear" w:color="auto" w:fill="auto"/>
          </w:tcPr>
          <w:p w14:paraId="0464FC33" w14:textId="77777777" w:rsidR="00DB5F29" w:rsidRPr="00F7573B" w:rsidRDefault="00DB5F29" w:rsidP="002369C1">
            <w:pPr>
              <w:spacing w:line="276" w:lineRule="auto"/>
              <w:rPr>
                <w:rFonts w:cs="Arial"/>
                <w:szCs w:val="24"/>
                <w:lang w:eastAsia="en-AU"/>
              </w:rPr>
            </w:pPr>
          </w:p>
        </w:tc>
      </w:tr>
      <w:tr w:rsidR="00DB5F29" w:rsidRPr="00F7573B" w14:paraId="2F0E4854" w14:textId="77777777" w:rsidTr="002369C1">
        <w:tc>
          <w:tcPr>
            <w:tcW w:w="4621" w:type="dxa"/>
            <w:shd w:val="clear" w:color="auto" w:fill="auto"/>
          </w:tcPr>
          <w:p w14:paraId="79BD4437" w14:textId="77777777" w:rsidR="00DB5F29" w:rsidRPr="00F7573B" w:rsidRDefault="00DB5F29" w:rsidP="002369C1">
            <w:pPr>
              <w:spacing w:line="276" w:lineRule="auto"/>
              <w:rPr>
                <w:rFonts w:cs="Arial"/>
                <w:szCs w:val="24"/>
                <w:lang w:eastAsia="en-AU"/>
              </w:rPr>
            </w:pPr>
            <w:r w:rsidRPr="00F7573B">
              <w:rPr>
                <w:rFonts w:cs="Arial"/>
                <w:szCs w:val="24"/>
                <w:lang w:eastAsia="en-AU"/>
              </w:rPr>
              <w:t>Signed:</w:t>
            </w:r>
          </w:p>
          <w:p w14:paraId="6CEEF51A" w14:textId="77777777" w:rsidR="00DB5F29" w:rsidRPr="00F7573B" w:rsidRDefault="00DB5F29" w:rsidP="002369C1">
            <w:pPr>
              <w:spacing w:line="276" w:lineRule="auto"/>
              <w:rPr>
                <w:rFonts w:cs="Arial"/>
                <w:szCs w:val="24"/>
                <w:lang w:eastAsia="en-AU"/>
              </w:rPr>
            </w:pPr>
          </w:p>
        </w:tc>
        <w:tc>
          <w:tcPr>
            <w:tcW w:w="4621" w:type="dxa"/>
            <w:shd w:val="clear" w:color="auto" w:fill="auto"/>
          </w:tcPr>
          <w:p w14:paraId="263DE1DB" w14:textId="77777777" w:rsidR="00DB5F29" w:rsidRPr="00F7573B" w:rsidRDefault="00DB5F29" w:rsidP="002369C1">
            <w:pPr>
              <w:spacing w:line="276" w:lineRule="auto"/>
              <w:rPr>
                <w:rFonts w:cs="Arial"/>
                <w:szCs w:val="24"/>
                <w:lang w:eastAsia="en-AU"/>
              </w:rPr>
            </w:pPr>
          </w:p>
        </w:tc>
      </w:tr>
      <w:tr w:rsidR="00DB5F29" w:rsidRPr="00F7573B" w14:paraId="5380DECF" w14:textId="77777777" w:rsidTr="002369C1">
        <w:tc>
          <w:tcPr>
            <w:tcW w:w="4621" w:type="dxa"/>
            <w:shd w:val="clear" w:color="auto" w:fill="auto"/>
            <w:hideMark/>
          </w:tcPr>
          <w:p w14:paraId="51F99A14" w14:textId="77777777" w:rsidR="00DB5F29" w:rsidRPr="00F7573B" w:rsidRDefault="00DB5F29" w:rsidP="002369C1">
            <w:pPr>
              <w:spacing w:line="276" w:lineRule="auto"/>
              <w:rPr>
                <w:rFonts w:cs="Arial"/>
                <w:szCs w:val="24"/>
                <w:lang w:eastAsia="en-AU"/>
              </w:rPr>
            </w:pPr>
            <w:r w:rsidRPr="00F7573B">
              <w:rPr>
                <w:rFonts w:cs="Arial"/>
                <w:szCs w:val="24"/>
                <w:lang w:eastAsia="en-AU"/>
              </w:rPr>
              <w:t>If nominating a contact person who is not the named group member, please state the contact’s name and relationship to the group member:</w:t>
            </w:r>
          </w:p>
        </w:tc>
        <w:tc>
          <w:tcPr>
            <w:tcW w:w="4621" w:type="dxa"/>
            <w:shd w:val="clear" w:color="auto" w:fill="auto"/>
          </w:tcPr>
          <w:p w14:paraId="6F98C9C1" w14:textId="77777777" w:rsidR="00DB5F29" w:rsidRPr="00F7573B" w:rsidRDefault="00DB5F29" w:rsidP="002369C1">
            <w:pPr>
              <w:spacing w:line="276" w:lineRule="auto"/>
              <w:rPr>
                <w:rFonts w:cs="Arial"/>
                <w:szCs w:val="24"/>
                <w:lang w:eastAsia="en-AU"/>
              </w:rPr>
            </w:pPr>
          </w:p>
        </w:tc>
      </w:tr>
    </w:tbl>
    <w:p w14:paraId="11F0820B" w14:textId="77777777" w:rsidR="00DB5F29" w:rsidRDefault="00DB5F29" w:rsidP="00DB5F29">
      <w:pPr>
        <w:spacing w:before="240"/>
        <w:rPr>
          <w:rFonts w:cs="Arial"/>
          <w:szCs w:val="24"/>
        </w:rPr>
      </w:pPr>
    </w:p>
    <w:p w14:paraId="52B9A77A" w14:textId="77777777" w:rsidR="00DB5F29" w:rsidRDefault="00DB5F29" w:rsidP="00DB5F29">
      <w:pPr>
        <w:spacing w:before="240"/>
        <w:rPr>
          <w:rFonts w:cs="Arial"/>
          <w:szCs w:val="24"/>
        </w:rPr>
      </w:pPr>
      <w:r>
        <w:rPr>
          <w:rFonts w:cs="Arial"/>
          <w:szCs w:val="24"/>
        </w:rPr>
        <w:t>The group member has read the “Notes for Objectors” below:   Yes / No (circle one)</w:t>
      </w:r>
    </w:p>
    <w:p w14:paraId="375AD81A" w14:textId="77777777" w:rsidR="00DB5F29" w:rsidRPr="00250A7D" w:rsidRDefault="00DB5F29" w:rsidP="00DB5F29">
      <w:pPr>
        <w:spacing w:before="240"/>
        <w:rPr>
          <w:b/>
          <w:szCs w:val="24"/>
        </w:rPr>
      </w:pPr>
      <w:r>
        <w:rPr>
          <w:rFonts w:cs="Arial"/>
          <w:b/>
          <w:szCs w:val="24"/>
        </w:rPr>
        <w:t xml:space="preserve">Notes for Objectors: </w:t>
      </w:r>
      <w:r>
        <w:rPr>
          <w:rFonts w:cs="Arial"/>
          <w:szCs w:val="24"/>
        </w:rPr>
        <w:t xml:space="preserve">Orders 5-6 of the Court’s Orders made on </w:t>
      </w:r>
      <w:r>
        <w:rPr>
          <w:rFonts w:cs="Arial"/>
          <w:b/>
          <w:szCs w:val="24"/>
        </w:rPr>
        <w:t>28 May</w:t>
      </w:r>
      <w:r>
        <w:rPr>
          <w:rFonts w:cs="Arial"/>
          <w:szCs w:val="24"/>
        </w:rPr>
        <w:t xml:space="preserve"> </w:t>
      </w:r>
      <w:r>
        <w:rPr>
          <w:rFonts w:cs="Arial"/>
          <w:b/>
          <w:szCs w:val="24"/>
        </w:rPr>
        <w:t>2019</w:t>
      </w:r>
      <w:r>
        <w:rPr>
          <w:rFonts w:cs="Arial"/>
          <w:szCs w:val="24"/>
        </w:rPr>
        <w:t xml:space="preserve"> require that Objectors deliver to Maddens Lawyers, by </w:t>
      </w:r>
      <w:r>
        <w:rPr>
          <w:rFonts w:cs="Arial"/>
          <w:b/>
          <w:szCs w:val="24"/>
        </w:rPr>
        <w:t>4.00 pm</w:t>
      </w:r>
      <w:r>
        <w:rPr>
          <w:rFonts w:cs="Arial"/>
          <w:szCs w:val="24"/>
        </w:rPr>
        <w:t xml:space="preserve"> on </w:t>
      </w:r>
      <w:r>
        <w:rPr>
          <w:rFonts w:cs="Arial"/>
          <w:b/>
          <w:szCs w:val="24"/>
        </w:rPr>
        <w:t xml:space="preserve">21 June 2019, </w:t>
      </w:r>
      <w:r>
        <w:rPr>
          <w:rFonts w:cs="Arial"/>
          <w:szCs w:val="24"/>
        </w:rPr>
        <w:t xml:space="preserve">any written submissions (not exceeding 2 pages in length) and any affidavit evidence the Objector wishes to rely on in support of their objection to the proposed settlement. </w:t>
      </w:r>
    </w:p>
    <w:p w14:paraId="33211CB0" w14:textId="77777777" w:rsidR="00742A67" w:rsidRDefault="00742A67"/>
    <w:sectPr w:rsidR="00742A67" w:rsidSect="005E470A">
      <w:headerReference w:type="default" r:id="rId7"/>
      <w:footerReference w:type="even" r:id="rId8"/>
      <w:footerReference w:type="default" r:id="rId9"/>
      <w:pgSz w:w="11909" w:h="16834" w:code="9"/>
      <w:pgMar w:top="864" w:right="1008" w:bottom="810" w:left="1008" w:header="432" w:footer="432"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8651" w14:textId="77777777" w:rsidR="004E13CE" w:rsidRDefault="00DB5F29" w:rsidP="005E47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F9982" w14:textId="77777777" w:rsidR="004E13CE" w:rsidRDefault="00DB5F29" w:rsidP="005E4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312D" w14:textId="77777777" w:rsidR="004E13CE" w:rsidRDefault="00DB5F29" w:rsidP="005E470A">
    <w:pPr>
      <w:pStyle w:val="Footer"/>
      <w:framePr w:wrap="around" w:vAnchor="text" w:hAnchor="margin" w:xAlign="right" w:y="1"/>
      <w:rPr>
        <w:rStyle w:val="PageNumber"/>
      </w:rPr>
    </w:pPr>
  </w:p>
  <w:tbl>
    <w:tblPr>
      <w:tblW w:w="0" w:type="auto"/>
      <w:tblLook w:val="01E0" w:firstRow="1" w:lastRow="1" w:firstColumn="1" w:lastColumn="1" w:noHBand="0" w:noVBand="0"/>
    </w:tblPr>
    <w:tblGrid>
      <w:gridCol w:w="3943"/>
      <w:gridCol w:w="2053"/>
      <w:gridCol w:w="3897"/>
    </w:tblGrid>
    <w:tr w:rsidR="004E13CE" w14:paraId="4B403448" w14:textId="77777777" w:rsidTr="006107DE">
      <w:tc>
        <w:tcPr>
          <w:tcW w:w="3978" w:type="dxa"/>
          <w:shd w:val="clear" w:color="auto" w:fill="auto"/>
        </w:tcPr>
        <w:p w14:paraId="01CE73E0" w14:textId="77777777" w:rsidR="004E13CE" w:rsidRPr="007B022A" w:rsidRDefault="00DB5F29" w:rsidP="006107DE">
          <w:pPr>
            <w:pStyle w:val="Footer"/>
            <w:ind w:right="360"/>
          </w:pPr>
        </w:p>
      </w:tc>
      <w:tc>
        <w:tcPr>
          <w:tcW w:w="2070" w:type="dxa"/>
          <w:shd w:val="clear" w:color="auto" w:fill="auto"/>
        </w:tcPr>
        <w:p w14:paraId="68401AC2" w14:textId="77777777" w:rsidR="004E13CE" w:rsidRPr="006107DE" w:rsidRDefault="00DB5F29" w:rsidP="006107DE">
          <w:pPr>
            <w:pStyle w:val="Footer"/>
            <w:jc w:val="center"/>
            <w:rPr>
              <w:sz w:val="20"/>
            </w:rPr>
          </w:pPr>
        </w:p>
      </w:tc>
      <w:tc>
        <w:tcPr>
          <w:tcW w:w="3931" w:type="dxa"/>
          <w:shd w:val="clear" w:color="auto" w:fill="auto"/>
        </w:tcPr>
        <w:p w14:paraId="7E4F8221" w14:textId="77777777" w:rsidR="004E13CE" w:rsidRPr="007B022A" w:rsidRDefault="00DB5F29" w:rsidP="006107DE">
          <w:pPr>
            <w:pStyle w:val="Footer"/>
            <w:jc w:val="right"/>
          </w:pPr>
        </w:p>
      </w:tc>
    </w:tr>
  </w:tbl>
  <w:p w14:paraId="79229794" w14:textId="77777777" w:rsidR="004E13CE" w:rsidRPr="00990F4D" w:rsidRDefault="00DB5F29" w:rsidP="005E47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D19A" w14:textId="77777777" w:rsidR="004E13CE" w:rsidRDefault="00DB5F29">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8E4"/>
    <w:multiLevelType w:val="hybridMultilevel"/>
    <w:tmpl w:val="25E88E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B205AA5"/>
    <w:multiLevelType w:val="hybridMultilevel"/>
    <w:tmpl w:val="FEEC570C"/>
    <w:lvl w:ilvl="0" w:tplc="11009D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2DF60B1"/>
    <w:multiLevelType w:val="singleLevel"/>
    <w:tmpl w:val="B672C992"/>
    <w:lvl w:ilvl="0">
      <w:start w:val="1"/>
      <w:numFmt w:val="decimal"/>
      <w:pStyle w:val="Heading1"/>
      <w:lvlText w:val="%1"/>
      <w:lvlJc w:val="left"/>
      <w:pPr>
        <w:tabs>
          <w:tab w:val="num" w:pos="360"/>
        </w:tabs>
        <w:ind w:left="0" w:firstLine="0"/>
      </w:pPr>
      <w:rPr>
        <w:sz w:val="20"/>
      </w:rPr>
    </w:lvl>
  </w:abstractNum>
  <w:abstractNum w:abstractNumId="3" w15:restartNumberingAfterBreak="0">
    <w:nsid w:val="38391AC3"/>
    <w:multiLevelType w:val="hybridMultilevel"/>
    <w:tmpl w:val="C31A695A"/>
    <w:lvl w:ilvl="0" w:tplc="8BF84E1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3E15BC2"/>
    <w:multiLevelType w:val="hybridMultilevel"/>
    <w:tmpl w:val="9BB8480C"/>
    <w:lvl w:ilvl="0" w:tplc="89EA813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CC5EC3"/>
    <w:multiLevelType w:val="hybridMultilevel"/>
    <w:tmpl w:val="7032B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29"/>
    <w:rsid w:val="00742A67"/>
    <w:rsid w:val="00DB5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BF91"/>
  <w15:chartTrackingRefBased/>
  <w15:docId w15:val="{B1C44042-831A-4E6C-BEF6-DF0BBD9B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F29"/>
    <w:pPr>
      <w:widowControl w:val="0"/>
      <w:spacing w:after="0" w:line="240" w:lineRule="atLeast"/>
      <w:jc w:val="both"/>
    </w:pPr>
    <w:rPr>
      <w:rFonts w:ascii="Book Antiqua" w:eastAsia="Times New Roman" w:hAnsi="Book Antiqua" w:cs="Times New Roman"/>
      <w:sz w:val="24"/>
      <w:szCs w:val="20"/>
    </w:rPr>
  </w:style>
  <w:style w:type="paragraph" w:styleId="Heading1">
    <w:name w:val="heading 1"/>
    <w:basedOn w:val="Normal"/>
    <w:link w:val="Heading1Char"/>
    <w:qFormat/>
    <w:rsid w:val="00DB5F29"/>
    <w:pPr>
      <w:numPr>
        <w:numId w:val="1"/>
      </w:numPr>
      <w:spacing w:after="240" w:line="480" w:lineRule="atLeast"/>
      <w:outlineLvl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F29"/>
    <w:rPr>
      <w:rFonts w:ascii="Book Antiqua" w:eastAsia="Times New Roman" w:hAnsi="Book Antiqua" w:cs="Times New Roman"/>
      <w:kern w:val="28"/>
      <w:sz w:val="24"/>
      <w:szCs w:val="20"/>
    </w:rPr>
  </w:style>
  <w:style w:type="paragraph" w:styleId="Footer">
    <w:name w:val="footer"/>
    <w:basedOn w:val="Normal"/>
    <w:link w:val="FooterChar"/>
    <w:rsid w:val="00DB5F29"/>
    <w:pPr>
      <w:tabs>
        <w:tab w:val="center" w:pos="4896"/>
        <w:tab w:val="right" w:pos="9792"/>
      </w:tabs>
      <w:spacing w:line="240" w:lineRule="auto"/>
      <w:jc w:val="left"/>
    </w:pPr>
  </w:style>
  <w:style w:type="character" w:customStyle="1" w:styleId="FooterChar">
    <w:name w:val="Footer Char"/>
    <w:basedOn w:val="DefaultParagraphFont"/>
    <w:link w:val="Footer"/>
    <w:rsid w:val="00DB5F29"/>
    <w:rPr>
      <w:rFonts w:ascii="Book Antiqua" w:eastAsia="Times New Roman" w:hAnsi="Book Antiqua" w:cs="Times New Roman"/>
      <w:sz w:val="24"/>
      <w:szCs w:val="20"/>
    </w:rPr>
  </w:style>
  <w:style w:type="paragraph" w:styleId="Header">
    <w:name w:val="header"/>
    <w:basedOn w:val="Normal"/>
    <w:link w:val="HeaderChar"/>
    <w:rsid w:val="00DB5F29"/>
    <w:pPr>
      <w:tabs>
        <w:tab w:val="center" w:pos="4153"/>
        <w:tab w:val="right" w:pos="8306"/>
      </w:tabs>
      <w:spacing w:line="240" w:lineRule="auto"/>
      <w:jc w:val="left"/>
    </w:pPr>
    <w:rPr>
      <w:sz w:val="16"/>
    </w:rPr>
  </w:style>
  <w:style w:type="character" w:customStyle="1" w:styleId="HeaderChar">
    <w:name w:val="Header Char"/>
    <w:basedOn w:val="DefaultParagraphFont"/>
    <w:link w:val="Header"/>
    <w:rsid w:val="00DB5F29"/>
    <w:rPr>
      <w:rFonts w:ascii="Book Antiqua" w:eastAsia="Times New Roman" w:hAnsi="Book Antiqua" w:cs="Times New Roman"/>
      <w:sz w:val="16"/>
      <w:szCs w:val="20"/>
    </w:rPr>
  </w:style>
  <w:style w:type="character" w:styleId="PageNumber">
    <w:name w:val="page number"/>
    <w:basedOn w:val="DefaultParagraphFont"/>
    <w:rsid w:val="00DB5F29"/>
  </w:style>
  <w:style w:type="paragraph" w:styleId="ListParagraph">
    <w:name w:val="List Paragraph"/>
    <w:basedOn w:val="Normal"/>
    <w:uiPriority w:val="34"/>
    <w:qFormat/>
    <w:rsid w:val="00DB5F29"/>
    <w:pPr>
      <w:widowControl/>
      <w:spacing w:after="200" w:line="276" w:lineRule="auto"/>
      <w:ind w:left="720"/>
      <w:contextualSpacing/>
      <w:jc w:val="left"/>
    </w:pPr>
    <w:rPr>
      <w:rFonts w:ascii="Calibri" w:eastAsia="Calibri" w:hAnsi="Calibri"/>
      <w:sz w:val="22"/>
      <w:szCs w:val="22"/>
    </w:rPr>
  </w:style>
  <w:style w:type="character" w:styleId="Hyperlink">
    <w:name w:val="Hyperlink"/>
    <w:uiPriority w:val="99"/>
    <w:unhideWhenUsed/>
    <w:rsid w:val="00DB5F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dclassactions@supremecourt.vic.gov.au" TargetMode="External"/><Relationship Id="rId11" Type="http://schemas.openxmlformats.org/officeDocument/2006/relationships/theme" Target="theme/theme1.xml"/><Relationship Id="rId5" Type="http://schemas.openxmlformats.org/officeDocument/2006/relationships/hyperlink" Target="mailto:jlw@maddenslawyers.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Lessing</dc:creator>
  <cp:keywords/>
  <dc:description/>
  <cp:lastModifiedBy>Meg Lessing</cp:lastModifiedBy>
  <cp:revision>1</cp:revision>
  <dcterms:created xsi:type="dcterms:W3CDTF">2019-06-17T01:09:00Z</dcterms:created>
  <dcterms:modified xsi:type="dcterms:W3CDTF">2019-06-17T01:11:00Z</dcterms:modified>
</cp:coreProperties>
</file>