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7A7BA" w14:textId="52435259" w:rsidR="007601E2" w:rsidRPr="002334BC" w:rsidRDefault="00930056" w:rsidP="007601E2">
      <w:pPr>
        <w:jc w:val="center"/>
        <w:rPr>
          <w:rFonts w:ascii="Times New Roman" w:hAnsi="Times New Roman"/>
          <w:b/>
        </w:rPr>
      </w:pPr>
      <w:r w:rsidRPr="002334BC">
        <w:rPr>
          <w:rFonts w:ascii="Times New Roman" w:hAnsi="Times New Roman"/>
          <w:b/>
          <w:smallCaps/>
          <w:noProof/>
          <w:lang w:eastAsia="en-AU"/>
        </w:rPr>
        <w:drawing>
          <wp:inline distT="0" distB="0" distL="0" distR="0" wp14:anchorId="2D95E266" wp14:editId="6FC4216D">
            <wp:extent cx="914400" cy="914400"/>
            <wp:effectExtent l="0" t="0" r="0" b="0"/>
            <wp:docPr id="1" name="Picture 1" descr="Court Crest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 Crest 2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29A4610" w14:textId="77777777" w:rsidR="007601E2" w:rsidRPr="002334BC" w:rsidRDefault="007601E2" w:rsidP="007601E2">
      <w:pPr>
        <w:rPr>
          <w:rFonts w:ascii="Times New Roman" w:hAnsi="Times New Roman"/>
        </w:rPr>
      </w:pPr>
    </w:p>
    <w:p w14:paraId="237EB632" w14:textId="01888DA9" w:rsidR="007601E2" w:rsidRPr="002334BC" w:rsidRDefault="00930056" w:rsidP="007601E2">
      <w:pPr>
        <w:spacing w:before="120" w:after="360"/>
        <w:jc w:val="center"/>
        <w:rPr>
          <w:rFonts w:ascii="Times New Roman" w:hAnsi="Times New Roman"/>
          <w:b/>
        </w:rPr>
      </w:pPr>
      <w:r w:rsidRPr="002334BC">
        <w:rPr>
          <w:rFonts w:ascii="Times New Roman" w:hAnsi="Times New Roman"/>
          <w:b/>
        </w:rPr>
        <w:t>Statement by the Court of Appeal</w:t>
      </w:r>
    </w:p>
    <w:p w14:paraId="4F2062AC" w14:textId="77777777" w:rsidR="007601E2" w:rsidRPr="002334BC" w:rsidRDefault="00930056" w:rsidP="007601E2">
      <w:pPr>
        <w:tabs>
          <w:tab w:val="left" w:pos="1440"/>
        </w:tabs>
        <w:jc w:val="center"/>
        <w:rPr>
          <w:rFonts w:ascii="Times New Roman" w:hAnsi="Times New Roman"/>
          <w:b/>
          <w:i/>
          <w:caps/>
          <w:u w:val="single"/>
        </w:rPr>
      </w:pPr>
      <w:r w:rsidRPr="002334BC">
        <w:rPr>
          <w:rFonts w:ascii="Times New Roman" w:hAnsi="Times New Roman"/>
          <w:b/>
          <w:i/>
          <w:caps/>
          <w:u w:val="single"/>
        </w:rPr>
        <w:t xml:space="preserve">faruk orman </w:t>
      </w:r>
      <w:r w:rsidRPr="002334BC">
        <w:rPr>
          <w:rFonts w:ascii="Times New Roman" w:hAnsi="Times New Roman"/>
          <w:b/>
          <w:i/>
          <w:u w:val="single"/>
        </w:rPr>
        <w:t>v</w:t>
      </w:r>
      <w:r w:rsidRPr="002334BC">
        <w:rPr>
          <w:rFonts w:ascii="Times New Roman" w:hAnsi="Times New Roman"/>
          <w:b/>
          <w:i/>
          <w:caps/>
          <w:u w:val="single"/>
        </w:rPr>
        <w:t xml:space="preserve"> the queen</w:t>
      </w:r>
    </w:p>
    <w:p w14:paraId="28763767" w14:textId="77777777" w:rsidR="007601E2" w:rsidRPr="002334BC" w:rsidRDefault="007601E2" w:rsidP="00930056">
      <w:pPr>
        <w:rPr>
          <w:rFonts w:ascii="Times New Roman" w:hAnsi="Times New Roman"/>
          <w:b/>
          <w:u w:val="single"/>
        </w:rPr>
      </w:pPr>
    </w:p>
    <w:p w14:paraId="5A3838DE" w14:textId="2827BADC" w:rsidR="007601E2" w:rsidRPr="002334BC" w:rsidRDefault="00930056" w:rsidP="007601E2">
      <w:pPr>
        <w:jc w:val="center"/>
        <w:rPr>
          <w:rFonts w:ascii="Times New Roman" w:hAnsi="Times New Roman"/>
          <w:b/>
          <w:u w:val="single"/>
        </w:rPr>
      </w:pPr>
      <w:r w:rsidRPr="002334BC">
        <w:rPr>
          <w:rFonts w:ascii="Times New Roman" w:hAnsi="Times New Roman"/>
          <w:b/>
          <w:u w:val="single"/>
        </w:rPr>
        <w:t>26 July 2019</w:t>
      </w:r>
    </w:p>
    <w:p w14:paraId="1738627D" w14:textId="77777777" w:rsidR="00184F2F" w:rsidRPr="002334BC" w:rsidRDefault="00184F2F" w:rsidP="007601E2">
      <w:pPr>
        <w:jc w:val="center"/>
        <w:rPr>
          <w:rFonts w:ascii="Times New Roman" w:hAnsi="Times New Roman"/>
          <w:b/>
          <w:u w:val="single"/>
        </w:rPr>
      </w:pPr>
    </w:p>
    <w:p w14:paraId="39EA7D4E" w14:textId="24BACD2A" w:rsidR="007601E2" w:rsidRPr="002334BC" w:rsidRDefault="002334BC" w:rsidP="00184F2F">
      <w:pPr>
        <w:spacing w:before="120" w:after="360"/>
        <w:jc w:val="center"/>
        <w:rPr>
          <w:rFonts w:ascii="Times New Roman" w:hAnsi="Times New Roman"/>
          <w:b/>
        </w:rPr>
      </w:pPr>
      <w:r>
        <w:rPr>
          <w:rFonts w:ascii="Times New Roman" w:hAnsi="Times New Roman"/>
          <w:b/>
        </w:rPr>
        <w:t>President Maxwell</w:t>
      </w:r>
      <w:r w:rsidR="00184F2F" w:rsidRPr="002334BC">
        <w:rPr>
          <w:rFonts w:ascii="Times New Roman" w:hAnsi="Times New Roman"/>
          <w:b/>
        </w:rPr>
        <w:t xml:space="preserve">, </w:t>
      </w:r>
      <w:r>
        <w:rPr>
          <w:rFonts w:ascii="Times New Roman" w:hAnsi="Times New Roman"/>
          <w:b/>
        </w:rPr>
        <w:t xml:space="preserve">Justice </w:t>
      </w:r>
      <w:r w:rsidR="00184F2F" w:rsidRPr="002334BC">
        <w:rPr>
          <w:rFonts w:ascii="Times New Roman" w:hAnsi="Times New Roman"/>
          <w:b/>
        </w:rPr>
        <w:t xml:space="preserve">Niall and </w:t>
      </w:r>
      <w:r>
        <w:rPr>
          <w:rFonts w:ascii="Times New Roman" w:hAnsi="Times New Roman"/>
          <w:b/>
        </w:rPr>
        <w:t>Justice Emerton</w:t>
      </w:r>
    </w:p>
    <w:p w14:paraId="26790E47" w14:textId="77777777" w:rsidR="00A57ADA" w:rsidRPr="002334BC" w:rsidRDefault="00A57ADA" w:rsidP="00A57ADA">
      <w:pPr>
        <w:pStyle w:val="Heading1"/>
        <w:rPr>
          <w:rFonts w:ascii="Times New Roman" w:hAnsi="Times New Roman"/>
          <w:szCs w:val="24"/>
        </w:rPr>
      </w:pPr>
      <w:r w:rsidRPr="002334BC">
        <w:rPr>
          <w:rFonts w:ascii="Times New Roman" w:hAnsi="Times New Roman"/>
          <w:szCs w:val="24"/>
        </w:rPr>
        <w:t xml:space="preserve">On 29 September 2009, </w:t>
      </w:r>
      <w:proofErr w:type="spellStart"/>
      <w:r w:rsidRPr="002334BC">
        <w:rPr>
          <w:rFonts w:ascii="Times New Roman" w:hAnsi="Times New Roman"/>
          <w:szCs w:val="24"/>
        </w:rPr>
        <w:t>Faruk</w:t>
      </w:r>
      <w:proofErr w:type="spellEnd"/>
      <w:r w:rsidRPr="002334BC">
        <w:rPr>
          <w:rFonts w:ascii="Times New Roman" w:hAnsi="Times New Roman"/>
          <w:szCs w:val="24"/>
        </w:rPr>
        <w:t xml:space="preserve"> </w:t>
      </w:r>
      <w:proofErr w:type="spellStart"/>
      <w:r w:rsidRPr="002334BC">
        <w:rPr>
          <w:rFonts w:ascii="Times New Roman" w:hAnsi="Times New Roman"/>
          <w:szCs w:val="24"/>
        </w:rPr>
        <w:t>Orman</w:t>
      </w:r>
      <w:proofErr w:type="spellEnd"/>
      <w:r w:rsidRPr="002334BC">
        <w:rPr>
          <w:rFonts w:ascii="Times New Roman" w:hAnsi="Times New Roman"/>
          <w:szCs w:val="24"/>
        </w:rPr>
        <w:t xml:space="preserve"> was found guilty by a Supreme Court jury of the murder of Victor Peirce.  He was sentenced to 20 years’ imprisonment, and a non-parole period of 14 years was fixed.</w:t>
      </w:r>
    </w:p>
    <w:p w14:paraId="0D258B3E" w14:textId="77777777" w:rsidR="00A57ADA" w:rsidRPr="002334BC" w:rsidRDefault="00A57ADA" w:rsidP="00A57ADA">
      <w:pPr>
        <w:pStyle w:val="Heading1"/>
        <w:rPr>
          <w:rFonts w:ascii="Times New Roman" w:hAnsi="Times New Roman"/>
          <w:szCs w:val="24"/>
        </w:rPr>
      </w:pPr>
      <w:r w:rsidRPr="002334BC">
        <w:rPr>
          <w:rFonts w:ascii="Times New Roman" w:hAnsi="Times New Roman"/>
          <w:szCs w:val="24"/>
        </w:rPr>
        <w:t xml:space="preserve">On 21 September 2010, this Court refused his application for leave to appeal against that conviction and, in February 2011, the High Court refused special leave to appeal.  </w:t>
      </w:r>
    </w:p>
    <w:p w14:paraId="745B8E01" w14:textId="3EC9A8F7" w:rsidR="00A57ADA" w:rsidRPr="002334BC" w:rsidRDefault="00A57ADA" w:rsidP="00A57ADA">
      <w:pPr>
        <w:pStyle w:val="Heading1"/>
        <w:rPr>
          <w:rFonts w:ascii="Times New Roman" w:hAnsi="Times New Roman"/>
          <w:szCs w:val="24"/>
        </w:rPr>
      </w:pPr>
      <w:r w:rsidRPr="002334BC">
        <w:rPr>
          <w:rFonts w:ascii="Times New Roman" w:hAnsi="Times New Roman"/>
          <w:szCs w:val="24"/>
        </w:rPr>
        <w:t xml:space="preserve">On 4 February this year, Mr </w:t>
      </w:r>
      <w:proofErr w:type="spellStart"/>
      <w:r w:rsidRPr="002334BC">
        <w:rPr>
          <w:rFonts w:ascii="Times New Roman" w:hAnsi="Times New Roman"/>
          <w:szCs w:val="24"/>
        </w:rPr>
        <w:t>Orman</w:t>
      </w:r>
      <w:proofErr w:type="spellEnd"/>
      <w:r w:rsidRPr="002334BC">
        <w:rPr>
          <w:rFonts w:ascii="Times New Roman" w:hAnsi="Times New Roman"/>
          <w:szCs w:val="24"/>
        </w:rPr>
        <w:t xml:space="preserve"> filed a petition of mercy with the Attorney-General, seeking a referral to this Court pursuant to s 327 of the </w:t>
      </w:r>
      <w:r w:rsidRPr="002334BC">
        <w:rPr>
          <w:rFonts w:ascii="Times New Roman" w:hAnsi="Times New Roman"/>
          <w:i/>
          <w:szCs w:val="24"/>
        </w:rPr>
        <w:t>Criminal Procedure Act 2009</w:t>
      </w:r>
      <w:r w:rsidRPr="002334BC">
        <w:rPr>
          <w:rFonts w:ascii="Times New Roman" w:hAnsi="Times New Roman"/>
          <w:szCs w:val="24"/>
        </w:rPr>
        <w:t>.  He provided detailed submissions and evidence in support of the p</w:t>
      </w:r>
      <w:r w:rsidR="002334BC">
        <w:rPr>
          <w:rFonts w:ascii="Times New Roman" w:hAnsi="Times New Roman"/>
          <w:szCs w:val="24"/>
        </w:rPr>
        <w:t xml:space="preserve">etition in April and May 2019. </w:t>
      </w:r>
      <w:r w:rsidRPr="002334BC">
        <w:rPr>
          <w:rFonts w:ascii="Times New Roman" w:hAnsi="Times New Roman"/>
          <w:szCs w:val="24"/>
        </w:rPr>
        <w:t xml:space="preserve">Among other things, the petition alleged that he was denied a fair trial because of the conduct of Nicola </w:t>
      </w:r>
      <w:proofErr w:type="spellStart"/>
      <w:r w:rsidRPr="002334BC">
        <w:rPr>
          <w:rFonts w:ascii="Times New Roman" w:hAnsi="Times New Roman"/>
          <w:szCs w:val="24"/>
        </w:rPr>
        <w:t>Gobbo</w:t>
      </w:r>
      <w:proofErr w:type="spellEnd"/>
      <w:r w:rsidRPr="002334BC">
        <w:rPr>
          <w:rFonts w:ascii="Times New Roman" w:hAnsi="Times New Roman"/>
          <w:szCs w:val="24"/>
        </w:rPr>
        <w:t xml:space="preserve"> and her role as a human source for Victoria Police.</w:t>
      </w:r>
    </w:p>
    <w:p w14:paraId="7763BD50" w14:textId="6654D469" w:rsidR="00A57ADA" w:rsidRPr="002334BC" w:rsidRDefault="00A57ADA" w:rsidP="00A57ADA">
      <w:pPr>
        <w:pStyle w:val="Heading1"/>
        <w:rPr>
          <w:rFonts w:ascii="Times New Roman" w:hAnsi="Times New Roman"/>
          <w:szCs w:val="24"/>
        </w:rPr>
      </w:pPr>
      <w:r w:rsidRPr="002334BC">
        <w:rPr>
          <w:rFonts w:ascii="Times New Roman" w:hAnsi="Times New Roman"/>
          <w:szCs w:val="24"/>
        </w:rPr>
        <w:t>On 25 June this year, the Attorney-General advised the Chief Justice that she had decided to refer the whole</w:t>
      </w:r>
      <w:r w:rsidR="002334BC">
        <w:rPr>
          <w:rFonts w:ascii="Times New Roman" w:hAnsi="Times New Roman"/>
          <w:szCs w:val="24"/>
        </w:rPr>
        <w:t xml:space="preserve"> case to the Court of Appeal.</w:t>
      </w:r>
      <w:r w:rsidRPr="002334BC">
        <w:rPr>
          <w:rFonts w:ascii="Times New Roman" w:hAnsi="Times New Roman"/>
          <w:szCs w:val="24"/>
        </w:rPr>
        <w:t xml:space="preserve"> That means, under s 327(2) of the </w:t>
      </w:r>
      <w:r w:rsidRPr="002334BC">
        <w:rPr>
          <w:rFonts w:ascii="Times New Roman" w:hAnsi="Times New Roman"/>
          <w:i/>
          <w:szCs w:val="24"/>
        </w:rPr>
        <w:t>Criminal Procedure Act</w:t>
      </w:r>
      <w:r w:rsidRPr="002334BC">
        <w:rPr>
          <w:rFonts w:ascii="Times New Roman" w:hAnsi="Times New Roman"/>
          <w:szCs w:val="24"/>
        </w:rPr>
        <w:t xml:space="preserve">, that the Court of Appeal ‘must hear and determine the case as if it were an appeal’.  </w:t>
      </w:r>
    </w:p>
    <w:p w14:paraId="48629721" w14:textId="637DF595" w:rsidR="00A57ADA" w:rsidRPr="002334BC" w:rsidRDefault="00A57ADA" w:rsidP="00A57ADA">
      <w:pPr>
        <w:pStyle w:val="Heading1"/>
        <w:rPr>
          <w:rFonts w:ascii="Times New Roman" w:hAnsi="Times New Roman"/>
          <w:szCs w:val="24"/>
        </w:rPr>
      </w:pPr>
      <w:r w:rsidRPr="002334BC">
        <w:rPr>
          <w:rFonts w:ascii="Times New Roman" w:hAnsi="Times New Roman"/>
          <w:szCs w:val="24"/>
        </w:rPr>
        <w:t xml:space="preserve">Following that referral, Mr </w:t>
      </w:r>
      <w:proofErr w:type="spellStart"/>
      <w:r w:rsidRPr="002334BC">
        <w:rPr>
          <w:rFonts w:ascii="Times New Roman" w:hAnsi="Times New Roman"/>
          <w:szCs w:val="24"/>
        </w:rPr>
        <w:t>Orman</w:t>
      </w:r>
      <w:proofErr w:type="spellEnd"/>
      <w:r w:rsidRPr="002334BC">
        <w:rPr>
          <w:rFonts w:ascii="Times New Roman" w:hAnsi="Times New Roman"/>
          <w:szCs w:val="24"/>
        </w:rPr>
        <w:t xml:space="preserve"> filed an application for bail pending the hearing and determination of the appeal.  The bail application first came before the Court on 10 July 2019, and w</w:t>
      </w:r>
      <w:r w:rsidR="002334BC">
        <w:rPr>
          <w:rFonts w:ascii="Times New Roman" w:hAnsi="Times New Roman"/>
          <w:szCs w:val="24"/>
        </w:rPr>
        <w:t xml:space="preserve">as adjourned to 2 August 2019. </w:t>
      </w:r>
      <w:r w:rsidRPr="002334BC">
        <w:rPr>
          <w:rFonts w:ascii="Times New Roman" w:hAnsi="Times New Roman"/>
          <w:szCs w:val="24"/>
        </w:rPr>
        <w:t xml:space="preserve">Subsequently, the Director of Public </w:t>
      </w:r>
      <w:r w:rsidRPr="002334BC">
        <w:rPr>
          <w:rFonts w:ascii="Times New Roman" w:hAnsi="Times New Roman"/>
          <w:szCs w:val="24"/>
        </w:rPr>
        <w:lastRenderedPageBreak/>
        <w:t xml:space="preserve">Prosecutions requested that the matter be brought on at an earlier date.  </w:t>
      </w:r>
    </w:p>
    <w:p w14:paraId="094CAA94" w14:textId="17C4485C" w:rsidR="00A57ADA" w:rsidRPr="002334BC" w:rsidRDefault="00A57ADA" w:rsidP="00A57ADA">
      <w:pPr>
        <w:pStyle w:val="Heading1"/>
        <w:rPr>
          <w:rFonts w:ascii="Times New Roman" w:hAnsi="Times New Roman"/>
          <w:szCs w:val="24"/>
        </w:rPr>
      </w:pPr>
      <w:r w:rsidRPr="002334BC">
        <w:rPr>
          <w:rFonts w:ascii="Times New Roman" w:hAnsi="Times New Roman"/>
          <w:szCs w:val="24"/>
        </w:rPr>
        <w:t xml:space="preserve">The bail application was supported by an affidavit of Mr </w:t>
      </w:r>
      <w:proofErr w:type="spellStart"/>
      <w:r w:rsidRPr="002334BC">
        <w:rPr>
          <w:rFonts w:ascii="Times New Roman" w:hAnsi="Times New Roman"/>
          <w:szCs w:val="24"/>
        </w:rPr>
        <w:t>Orman’s</w:t>
      </w:r>
      <w:proofErr w:type="spellEnd"/>
      <w:r w:rsidRPr="002334BC">
        <w:rPr>
          <w:rFonts w:ascii="Times New Roman" w:hAnsi="Times New Roman"/>
          <w:szCs w:val="24"/>
        </w:rPr>
        <w:t xml:space="preserve"> solicitor, which included a number of allega</w:t>
      </w:r>
      <w:r w:rsidR="002334BC">
        <w:rPr>
          <w:rFonts w:ascii="Times New Roman" w:hAnsi="Times New Roman"/>
          <w:szCs w:val="24"/>
        </w:rPr>
        <w:t xml:space="preserve">tions about Ms </w:t>
      </w:r>
      <w:proofErr w:type="spellStart"/>
      <w:r w:rsidR="002334BC">
        <w:rPr>
          <w:rFonts w:ascii="Times New Roman" w:hAnsi="Times New Roman"/>
          <w:szCs w:val="24"/>
        </w:rPr>
        <w:t>Gobbo’s</w:t>
      </w:r>
      <w:proofErr w:type="spellEnd"/>
      <w:r w:rsidR="002334BC">
        <w:rPr>
          <w:rFonts w:ascii="Times New Roman" w:hAnsi="Times New Roman"/>
          <w:szCs w:val="24"/>
        </w:rPr>
        <w:t xml:space="preserve"> conduct.</w:t>
      </w:r>
      <w:r w:rsidRPr="002334BC">
        <w:rPr>
          <w:rFonts w:ascii="Times New Roman" w:hAnsi="Times New Roman"/>
          <w:szCs w:val="24"/>
        </w:rPr>
        <w:t xml:space="preserve"> In a written response filed on 24 July, the Director has indicated that the Crown does not accept the factual basis for th</w:t>
      </w:r>
      <w:r w:rsidR="002334BC">
        <w:rPr>
          <w:rFonts w:ascii="Times New Roman" w:hAnsi="Times New Roman"/>
          <w:szCs w:val="24"/>
        </w:rPr>
        <w:t xml:space="preserve">e majority of the allegations. </w:t>
      </w:r>
    </w:p>
    <w:p w14:paraId="5D389E38" w14:textId="3A370CC1" w:rsidR="00A57ADA" w:rsidRPr="002334BC" w:rsidRDefault="00A57ADA" w:rsidP="00A57ADA">
      <w:pPr>
        <w:pStyle w:val="Heading1"/>
        <w:rPr>
          <w:rFonts w:ascii="Times New Roman" w:hAnsi="Times New Roman"/>
          <w:szCs w:val="24"/>
        </w:rPr>
      </w:pPr>
      <w:r w:rsidRPr="002334BC">
        <w:rPr>
          <w:rFonts w:ascii="Times New Roman" w:hAnsi="Times New Roman"/>
          <w:szCs w:val="24"/>
        </w:rPr>
        <w:t>Four allegations in particular are disputed, for r</w:t>
      </w:r>
      <w:r w:rsidR="002334BC">
        <w:rPr>
          <w:rFonts w:ascii="Times New Roman" w:hAnsi="Times New Roman"/>
          <w:szCs w:val="24"/>
        </w:rPr>
        <w:t>easons set out in the response.</w:t>
      </w:r>
      <w:r w:rsidRPr="002334BC">
        <w:rPr>
          <w:rFonts w:ascii="Times New Roman" w:hAnsi="Times New Roman"/>
          <w:szCs w:val="24"/>
        </w:rPr>
        <w:t xml:space="preserve"> It is unnecessary for present purpo</w:t>
      </w:r>
      <w:r w:rsidR="002334BC">
        <w:rPr>
          <w:rFonts w:ascii="Times New Roman" w:hAnsi="Times New Roman"/>
          <w:szCs w:val="24"/>
        </w:rPr>
        <w:t>ses to deal with those matters.</w:t>
      </w:r>
      <w:r w:rsidRPr="002334BC">
        <w:rPr>
          <w:rFonts w:ascii="Times New Roman" w:hAnsi="Times New Roman"/>
          <w:szCs w:val="24"/>
        </w:rPr>
        <w:t xml:space="preserve"> The Director has foreshadowed that her response will be made available today.</w:t>
      </w:r>
    </w:p>
    <w:p w14:paraId="601ABBDC" w14:textId="77777777" w:rsidR="00A57ADA" w:rsidRPr="002334BC" w:rsidRDefault="00A57ADA" w:rsidP="00A57ADA">
      <w:pPr>
        <w:pStyle w:val="Heading1"/>
        <w:rPr>
          <w:rFonts w:ascii="Times New Roman" w:hAnsi="Times New Roman"/>
          <w:szCs w:val="24"/>
        </w:rPr>
      </w:pPr>
      <w:r w:rsidRPr="002334BC">
        <w:rPr>
          <w:rFonts w:ascii="Times New Roman" w:hAnsi="Times New Roman"/>
          <w:szCs w:val="24"/>
        </w:rPr>
        <w:t>What is significant is that the Director’s response makes a number of factual concessions, which include the following:</w:t>
      </w:r>
    </w:p>
    <w:p w14:paraId="7CA5C7E0" w14:textId="77777777" w:rsidR="00A57ADA" w:rsidRPr="002334BC" w:rsidRDefault="00A57ADA" w:rsidP="00A57ADA">
      <w:pPr>
        <w:pStyle w:val="Heading3"/>
        <w:rPr>
          <w:rFonts w:ascii="Times New Roman" w:hAnsi="Times New Roman"/>
          <w:szCs w:val="24"/>
        </w:rPr>
      </w:pPr>
      <w:r w:rsidRPr="002334BC">
        <w:rPr>
          <w:rFonts w:ascii="Times New Roman" w:hAnsi="Times New Roman"/>
          <w:szCs w:val="24"/>
        </w:rPr>
        <w:t xml:space="preserve">from as early as October 2002, Ms </w:t>
      </w:r>
      <w:proofErr w:type="spellStart"/>
      <w:r w:rsidRPr="002334BC">
        <w:rPr>
          <w:rFonts w:ascii="Times New Roman" w:hAnsi="Times New Roman"/>
          <w:szCs w:val="24"/>
        </w:rPr>
        <w:t>Gobbo</w:t>
      </w:r>
      <w:proofErr w:type="spellEnd"/>
      <w:r w:rsidRPr="002334BC">
        <w:rPr>
          <w:rFonts w:ascii="Times New Roman" w:hAnsi="Times New Roman"/>
          <w:szCs w:val="24"/>
        </w:rPr>
        <w:t xml:space="preserve"> represented a person (‘witness Q’), on whose evidence the murder case against Mr </w:t>
      </w:r>
      <w:proofErr w:type="spellStart"/>
      <w:r w:rsidRPr="002334BC">
        <w:rPr>
          <w:rFonts w:ascii="Times New Roman" w:hAnsi="Times New Roman"/>
          <w:szCs w:val="24"/>
        </w:rPr>
        <w:t>Orman</w:t>
      </w:r>
      <w:proofErr w:type="spellEnd"/>
      <w:r w:rsidRPr="002334BC">
        <w:rPr>
          <w:rFonts w:ascii="Times New Roman" w:hAnsi="Times New Roman"/>
          <w:szCs w:val="24"/>
        </w:rPr>
        <w:t xml:space="preserve"> substantially depended.  Ms </w:t>
      </w:r>
      <w:proofErr w:type="spellStart"/>
      <w:r w:rsidRPr="002334BC">
        <w:rPr>
          <w:rFonts w:ascii="Times New Roman" w:hAnsi="Times New Roman"/>
          <w:szCs w:val="24"/>
        </w:rPr>
        <w:t>Gobbo</w:t>
      </w:r>
      <w:proofErr w:type="spellEnd"/>
      <w:r w:rsidRPr="002334BC">
        <w:rPr>
          <w:rFonts w:ascii="Times New Roman" w:hAnsi="Times New Roman"/>
          <w:szCs w:val="24"/>
        </w:rPr>
        <w:t xml:space="preserve"> continued to represent witness Q from time to time until 8 August 2008;</w:t>
      </w:r>
    </w:p>
    <w:p w14:paraId="7EF1DE39" w14:textId="0FA7893B" w:rsidR="00A57ADA" w:rsidRPr="002334BC" w:rsidRDefault="00A57ADA" w:rsidP="00A57ADA">
      <w:pPr>
        <w:pStyle w:val="Heading3"/>
        <w:rPr>
          <w:rFonts w:ascii="Times New Roman" w:hAnsi="Times New Roman"/>
          <w:szCs w:val="24"/>
        </w:rPr>
      </w:pPr>
      <w:r w:rsidRPr="002334BC">
        <w:rPr>
          <w:rFonts w:ascii="Times New Roman" w:hAnsi="Times New Roman"/>
          <w:szCs w:val="24"/>
        </w:rPr>
        <w:t xml:space="preserve">on 11 October 2006, Ms </w:t>
      </w:r>
      <w:proofErr w:type="spellStart"/>
      <w:r w:rsidRPr="002334BC">
        <w:rPr>
          <w:rFonts w:ascii="Times New Roman" w:hAnsi="Times New Roman"/>
          <w:szCs w:val="24"/>
        </w:rPr>
        <w:t>Gobbo</w:t>
      </w:r>
      <w:proofErr w:type="spellEnd"/>
      <w:r w:rsidRPr="002334BC">
        <w:rPr>
          <w:rFonts w:ascii="Times New Roman" w:hAnsi="Times New Roman"/>
          <w:szCs w:val="24"/>
        </w:rPr>
        <w:t xml:space="preserve"> was engaged by Mr </w:t>
      </w:r>
      <w:proofErr w:type="spellStart"/>
      <w:r w:rsidRPr="002334BC">
        <w:rPr>
          <w:rFonts w:ascii="Times New Roman" w:hAnsi="Times New Roman"/>
          <w:szCs w:val="24"/>
        </w:rPr>
        <w:t>Orman</w:t>
      </w:r>
      <w:proofErr w:type="spellEnd"/>
      <w:r w:rsidRPr="002334BC">
        <w:rPr>
          <w:rFonts w:ascii="Times New Roman" w:hAnsi="Times New Roman"/>
          <w:szCs w:val="24"/>
        </w:rPr>
        <w:t xml:space="preserve"> to represent him in relation to charges he </w:t>
      </w:r>
      <w:r w:rsidR="002334BC">
        <w:rPr>
          <w:rFonts w:ascii="Times New Roman" w:hAnsi="Times New Roman"/>
          <w:szCs w:val="24"/>
        </w:rPr>
        <w:t xml:space="preserve">was then facing in Queensland. </w:t>
      </w:r>
      <w:r w:rsidRPr="002334BC">
        <w:rPr>
          <w:rFonts w:ascii="Times New Roman" w:hAnsi="Times New Roman"/>
          <w:szCs w:val="24"/>
        </w:rPr>
        <w:t>She continued to represent him from time to time until at least 10 December 2008;</w:t>
      </w:r>
    </w:p>
    <w:p w14:paraId="1FE728AB" w14:textId="77777777" w:rsidR="00A57ADA" w:rsidRPr="002334BC" w:rsidRDefault="00A57ADA" w:rsidP="00A57ADA">
      <w:pPr>
        <w:pStyle w:val="Heading3"/>
        <w:rPr>
          <w:rFonts w:ascii="Times New Roman" w:hAnsi="Times New Roman"/>
          <w:szCs w:val="24"/>
        </w:rPr>
      </w:pPr>
      <w:r w:rsidRPr="002334BC">
        <w:rPr>
          <w:rFonts w:ascii="Times New Roman" w:hAnsi="Times New Roman"/>
          <w:szCs w:val="24"/>
        </w:rPr>
        <w:t>on 9 November 2007, at a time when she was engaged to act on behalf of Mr </w:t>
      </w:r>
      <w:proofErr w:type="spellStart"/>
      <w:r w:rsidRPr="002334BC">
        <w:rPr>
          <w:rFonts w:ascii="Times New Roman" w:hAnsi="Times New Roman"/>
          <w:szCs w:val="24"/>
        </w:rPr>
        <w:t>Orman</w:t>
      </w:r>
      <w:proofErr w:type="spellEnd"/>
      <w:r w:rsidRPr="002334BC">
        <w:rPr>
          <w:rFonts w:ascii="Times New Roman" w:hAnsi="Times New Roman"/>
          <w:szCs w:val="24"/>
        </w:rPr>
        <w:t xml:space="preserve">, Ms </w:t>
      </w:r>
      <w:proofErr w:type="spellStart"/>
      <w:r w:rsidRPr="002334BC">
        <w:rPr>
          <w:rFonts w:ascii="Times New Roman" w:hAnsi="Times New Roman"/>
          <w:szCs w:val="24"/>
        </w:rPr>
        <w:t>Gobbo</w:t>
      </w:r>
      <w:proofErr w:type="spellEnd"/>
      <w:r w:rsidRPr="002334BC">
        <w:rPr>
          <w:rFonts w:ascii="Times New Roman" w:hAnsi="Times New Roman"/>
          <w:szCs w:val="24"/>
        </w:rPr>
        <w:t xml:space="preserve"> improperly took active steps to ensure that witness Q gave evidence against Mr </w:t>
      </w:r>
      <w:proofErr w:type="spellStart"/>
      <w:r w:rsidRPr="002334BC">
        <w:rPr>
          <w:rFonts w:ascii="Times New Roman" w:hAnsi="Times New Roman"/>
          <w:szCs w:val="24"/>
        </w:rPr>
        <w:t>Orman</w:t>
      </w:r>
      <w:proofErr w:type="spellEnd"/>
      <w:r w:rsidRPr="002334BC">
        <w:rPr>
          <w:rFonts w:ascii="Times New Roman" w:hAnsi="Times New Roman"/>
          <w:szCs w:val="24"/>
        </w:rPr>
        <w:t xml:space="preserve"> in the murder trial.</w:t>
      </w:r>
    </w:p>
    <w:p w14:paraId="020FFA9F" w14:textId="77777777" w:rsidR="00A57ADA" w:rsidRPr="002334BC" w:rsidRDefault="00A57ADA" w:rsidP="00746A52">
      <w:pPr>
        <w:pStyle w:val="Heading1"/>
        <w:spacing w:after="1680"/>
        <w:rPr>
          <w:rFonts w:ascii="Times New Roman" w:hAnsi="Times New Roman"/>
          <w:szCs w:val="24"/>
        </w:rPr>
      </w:pPr>
      <w:r w:rsidRPr="002334BC">
        <w:rPr>
          <w:rFonts w:ascii="Times New Roman" w:hAnsi="Times New Roman"/>
          <w:szCs w:val="24"/>
        </w:rPr>
        <w:t xml:space="preserve">The Crown concedes that, as a result of Ms </w:t>
      </w:r>
      <w:proofErr w:type="spellStart"/>
      <w:r w:rsidRPr="002334BC">
        <w:rPr>
          <w:rFonts w:ascii="Times New Roman" w:hAnsi="Times New Roman"/>
          <w:szCs w:val="24"/>
        </w:rPr>
        <w:t>Gobbo’s</w:t>
      </w:r>
      <w:proofErr w:type="spellEnd"/>
      <w:r w:rsidRPr="002334BC">
        <w:rPr>
          <w:rFonts w:ascii="Times New Roman" w:hAnsi="Times New Roman"/>
          <w:szCs w:val="24"/>
        </w:rPr>
        <w:t xml:space="preserve"> conduct on 9 November 2007, there was a substantial miscarriage of justice, within the meaning of s 276(1)(c) of the </w:t>
      </w:r>
      <w:r w:rsidRPr="002334BC">
        <w:rPr>
          <w:rFonts w:ascii="Times New Roman" w:hAnsi="Times New Roman"/>
          <w:i/>
          <w:szCs w:val="24"/>
        </w:rPr>
        <w:t>Criminal Procedure Act</w:t>
      </w:r>
      <w:r w:rsidRPr="002334BC">
        <w:rPr>
          <w:rFonts w:ascii="Times New Roman" w:hAnsi="Times New Roman"/>
          <w:szCs w:val="24"/>
        </w:rPr>
        <w:t xml:space="preserve">.  The Crown’s submission is that the appeal must therefore be allowed.  </w:t>
      </w:r>
    </w:p>
    <w:p w14:paraId="3A0E58B7" w14:textId="77777777" w:rsidR="00A57ADA" w:rsidRPr="002334BC" w:rsidRDefault="00A57ADA" w:rsidP="00A57ADA">
      <w:pPr>
        <w:pStyle w:val="SideHeading"/>
        <w:rPr>
          <w:rFonts w:ascii="Times New Roman" w:hAnsi="Times New Roman"/>
          <w:szCs w:val="24"/>
        </w:rPr>
      </w:pPr>
      <w:r w:rsidRPr="002334BC">
        <w:rPr>
          <w:rFonts w:ascii="Times New Roman" w:hAnsi="Times New Roman"/>
          <w:szCs w:val="24"/>
        </w:rPr>
        <w:t>Disposing of the appeal</w:t>
      </w:r>
    </w:p>
    <w:p w14:paraId="536E2BBD" w14:textId="5A5EB34E" w:rsidR="00A57ADA" w:rsidRPr="002334BC" w:rsidRDefault="00A57ADA" w:rsidP="00A57ADA">
      <w:pPr>
        <w:pStyle w:val="Heading1"/>
        <w:rPr>
          <w:rFonts w:ascii="Times New Roman" w:hAnsi="Times New Roman"/>
          <w:szCs w:val="24"/>
        </w:rPr>
      </w:pPr>
      <w:r w:rsidRPr="002334BC">
        <w:rPr>
          <w:rFonts w:ascii="Times New Roman" w:hAnsi="Times New Roman"/>
          <w:szCs w:val="24"/>
        </w:rPr>
        <w:t>In our view, the Crown’</w:t>
      </w:r>
      <w:r w:rsidR="00F10CA1">
        <w:rPr>
          <w:rFonts w:ascii="Times New Roman" w:hAnsi="Times New Roman"/>
          <w:szCs w:val="24"/>
        </w:rPr>
        <w:t xml:space="preserve">s concession is properly made. </w:t>
      </w:r>
      <w:r w:rsidRPr="002334BC">
        <w:rPr>
          <w:rFonts w:ascii="Times New Roman" w:hAnsi="Times New Roman"/>
          <w:szCs w:val="24"/>
        </w:rPr>
        <w:t xml:space="preserve">We proceed on the basis of the </w:t>
      </w:r>
      <w:r w:rsidR="00F10CA1">
        <w:rPr>
          <w:rFonts w:ascii="Times New Roman" w:hAnsi="Times New Roman"/>
          <w:szCs w:val="24"/>
        </w:rPr>
        <w:lastRenderedPageBreak/>
        <w:t>facts conceded by the Director.</w:t>
      </w:r>
      <w:r w:rsidRPr="002334BC">
        <w:rPr>
          <w:rFonts w:ascii="Times New Roman" w:hAnsi="Times New Roman"/>
          <w:szCs w:val="24"/>
        </w:rPr>
        <w:t xml:space="preserve"> Because of that concession, it has not been necessary for the Court to undertake any factual investigat</w:t>
      </w:r>
      <w:r w:rsidR="00F10CA1">
        <w:rPr>
          <w:rFonts w:ascii="Times New Roman" w:hAnsi="Times New Roman"/>
          <w:szCs w:val="24"/>
        </w:rPr>
        <w:t xml:space="preserve">ion of its own. </w:t>
      </w:r>
      <w:r w:rsidRPr="002334BC">
        <w:rPr>
          <w:rFonts w:ascii="Times New Roman" w:hAnsi="Times New Roman"/>
          <w:szCs w:val="24"/>
        </w:rPr>
        <w:t>Nor, of course, do we need to say anything about the contested factual allegations.</w:t>
      </w:r>
    </w:p>
    <w:p w14:paraId="4490D889" w14:textId="1983E651" w:rsidR="00A57ADA" w:rsidRPr="002334BC" w:rsidRDefault="00A57ADA" w:rsidP="00A57ADA">
      <w:pPr>
        <w:pStyle w:val="Heading1"/>
        <w:rPr>
          <w:rFonts w:ascii="Times New Roman" w:hAnsi="Times New Roman"/>
          <w:szCs w:val="24"/>
        </w:rPr>
      </w:pPr>
      <w:r w:rsidRPr="002334BC">
        <w:rPr>
          <w:rFonts w:ascii="Times New Roman" w:hAnsi="Times New Roman"/>
          <w:szCs w:val="24"/>
        </w:rPr>
        <w:t xml:space="preserve">The Director concedes that Ms </w:t>
      </w:r>
      <w:proofErr w:type="spellStart"/>
      <w:r w:rsidRPr="002334BC">
        <w:rPr>
          <w:rFonts w:ascii="Times New Roman" w:hAnsi="Times New Roman"/>
          <w:szCs w:val="24"/>
        </w:rPr>
        <w:t>Gobbo</w:t>
      </w:r>
      <w:proofErr w:type="spellEnd"/>
      <w:r w:rsidRPr="002334BC">
        <w:rPr>
          <w:rFonts w:ascii="Times New Roman" w:hAnsi="Times New Roman"/>
          <w:szCs w:val="24"/>
        </w:rPr>
        <w:t xml:space="preserve">, while acting for Mr </w:t>
      </w:r>
      <w:proofErr w:type="spellStart"/>
      <w:r w:rsidRPr="002334BC">
        <w:rPr>
          <w:rFonts w:ascii="Times New Roman" w:hAnsi="Times New Roman"/>
          <w:szCs w:val="24"/>
        </w:rPr>
        <w:t>Orman</w:t>
      </w:r>
      <w:proofErr w:type="spellEnd"/>
      <w:r w:rsidRPr="002334BC">
        <w:rPr>
          <w:rFonts w:ascii="Times New Roman" w:hAnsi="Times New Roman"/>
          <w:szCs w:val="24"/>
        </w:rPr>
        <w:t xml:space="preserve">, pursued the presentation of the principal evidence against him on the charge of </w:t>
      </w:r>
      <w:r w:rsidR="00F10CA1">
        <w:rPr>
          <w:rFonts w:ascii="Times New Roman" w:hAnsi="Times New Roman"/>
          <w:szCs w:val="24"/>
        </w:rPr>
        <w:t xml:space="preserve">murder. </w:t>
      </w:r>
      <w:r w:rsidRPr="002334BC">
        <w:rPr>
          <w:rFonts w:ascii="Times New Roman" w:hAnsi="Times New Roman"/>
          <w:szCs w:val="24"/>
        </w:rPr>
        <w:t>Self-evidently, that conduct was a fundame</w:t>
      </w:r>
      <w:r w:rsidR="00A6218C" w:rsidRPr="002334BC">
        <w:rPr>
          <w:rFonts w:ascii="Times New Roman" w:hAnsi="Times New Roman"/>
          <w:szCs w:val="24"/>
        </w:rPr>
        <w:t>ntal breach of her duties to Mr </w:t>
      </w:r>
      <w:proofErr w:type="spellStart"/>
      <w:r w:rsidR="00F10CA1">
        <w:rPr>
          <w:rFonts w:ascii="Times New Roman" w:hAnsi="Times New Roman"/>
          <w:szCs w:val="24"/>
        </w:rPr>
        <w:t>Orman</w:t>
      </w:r>
      <w:proofErr w:type="spellEnd"/>
      <w:r w:rsidR="00F10CA1">
        <w:rPr>
          <w:rFonts w:ascii="Times New Roman" w:hAnsi="Times New Roman"/>
          <w:szCs w:val="24"/>
        </w:rPr>
        <w:t xml:space="preserve"> and to the Court.</w:t>
      </w:r>
      <w:r w:rsidRPr="002334BC">
        <w:rPr>
          <w:rFonts w:ascii="Times New Roman" w:hAnsi="Times New Roman"/>
          <w:szCs w:val="24"/>
        </w:rPr>
        <w:t xml:space="preserve"> We refer, as did the Director, to the following statement of the High Court in </w:t>
      </w:r>
      <w:proofErr w:type="spellStart"/>
      <w:r w:rsidRPr="002334BC">
        <w:rPr>
          <w:rFonts w:ascii="Times New Roman" w:hAnsi="Times New Roman"/>
          <w:i/>
          <w:szCs w:val="24"/>
        </w:rPr>
        <w:t>Tuckiar</w:t>
      </w:r>
      <w:proofErr w:type="spellEnd"/>
      <w:r w:rsidRPr="002334BC">
        <w:rPr>
          <w:rFonts w:ascii="Times New Roman" w:hAnsi="Times New Roman"/>
          <w:i/>
          <w:szCs w:val="24"/>
        </w:rPr>
        <w:t xml:space="preserve"> v The King</w:t>
      </w:r>
      <w:r w:rsidRPr="002334BC">
        <w:rPr>
          <w:rFonts w:ascii="Times New Roman" w:hAnsi="Times New Roman"/>
          <w:szCs w:val="24"/>
        </w:rPr>
        <w:t>:</w:t>
      </w:r>
    </w:p>
    <w:p w14:paraId="03CFE8AC" w14:textId="2E057660" w:rsidR="00A57ADA" w:rsidRPr="002334BC" w:rsidRDefault="00A57ADA" w:rsidP="00A57ADA">
      <w:pPr>
        <w:pStyle w:val="Quote1"/>
        <w:rPr>
          <w:rFonts w:ascii="Times New Roman" w:hAnsi="Times New Roman"/>
          <w:sz w:val="24"/>
          <w:szCs w:val="24"/>
        </w:rPr>
      </w:pPr>
      <w:r w:rsidRPr="002334BC">
        <w:rPr>
          <w:rFonts w:ascii="Times New Roman" w:hAnsi="Times New Roman"/>
          <w:sz w:val="24"/>
          <w:szCs w:val="24"/>
        </w:rPr>
        <w:t>Our system of administering justice necessarily imposes upon those who practise advocacy duties which have no analogies, and the system cannot dispense with their strict observance.</w:t>
      </w:r>
      <w:r w:rsidRPr="002334BC">
        <w:rPr>
          <w:rStyle w:val="FootnoteReference"/>
          <w:rFonts w:ascii="Times New Roman" w:hAnsi="Times New Roman"/>
          <w:sz w:val="24"/>
          <w:szCs w:val="24"/>
        </w:rPr>
        <w:footnoteReference w:id="1"/>
      </w:r>
    </w:p>
    <w:p w14:paraId="5A1DCD59" w14:textId="177AC62A" w:rsidR="00A57ADA" w:rsidRPr="002334BC" w:rsidRDefault="00A57ADA" w:rsidP="00A57ADA">
      <w:pPr>
        <w:pStyle w:val="Heading1"/>
        <w:rPr>
          <w:rFonts w:ascii="Times New Roman" w:hAnsi="Times New Roman"/>
          <w:szCs w:val="24"/>
        </w:rPr>
      </w:pPr>
      <w:r w:rsidRPr="002334BC">
        <w:rPr>
          <w:rFonts w:ascii="Times New Roman" w:hAnsi="Times New Roman"/>
          <w:szCs w:val="24"/>
        </w:rPr>
        <w:t xml:space="preserve">On the facts as conceded, Ms </w:t>
      </w:r>
      <w:proofErr w:type="spellStart"/>
      <w:r w:rsidRPr="002334BC">
        <w:rPr>
          <w:rFonts w:ascii="Times New Roman" w:hAnsi="Times New Roman"/>
          <w:szCs w:val="24"/>
        </w:rPr>
        <w:t>Gobbo’s</w:t>
      </w:r>
      <w:proofErr w:type="spellEnd"/>
      <w:r w:rsidRPr="002334BC">
        <w:rPr>
          <w:rFonts w:ascii="Times New Roman" w:hAnsi="Times New Roman"/>
          <w:szCs w:val="24"/>
        </w:rPr>
        <w:t xml:space="preserve"> conduct subverted Mr </w:t>
      </w:r>
      <w:proofErr w:type="spellStart"/>
      <w:r w:rsidRPr="002334BC">
        <w:rPr>
          <w:rFonts w:ascii="Times New Roman" w:hAnsi="Times New Roman"/>
          <w:szCs w:val="24"/>
        </w:rPr>
        <w:t>Orman’s</w:t>
      </w:r>
      <w:proofErr w:type="spellEnd"/>
      <w:r w:rsidRPr="002334BC">
        <w:rPr>
          <w:rFonts w:ascii="Times New Roman" w:hAnsi="Times New Roman"/>
          <w:szCs w:val="24"/>
        </w:rPr>
        <w:t xml:space="preserve"> right to a fair trial, and went to the very foundations of the sys</w:t>
      </w:r>
      <w:r w:rsidR="00F10CA1">
        <w:rPr>
          <w:rFonts w:ascii="Times New Roman" w:hAnsi="Times New Roman"/>
          <w:szCs w:val="24"/>
        </w:rPr>
        <w:t>tem of criminal trial.</w:t>
      </w:r>
      <w:r w:rsidRPr="002334BC">
        <w:rPr>
          <w:rFonts w:ascii="Times New Roman" w:hAnsi="Times New Roman"/>
          <w:szCs w:val="24"/>
        </w:rPr>
        <w:t xml:space="preserve"> There was, accordingly, a substantial miscarriage of justice.</w:t>
      </w:r>
      <w:r w:rsidRPr="002334BC">
        <w:rPr>
          <w:rStyle w:val="FootnoteReference"/>
          <w:rFonts w:ascii="Times New Roman" w:hAnsi="Times New Roman"/>
          <w:szCs w:val="24"/>
        </w:rPr>
        <w:footnoteReference w:id="2"/>
      </w:r>
      <w:r w:rsidRPr="002334BC">
        <w:rPr>
          <w:rFonts w:ascii="Times New Roman" w:hAnsi="Times New Roman"/>
          <w:szCs w:val="24"/>
        </w:rPr>
        <w:t xml:space="preserve"> The appeal must therefore be allowed.  </w:t>
      </w:r>
    </w:p>
    <w:p w14:paraId="445BB862" w14:textId="2B4455BC" w:rsidR="00A57ADA" w:rsidRPr="002334BC" w:rsidRDefault="00A57ADA" w:rsidP="00A57ADA">
      <w:pPr>
        <w:pStyle w:val="Heading1"/>
        <w:rPr>
          <w:rFonts w:ascii="Times New Roman" w:hAnsi="Times New Roman"/>
          <w:szCs w:val="24"/>
        </w:rPr>
      </w:pPr>
      <w:r w:rsidRPr="002334BC">
        <w:rPr>
          <w:rFonts w:ascii="Times New Roman" w:hAnsi="Times New Roman"/>
          <w:szCs w:val="24"/>
        </w:rPr>
        <w:t xml:space="preserve">The question which then arises is whether there should be an order for a new trial or whether, instead, a judgment of acquittal </w:t>
      </w:r>
      <w:r w:rsidR="00F10CA1">
        <w:rPr>
          <w:rFonts w:ascii="Times New Roman" w:hAnsi="Times New Roman"/>
          <w:szCs w:val="24"/>
        </w:rPr>
        <w:t>should be entered.</w:t>
      </w:r>
      <w:r w:rsidRPr="002334BC">
        <w:rPr>
          <w:rFonts w:ascii="Times New Roman" w:hAnsi="Times New Roman"/>
          <w:szCs w:val="24"/>
        </w:rPr>
        <w:t xml:space="preserve"> Those are the relevant options under s 277(1) of the </w:t>
      </w:r>
      <w:r w:rsidRPr="002334BC">
        <w:rPr>
          <w:rFonts w:ascii="Times New Roman" w:hAnsi="Times New Roman"/>
          <w:i/>
          <w:szCs w:val="24"/>
        </w:rPr>
        <w:t>Criminal Procedure Act</w:t>
      </w:r>
      <w:r w:rsidRPr="002334BC">
        <w:rPr>
          <w:rFonts w:ascii="Times New Roman" w:hAnsi="Times New Roman"/>
          <w:szCs w:val="24"/>
        </w:rPr>
        <w:t xml:space="preserve">.  </w:t>
      </w:r>
    </w:p>
    <w:p w14:paraId="0DBD5468" w14:textId="77777777" w:rsidR="00A57ADA" w:rsidRPr="002334BC" w:rsidRDefault="00A57ADA" w:rsidP="00A57ADA">
      <w:pPr>
        <w:pStyle w:val="Heading1"/>
        <w:rPr>
          <w:rFonts w:ascii="Times New Roman" w:hAnsi="Times New Roman"/>
          <w:szCs w:val="24"/>
        </w:rPr>
      </w:pPr>
      <w:r w:rsidRPr="002334BC">
        <w:rPr>
          <w:rFonts w:ascii="Times New Roman" w:hAnsi="Times New Roman"/>
          <w:szCs w:val="24"/>
        </w:rPr>
        <w:t xml:space="preserve">The Director draws attention to the decision of the High Court in </w:t>
      </w:r>
      <w:r w:rsidRPr="002334BC">
        <w:rPr>
          <w:rFonts w:ascii="Times New Roman" w:hAnsi="Times New Roman"/>
          <w:i/>
          <w:szCs w:val="24"/>
        </w:rPr>
        <w:t>DPP (Nauru) v Fowler</w:t>
      </w:r>
      <w:r w:rsidRPr="002334BC">
        <w:rPr>
          <w:rFonts w:ascii="Times New Roman" w:hAnsi="Times New Roman"/>
          <w:szCs w:val="24"/>
        </w:rPr>
        <w:t>, which requires the Court in deciding whether or not to order a new trial to take into account —</w:t>
      </w:r>
    </w:p>
    <w:p w14:paraId="335BD43A" w14:textId="77777777" w:rsidR="00A57ADA" w:rsidRPr="002334BC" w:rsidRDefault="00A57ADA" w:rsidP="00A57ADA">
      <w:pPr>
        <w:pStyle w:val="Quote1"/>
        <w:rPr>
          <w:rFonts w:ascii="Times New Roman" w:hAnsi="Times New Roman"/>
          <w:sz w:val="24"/>
          <w:szCs w:val="24"/>
        </w:rPr>
      </w:pPr>
      <w:r w:rsidRPr="002334BC">
        <w:rPr>
          <w:rFonts w:ascii="Times New Roman" w:hAnsi="Times New Roman"/>
          <w:sz w:val="24"/>
          <w:szCs w:val="24"/>
        </w:rPr>
        <w:t>any circumstances that might render it unjust to the accused to make him stand trial again, remembering however that the public interest in the proper administration of justice must be considered as well as the interests of the individual accused.</w:t>
      </w:r>
      <w:r w:rsidRPr="002334BC">
        <w:rPr>
          <w:rStyle w:val="FootnoteReference"/>
          <w:rFonts w:ascii="Times New Roman" w:hAnsi="Times New Roman"/>
          <w:sz w:val="24"/>
          <w:szCs w:val="24"/>
        </w:rPr>
        <w:footnoteReference w:id="3"/>
      </w:r>
    </w:p>
    <w:p w14:paraId="64E9829F" w14:textId="6C5C9ACB" w:rsidR="00A57ADA" w:rsidRPr="002334BC" w:rsidRDefault="00A57ADA" w:rsidP="00A57ADA">
      <w:pPr>
        <w:pStyle w:val="Heading1"/>
        <w:rPr>
          <w:rFonts w:ascii="Times New Roman" w:hAnsi="Times New Roman"/>
          <w:szCs w:val="24"/>
        </w:rPr>
      </w:pPr>
      <w:r w:rsidRPr="002334BC">
        <w:rPr>
          <w:rFonts w:ascii="Times New Roman" w:hAnsi="Times New Roman"/>
          <w:szCs w:val="24"/>
        </w:rPr>
        <w:t xml:space="preserve">Although witness Q’s evidence is said to be ‘in theory, still available’, and the Crown </w:t>
      </w:r>
      <w:r w:rsidRPr="002334BC">
        <w:rPr>
          <w:rFonts w:ascii="Times New Roman" w:hAnsi="Times New Roman"/>
          <w:szCs w:val="24"/>
        </w:rPr>
        <w:lastRenderedPageBreak/>
        <w:t>does not concede that it is inadmissible, it is nevertheless conceded that it would</w:t>
      </w:r>
      <w:r w:rsidR="00F10CA1">
        <w:rPr>
          <w:rFonts w:ascii="Times New Roman" w:hAnsi="Times New Roman"/>
          <w:szCs w:val="24"/>
        </w:rPr>
        <w:t xml:space="preserve"> be unjust to order a re-trial.</w:t>
      </w:r>
      <w:r w:rsidRPr="002334BC">
        <w:rPr>
          <w:rFonts w:ascii="Times New Roman" w:hAnsi="Times New Roman"/>
          <w:szCs w:val="24"/>
        </w:rPr>
        <w:t xml:space="preserve"> This is said to be so because there has been ‘significant time’ since the events the su</w:t>
      </w:r>
      <w:r w:rsidR="00F10CA1">
        <w:rPr>
          <w:rFonts w:ascii="Times New Roman" w:hAnsi="Times New Roman"/>
          <w:szCs w:val="24"/>
        </w:rPr>
        <w:t>bject of the charge took place.</w:t>
      </w:r>
      <w:r w:rsidRPr="002334BC">
        <w:rPr>
          <w:rFonts w:ascii="Times New Roman" w:hAnsi="Times New Roman"/>
          <w:szCs w:val="24"/>
        </w:rPr>
        <w:t xml:space="preserve"> Further, the Director says, Mr </w:t>
      </w:r>
      <w:proofErr w:type="spellStart"/>
      <w:r w:rsidRPr="002334BC">
        <w:rPr>
          <w:rFonts w:ascii="Times New Roman" w:hAnsi="Times New Roman"/>
          <w:szCs w:val="24"/>
        </w:rPr>
        <w:t>Orman</w:t>
      </w:r>
      <w:proofErr w:type="spellEnd"/>
      <w:r w:rsidRPr="002334BC">
        <w:rPr>
          <w:rFonts w:ascii="Times New Roman" w:hAnsi="Times New Roman"/>
          <w:szCs w:val="24"/>
        </w:rPr>
        <w:t>:</w:t>
      </w:r>
    </w:p>
    <w:p w14:paraId="6D44E786" w14:textId="77777777" w:rsidR="00A57ADA" w:rsidRPr="002334BC" w:rsidRDefault="00A57ADA" w:rsidP="00A57ADA">
      <w:pPr>
        <w:pStyle w:val="Quote1"/>
        <w:rPr>
          <w:rFonts w:ascii="Times New Roman" w:hAnsi="Times New Roman"/>
          <w:sz w:val="24"/>
          <w:szCs w:val="24"/>
        </w:rPr>
      </w:pPr>
      <w:r w:rsidRPr="002334BC">
        <w:rPr>
          <w:rFonts w:ascii="Times New Roman" w:hAnsi="Times New Roman"/>
          <w:sz w:val="24"/>
          <w:szCs w:val="24"/>
        </w:rPr>
        <w:t>has already served a significant portion of his non-parole period and by the time any re-trial is heard, subject to any grant of bail, he will have served more.</w:t>
      </w:r>
    </w:p>
    <w:p w14:paraId="2CC21B16" w14:textId="1551F390" w:rsidR="007601E2" w:rsidRPr="00F10CA1" w:rsidRDefault="00A57ADA" w:rsidP="00F10CA1">
      <w:pPr>
        <w:pStyle w:val="Heading1"/>
        <w:rPr>
          <w:rFonts w:ascii="Times New Roman" w:hAnsi="Times New Roman"/>
          <w:szCs w:val="24"/>
        </w:rPr>
      </w:pPr>
      <w:r w:rsidRPr="002334BC">
        <w:rPr>
          <w:rFonts w:ascii="Times New Roman" w:hAnsi="Times New Roman"/>
          <w:szCs w:val="24"/>
        </w:rPr>
        <w:t>In our view, that co</w:t>
      </w:r>
      <w:r w:rsidR="00F10CA1">
        <w:rPr>
          <w:rFonts w:ascii="Times New Roman" w:hAnsi="Times New Roman"/>
          <w:szCs w:val="24"/>
        </w:rPr>
        <w:t>ncession is also properly made.</w:t>
      </w:r>
      <w:r w:rsidRPr="002334BC">
        <w:rPr>
          <w:rFonts w:ascii="Times New Roman" w:hAnsi="Times New Roman"/>
          <w:szCs w:val="24"/>
        </w:rPr>
        <w:t xml:space="preserve"> We will order that the appeal be allowed, the conviction for murder set aside and in its place a judgment of acquittal be ente</w:t>
      </w:r>
      <w:bookmarkStart w:id="0" w:name="_GoBack"/>
      <w:bookmarkEnd w:id="0"/>
      <w:r w:rsidRPr="002334BC">
        <w:rPr>
          <w:rFonts w:ascii="Times New Roman" w:hAnsi="Times New Roman"/>
          <w:szCs w:val="24"/>
        </w:rPr>
        <w:t>red for the offence of murder.</w:t>
      </w:r>
    </w:p>
    <w:sectPr w:rsidR="007601E2" w:rsidRPr="00F10CA1" w:rsidSect="00DC6C7E">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764B1" w14:textId="77777777" w:rsidR="00930056" w:rsidRDefault="00930056" w:rsidP="00DC6C7E">
      <w:r>
        <w:separator/>
      </w:r>
    </w:p>
  </w:endnote>
  <w:endnote w:type="continuationSeparator" w:id="0">
    <w:p w14:paraId="15D227AF" w14:textId="77777777" w:rsidR="00930056" w:rsidRDefault="00930056" w:rsidP="00DC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A099" w14:textId="77777777" w:rsidR="00930056" w:rsidRDefault="00930056" w:rsidP="00DC6C7E">
      <w:r>
        <w:separator/>
      </w:r>
    </w:p>
  </w:footnote>
  <w:footnote w:type="continuationSeparator" w:id="0">
    <w:p w14:paraId="414A1230" w14:textId="77777777" w:rsidR="00930056" w:rsidRDefault="00930056" w:rsidP="00DC6C7E">
      <w:r>
        <w:continuationSeparator/>
      </w:r>
    </w:p>
  </w:footnote>
  <w:footnote w:id="1">
    <w:p w14:paraId="5F8AACF8" w14:textId="77777777" w:rsidR="00A57ADA" w:rsidRPr="002334BC" w:rsidRDefault="00A57ADA" w:rsidP="00A57ADA">
      <w:pPr>
        <w:pStyle w:val="FootnoteText"/>
        <w:rPr>
          <w:rFonts w:ascii="Times New Roman" w:hAnsi="Times New Roman"/>
        </w:rPr>
      </w:pPr>
      <w:r w:rsidRPr="002334BC">
        <w:rPr>
          <w:rStyle w:val="FootnoteReference"/>
          <w:rFonts w:ascii="Times New Roman" w:hAnsi="Times New Roman"/>
        </w:rPr>
        <w:footnoteRef/>
      </w:r>
      <w:r w:rsidRPr="002334BC">
        <w:rPr>
          <w:rFonts w:ascii="Times New Roman" w:hAnsi="Times New Roman"/>
        </w:rPr>
        <w:t xml:space="preserve"> </w:t>
      </w:r>
      <w:r w:rsidRPr="002334BC">
        <w:rPr>
          <w:rFonts w:ascii="Times New Roman" w:hAnsi="Times New Roman"/>
        </w:rPr>
        <w:tab/>
        <w:t>(1934) 52 CLR 335, 347.</w:t>
      </w:r>
    </w:p>
  </w:footnote>
  <w:footnote w:id="2">
    <w:p w14:paraId="661AA146" w14:textId="77777777" w:rsidR="00A57ADA" w:rsidRPr="002334BC" w:rsidRDefault="00A57ADA" w:rsidP="00A57ADA">
      <w:pPr>
        <w:pStyle w:val="FootnoteText"/>
        <w:rPr>
          <w:rFonts w:ascii="Times New Roman" w:hAnsi="Times New Roman"/>
        </w:rPr>
      </w:pPr>
      <w:r w:rsidRPr="002334BC">
        <w:rPr>
          <w:rStyle w:val="FootnoteReference"/>
          <w:rFonts w:ascii="Times New Roman" w:hAnsi="Times New Roman"/>
        </w:rPr>
        <w:footnoteRef/>
      </w:r>
      <w:r w:rsidRPr="002334BC">
        <w:rPr>
          <w:rFonts w:ascii="Times New Roman" w:hAnsi="Times New Roman"/>
        </w:rPr>
        <w:t xml:space="preserve"> </w:t>
      </w:r>
      <w:r w:rsidRPr="002334BC">
        <w:rPr>
          <w:rFonts w:ascii="Times New Roman" w:hAnsi="Times New Roman"/>
        </w:rPr>
        <w:tab/>
        <w:t xml:space="preserve">See </w:t>
      </w:r>
      <w:r w:rsidRPr="002334BC">
        <w:rPr>
          <w:rFonts w:ascii="Times New Roman" w:hAnsi="Times New Roman"/>
          <w:i/>
        </w:rPr>
        <w:t xml:space="preserve">Wilde v The Queen </w:t>
      </w:r>
      <w:r w:rsidRPr="002334BC">
        <w:rPr>
          <w:rFonts w:ascii="Times New Roman" w:hAnsi="Times New Roman"/>
        </w:rPr>
        <w:t xml:space="preserve">(1988) 164 CLR 365, 373.  </w:t>
      </w:r>
      <w:r w:rsidRPr="002334BC">
        <w:rPr>
          <w:rFonts w:ascii="Times New Roman" w:hAnsi="Times New Roman"/>
          <w:i/>
        </w:rPr>
        <w:t xml:space="preserve">OKS v Western Australia </w:t>
      </w:r>
      <w:r w:rsidRPr="002334BC">
        <w:rPr>
          <w:rFonts w:ascii="Times New Roman" w:hAnsi="Times New Roman"/>
        </w:rPr>
        <w:t>[2019] HCA 10, [36].</w:t>
      </w:r>
    </w:p>
  </w:footnote>
  <w:footnote w:id="3">
    <w:p w14:paraId="26A9EBF3" w14:textId="77777777" w:rsidR="00A57ADA" w:rsidRPr="002334BC" w:rsidRDefault="00A57ADA" w:rsidP="00A57ADA">
      <w:pPr>
        <w:pStyle w:val="FootnoteText"/>
        <w:rPr>
          <w:rFonts w:ascii="Times New Roman" w:hAnsi="Times New Roman"/>
        </w:rPr>
      </w:pPr>
      <w:r w:rsidRPr="002334BC">
        <w:rPr>
          <w:rStyle w:val="FootnoteReference"/>
          <w:rFonts w:ascii="Times New Roman" w:hAnsi="Times New Roman"/>
        </w:rPr>
        <w:footnoteRef/>
      </w:r>
      <w:r w:rsidRPr="002334BC">
        <w:rPr>
          <w:rFonts w:ascii="Times New Roman" w:hAnsi="Times New Roman"/>
        </w:rPr>
        <w:t xml:space="preserve"> </w:t>
      </w:r>
      <w:r w:rsidRPr="002334BC">
        <w:rPr>
          <w:rFonts w:ascii="Times New Roman" w:hAnsi="Times New Roman"/>
        </w:rPr>
        <w:tab/>
        <w:t xml:space="preserve">(1984) 154 CLR 627, 630.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8C07" w14:textId="62F9AFAD" w:rsidR="00DC6C7E" w:rsidRDefault="00DC6C7E">
    <w:pPr>
      <w:pStyle w:val="Header"/>
      <w:jc w:val="center"/>
    </w:pPr>
    <w:r>
      <w:fldChar w:fldCharType="begin"/>
    </w:r>
    <w:r>
      <w:instrText xml:space="preserve"> PAGE   \* MERGEFORMAT </w:instrText>
    </w:r>
    <w:r>
      <w:fldChar w:fldCharType="separate"/>
    </w:r>
    <w:r w:rsidR="00746A52">
      <w:rPr>
        <w:noProof/>
      </w:rPr>
      <w:t>4</w:t>
    </w:r>
    <w:r>
      <w:rPr>
        <w:noProof/>
      </w:rPr>
      <w:fldChar w:fldCharType="end"/>
    </w:r>
  </w:p>
  <w:p w14:paraId="5D8BBB30" w14:textId="77777777" w:rsidR="00DC6C7E" w:rsidRDefault="00DC6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7B3335F5"/>
    <w:multiLevelType w:val="multilevel"/>
    <w:tmpl w:val="2E748E0A"/>
    <w:lvl w:ilvl="0">
      <w:start w:val="1"/>
      <w:numFmt w:val="decimal"/>
      <w:pStyle w:val="Heading1"/>
      <w:lvlText w:val="%1"/>
      <w:lvlJc w:val="left"/>
      <w:pPr>
        <w:tabs>
          <w:tab w:val="num" w:pos="1080"/>
        </w:tabs>
        <w:ind w:left="1080" w:hanging="360"/>
      </w:pPr>
      <w:rPr>
        <w:sz w:val="20"/>
        <w:szCs w:val="20"/>
      </w:rPr>
    </w:lvl>
    <w:lvl w:ilvl="1">
      <w:start w:val="1"/>
      <w:numFmt w:val="none"/>
      <w:pStyle w:val="Heading2"/>
      <w:lvlText w:val="%2"/>
      <w:lvlJc w:val="left"/>
      <w:pPr>
        <w:tabs>
          <w:tab w:val="num" w:pos="1440"/>
        </w:tabs>
        <w:ind w:left="1440" w:hanging="360"/>
      </w:pPr>
    </w:lvl>
    <w:lvl w:ilvl="2">
      <w:start w:val="1"/>
      <w:numFmt w:val="lowerLetter"/>
      <w:lvlRestart w:val="1"/>
      <w:pStyle w:val="Heading3"/>
      <w:lvlText w:val="(%3)"/>
      <w:lvlJc w:val="left"/>
      <w:pPr>
        <w:tabs>
          <w:tab w:val="num" w:pos="1800"/>
        </w:tabs>
        <w:ind w:left="1800" w:hanging="360"/>
      </w:pPr>
    </w:lvl>
    <w:lvl w:ilvl="3">
      <w:start w:val="1"/>
      <w:numFmt w:val="lowerRoman"/>
      <w:pStyle w:val="Heading4"/>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56"/>
    <w:rsid w:val="00184F2F"/>
    <w:rsid w:val="001E60E9"/>
    <w:rsid w:val="002334BC"/>
    <w:rsid w:val="002346DF"/>
    <w:rsid w:val="00421F0F"/>
    <w:rsid w:val="0054199E"/>
    <w:rsid w:val="00624E33"/>
    <w:rsid w:val="0062541E"/>
    <w:rsid w:val="0067314E"/>
    <w:rsid w:val="006B1C75"/>
    <w:rsid w:val="00746A52"/>
    <w:rsid w:val="007601E2"/>
    <w:rsid w:val="007C0860"/>
    <w:rsid w:val="008D1BB0"/>
    <w:rsid w:val="00930056"/>
    <w:rsid w:val="00A57ADA"/>
    <w:rsid w:val="00A6218C"/>
    <w:rsid w:val="00AD2FEF"/>
    <w:rsid w:val="00B4558D"/>
    <w:rsid w:val="00CA517E"/>
    <w:rsid w:val="00DC6C7E"/>
    <w:rsid w:val="00E17B3C"/>
    <w:rsid w:val="00E673B6"/>
    <w:rsid w:val="00F10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AB48"/>
  <w15:chartTrackingRefBased/>
  <w15:docId w15:val="{0D021DB2-1A35-4583-8819-125C7E37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1E2"/>
    <w:pPr>
      <w:jc w:val="both"/>
    </w:pPr>
    <w:rPr>
      <w:sz w:val="24"/>
      <w:szCs w:val="24"/>
      <w:lang w:eastAsia="en-US"/>
    </w:rPr>
  </w:style>
  <w:style w:type="paragraph" w:styleId="Heading1">
    <w:name w:val="heading 1"/>
    <w:basedOn w:val="Normal"/>
    <w:link w:val="Heading1Char"/>
    <w:qFormat/>
    <w:rsid w:val="0062541E"/>
    <w:pPr>
      <w:widowControl w:val="0"/>
      <w:numPr>
        <w:numId w:val="1"/>
      </w:numPr>
      <w:tabs>
        <w:tab w:val="clear" w:pos="1080"/>
        <w:tab w:val="left" w:pos="1440"/>
      </w:tabs>
      <w:spacing w:before="240" w:line="480" w:lineRule="atLeast"/>
      <w:ind w:left="720" w:hanging="720"/>
      <w:outlineLvl w:val="0"/>
    </w:pPr>
    <w:rPr>
      <w:rFonts w:eastAsia="Times New Roman"/>
      <w:kern w:val="28"/>
      <w:szCs w:val="20"/>
    </w:rPr>
  </w:style>
  <w:style w:type="paragraph" w:styleId="Heading2">
    <w:name w:val="heading 2"/>
    <w:basedOn w:val="Normal"/>
    <w:next w:val="Heading1"/>
    <w:link w:val="Heading2Char"/>
    <w:semiHidden/>
    <w:unhideWhenUsed/>
    <w:qFormat/>
    <w:rsid w:val="0062541E"/>
    <w:pPr>
      <w:keepNext/>
      <w:widowControl w:val="0"/>
      <w:numPr>
        <w:ilvl w:val="1"/>
        <w:numId w:val="1"/>
      </w:numPr>
      <w:tabs>
        <w:tab w:val="left" w:pos="720"/>
      </w:tabs>
      <w:spacing w:before="320"/>
      <w:ind w:left="720" w:firstLine="0"/>
      <w:outlineLvl w:val="1"/>
    </w:pPr>
    <w:rPr>
      <w:rFonts w:eastAsia="Times New Roman"/>
      <w:b/>
      <w:szCs w:val="20"/>
    </w:rPr>
  </w:style>
  <w:style w:type="paragraph" w:styleId="Heading3">
    <w:name w:val="heading 3"/>
    <w:basedOn w:val="Normal"/>
    <w:link w:val="Heading3Char"/>
    <w:autoRedefine/>
    <w:semiHidden/>
    <w:unhideWhenUsed/>
    <w:qFormat/>
    <w:rsid w:val="0062541E"/>
    <w:pPr>
      <w:widowControl w:val="0"/>
      <w:numPr>
        <w:ilvl w:val="2"/>
        <w:numId w:val="1"/>
      </w:numPr>
      <w:spacing w:before="120" w:after="120" w:line="400" w:lineRule="atLeast"/>
      <w:ind w:left="1440" w:hanging="720"/>
      <w:outlineLvl w:val="2"/>
    </w:pPr>
    <w:rPr>
      <w:rFonts w:eastAsia="Times New Roman"/>
      <w:szCs w:val="20"/>
    </w:rPr>
  </w:style>
  <w:style w:type="paragraph" w:styleId="Heading4">
    <w:name w:val="heading 4"/>
    <w:basedOn w:val="Normal"/>
    <w:link w:val="Heading4Char"/>
    <w:semiHidden/>
    <w:unhideWhenUsed/>
    <w:qFormat/>
    <w:rsid w:val="0062541E"/>
    <w:pPr>
      <w:keepNext/>
      <w:widowControl w:val="0"/>
      <w:numPr>
        <w:ilvl w:val="3"/>
        <w:numId w:val="1"/>
      </w:numPr>
      <w:spacing w:before="120" w:after="120" w:line="400" w:lineRule="atLeast"/>
      <w:ind w:hanging="720"/>
      <w:outlineLvl w:val="3"/>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C7E"/>
    <w:pPr>
      <w:spacing w:before="100" w:beforeAutospacing="1" w:after="100" w:afterAutospacing="1"/>
      <w:jc w:val="left"/>
    </w:pPr>
    <w:rPr>
      <w:rFonts w:ascii="Times New Roman" w:eastAsia="Times New Roman" w:hAnsi="Times New Roman"/>
      <w:lang w:eastAsia="en-AU"/>
    </w:rPr>
  </w:style>
  <w:style w:type="paragraph" w:styleId="Header">
    <w:name w:val="header"/>
    <w:basedOn w:val="Normal"/>
    <w:link w:val="HeaderChar"/>
    <w:uiPriority w:val="99"/>
    <w:unhideWhenUsed/>
    <w:rsid w:val="00DC6C7E"/>
    <w:pPr>
      <w:tabs>
        <w:tab w:val="center" w:pos="4513"/>
        <w:tab w:val="right" w:pos="9026"/>
      </w:tabs>
    </w:pPr>
  </w:style>
  <w:style w:type="character" w:customStyle="1" w:styleId="HeaderChar">
    <w:name w:val="Header Char"/>
    <w:link w:val="Header"/>
    <w:uiPriority w:val="99"/>
    <w:rsid w:val="00DC6C7E"/>
    <w:rPr>
      <w:rFonts w:eastAsia="Calibri" w:cs="Times New Roman"/>
      <w:u w:val="none"/>
    </w:rPr>
  </w:style>
  <w:style w:type="paragraph" w:styleId="Footer">
    <w:name w:val="footer"/>
    <w:basedOn w:val="Normal"/>
    <w:link w:val="FooterChar"/>
    <w:uiPriority w:val="99"/>
    <w:unhideWhenUsed/>
    <w:rsid w:val="00DC6C7E"/>
    <w:pPr>
      <w:tabs>
        <w:tab w:val="center" w:pos="4513"/>
        <w:tab w:val="right" w:pos="9026"/>
      </w:tabs>
    </w:pPr>
  </w:style>
  <w:style w:type="character" w:customStyle="1" w:styleId="FooterChar">
    <w:name w:val="Footer Char"/>
    <w:link w:val="Footer"/>
    <w:uiPriority w:val="99"/>
    <w:rsid w:val="00DC6C7E"/>
    <w:rPr>
      <w:rFonts w:eastAsia="Calibri" w:cs="Times New Roman"/>
      <w:u w:val="none"/>
    </w:rPr>
  </w:style>
  <w:style w:type="character" w:customStyle="1" w:styleId="Heading1Char">
    <w:name w:val="Heading 1 Char"/>
    <w:basedOn w:val="DefaultParagraphFont"/>
    <w:link w:val="Heading1"/>
    <w:rsid w:val="0062541E"/>
    <w:rPr>
      <w:rFonts w:eastAsia="Times New Roman"/>
      <w:kern w:val="28"/>
      <w:sz w:val="24"/>
      <w:lang w:eastAsia="en-US"/>
    </w:rPr>
  </w:style>
  <w:style w:type="character" w:customStyle="1" w:styleId="Heading2Char">
    <w:name w:val="Heading 2 Char"/>
    <w:basedOn w:val="DefaultParagraphFont"/>
    <w:link w:val="Heading2"/>
    <w:semiHidden/>
    <w:rsid w:val="0062541E"/>
    <w:rPr>
      <w:rFonts w:eastAsia="Times New Roman"/>
      <w:b/>
      <w:sz w:val="24"/>
      <w:lang w:eastAsia="en-US"/>
    </w:rPr>
  </w:style>
  <w:style w:type="character" w:customStyle="1" w:styleId="Heading3Char">
    <w:name w:val="Heading 3 Char"/>
    <w:basedOn w:val="DefaultParagraphFont"/>
    <w:link w:val="Heading3"/>
    <w:semiHidden/>
    <w:rsid w:val="0062541E"/>
    <w:rPr>
      <w:rFonts w:eastAsia="Times New Roman"/>
      <w:sz w:val="24"/>
      <w:lang w:eastAsia="en-US"/>
    </w:rPr>
  </w:style>
  <w:style w:type="character" w:customStyle="1" w:styleId="Heading4Char">
    <w:name w:val="Heading 4 Char"/>
    <w:basedOn w:val="DefaultParagraphFont"/>
    <w:link w:val="Heading4"/>
    <w:semiHidden/>
    <w:rsid w:val="0062541E"/>
    <w:rPr>
      <w:rFonts w:eastAsia="Times New Roman"/>
      <w:sz w:val="24"/>
      <w:lang w:eastAsia="en-US"/>
    </w:rPr>
  </w:style>
  <w:style w:type="paragraph" w:styleId="FootnoteText">
    <w:name w:val="footnote text"/>
    <w:basedOn w:val="Normal"/>
    <w:link w:val="FootnoteTextChar"/>
    <w:semiHidden/>
    <w:unhideWhenUsed/>
    <w:rsid w:val="0062541E"/>
    <w:pPr>
      <w:widowControl w:val="0"/>
      <w:spacing w:before="120"/>
      <w:ind w:left="1440" w:hanging="720"/>
    </w:pPr>
    <w:rPr>
      <w:rFonts w:eastAsia="Times New Roman"/>
      <w:sz w:val="20"/>
      <w:szCs w:val="20"/>
    </w:rPr>
  </w:style>
  <w:style w:type="character" w:customStyle="1" w:styleId="FootnoteTextChar">
    <w:name w:val="Footnote Text Char"/>
    <w:basedOn w:val="DefaultParagraphFont"/>
    <w:link w:val="FootnoteText"/>
    <w:semiHidden/>
    <w:rsid w:val="0062541E"/>
    <w:rPr>
      <w:rFonts w:eastAsia="Times New Roman"/>
      <w:lang w:eastAsia="en-US"/>
    </w:rPr>
  </w:style>
  <w:style w:type="paragraph" w:customStyle="1" w:styleId="Quote1">
    <w:name w:val="Quote1"/>
    <w:basedOn w:val="Normal"/>
    <w:rsid w:val="0062541E"/>
    <w:pPr>
      <w:widowControl w:val="0"/>
      <w:spacing w:before="240"/>
      <w:ind w:left="1440" w:right="720"/>
    </w:pPr>
    <w:rPr>
      <w:rFonts w:eastAsia="Times New Roman"/>
      <w:sz w:val="22"/>
      <w:szCs w:val="20"/>
    </w:rPr>
  </w:style>
  <w:style w:type="paragraph" w:customStyle="1" w:styleId="SideHeading">
    <w:name w:val="Side Heading"/>
    <w:basedOn w:val="Normal"/>
    <w:rsid w:val="0062541E"/>
    <w:pPr>
      <w:widowControl w:val="0"/>
      <w:spacing w:before="600"/>
      <w:ind w:left="720" w:right="720"/>
    </w:pPr>
    <w:rPr>
      <w:rFonts w:eastAsia="Times New Roman"/>
      <w:b/>
      <w:i/>
      <w:szCs w:val="20"/>
    </w:rPr>
  </w:style>
  <w:style w:type="paragraph" w:customStyle="1" w:styleId="Normal-Indent">
    <w:name w:val="Normal - Indent"/>
    <w:basedOn w:val="Normal"/>
    <w:rsid w:val="0062541E"/>
    <w:pPr>
      <w:widowControl w:val="0"/>
      <w:spacing w:line="480" w:lineRule="atLeast"/>
      <w:ind w:left="720"/>
    </w:pPr>
    <w:rPr>
      <w:rFonts w:eastAsia="Times New Roman"/>
      <w:szCs w:val="20"/>
    </w:rPr>
  </w:style>
  <w:style w:type="paragraph" w:customStyle="1" w:styleId="Bullet">
    <w:name w:val="Bullet"/>
    <w:basedOn w:val="Normal"/>
    <w:rsid w:val="0062541E"/>
    <w:pPr>
      <w:widowControl w:val="0"/>
      <w:numPr>
        <w:numId w:val="2"/>
      </w:numPr>
      <w:tabs>
        <w:tab w:val="left" w:pos="2160"/>
      </w:tabs>
      <w:spacing w:before="120" w:after="120" w:line="400" w:lineRule="atLeast"/>
      <w:ind w:left="2160" w:right="720" w:hanging="720"/>
    </w:pPr>
    <w:rPr>
      <w:rFonts w:eastAsia="Times New Roman"/>
      <w:szCs w:val="20"/>
    </w:rPr>
  </w:style>
  <w:style w:type="character" w:styleId="FootnoteReference">
    <w:name w:val="footnote reference"/>
    <w:semiHidden/>
    <w:unhideWhenUsed/>
    <w:rsid w:val="0062541E"/>
    <w:rPr>
      <w:vertAlign w:val="superscript"/>
    </w:rPr>
  </w:style>
  <w:style w:type="paragraph" w:styleId="BalloonText">
    <w:name w:val="Balloon Text"/>
    <w:basedOn w:val="Normal"/>
    <w:link w:val="BalloonTextChar"/>
    <w:uiPriority w:val="99"/>
    <w:semiHidden/>
    <w:unhideWhenUsed/>
    <w:rsid w:val="008D1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605">
      <w:bodyDiv w:val="1"/>
      <w:marLeft w:val="0"/>
      <w:marRight w:val="0"/>
      <w:marTop w:val="0"/>
      <w:marBottom w:val="0"/>
      <w:divBdr>
        <w:top w:val="none" w:sz="0" w:space="0" w:color="auto"/>
        <w:left w:val="none" w:sz="0" w:space="0" w:color="auto"/>
        <w:bottom w:val="none" w:sz="0" w:space="0" w:color="auto"/>
        <w:right w:val="none" w:sz="0" w:space="0" w:color="auto"/>
      </w:divBdr>
    </w:div>
    <w:div w:id="328876230">
      <w:bodyDiv w:val="1"/>
      <w:marLeft w:val="0"/>
      <w:marRight w:val="0"/>
      <w:marTop w:val="0"/>
      <w:marBottom w:val="0"/>
      <w:divBdr>
        <w:top w:val="none" w:sz="0" w:space="0" w:color="auto"/>
        <w:left w:val="none" w:sz="0" w:space="0" w:color="auto"/>
        <w:bottom w:val="none" w:sz="0" w:space="0" w:color="auto"/>
        <w:right w:val="none" w:sz="0" w:space="0" w:color="auto"/>
      </w:divBdr>
    </w:div>
    <w:div w:id="588151485">
      <w:bodyDiv w:val="1"/>
      <w:marLeft w:val="0"/>
      <w:marRight w:val="0"/>
      <w:marTop w:val="0"/>
      <w:marBottom w:val="0"/>
      <w:divBdr>
        <w:top w:val="none" w:sz="0" w:space="0" w:color="auto"/>
        <w:left w:val="none" w:sz="0" w:space="0" w:color="auto"/>
        <w:bottom w:val="none" w:sz="0" w:space="0" w:color="auto"/>
        <w:right w:val="none" w:sz="0" w:space="0" w:color="auto"/>
      </w:divBdr>
    </w:div>
    <w:div w:id="1294412099">
      <w:bodyDiv w:val="1"/>
      <w:marLeft w:val="0"/>
      <w:marRight w:val="0"/>
      <w:marTop w:val="0"/>
      <w:marBottom w:val="0"/>
      <w:divBdr>
        <w:top w:val="none" w:sz="0" w:space="0" w:color="auto"/>
        <w:left w:val="none" w:sz="0" w:space="0" w:color="auto"/>
        <w:bottom w:val="none" w:sz="0" w:space="0" w:color="auto"/>
        <w:right w:val="none" w:sz="0" w:space="0" w:color="auto"/>
      </w:divBdr>
    </w:div>
    <w:div w:id="1848866157">
      <w:bodyDiv w:val="1"/>
      <w:marLeft w:val="0"/>
      <w:marRight w:val="0"/>
      <w:marTop w:val="0"/>
      <w:marBottom w:val="0"/>
      <w:divBdr>
        <w:top w:val="none" w:sz="0" w:space="0" w:color="auto"/>
        <w:left w:val="none" w:sz="0" w:space="0" w:color="auto"/>
        <w:bottom w:val="none" w:sz="0" w:space="0" w:color="auto"/>
        <w:right w:val="none" w:sz="0" w:space="0" w:color="auto"/>
      </w:divBdr>
    </w:div>
    <w:div w:id="19544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B1DC4-D4F5-4B70-8359-8905AF01180D}">
  <ds:schemaRefs>
    <ds:schemaRef ds:uri="263eaefd-0475-4860-b86f-622cd66f4e0c"/>
    <ds:schemaRef ds:uri="http://purl.org/dc/terms/"/>
    <ds:schemaRef ds:uri="bdde84cb-4b1f-4b74-b4a5-14e1a433eee1"/>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FF604E-9987-4A16-B9F6-1962D694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7DC74-3ED0-48C7-8E4E-DF687AAA6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838</Words>
  <Characters>4780</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2019-07-26T01:33:00Z</cp:lastPrinted>
  <dcterms:created xsi:type="dcterms:W3CDTF">2019-07-25T05:06:00Z</dcterms:created>
  <dcterms:modified xsi:type="dcterms:W3CDTF">2019-07-26T01:34:00Z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