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EF41C" w14:textId="77777777" w:rsidR="00A778F7" w:rsidRPr="003403DA" w:rsidRDefault="00A778F7" w:rsidP="00A778F7">
      <w:pPr>
        <w:jc w:val="center"/>
      </w:pPr>
      <w:r w:rsidRPr="003403DA">
        <w:rPr>
          <w:noProof/>
          <w:lang w:eastAsia="en-AU"/>
        </w:rPr>
        <w:drawing>
          <wp:inline distT="0" distB="0" distL="0" distR="0" wp14:anchorId="5EA3844E" wp14:editId="421786DE">
            <wp:extent cx="1447800" cy="144221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226" cy="1470526"/>
                    </a:xfrm>
                    <a:prstGeom prst="rect">
                      <a:avLst/>
                    </a:prstGeom>
                    <a:noFill/>
                    <a:ln>
                      <a:noFill/>
                    </a:ln>
                  </pic:spPr>
                </pic:pic>
              </a:graphicData>
            </a:graphic>
          </wp:inline>
        </w:drawing>
      </w:r>
    </w:p>
    <w:p w14:paraId="52178DB1" w14:textId="77777777" w:rsidR="00A778F7" w:rsidRPr="00B73C37" w:rsidRDefault="00A778F7" w:rsidP="00A778F7">
      <w:pPr>
        <w:spacing w:line="360" w:lineRule="auto"/>
        <w:jc w:val="center"/>
        <w:rPr>
          <w:b/>
          <w:sz w:val="28"/>
          <w:szCs w:val="28"/>
        </w:rPr>
      </w:pPr>
      <w:bookmarkStart w:id="0" w:name="_GoBack"/>
      <w:bookmarkEnd w:id="0"/>
      <w:r w:rsidRPr="00B73C37">
        <w:rPr>
          <w:b/>
          <w:sz w:val="28"/>
          <w:szCs w:val="28"/>
        </w:rPr>
        <w:t>Court of Appeal</w:t>
      </w:r>
    </w:p>
    <w:p w14:paraId="62130CED" w14:textId="77777777" w:rsidR="00E86492" w:rsidRDefault="00E86492" w:rsidP="006357E5">
      <w:pPr>
        <w:spacing w:after="0" w:line="240" w:lineRule="auto"/>
        <w:jc w:val="center"/>
        <w:rPr>
          <w:b/>
          <w:sz w:val="28"/>
          <w:szCs w:val="28"/>
        </w:rPr>
      </w:pPr>
      <w:r>
        <w:rPr>
          <w:b/>
          <w:sz w:val="28"/>
          <w:szCs w:val="28"/>
        </w:rPr>
        <w:t xml:space="preserve">REGISTRAR’S NOTE ON THE </w:t>
      </w:r>
    </w:p>
    <w:p w14:paraId="6CA3AFFE" w14:textId="00CA0AF5" w:rsidR="00A778F7" w:rsidRDefault="00E86492" w:rsidP="006357E5">
      <w:pPr>
        <w:spacing w:after="0" w:line="240" w:lineRule="auto"/>
        <w:jc w:val="center"/>
        <w:rPr>
          <w:b/>
          <w:sz w:val="28"/>
          <w:szCs w:val="28"/>
        </w:rPr>
      </w:pPr>
      <w:r>
        <w:rPr>
          <w:b/>
          <w:sz w:val="28"/>
          <w:szCs w:val="28"/>
        </w:rPr>
        <w:t>PREPARATION OF A WRITTEN CASE</w:t>
      </w:r>
    </w:p>
    <w:p w14:paraId="0AE2E768" w14:textId="07AA0638" w:rsidR="00E86492" w:rsidRPr="003403DA" w:rsidRDefault="00E86492" w:rsidP="00A778F7">
      <w:pPr>
        <w:spacing w:line="360" w:lineRule="auto"/>
        <w:jc w:val="center"/>
        <w:rPr>
          <w:b/>
          <w:sz w:val="28"/>
          <w:szCs w:val="28"/>
        </w:rPr>
      </w:pPr>
      <w:r>
        <w:rPr>
          <w:b/>
          <w:sz w:val="28"/>
          <w:szCs w:val="28"/>
        </w:rPr>
        <w:t>30 September 2019</w:t>
      </w:r>
    </w:p>
    <w:p w14:paraId="2692D911" w14:textId="07B84369" w:rsidR="00A778F7" w:rsidRPr="00E86492" w:rsidRDefault="00A778F7" w:rsidP="00E86492">
      <w:pPr>
        <w:spacing w:after="240" w:line="240" w:lineRule="auto"/>
      </w:pPr>
      <w:r w:rsidRPr="006357E5">
        <w:rPr>
          <w:b/>
          <w:sz w:val="28"/>
        </w:rPr>
        <w:t>Introduction</w:t>
      </w:r>
    </w:p>
    <w:p w14:paraId="336BAF42" w14:textId="16128E03" w:rsidR="00E86492" w:rsidRDefault="00E86492" w:rsidP="00E86492">
      <w:pPr>
        <w:spacing w:after="240" w:line="240" w:lineRule="auto"/>
      </w:pPr>
      <w:r>
        <w:t xml:space="preserve">This note is </w:t>
      </w:r>
      <w:r w:rsidRPr="00E86492">
        <w:t xml:space="preserve">published under r 64.24 of the </w:t>
      </w:r>
      <w:r w:rsidRPr="006357E5">
        <w:rPr>
          <w:i/>
        </w:rPr>
        <w:t>Supreme Court (General Civil Procedure) Rules 2015</w:t>
      </w:r>
      <w:r>
        <w:t xml:space="preserve"> </w:t>
      </w:r>
      <w:r w:rsidRPr="00E86492">
        <w:t>with the approval of the President of the Court of Appeal</w:t>
      </w:r>
      <w:r>
        <w:t>.</w:t>
      </w:r>
    </w:p>
    <w:p w14:paraId="2688C3BC" w14:textId="392C9A45" w:rsidR="00482A57" w:rsidRPr="00D908AA" w:rsidRDefault="00482A57" w:rsidP="006357E5">
      <w:pPr>
        <w:spacing w:after="240" w:line="240" w:lineRule="auto"/>
      </w:pPr>
      <w:r w:rsidRPr="00D908AA">
        <w:t xml:space="preserve">In this </w:t>
      </w:r>
      <w:r>
        <w:t>n</w:t>
      </w:r>
      <w:r w:rsidRPr="00D908AA">
        <w:t>ote</w:t>
      </w:r>
      <w:r w:rsidR="00314BE2">
        <w:t>, unless the context otherwise requires</w:t>
      </w:r>
      <w:r w:rsidRPr="00D908AA">
        <w:t>:</w:t>
      </w:r>
    </w:p>
    <w:p w14:paraId="67C9C8D4" w14:textId="07C2F617" w:rsidR="00482A57" w:rsidRDefault="00482A57" w:rsidP="006357E5">
      <w:pPr>
        <w:pStyle w:val="ListParagraph"/>
        <w:numPr>
          <w:ilvl w:val="0"/>
          <w:numId w:val="14"/>
        </w:numPr>
        <w:spacing w:after="240" w:line="240" w:lineRule="auto"/>
        <w:contextualSpacing w:val="0"/>
      </w:pPr>
      <w:r w:rsidRPr="006357E5">
        <w:rPr>
          <w:b/>
        </w:rPr>
        <w:t>applicant</w:t>
      </w:r>
      <w:r w:rsidRPr="00D908AA">
        <w:t xml:space="preserve"> includes appellant</w:t>
      </w:r>
      <w:r w:rsidR="00F33519">
        <w:t>, cross-applicant and cross-appellant</w:t>
      </w:r>
      <w:r w:rsidRPr="00D908AA">
        <w:t>;</w:t>
      </w:r>
    </w:p>
    <w:p w14:paraId="5338ADAE" w14:textId="77777777" w:rsidR="00482A57" w:rsidRDefault="00482A57" w:rsidP="006357E5">
      <w:pPr>
        <w:pStyle w:val="ListParagraph"/>
        <w:numPr>
          <w:ilvl w:val="0"/>
          <w:numId w:val="14"/>
        </w:numPr>
        <w:spacing w:after="240" w:line="240" w:lineRule="auto"/>
        <w:contextualSpacing w:val="0"/>
      </w:pPr>
      <w:r w:rsidRPr="006357E5">
        <w:rPr>
          <w:b/>
        </w:rPr>
        <w:t>leave application</w:t>
      </w:r>
      <w:r>
        <w:t xml:space="preserve"> includes </w:t>
      </w:r>
      <w:r w:rsidR="00F33519">
        <w:t xml:space="preserve">application for leave to appeal, </w:t>
      </w:r>
      <w:r>
        <w:t>appeal, cross-application for leave to appeal and cross-appeal;</w:t>
      </w:r>
    </w:p>
    <w:p w14:paraId="77ADCF37" w14:textId="7BD3677B" w:rsidR="00482A57" w:rsidRDefault="00482A57" w:rsidP="006357E5">
      <w:pPr>
        <w:pStyle w:val="ListParagraph"/>
        <w:numPr>
          <w:ilvl w:val="0"/>
          <w:numId w:val="14"/>
        </w:numPr>
        <w:spacing w:after="240" w:line="240" w:lineRule="auto"/>
        <w:contextualSpacing w:val="0"/>
      </w:pPr>
      <w:r w:rsidRPr="006357E5">
        <w:rPr>
          <w:b/>
        </w:rPr>
        <w:t>Rule</w:t>
      </w:r>
      <w:r w:rsidRPr="0078605D">
        <w:t xml:space="preserve"> </w:t>
      </w:r>
      <w:r w:rsidR="00F33519">
        <w:t xml:space="preserve">or </w:t>
      </w:r>
      <w:r w:rsidR="00F33519" w:rsidRPr="006357E5">
        <w:rPr>
          <w:b/>
        </w:rPr>
        <w:t>Rules</w:t>
      </w:r>
      <w:r w:rsidR="00F33519">
        <w:t xml:space="preserve"> </w:t>
      </w:r>
      <w:r>
        <w:t xml:space="preserve">refers to the </w:t>
      </w:r>
      <w:r w:rsidRPr="006357E5">
        <w:rPr>
          <w:i/>
        </w:rPr>
        <w:t>Supreme Court (General Civil Procedure) Rules 2015</w:t>
      </w:r>
      <w:r>
        <w:t>.</w:t>
      </w:r>
    </w:p>
    <w:p w14:paraId="2D5E6166" w14:textId="49FD7DCD" w:rsidR="00203081" w:rsidRPr="006357E5" w:rsidRDefault="00203081" w:rsidP="006357E5">
      <w:pPr>
        <w:spacing w:after="240" w:line="240" w:lineRule="auto"/>
        <w:rPr>
          <w:b/>
        </w:rPr>
      </w:pPr>
      <w:r w:rsidRPr="006357E5">
        <w:rPr>
          <w:b/>
          <w:sz w:val="28"/>
        </w:rPr>
        <w:t>When to file and purpose</w:t>
      </w:r>
    </w:p>
    <w:p w14:paraId="41ECD632" w14:textId="0419104F" w:rsidR="00E43D27" w:rsidRDefault="00E43D27" w:rsidP="00E86492">
      <w:pPr>
        <w:pStyle w:val="ListParagraph"/>
        <w:numPr>
          <w:ilvl w:val="0"/>
          <w:numId w:val="8"/>
        </w:numPr>
        <w:spacing w:after="240" w:line="240" w:lineRule="auto"/>
        <w:contextualSpacing w:val="0"/>
      </w:pPr>
      <w:r>
        <w:t>A written case must be filed:</w:t>
      </w:r>
    </w:p>
    <w:p w14:paraId="08BA9F8E" w14:textId="77777777" w:rsidR="00E43D27" w:rsidRDefault="00E43D27" w:rsidP="006357E5">
      <w:pPr>
        <w:pStyle w:val="ListParagraph"/>
        <w:numPr>
          <w:ilvl w:val="1"/>
          <w:numId w:val="8"/>
        </w:numPr>
        <w:spacing w:after="240" w:line="240" w:lineRule="auto"/>
        <w:contextualSpacing w:val="0"/>
      </w:pPr>
      <w:r>
        <w:t>at the same time as filing a leave application or notice of contention; and</w:t>
      </w:r>
    </w:p>
    <w:p w14:paraId="50936A49" w14:textId="0B3FB42F" w:rsidR="00E43D27" w:rsidRDefault="00E43D27" w:rsidP="006357E5">
      <w:pPr>
        <w:pStyle w:val="ListParagraph"/>
        <w:numPr>
          <w:ilvl w:val="1"/>
          <w:numId w:val="8"/>
        </w:numPr>
        <w:spacing w:after="240" w:line="240" w:lineRule="auto"/>
        <w:contextualSpacing w:val="0"/>
      </w:pPr>
      <w:r>
        <w:t>when responding to a leave application or notice of contention</w:t>
      </w:r>
      <w:r w:rsidR="00F33519">
        <w:t>,  if opposed</w:t>
      </w:r>
      <w:r>
        <w:t>.</w:t>
      </w:r>
      <w:r>
        <w:rPr>
          <w:rStyle w:val="FootnoteReference"/>
        </w:rPr>
        <w:footnoteReference w:id="1"/>
      </w:r>
    </w:p>
    <w:p w14:paraId="56EA5EF8" w14:textId="59B3AEBB" w:rsidR="00A778F7" w:rsidRPr="00E86492" w:rsidRDefault="00A778F7" w:rsidP="00E86492">
      <w:pPr>
        <w:pStyle w:val="ListParagraph"/>
        <w:numPr>
          <w:ilvl w:val="0"/>
          <w:numId w:val="8"/>
        </w:numPr>
        <w:spacing w:after="240" w:line="240" w:lineRule="auto"/>
        <w:contextualSpacing w:val="0"/>
      </w:pPr>
      <w:r w:rsidRPr="00E86492">
        <w:t xml:space="preserve">The purpose of the written case is to enable the Court and Registrar to quickly grasp the facts, issues and contentions in a </w:t>
      </w:r>
      <w:r w:rsidR="001D654D">
        <w:t>case</w:t>
      </w:r>
      <w:r w:rsidRPr="00E86492">
        <w:t xml:space="preserve">. </w:t>
      </w:r>
      <w:r w:rsidR="00203081">
        <w:t xml:space="preserve"> </w:t>
      </w:r>
      <w:r w:rsidRPr="00E86492">
        <w:t xml:space="preserve">This means that a written case must set out specific and concise submissions in </w:t>
      </w:r>
      <w:r w:rsidR="00203081">
        <w:t>relation to</w:t>
      </w:r>
      <w:r w:rsidRPr="00E86492">
        <w:t xml:space="preserve"> each proposed ground of appeal.  </w:t>
      </w:r>
    </w:p>
    <w:p w14:paraId="6C67F77F" w14:textId="67309C34" w:rsidR="00A778F7" w:rsidRPr="00E86492" w:rsidRDefault="00A778F7" w:rsidP="006357E5">
      <w:pPr>
        <w:keepNext/>
        <w:spacing w:after="240" w:line="240" w:lineRule="auto"/>
        <w:rPr>
          <w:b/>
        </w:rPr>
      </w:pPr>
      <w:r w:rsidRPr="006357E5">
        <w:rPr>
          <w:b/>
          <w:sz w:val="28"/>
        </w:rPr>
        <w:lastRenderedPageBreak/>
        <w:t xml:space="preserve">Format of </w:t>
      </w:r>
      <w:r w:rsidR="00A60392">
        <w:rPr>
          <w:b/>
          <w:sz w:val="28"/>
        </w:rPr>
        <w:t>w</w:t>
      </w:r>
      <w:r w:rsidRPr="006357E5">
        <w:rPr>
          <w:b/>
          <w:sz w:val="28"/>
        </w:rPr>
        <w:t xml:space="preserve">ritten </w:t>
      </w:r>
      <w:r w:rsidR="00A60392">
        <w:rPr>
          <w:b/>
          <w:sz w:val="28"/>
        </w:rPr>
        <w:t>c</w:t>
      </w:r>
      <w:r w:rsidRPr="006357E5">
        <w:rPr>
          <w:b/>
          <w:sz w:val="28"/>
        </w:rPr>
        <w:t>ase</w:t>
      </w:r>
    </w:p>
    <w:p w14:paraId="4CF18B4B" w14:textId="416FD57F" w:rsidR="003B4D9A" w:rsidRDefault="003B4D9A" w:rsidP="006357E5">
      <w:pPr>
        <w:pStyle w:val="ListParagraph"/>
        <w:numPr>
          <w:ilvl w:val="0"/>
          <w:numId w:val="8"/>
        </w:numPr>
        <w:spacing w:after="240" w:line="240" w:lineRule="auto"/>
        <w:contextualSpacing w:val="0"/>
      </w:pPr>
      <w:r>
        <w:t>A written case relating to a leave application must not exceed 10 A4 pages unless the Registrar otherwise permit</w:t>
      </w:r>
      <w:r w:rsidR="00EA2D27">
        <w:t>s</w:t>
      </w:r>
      <w:r>
        <w:t>.</w:t>
      </w:r>
    </w:p>
    <w:p w14:paraId="6979A059" w14:textId="3C95C729" w:rsidR="003B4D9A" w:rsidRDefault="003B4D9A" w:rsidP="006357E5">
      <w:pPr>
        <w:pStyle w:val="ListParagraph"/>
        <w:numPr>
          <w:ilvl w:val="0"/>
          <w:numId w:val="8"/>
        </w:numPr>
        <w:spacing w:after="240" w:line="240" w:lineRule="auto"/>
        <w:contextualSpacing w:val="0"/>
      </w:pPr>
      <w:r>
        <w:t>A written case relating to a notice of contention must not exceed 5 A4 pages unless the Registrar otherwise permit</w:t>
      </w:r>
      <w:r w:rsidR="00EA2D27">
        <w:t>s</w:t>
      </w:r>
      <w:r>
        <w:t>.</w:t>
      </w:r>
    </w:p>
    <w:p w14:paraId="7403ED4C" w14:textId="0FD9C5D5" w:rsidR="003B4D9A" w:rsidRDefault="003B4D9A" w:rsidP="00E86492">
      <w:pPr>
        <w:pStyle w:val="ListParagraph"/>
        <w:numPr>
          <w:ilvl w:val="0"/>
          <w:numId w:val="8"/>
        </w:numPr>
        <w:spacing w:after="240" w:line="240" w:lineRule="auto"/>
        <w:contextualSpacing w:val="0"/>
      </w:pPr>
      <w:r>
        <w:t>All written cases must:</w:t>
      </w:r>
    </w:p>
    <w:p w14:paraId="38909B76" w14:textId="19D864B9" w:rsidR="003B4D9A" w:rsidRDefault="003B4D9A" w:rsidP="006357E5">
      <w:pPr>
        <w:pStyle w:val="ListParagraph"/>
        <w:numPr>
          <w:ilvl w:val="1"/>
          <w:numId w:val="8"/>
        </w:numPr>
        <w:spacing w:after="240" w:line="240" w:lineRule="auto"/>
        <w:contextualSpacing w:val="0"/>
      </w:pPr>
      <w:r>
        <w:t>be in legible and easily read type</w:t>
      </w:r>
      <w:r w:rsidR="00AD4DC2">
        <w:t>, with text in the body in 1.5 line spacing</w:t>
      </w:r>
      <w:r>
        <w:t>;</w:t>
      </w:r>
    </w:p>
    <w:p w14:paraId="2B966065" w14:textId="61F7BD9A" w:rsidR="003B4D9A" w:rsidRDefault="003B4D9A" w:rsidP="006357E5">
      <w:pPr>
        <w:pStyle w:val="ListParagraph"/>
        <w:numPr>
          <w:ilvl w:val="1"/>
          <w:numId w:val="8"/>
        </w:numPr>
        <w:spacing w:after="240" w:line="240" w:lineRule="auto"/>
        <w:contextualSpacing w:val="0"/>
      </w:pPr>
      <w:r>
        <w:t xml:space="preserve">have 3 cm margins; </w:t>
      </w:r>
    </w:p>
    <w:p w14:paraId="109FF445" w14:textId="77777777" w:rsidR="003B4D9A" w:rsidRDefault="003B4D9A" w:rsidP="006357E5">
      <w:pPr>
        <w:pStyle w:val="ListParagraph"/>
        <w:numPr>
          <w:ilvl w:val="1"/>
          <w:numId w:val="8"/>
        </w:numPr>
        <w:spacing w:after="240" w:line="240" w:lineRule="auto"/>
        <w:contextualSpacing w:val="0"/>
      </w:pPr>
      <w:r>
        <w:t>be filed in searchable PDF format;</w:t>
      </w:r>
    </w:p>
    <w:p w14:paraId="7DE8650F" w14:textId="77777777" w:rsidR="00EA2D27" w:rsidRDefault="003B4D9A" w:rsidP="006357E5">
      <w:pPr>
        <w:pStyle w:val="ListParagraph"/>
        <w:numPr>
          <w:ilvl w:val="1"/>
          <w:numId w:val="8"/>
        </w:numPr>
        <w:spacing w:after="240" w:line="240" w:lineRule="auto"/>
        <w:contextualSpacing w:val="0"/>
      </w:pPr>
      <w:r w:rsidRPr="00E86492">
        <w:t xml:space="preserve">be signed by counsel or, if counsel is not retained, by the </w:t>
      </w:r>
      <w:r>
        <w:t>party’s</w:t>
      </w:r>
      <w:r w:rsidRPr="00E86492">
        <w:t xml:space="preserve"> lawyer or, if the </w:t>
      </w:r>
      <w:r>
        <w:t>party</w:t>
      </w:r>
      <w:r w:rsidRPr="00E86492">
        <w:t xml:space="preserve"> is not legally represented, by the </w:t>
      </w:r>
      <w:r>
        <w:t>party</w:t>
      </w:r>
      <w:r w:rsidRPr="00E86492">
        <w:t xml:space="preserve"> personally</w:t>
      </w:r>
      <w:r w:rsidR="00EA2D27">
        <w:t>; and</w:t>
      </w:r>
    </w:p>
    <w:p w14:paraId="59CA4506" w14:textId="54CF4394" w:rsidR="003B4D9A" w:rsidRDefault="00EA2D27" w:rsidP="006357E5">
      <w:pPr>
        <w:pStyle w:val="ListParagraph"/>
        <w:numPr>
          <w:ilvl w:val="1"/>
          <w:numId w:val="8"/>
        </w:numPr>
        <w:spacing w:after="240" w:line="240" w:lineRule="auto"/>
        <w:contextualSpacing w:val="0"/>
      </w:pPr>
      <w:r>
        <w:t>contain the name of the person signing it, typed immediately below their signature.</w:t>
      </w:r>
    </w:p>
    <w:p w14:paraId="412B4A3F" w14:textId="11B1C5B8" w:rsidR="00A778F7" w:rsidRPr="00E86492" w:rsidRDefault="00A778F7" w:rsidP="00E86492">
      <w:pPr>
        <w:spacing w:after="240" w:line="240" w:lineRule="auto"/>
        <w:rPr>
          <w:b/>
        </w:rPr>
      </w:pPr>
      <w:r w:rsidRPr="006357E5">
        <w:rPr>
          <w:b/>
          <w:sz w:val="28"/>
        </w:rPr>
        <w:t xml:space="preserve">Content of </w:t>
      </w:r>
      <w:r w:rsidR="00EA2D27">
        <w:rPr>
          <w:b/>
          <w:sz w:val="28"/>
        </w:rPr>
        <w:t xml:space="preserve">a </w:t>
      </w:r>
      <w:r w:rsidR="00A60392">
        <w:rPr>
          <w:b/>
          <w:sz w:val="28"/>
        </w:rPr>
        <w:t>w</w:t>
      </w:r>
      <w:r w:rsidRPr="006357E5">
        <w:rPr>
          <w:b/>
          <w:sz w:val="28"/>
        </w:rPr>
        <w:t xml:space="preserve">ritten </w:t>
      </w:r>
      <w:r w:rsidR="00A60392">
        <w:rPr>
          <w:b/>
          <w:sz w:val="28"/>
        </w:rPr>
        <w:t>c</w:t>
      </w:r>
      <w:r w:rsidRPr="006357E5">
        <w:rPr>
          <w:b/>
          <w:sz w:val="28"/>
        </w:rPr>
        <w:t>ase</w:t>
      </w:r>
    </w:p>
    <w:p w14:paraId="56010554" w14:textId="4D3568D1" w:rsidR="00CF72BB" w:rsidRDefault="00CF72BB" w:rsidP="00E86492">
      <w:pPr>
        <w:pStyle w:val="ListParagraph"/>
        <w:numPr>
          <w:ilvl w:val="0"/>
          <w:numId w:val="8"/>
        </w:numPr>
        <w:spacing w:after="240" w:line="240" w:lineRule="auto"/>
        <w:contextualSpacing w:val="0"/>
      </w:pPr>
      <w:r>
        <w:t>Proposed grounds of appeal must:</w:t>
      </w:r>
    </w:p>
    <w:p w14:paraId="1502EA2D" w14:textId="73D53A58" w:rsidR="00CF72BB" w:rsidRDefault="00CF72BB" w:rsidP="006357E5">
      <w:pPr>
        <w:pStyle w:val="ListParagraph"/>
        <w:numPr>
          <w:ilvl w:val="1"/>
          <w:numId w:val="8"/>
        </w:numPr>
        <w:spacing w:after="240" w:line="240" w:lineRule="auto"/>
        <w:contextualSpacing w:val="0"/>
      </w:pPr>
      <w:r>
        <w:t xml:space="preserve">be </w:t>
      </w:r>
      <w:r w:rsidR="00C25DD8">
        <w:t xml:space="preserve">numbered </w:t>
      </w:r>
      <w:r>
        <w:t>consecutively;</w:t>
      </w:r>
    </w:p>
    <w:p w14:paraId="60B4AD10" w14:textId="7BF4BE91" w:rsidR="00CF72BB" w:rsidRDefault="00CF72BB" w:rsidP="006357E5">
      <w:pPr>
        <w:pStyle w:val="ListParagraph"/>
        <w:numPr>
          <w:ilvl w:val="1"/>
          <w:numId w:val="8"/>
        </w:numPr>
        <w:spacing w:after="240" w:line="240" w:lineRule="auto"/>
        <w:contextualSpacing w:val="0"/>
      </w:pPr>
      <w:r>
        <w:t>where there are multiple contentions of the same error (eg. findings not supported by the evidence), be expressed as a single ground with sub-grounds for each instance contended for; and</w:t>
      </w:r>
    </w:p>
    <w:p w14:paraId="5A414D38" w14:textId="5D84620D" w:rsidR="00CF72BB" w:rsidRDefault="00CF72BB" w:rsidP="006357E5">
      <w:pPr>
        <w:pStyle w:val="ListParagraph"/>
        <w:numPr>
          <w:ilvl w:val="1"/>
          <w:numId w:val="8"/>
        </w:numPr>
        <w:spacing w:after="240" w:line="240" w:lineRule="auto"/>
        <w:contextualSpacing w:val="0"/>
      </w:pPr>
      <w:r>
        <w:t>precisely identify each error or error of law alleged.</w:t>
      </w:r>
    </w:p>
    <w:p w14:paraId="6A182858" w14:textId="70D0DD8B" w:rsidR="00CF72BB" w:rsidRDefault="00CF72BB" w:rsidP="00E86492">
      <w:pPr>
        <w:pStyle w:val="ListParagraph"/>
        <w:numPr>
          <w:ilvl w:val="0"/>
          <w:numId w:val="8"/>
        </w:numPr>
        <w:spacing w:after="240" w:line="240" w:lineRule="auto"/>
        <w:contextualSpacing w:val="0"/>
      </w:pPr>
      <w:r>
        <w:t>A</w:t>
      </w:r>
      <w:r w:rsidR="00EA2D27">
        <w:t>ll parties’</w:t>
      </w:r>
      <w:r>
        <w:t xml:space="preserve"> written case</w:t>
      </w:r>
      <w:r w:rsidR="00EA2D27">
        <w:t>s</w:t>
      </w:r>
      <w:r>
        <w:t xml:space="preserve"> must</w:t>
      </w:r>
      <w:r w:rsidR="00C25DD8">
        <w:t>, under a heading for each ground of appeal (where appropriate, multiple grounds can be dealt with together)</w:t>
      </w:r>
      <w:r>
        <w:t>:</w:t>
      </w:r>
    </w:p>
    <w:p w14:paraId="368DAA4B" w14:textId="77777777" w:rsidR="00314BE2" w:rsidRDefault="00C25DD8" w:rsidP="006357E5">
      <w:pPr>
        <w:pStyle w:val="ListParagraph"/>
        <w:numPr>
          <w:ilvl w:val="1"/>
          <w:numId w:val="8"/>
        </w:numPr>
        <w:spacing w:after="240" w:line="240" w:lineRule="auto"/>
        <w:contextualSpacing w:val="0"/>
      </w:pPr>
      <w:r>
        <w:t xml:space="preserve">concisely outline each argument to be advanced </w:t>
      </w:r>
      <w:r w:rsidR="00A60392">
        <w:t xml:space="preserve">in relation to </w:t>
      </w:r>
      <w:r w:rsidR="00314BE2">
        <w:t xml:space="preserve">the </w:t>
      </w:r>
      <w:r w:rsidR="00A60392">
        <w:t>ground</w:t>
      </w:r>
      <w:r w:rsidR="00314BE2">
        <w:t>;</w:t>
      </w:r>
    </w:p>
    <w:p w14:paraId="6C5584BE" w14:textId="4E606B7F" w:rsidR="00C25DD8" w:rsidRDefault="00C25DD8" w:rsidP="006357E5">
      <w:pPr>
        <w:pStyle w:val="ListParagraph"/>
        <w:numPr>
          <w:ilvl w:val="1"/>
          <w:numId w:val="8"/>
        </w:numPr>
        <w:spacing w:after="240" w:line="240" w:lineRule="auto"/>
        <w:contextualSpacing w:val="0"/>
      </w:pPr>
      <w:r>
        <w:t>include reference</w:t>
      </w:r>
      <w:r w:rsidR="00314BE2">
        <w:t>s</w:t>
      </w:r>
      <w:r>
        <w:t xml:space="preserve"> to all authorities relied upon or sought to be distinguished;</w:t>
      </w:r>
    </w:p>
    <w:p w14:paraId="4E5CA5DA" w14:textId="0081BC1F" w:rsidR="00CF72BB" w:rsidRDefault="00C25DD8" w:rsidP="006357E5">
      <w:pPr>
        <w:pStyle w:val="ListParagraph"/>
        <w:numPr>
          <w:ilvl w:val="1"/>
          <w:numId w:val="8"/>
        </w:numPr>
        <w:spacing w:after="240" w:line="240" w:lineRule="auto"/>
        <w:contextualSpacing w:val="0"/>
      </w:pPr>
      <w:r>
        <w:t>include precise references to all transcript relied upon; and</w:t>
      </w:r>
    </w:p>
    <w:p w14:paraId="7746A03E" w14:textId="217C98A1" w:rsidR="00C25DD8" w:rsidRDefault="00C25DD8" w:rsidP="006357E5">
      <w:pPr>
        <w:pStyle w:val="ListParagraph"/>
        <w:numPr>
          <w:ilvl w:val="1"/>
          <w:numId w:val="8"/>
        </w:numPr>
        <w:spacing w:after="240" w:line="240" w:lineRule="auto"/>
        <w:contextualSpacing w:val="0"/>
      </w:pPr>
      <w:r>
        <w:t>clearly identify any document referred</w:t>
      </w:r>
      <w:r w:rsidR="00314BE2">
        <w:t xml:space="preserve"> to</w:t>
      </w:r>
      <w:r>
        <w:t>.</w:t>
      </w:r>
    </w:p>
    <w:p w14:paraId="2DB82639" w14:textId="7515D02D" w:rsidR="00A60392" w:rsidRPr="006357E5" w:rsidRDefault="00A60392" w:rsidP="006357E5">
      <w:pPr>
        <w:keepNext/>
        <w:spacing w:after="240" w:line="240" w:lineRule="auto"/>
        <w:rPr>
          <w:b/>
        </w:rPr>
      </w:pPr>
      <w:r w:rsidRPr="006357E5">
        <w:rPr>
          <w:b/>
          <w:sz w:val="28"/>
        </w:rPr>
        <w:t>Documents to accompany a</w:t>
      </w:r>
      <w:r>
        <w:rPr>
          <w:b/>
          <w:sz w:val="28"/>
        </w:rPr>
        <w:t>pplicant’s</w:t>
      </w:r>
      <w:r w:rsidRPr="006357E5">
        <w:rPr>
          <w:b/>
          <w:sz w:val="28"/>
        </w:rPr>
        <w:t xml:space="preserve"> written case</w:t>
      </w:r>
    </w:p>
    <w:p w14:paraId="0C378D26" w14:textId="2B69A849" w:rsidR="00A60392" w:rsidRDefault="00A60392" w:rsidP="006357E5">
      <w:pPr>
        <w:pStyle w:val="ListParagraph"/>
        <w:numPr>
          <w:ilvl w:val="0"/>
          <w:numId w:val="8"/>
        </w:numPr>
        <w:spacing w:after="240" w:line="240" w:lineRule="auto"/>
        <w:contextualSpacing w:val="0"/>
      </w:pPr>
      <w:r>
        <w:t xml:space="preserve">An applicant must, at the same time as filing </w:t>
      </w:r>
      <w:r w:rsidR="00EA2D27">
        <w:t xml:space="preserve">and serving </w:t>
      </w:r>
      <w:r>
        <w:t>their written case, file</w:t>
      </w:r>
      <w:r w:rsidR="00505FCD">
        <w:t xml:space="preserve"> </w:t>
      </w:r>
      <w:r w:rsidR="00EA2D27">
        <w:t xml:space="preserve">and serve </w:t>
      </w:r>
      <w:r w:rsidR="00505FCD">
        <w:t>(</w:t>
      </w:r>
      <w:r w:rsidR="00314BE2">
        <w:t xml:space="preserve">together with any </w:t>
      </w:r>
      <w:r w:rsidR="00505FCD">
        <w:t xml:space="preserve">other </w:t>
      </w:r>
      <w:r w:rsidR="00314BE2">
        <w:t xml:space="preserve">required </w:t>
      </w:r>
      <w:r w:rsidR="00505FCD">
        <w:t>documents)</w:t>
      </w:r>
      <w:r>
        <w:t>:</w:t>
      </w:r>
    </w:p>
    <w:p w14:paraId="410247E3" w14:textId="1B8847A3" w:rsidR="00A60392" w:rsidRDefault="00A60392">
      <w:pPr>
        <w:pStyle w:val="ListParagraph"/>
        <w:numPr>
          <w:ilvl w:val="1"/>
          <w:numId w:val="8"/>
        </w:numPr>
        <w:spacing w:after="240" w:line="240" w:lineRule="auto"/>
        <w:contextualSpacing w:val="0"/>
      </w:pPr>
      <w:r>
        <w:lastRenderedPageBreak/>
        <w:t>a list of authorities which complies with s 11 of Practice Note SC CA 3;</w:t>
      </w:r>
    </w:p>
    <w:p w14:paraId="37A0C5E8" w14:textId="5CA67A45" w:rsidR="003F0CEE" w:rsidRDefault="003F0CEE">
      <w:pPr>
        <w:pStyle w:val="ListParagraph"/>
        <w:numPr>
          <w:ilvl w:val="1"/>
          <w:numId w:val="8"/>
        </w:numPr>
        <w:spacing w:after="240" w:line="240" w:lineRule="auto"/>
        <w:contextualSpacing w:val="0"/>
      </w:pPr>
      <w:r>
        <w:t>a draft application book index which complies with the Registrar’s Note on the Preparation of Application Books; and</w:t>
      </w:r>
    </w:p>
    <w:p w14:paraId="5630F864" w14:textId="3DA28373" w:rsidR="00A60392" w:rsidRDefault="00A60392">
      <w:pPr>
        <w:pStyle w:val="ListParagraph"/>
        <w:numPr>
          <w:ilvl w:val="1"/>
          <w:numId w:val="8"/>
        </w:numPr>
        <w:spacing w:after="240" w:line="240" w:lineRule="auto"/>
        <w:contextualSpacing w:val="0"/>
      </w:pPr>
      <w:r>
        <w:t xml:space="preserve">a </w:t>
      </w:r>
      <w:r w:rsidR="003F0CEE">
        <w:t xml:space="preserve">draft </w:t>
      </w:r>
      <w:r w:rsidR="00505FCD">
        <w:t>s</w:t>
      </w:r>
      <w:r w:rsidR="003F0CEE">
        <w:t>ummary for the Court of Appeal which complies with s 12 of Practice Note SC CA 3.</w:t>
      </w:r>
    </w:p>
    <w:p w14:paraId="0A2FA47E" w14:textId="6EEF458F" w:rsidR="00786898" w:rsidRPr="00E86492" w:rsidRDefault="003F0CEE" w:rsidP="00E86492">
      <w:pPr>
        <w:spacing w:after="240" w:line="240" w:lineRule="auto"/>
        <w:rPr>
          <w:b/>
        </w:rPr>
      </w:pPr>
      <w:r w:rsidRPr="006357E5">
        <w:rPr>
          <w:b/>
          <w:sz w:val="28"/>
        </w:rPr>
        <w:t>Documents to accompany r</w:t>
      </w:r>
      <w:r w:rsidR="00786898" w:rsidRPr="006357E5">
        <w:rPr>
          <w:b/>
          <w:sz w:val="28"/>
        </w:rPr>
        <w:t xml:space="preserve">espondent’s </w:t>
      </w:r>
      <w:r w:rsidRPr="006357E5">
        <w:rPr>
          <w:b/>
          <w:sz w:val="28"/>
        </w:rPr>
        <w:t>w</w:t>
      </w:r>
      <w:r w:rsidR="00786898" w:rsidRPr="006357E5">
        <w:rPr>
          <w:b/>
          <w:sz w:val="28"/>
        </w:rPr>
        <w:t xml:space="preserve">ritten </w:t>
      </w:r>
      <w:r w:rsidRPr="006357E5">
        <w:rPr>
          <w:b/>
          <w:sz w:val="28"/>
        </w:rPr>
        <w:t>c</w:t>
      </w:r>
      <w:r w:rsidR="00786898" w:rsidRPr="006357E5">
        <w:rPr>
          <w:b/>
          <w:sz w:val="28"/>
        </w:rPr>
        <w:t>ase</w:t>
      </w:r>
    </w:p>
    <w:p w14:paraId="541F6F87" w14:textId="715E2186" w:rsidR="003F0CEE" w:rsidRDefault="003F0CEE" w:rsidP="00E86492">
      <w:pPr>
        <w:pStyle w:val="ListParagraph"/>
        <w:numPr>
          <w:ilvl w:val="0"/>
          <w:numId w:val="8"/>
        </w:numPr>
        <w:spacing w:after="240" w:line="240" w:lineRule="auto"/>
        <w:contextualSpacing w:val="0"/>
      </w:pPr>
      <w:r>
        <w:t xml:space="preserve">A respondent must, at the same time as filing </w:t>
      </w:r>
      <w:r w:rsidR="00EA2D27">
        <w:t xml:space="preserve">and serving </w:t>
      </w:r>
      <w:r>
        <w:t>their written case, file</w:t>
      </w:r>
      <w:r w:rsidR="00EA2D27">
        <w:t xml:space="preserve"> and serve</w:t>
      </w:r>
      <w:r>
        <w:t>:</w:t>
      </w:r>
    </w:p>
    <w:p w14:paraId="144EE67E" w14:textId="535C3806" w:rsidR="003F0CEE" w:rsidRDefault="003F0CEE" w:rsidP="003F0CEE">
      <w:pPr>
        <w:pStyle w:val="ListParagraph"/>
        <w:numPr>
          <w:ilvl w:val="1"/>
          <w:numId w:val="8"/>
        </w:numPr>
        <w:spacing w:after="240" w:line="240" w:lineRule="auto"/>
        <w:contextualSpacing w:val="0"/>
      </w:pPr>
      <w:r>
        <w:t>a list of authorities which complies with s 11 of Practice Note SC CA 3;</w:t>
      </w:r>
      <w:r w:rsidR="00505FCD">
        <w:t xml:space="preserve"> and</w:t>
      </w:r>
    </w:p>
    <w:p w14:paraId="31ED298B" w14:textId="2723FE35" w:rsidR="003F0CEE" w:rsidRDefault="003F0CEE" w:rsidP="003F0CEE">
      <w:pPr>
        <w:pStyle w:val="ListParagraph"/>
        <w:numPr>
          <w:ilvl w:val="1"/>
          <w:numId w:val="8"/>
        </w:numPr>
        <w:spacing w:after="240" w:line="240" w:lineRule="auto"/>
        <w:contextualSpacing w:val="0"/>
      </w:pPr>
      <w:r>
        <w:t xml:space="preserve">a copy of the </w:t>
      </w:r>
      <w:r w:rsidR="00505FCD">
        <w:t xml:space="preserve">applicant’s </w:t>
      </w:r>
      <w:r>
        <w:t xml:space="preserve">draft application book index which </w:t>
      </w:r>
      <w:r w:rsidR="00505FCD">
        <w:t>is marked up to clearly identify any amendments proposed by the respondent.</w:t>
      </w:r>
    </w:p>
    <w:p w14:paraId="2FADC81E" w14:textId="2DBC3077" w:rsidR="00505FCD" w:rsidRDefault="00505FCD" w:rsidP="00505FCD">
      <w:pPr>
        <w:pStyle w:val="ListParagraph"/>
        <w:numPr>
          <w:ilvl w:val="0"/>
          <w:numId w:val="8"/>
        </w:numPr>
        <w:spacing w:after="240" w:line="240" w:lineRule="auto"/>
        <w:contextualSpacing w:val="0"/>
      </w:pPr>
      <w:r>
        <w:t>A respondent must</w:t>
      </w:r>
      <w:r w:rsidR="00EA2D27">
        <w:t xml:space="preserve"> also</w:t>
      </w:r>
      <w:r>
        <w:t xml:space="preserve">, at the same time as </w:t>
      </w:r>
      <w:r w:rsidRPr="006357E5">
        <w:rPr>
          <w:b/>
        </w:rPr>
        <w:t>serving</w:t>
      </w:r>
      <w:r>
        <w:t xml:space="preserve"> their written case, notify the applicant of any proposed changes to the applicant’s version of the draft summary for the Court of Appeal.  The respondent is not required to inform the Court of those proposed changes unless directed to do so.  It is expected that:</w:t>
      </w:r>
    </w:p>
    <w:p w14:paraId="0EBCB2C6" w14:textId="342CA2D3" w:rsidR="00505FCD" w:rsidRDefault="00505FCD" w:rsidP="006357E5">
      <w:pPr>
        <w:pStyle w:val="ListParagraph"/>
        <w:numPr>
          <w:ilvl w:val="1"/>
          <w:numId w:val="8"/>
        </w:numPr>
        <w:spacing w:after="240" w:line="240" w:lineRule="auto"/>
        <w:contextualSpacing w:val="0"/>
      </w:pPr>
      <w:r>
        <w:t>the parties will work co-operatively to agree on a summary so that the applicant can file it within 10 days of receiving the respondent’s proposed changes (or such other time as specified by the Registrar);</w:t>
      </w:r>
      <w:r w:rsidR="00314BE2">
        <w:t xml:space="preserve"> and</w:t>
      </w:r>
    </w:p>
    <w:p w14:paraId="60B9270B" w14:textId="26C25572" w:rsidR="00505FCD" w:rsidRDefault="00505FCD" w:rsidP="006357E5">
      <w:pPr>
        <w:pStyle w:val="ListParagraph"/>
        <w:numPr>
          <w:ilvl w:val="1"/>
          <w:numId w:val="8"/>
        </w:numPr>
        <w:spacing w:after="240" w:line="240" w:lineRule="auto"/>
        <w:contextualSpacing w:val="0"/>
      </w:pPr>
      <w:r>
        <w:t>the applicant will inform the Registrar the summary cannot be agreed only after the parties have made every effort to do so.</w:t>
      </w:r>
    </w:p>
    <w:p w14:paraId="172A3E62" w14:textId="77777777" w:rsidR="00786898" w:rsidRPr="00E86492" w:rsidRDefault="00786898" w:rsidP="00E86492">
      <w:pPr>
        <w:spacing w:after="240" w:line="240" w:lineRule="auto"/>
        <w:rPr>
          <w:b/>
        </w:rPr>
      </w:pPr>
      <w:r w:rsidRPr="00E86492">
        <w:rPr>
          <w:b/>
        </w:rPr>
        <w:t>AMENDMENT HISTORY</w:t>
      </w:r>
    </w:p>
    <w:p w14:paraId="4AA7FF7B" w14:textId="77777777" w:rsidR="00786898" w:rsidRPr="00E86492" w:rsidRDefault="00786898" w:rsidP="00E86492">
      <w:pPr>
        <w:spacing w:after="240" w:line="240" w:lineRule="auto"/>
      </w:pPr>
      <w:r w:rsidRPr="00E86492">
        <w:t>30 September 2019: This Note was reissued on 30 September 2019 and replaced the version issued in January 2017.</w:t>
      </w:r>
    </w:p>
    <w:p w14:paraId="5F2A159E" w14:textId="56E253CF" w:rsidR="00786898" w:rsidRPr="00E86492" w:rsidRDefault="00786898" w:rsidP="00E86492">
      <w:pPr>
        <w:spacing w:after="240" w:line="240" w:lineRule="auto"/>
      </w:pPr>
      <w:r w:rsidRPr="00E86492">
        <w:t>January 2017: This Note was first issued in January 2017.</w:t>
      </w:r>
    </w:p>
    <w:p w14:paraId="0C6CF7EF" w14:textId="77777777" w:rsidR="00786898" w:rsidRPr="00E86492" w:rsidRDefault="00786898" w:rsidP="00E86492">
      <w:pPr>
        <w:spacing w:after="240" w:line="240" w:lineRule="auto"/>
      </w:pPr>
    </w:p>
    <w:p w14:paraId="1331DFE0" w14:textId="6C1F3826" w:rsidR="00E617E9" w:rsidRPr="00E86492" w:rsidRDefault="00786898" w:rsidP="00E86492">
      <w:pPr>
        <w:spacing w:after="240" w:line="240" w:lineRule="auto"/>
      </w:pPr>
      <w:r w:rsidRPr="00E86492">
        <w:rPr>
          <w:b/>
        </w:rPr>
        <w:t>Ian Irving</w:t>
      </w:r>
      <w:r w:rsidRPr="00E86492">
        <w:rPr>
          <w:b/>
        </w:rPr>
        <w:br/>
        <w:t>Judicial Registrar</w:t>
      </w:r>
      <w:r w:rsidRPr="00E86492">
        <w:rPr>
          <w:b/>
        </w:rPr>
        <w:br/>
        <w:t>30 September 2019</w:t>
      </w:r>
    </w:p>
    <w:p w14:paraId="72A27109" w14:textId="04B9ED2A" w:rsidR="00786898" w:rsidRPr="00E86492" w:rsidRDefault="00AF03D2" w:rsidP="00786898">
      <w:pPr>
        <w:spacing w:after="240"/>
        <w:jc w:val="center"/>
        <w:rPr>
          <w:lang w:val="en-US"/>
        </w:rPr>
      </w:pPr>
      <w:r w:rsidRPr="00E86492">
        <w:rPr>
          <w:b/>
        </w:rPr>
        <w:br w:type="page"/>
      </w:r>
      <w:r w:rsidR="00786898" w:rsidRPr="00E86492">
        <w:rPr>
          <w:b/>
          <w:lang w:val="en-US"/>
        </w:rPr>
        <w:lastRenderedPageBreak/>
        <w:t xml:space="preserve">ANNEXURE </w:t>
      </w:r>
      <w:r w:rsidR="00203081">
        <w:rPr>
          <w:b/>
          <w:lang w:val="en-US"/>
        </w:rPr>
        <w:t>1</w:t>
      </w:r>
    </w:p>
    <w:p w14:paraId="5CD75011" w14:textId="77777777" w:rsidR="00786898" w:rsidRPr="00E86492" w:rsidRDefault="00786898" w:rsidP="00786898">
      <w:pPr>
        <w:spacing w:after="240"/>
        <w:jc w:val="center"/>
        <w:rPr>
          <w:b/>
        </w:rPr>
      </w:pPr>
      <w:r w:rsidRPr="00E86492">
        <w:rPr>
          <w:b/>
        </w:rPr>
        <w:t>Guideline for the Preparation of a</w:t>
      </w:r>
    </w:p>
    <w:p w14:paraId="4B27884C" w14:textId="77777777" w:rsidR="00786898" w:rsidRPr="00E86492" w:rsidRDefault="00786898" w:rsidP="00786898">
      <w:pPr>
        <w:spacing w:after="240"/>
        <w:jc w:val="center"/>
        <w:rPr>
          <w:b/>
        </w:rPr>
      </w:pPr>
      <w:r w:rsidRPr="00E86492">
        <w:rPr>
          <w:b/>
        </w:rPr>
        <w:t>Written Case in Support of a Civil Appeal or Application for Leave to Appeal</w:t>
      </w:r>
    </w:p>
    <w:p w14:paraId="46A4A992" w14:textId="77777777" w:rsidR="00786898" w:rsidRPr="00E86492" w:rsidRDefault="00786898" w:rsidP="00786898">
      <w:pPr>
        <w:spacing w:after="240"/>
        <w:jc w:val="center"/>
        <w:rPr>
          <w:b/>
        </w:rPr>
      </w:pPr>
      <w:r w:rsidRPr="00E86492">
        <w:rPr>
          <w:b/>
        </w:rPr>
        <w:t>Prepared by the Court of Appeal Registry</w:t>
      </w:r>
    </w:p>
    <w:p w14:paraId="360A1756" w14:textId="77777777" w:rsidR="00786898" w:rsidRPr="00E86492" w:rsidRDefault="00786898" w:rsidP="00786898">
      <w:pPr>
        <w:spacing w:after="240"/>
        <w:rPr>
          <w:b/>
        </w:rPr>
      </w:pPr>
    </w:p>
    <w:p w14:paraId="3C2E1B27" w14:textId="77777777" w:rsidR="00786898" w:rsidRPr="00E86492" w:rsidRDefault="00786898" w:rsidP="00786898">
      <w:pPr>
        <w:spacing w:after="240"/>
      </w:pPr>
    </w:p>
    <w:p w14:paraId="3612BE35" w14:textId="5637C36A" w:rsidR="00ED75CC" w:rsidRDefault="00ED75CC" w:rsidP="00786898">
      <w:pPr>
        <w:spacing w:after="240"/>
      </w:pPr>
      <w:r>
        <w:t>T</w:t>
      </w:r>
      <w:r w:rsidRPr="00E86492">
        <w:t xml:space="preserve">he </w:t>
      </w:r>
      <w:r w:rsidRPr="00E86492">
        <w:rPr>
          <w:i/>
        </w:rPr>
        <w:t>Supreme Court (General Civil Procedure) Rules 2015</w:t>
      </w:r>
      <w:r w:rsidRPr="00E86492">
        <w:t xml:space="preserve"> (‘Rules’)</w:t>
      </w:r>
      <w:r>
        <w:t>,</w:t>
      </w:r>
      <w:r w:rsidRPr="00E86492">
        <w:t xml:space="preserve"> </w:t>
      </w:r>
      <w:r w:rsidR="00786898" w:rsidRPr="006357E5">
        <w:t>Practice Note SC CA 3</w:t>
      </w:r>
      <w:r w:rsidR="00786898" w:rsidRPr="00E86492">
        <w:t xml:space="preserve"> (‘Practice Note’), </w:t>
      </w:r>
      <w:r>
        <w:t xml:space="preserve">and </w:t>
      </w:r>
      <w:r w:rsidR="00786898" w:rsidRPr="006357E5">
        <w:t>Registrar’s Note on the Preparation of a Written Case</w:t>
      </w:r>
      <w:r w:rsidR="00786898" w:rsidRPr="00E64BD3">
        <w:t xml:space="preserve"> </w:t>
      </w:r>
      <w:r w:rsidR="00786898" w:rsidRPr="00E86492">
        <w:t xml:space="preserve">specify what </w:t>
      </w:r>
      <w:r w:rsidR="00786898" w:rsidRPr="00E86492">
        <w:rPr>
          <w:u w:val="single"/>
        </w:rPr>
        <w:t>must</w:t>
      </w:r>
      <w:r w:rsidR="00786898" w:rsidRPr="00E86492">
        <w:t xml:space="preserve"> be included in a written case.  If there is any disparity between this guideline and those materials, the latter are controlling. </w:t>
      </w:r>
      <w:r>
        <w:t xml:space="preserve"> </w:t>
      </w:r>
    </w:p>
    <w:p w14:paraId="4FD489FF" w14:textId="1259CD32" w:rsidR="00786898" w:rsidRDefault="00786898" w:rsidP="00786898">
      <w:pPr>
        <w:spacing w:after="240"/>
      </w:pPr>
      <w:r w:rsidRPr="00E86492">
        <w:t xml:space="preserve">What follows is designed to assist litigants and the profession in setting out an example of the way in which the requirements of the Rules, </w:t>
      </w:r>
      <w:r w:rsidR="00ED75CC">
        <w:t xml:space="preserve">Practice Note and </w:t>
      </w:r>
      <w:r w:rsidRPr="00E86492">
        <w:t xml:space="preserve">Registrar’s Note might be complied with. </w:t>
      </w:r>
      <w:r w:rsidR="00ED75CC">
        <w:t xml:space="preserve"> </w:t>
      </w:r>
      <w:r w:rsidRPr="00E86492">
        <w:t>This is illustrative only as the written case is not a prescribed form under the Rules.</w:t>
      </w:r>
    </w:p>
    <w:p w14:paraId="7F5F6716" w14:textId="0A02C5A9" w:rsidR="00B17161" w:rsidRDefault="00B17161" w:rsidP="00786898">
      <w:pPr>
        <w:spacing w:after="240"/>
      </w:pPr>
    </w:p>
    <w:p w14:paraId="276591E1" w14:textId="7E9A2207" w:rsidR="00B17161" w:rsidRDefault="00B17161" w:rsidP="00786898">
      <w:pPr>
        <w:spacing w:after="240"/>
      </w:pPr>
    </w:p>
    <w:p w14:paraId="7A1856B5" w14:textId="77777777" w:rsidR="00B17161" w:rsidRDefault="00B17161" w:rsidP="00786898">
      <w:pPr>
        <w:spacing w:after="240"/>
        <w:sectPr w:rsidR="00B17161">
          <w:footerReference w:type="default" r:id="rId12"/>
          <w:pgSz w:w="11906" w:h="16838"/>
          <w:pgMar w:top="1440" w:right="1440" w:bottom="1440" w:left="1440" w:header="708" w:footer="708" w:gutter="0"/>
          <w:cols w:space="708"/>
          <w:docGrid w:linePitch="360"/>
        </w:sectPr>
      </w:pPr>
    </w:p>
    <w:p w14:paraId="536C448F" w14:textId="77777777" w:rsidR="00ED75CC" w:rsidRPr="00ED75CC" w:rsidRDefault="00ED75CC" w:rsidP="00ED75CC">
      <w:pPr>
        <w:widowControl w:val="0"/>
        <w:tabs>
          <w:tab w:val="right" w:pos="9026"/>
        </w:tabs>
        <w:snapToGrid w:val="0"/>
        <w:spacing w:after="0" w:line="240" w:lineRule="auto"/>
        <w:jc w:val="both"/>
        <w:outlineLvl w:val="0"/>
        <w:rPr>
          <w:rFonts w:eastAsia="Times New Roman"/>
        </w:rPr>
      </w:pPr>
      <w:r w:rsidRPr="00ED75CC">
        <w:rPr>
          <w:rFonts w:eastAsia="Times New Roman"/>
        </w:rPr>
        <w:lastRenderedPageBreak/>
        <w:t xml:space="preserve">IN THE </w:t>
      </w:r>
      <w:r w:rsidRPr="00ED75CC">
        <w:rPr>
          <w:rFonts w:eastAsia="Times New Roman"/>
          <w:noProof/>
        </w:rPr>
        <w:t>SUPREME</w:t>
      </w:r>
      <w:r w:rsidRPr="00ED75CC">
        <w:rPr>
          <w:rFonts w:eastAsia="Times New Roman"/>
        </w:rPr>
        <w:t xml:space="preserve"> COURT OF VICTORIA AT MELBOURNE</w:t>
      </w:r>
    </w:p>
    <w:p w14:paraId="7B8EF172" w14:textId="77777777" w:rsidR="00ED75CC" w:rsidRPr="00ED75CC" w:rsidRDefault="00ED75CC" w:rsidP="00ED75CC">
      <w:pPr>
        <w:widowControl w:val="0"/>
        <w:tabs>
          <w:tab w:val="right" w:pos="9026"/>
        </w:tabs>
        <w:snapToGrid w:val="0"/>
        <w:spacing w:after="0" w:line="240" w:lineRule="auto"/>
        <w:jc w:val="both"/>
        <w:outlineLvl w:val="0"/>
        <w:rPr>
          <w:rFonts w:eastAsia="Times New Roman"/>
        </w:rPr>
      </w:pPr>
      <w:r w:rsidRPr="00ED75CC">
        <w:rPr>
          <w:rFonts w:eastAsia="Times New Roman"/>
        </w:rPr>
        <w:t>IN THE COURT OF APPEAL</w:t>
      </w:r>
    </w:p>
    <w:p w14:paraId="35D197E7" w14:textId="77777777" w:rsidR="00ED75CC" w:rsidRPr="00ED75CC" w:rsidRDefault="00ED75CC" w:rsidP="00ED75CC">
      <w:pPr>
        <w:widowControl w:val="0"/>
        <w:tabs>
          <w:tab w:val="right" w:pos="9026"/>
        </w:tabs>
        <w:snapToGrid w:val="0"/>
        <w:spacing w:after="0" w:line="240" w:lineRule="auto"/>
        <w:jc w:val="both"/>
        <w:outlineLvl w:val="0"/>
        <w:rPr>
          <w:rFonts w:eastAsia="Times New Roman"/>
        </w:rPr>
      </w:pPr>
      <w:r w:rsidRPr="00ED75CC">
        <w:rPr>
          <w:rFonts w:eastAsia="Times New Roman"/>
        </w:rPr>
        <w:t>CIVIL DIVISION</w:t>
      </w:r>
    </w:p>
    <w:p w14:paraId="44BD4B90" w14:textId="77777777" w:rsidR="00ED75CC" w:rsidRPr="00ED75CC" w:rsidRDefault="00ED75CC" w:rsidP="00ED75CC">
      <w:pPr>
        <w:widowControl w:val="0"/>
        <w:tabs>
          <w:tab w:val="left" w:pos="0"/>
          <w:tab w:val="left" w:pos="7800"/>
          <w:tab w:val="right" w:pos="9639"/>
        </w:tabs>
        <w:suppressAutoHyphens/>
        <w:snapToGrid w:val="0"/>
        <w:spacing w:after="0" w:line="240" w:lineRule="auto"/>
        <w:jc w:val="right"/>
        <w:rPr>
          <w:rFonts w:eastAsia="Times New Roman"/>
          <w:kern w:val="2"/>
        </w:rPr>
      </w:pPr>
      <w:r w:rsidRPr="00ED75CC">
        <w:rPr>
          <w:rFonts w:eastAsia="Times New Roman"/>
          <w:kern w:val="2"/>
        </w:rPr>
        <w:t>S EAPCI 20xx xxxx</w:t>
      </w:r>
    </w:p>
    <w:p w14:paraId="2D08BA91" w14:textId="77777777" w:rsidR="00ED75CC" w:rsidRPr="00ED75CC" w:rsidRDefault="00ED75CC" w:rsidP="00ED75CC">
      <w:pPr>
        <w:widowControl w:val="0"/>
        <w:tabs>
          <w:tab w:val="left" w:pos="0"/>
          <w:tab w:val="left" w:pos="7800"/>
          <w:tab w:val="right" w:pos="9639"/>
        </w:tabs>
        <w:suppressAutoHyphens/>
        <w:snapToGrid w:val="0"/>
        <w:spacing w:after="0" w:line="240" w:lineRule="auto"/>
        <w:rPr>
          <w:rFonts w:eastAsia="Times New Roman"/>
          <w:kern w:val="2"/>
        </w:rPr>
      </w:pPr>
      <w:r w:rsidRPr="00ED75CC">
        <w:rPr>
          <w:rFonts w:eastAsia="Times New Roman"/>
          <w:kern w:val="2"/>
        </w:rPr>
        <w:t>BETWEEN</w:t>
      </w:r>
    </w:p>
    <w:p w14:paraId="42EA0BB1" w14:textId="77777777" w:rsidR="00ED75CC" w:rsidRPr="00ED75CC" w:rsidRDefault="00ED75CC" w:rsidP="00ED75CC">
      <w:pPr>
        <w:widowControl w:val="0"/>
        <w:tabs>
          <w:tab w:val="center" w:pos="4820"/>
          <w:tab w:val="right" w:pos="9639"/>
        </w:tabs>
        <w:suppressAutoHyphens/>
        <w:snapToGrid w:val="0"/>
        <w:spacing w:after="0" w:line="240" w:lineRule="auto"/>
        <w:rPr>
          <w:rFonts w:eastAsia="Times New Roman"/>
          <w:kern w:val="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6"/>
        <w:gridCol w:w="1630"/>
      </w:tblGrid>
      <w:tr w:rsidR="00ED75CC" w14:paraId="64EAF396" w14:textId="77777777" w:rsidTr="00680829">
        <w:tc>
          <w:tcPr>
            <w:tcW w:w="7513" w:type="dxa"/>
          </w:tcPr>
          <w:p w14:paraId="27CF55ED" w14:textId="77777777" w:rsidR="00ED75CC" w:rsidRDefault="00ED75CC" w:rsidP="00680829">
            <w:pPr>
              <w:widowControl w:val="0"/>
              <w:tabs>
                <w:tab w:val="center" w:pos="4820"/>
                <w:tab w:val="right" w:pos="9639"/>
              </w:tabs>
              <w:suppressAutoHyphens/>
              <w:snapToGrid w:val="0"/>
              <w:rPr>
                <w:rFonts w:eastAsia="Times New Roman"/>
                <w:kern w:val="2"/>
              </w:rPr>
            </w:pPr>
            <w:r>
              <w:rPr>
                <w:rFonts w:eastAsia="Times New Roman"/>
                <w:kern w:val="2"/>
              </w:rPr>
              <w:t>[APPLICANT’S NAME]</w:t>
            </w:r>
          </w:p>
        </w:tc>
        <w:tc>
          <w:tcPr>
            <w:tcW w:w="1645" w:type="dxa"/>
          </w:tcPr>
          <w:p w14:paraId="582029A8" w14:textId="77777777" w:rsidR="00ED75CC" w:rsidRDefault="00ED75CC" w:rsidP="00680829">
            <w:pPr>
              <w:widowControl w:val="0"/>
              <w:tabs>
                <w:tab w:val="center" w:pos="4820"/>
                <w:tab w:val="right" w:pos="9639"/>
              </w:tabs>
              <w:suppressAutoHyphens/>
              <w:snapToGrid w:val="0"/>
              <w:rPr>
                <w:rFonts w:eastAsia="Times New Roman"/>
                <w:kern w:val="2"/>
              </w:rPr>
            </w:pPr>
            <w:r>
              <w:rPr>
                <w:rFonts w:eastAsia="Times New Roman"/>
                <w:kern w:val="2"/>
              </w:rPr>
              <w:t>Applicant</w:t>
            </w:r>
          </w:p>
        </w:tc>
      </w:tr>
      <w:tr w:rsidR="00ED75CC" w14:paraId="078B53D8" w14:textId="77777777" w:rsidTr="00680829">
        <w:tc>
          <w:tcPr>
            <w:tcW w:w="7513" w:type="dxa"/>
          </w:tcPr>
          <w:p w14:paraId="248FAE5D" w14:textId="77777777" w:rsidR="00ED75CC" w:rsidRDefault="00ED75CC" w:rsidP="00680829">
            <w:pPr>
              <w:widowControl w:val="0"/>
              <w:tabs>
                <w:tab w:val="center" w:pos="4820"/>
                <w:tab w:val="right" w:pos="9639"/>
              </w:tabs>
              <w:suppressAutoHyphens/>
              <w:snapToGrid w:val="0"/>
              <w:rPr>
                <w:rFonts w:eastAsia="Times New Roman"/>
                <w:kern w:val="2"/>
              </w:rPr>
            </w:pPr>
          </w:p>
        </w:tc>
        <w:tc>
          <w:tcPr>
            <w:tcW w:w="1645" w:type="dxa"/>
          </w:tcPr>
          <w:p w14:paraId="3720FCB4" w14:textId="77777777" w:rsidR="00ED75CC" w:rsidRDefault="00ED75CC" w:rsidP="00680829">
            <w:pPr>
              <w:widowControl w:val="0"/>
              <w:tabs>
                <w:tab w:val="center" w:pos="4820"/>
                <w:tab w:val="right" w:pos="9639"/>
              </w:tabs>
              <w:suppressAutoHyphens/>
              <w:snapToGrid w:val="0"/>
              <w:rPr>
                <w:rFonts w:eastAsia="Times New Roman"/>
                <w:kern w:val="2"/>
              </w:rPr>
            </w:pPr>
          </w:p>
        </w:tc>
      </w:tr>
      <w:tr w:rsidR="00ED75CC" w14:paraId="2A9D90EF" w14:textId="77777777" w:rsidTr="00680829">
        <w:tc>
          <w:tcPr>
            <w:tcW w:w="7513" w:type="dxa"/>
          </w:tcPr>
          <w:p w14:paraId="071C3FC4" w14:textId="77777777" w:rsidR="00ED75CC" w:rsidRDefault="00ED75CC" w:rsidP="00680829">
            <w:pPr>
              <w:widowControl w:val="0"/>
              <w:tabs>
                <w:tab w:val="center" w:pos="4820"/>
                <w:tab w:val="right" w:pos="9639"/>
              </w:tabs>
              <w:suppressAutoHyphens/>
              <w:snapToGrid w:val="0"/>
              <w:rPr>
                <w:rFonts w:eastAsia="Times New Roman"/>
                <w:kern w:val="2"/>
              </w:rPr>
            </w:pPr>
            <w:r>
              <w:rPr>
                <w:rFonts w:eastAsia="Times New Roman"/>
                <w:kern w:val="2"/>
              </w:rPr>
              <w:t>and</w:t>
            </w:r>
          </w:p>
        </w:tc>
        <w:tc>
          <w:tcPr>
            <w:tcW w:w="1645" w:type="dxa"/>
          </w:tcPr>
          <w:p w14:paraId="61C701D1" w14:textId="77777777" w:rsidR="00ED75CC" w:rsidRDefault="00ED75CC" w:rsidP="00680829">
            <w:pPr>
              <w:widowControl w:val="0"/>
              <w:tabs>
                <w:tab w:val="center" w:pos="4820"/>
                <w:tab w:val="right" w:pos="9639"/>
              </w:tabs>
              <w:suppressAutoHyphens/>
              <w:snapToGrid w:val="0"/>
              <w:rPr>
                <w:rFonts w:eastAsia="Times New Roman"/>
                <w:kern w:val="2"/>
              </w:rPr>
            </w:pPr>
          </w:p>
        </w:tc>
      </w:tr>
      <w:tr w:rsidR="00ED75CC" w14:paraId="0F242DAF" w14:textId="77777777" w:rsidTr="00680829">
        <w:tc>
          <w:tcPr>
            <w:tcW w:w="7513" w:type="dxa"/>
          </w:tcPr>
          <w:p w14:paraId="79CDEAC6" w14:textId="77777777" w:rsidR="00ED75CC" w:rsidRDefault="00ED75CC" w:rsidP="00680829">
            <w:pPr>
              <w:widowControl w:val="0"/>
              <w:tabs>
                <w:tab w:val="center" w:pos="4820"/>
                <w:tab w:val="right" w:pos="9639"/>
              </w:tabs>
              <w:suppressAutoHyphens/>
              <w:snapToGrid w:val="0"/>
              <w:rPr>
                <w:rFonts w:eastAsia="Times New Roman"/>
                <w:kern w:val="2"/>
              </w:rPr>
            </w:pPr>
          </w:p>
        </w:tc>
        <w:tc>
          <w:tcPr>
            <w:tcW w:w="1645" w:type="dxa"/>
          </w:tcPr>
          <w:p w14:paraId="6BB4B8D8" w14:textId="77777777" w:rsidR="00ED75CC" w:rsidRDefault="00ED75CC" w:rsidP="00680829">
            <w:pPr>
              <w:widowControl w:val="0"/>
              <w:tabs>
                <w:tab w:val="center" w:pos="4820"/>
                <w:tab w:val="right" w:pos="9639"/>
              </w:tabs>
              <w:suppressAutoHyphens/>
              <w:snapToGrid w:val="0"/>
              <w:rPr>
                <w:rFonts w:eastAsia="Times New Roman"/>
                <w:kern w:val="2"/>
              </w:rPr>
            </w:pPr>
          </w:p>
        </w:tc>
      </w:tr>
      <w:tr w:rsidR="00ED75CC" w14:paraId="6EDD7EAA" w14:textId="77777777" w:rsidTr="00680829">
        <w:tc>
          <w:tcPr>
            <w:tcW w:w="7513" w:type="dxa"/>
          </w:tcPr>
          <w:p w14:paraId="79F945BF" w14:textId="77777777" w:rsidR="00ED75CC" w:rsidRDefault="00ED75CC" w:rsidP="00680829">
            <w:pPr>
              <w:widowControl w:val="0"/>
              <w:tabs>
                <w:tab w:val="center" w:pos="4820"/>
                <w:tab w:val="right" w:pos="9639"/>
              </w:tabs>
              <w:suppressAutoHyphens/>
              <w:snapToGrid w:val="0"/>
              <w:rPr>
                <w:rFonts w:eastAsia="Times New Roman"/>
                <w:kern w:val="2"/>
              </w:rPr>
            </w:pPr>
            <w:r>
              <w:rPr>
                <w:rFonts w:eastAsia="Times New Roman"/>
                <w:kern w:val="2"/>
              </w:rPr>
              <w:t>[RESPONDENT’S NAME]</w:t>
            </w:r>
          </w:p>
        </w:tc>
        <w:tc>
          <w:tcPr>
            <w:tcW w:w="1645" w:type="dxa"/>
          </w:tcPr>
          <w:p w14:paraId="6AF5B2E9" w14:textId="77777777" w:rsidR="00ED75CC" w:rsidRDefault="00ED75CC" w:rsidP="00680829">
            <w:pPr>
              <w:widowControl w:val="0"/>
              <w:tabs>
                <w:tab w:val="center" w:pos="4820"/>
                <w:tab w:val="right" w:pos="9639"/>
              </w:tabs>
              <w:suppressAutoHyphens/>
              <w:snapToGrid w:val="0"/>
              <w:rPr>
                <w:rFonts w:eastAsia="Times New Roman"/>
                <w:kern w:val="2"/>
              </w:rPr>
            </w:pPr>
            <w:r>
              <w:rPr>
                <w:rFonts w:eastAsia="Times New Roman"/>
                <w:kern w:val="2"/>
              </w:rPr>
              <w:t>Respondent</w:t>
            </w:r>
          </w:p>
        </w:tc>
      </w:tr>
    </w:tbl>
    <w:p w14:paraId="425140DC" w14:textId="63806349" w:rsidR="00ED75CC" w:rsidRDefault="00ED75CC" w:rsidP="00ED75CC">
      <w:pPr>
        <w:widowControl w:val="0"/>
        <w:snapToGrid w:val="0"/>
        <w:spacing w:after="0" w:line="240" w:lineRule="auto"/>
        <w:rPr>
          <w:rFonts w:eastAsia="Times New Roman"/>
        </w:rPr>
      </w:pPr>
    </w:p>
    <w:p w14:paraId="4F6DC22F" w14:textId="77777777" w:rsidR="00B17161" w:rsidRPr="00ED75CC" w:rsidRDefault="00B17161" w:rsidP="00ED75CC">
      <w:pPr>
        <w:widowControl w:val="0"/>
        <w:snapToGrid w:val="0"/>
        <w:spacing w:after="0" w:line="240" w:lineRule="auto"/>
        <w:rPr>
          <w:rFonts w:eastAsia="Times New Roman"/>
        </w:rPr>
      </w:pPr>
    </w:p>
    <w:p w14:paraId="42321090" w14:textId="0DE0F937" w:rsidR="00ED75CC" w:rsidRPr="00ED75CC" w:rsidRDefault="00ED75CC" w:rsidP="00ED75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480" w:lineRule="auto"/>
        <w:jc w:val="center"/>
        <w:rPr>
          <w:rFonts w:eastAsia="Times New Roman"/>
          <w:b/>
        </w:rPr>
      </w:pPr>
      <w:r>
        <w:rPr>
          <w:rFonts w:eastAsia="Times New Roman"/>
          <w:b/>
        </w:rPr>
        <w:t>WRITTEN CASE</w:t>
      </w:r>
      <w:r w:rsidR="00E64BD3">
        <w:rPr>
          <w:rFonts w:eastAsia="Times New Roman"/>
          <w:b/>
        </w:rPr>
        <w:t xml:space="preserve"> FOR THE [APPLICANT / RESPONDENT]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50"/>
      </w:tblGrid>
      <w:tr w:rsidR="00ED75CC" w14:paraId="482CCDFE" w14:textId="77777777" w:rsidTr="00680829">
        <w:tc>
          <w:tcPr>
            <w:tcW w:w="4508" w:type="dxa"/>
          </w:tcPr>
          <w:p w14:paraId="15B23995" w14:textId="77777777" w:rsidR="00ED75CC" w:rsidRDefault="00ED75CC" w:rsidP="00680829">
            <w:pPr>
              <w:widowControl w:val="0"/>
              <w:snapToGrid w:val="0"/>
              <w:spacing w:before="120" w:after="120"/>
              <w:rPr>
                <w:rFonts w:eastAsia="Times New Roman"/>
              </w:rPr>
            </w:pPr>
            <w:r>
              <w:rPr>
                <w:rFonts w:eastAsia="Times New Roman"/>
              </w:rPr>
              <w:t>Date of document:</w:t>
            </w:r>
            <w:r>
              <w:rPr>
                <w:rFonts w:eastAsia="Times New Roman"/>
              </w:rPr>
              <w:br/>
              <w:t>Filed on behalf of:</w:t>
            </w:r>
            <w:r>
              <w:rPr>
                <w:rFonts w:eastAsia="Times New Roman"/>
              </w:rPr>
              <w:br/>
              <w:t>Party’s or lawyer’s name and address:</w:t>
            </w:r>
            <w:r>
              <w:rPr>
                <w:rFonts w:eastAsia="Times New Roman"/>
              </w:rPr>
              <w:br/>
            </w:r>
          </w:p>
        </w:tc>
        <w:tc>
          <w:tcPr>
            <w:tcW w:w="4508" w:type="dxa"/>
          </w:tcPr>
          <w:p w14:paraId="7157D7BA" w14:textId="77777777" w:rsidR="00ED75CC" w:rsidRDefault="00ED75CC" w:rsidP="00680829">
            <w:pPr>
              <w:widowControl w:val="0"/>
              <w:snapToGrid w:val="0"/>
              <w:spacing w:before="120"/>
              <w:rPr>
                <w:rFonts w:eastAsia="Times New Roman"/>
              </w:rPr>
            </w:pPr>
            <w:r>
              <w:rPr>
                <w:rFonts w:eastAsia="Times New Roman"/>
              </w:rPr>
              <w:t>Solicitor’s code:</w:t>
            </w:r>
          </w:p>
          <w:p w14:paraId="51FBE92A" w14:textId="77777777" w:rsidR="00ED75CC" w:rsidRDefault="00ED75CC" w:rsidP="00680829">
            <w:pPr>
              <w:widowControl w:val="0"/>
              <w:snapToGrid w:val="0"/>
              <w:spacing w:after="120"/>
              <w:rPr>
                <w:rFonts w:eastAsia="Times New Roman"/>
              </w:rPr>
            </w:pPr>
            <w:r>
              <w:rPr>
                <w:rFonts w:eastAsia="Times New Roman"/>
              </w:rPr>
              <w:t>DX:</w:t>
            </w:r>
            <w:r>
              <w:rPr>
                <w:rFonts w:eastAsia="Times New Roman"/>
              </w:rPr>
              <w:br/>
              <w:t>Tel:</w:t>
            </w:r>
            <w:r>
              <w:rPr>
                <w:rFonts w:eastAsia="Times New Roman"/>
              </w:rPr>
              <w:br/>
              <w:t>Fax:</w:t>
            </w:r>
            <w:r>
              <w:rPr>
                <w:rFonts w:eastAsia="Times New Roman"/>
              </w:rPr>
              <w:br/>
              <w:t>Ref:</w:t>
            </w:r>
            <w:r>
              <w:rPr>
                <w:rFonts w:eastAsia="Times New Roman"/>
              </w:rPr>
              <w:br/>
              <w:t>Attention:</w:t>
            </w:r>
            <w:r>
              <w:rPr>
                <w:rFonts w:eastAsia="Times New Roman"/>
              </w:rPr>
              <w:br/>
              <w:t>Email:</w:t>
            </w:r>
          </w:p>
        </w:tc>
      </w:tr>
    </w:tbl>
    <w:p w14:paraId="79E76C07" w14:textId="77777777" w:rsidR="00ED75CC" w:rsidRPr="00ED75CC" w:rsidRDefault="00ED75CC" w:rsidP="00ED75CC">
      <w:pPr>
        <w:widowControl w:val="0"/>
        <w:snapToGrid w:val="0"/>
        <w:spacing w:after="0" w:line="240" w:lineRule="auto"/>
        <w:rPr>
          <w:rFonts w:eastAsia="Times New Roman"/>
        </w:rPr>
      </w:pPr>
    </w:p>
    <w:p w14:paraId="47D1D81F" w14:textId="73C93E19" w:rsidR="00786898" w:rsidRPr="00E86492" w:rsidRDefault="00786898" w:rsidP="00B17161">
      <w:pPr>
        <w:pStyle w:val="ListParagraph"/>
        <w:numPr>
          <w:ilvl w:val="0"/>
          <w:numId w:val="10"/>
        </w:numPr>
        <w:spacing w:after="240" w:line="360" w:lineRule="auto"/>
        <w:contextualSpacing w:val="0"/>
      </w:pPr>
      <w:r w:rsidRPr="00E86492">
        <w:t xml:space="preserve">Please note </w:t>
      </w:r>
      <w:r w:rsidR="000E42F0">
        <w:t xml:space="preserve">that </w:t>
      </w:r>
      <w:r w:rsidRPr="00E86492">
        <w:t>the written case must be accompanied by a list of authorities (as below) and a draft application book index.</w:t>
      </w:r>
      <w:r w:rsidRPr="00E86492">
        <w:rPr>
          <w:vertAlign w:val="superscript"/>
        </w:rPr>
        <w:footnoteReference w:id="2"/>
      </w:r>
      <w:r w:rsidRPr="00E86492">
        <w:t xml:space="preserve">  The list of authorities and the draft application book index are not part of the written case but must be filed with </w:t>
      </w:r>
      <w:r w:rsidR="000E42F0">
        <w:t>it</w:t>
      </w:r>
      <w:r w:rsidRPr="00E86492">
        <w:t>.</w:t>
      </w:r>
    </w:p>
    <w:p w14:paraId="10C93C27" w14:textId="31ACDD9C" w:rsidR="00786898" w:rsidRPr="00E86492" w:rsidRDefault="00786898" w:rsidP="00B17161">
      <w:pPr>
        <w:pStyle w:val="ListParagraph"/>
        <w:numPr>
          <w:ilvl w:val="0"/>
          <w:numId w:val="10"/>
        </w:numPr>
        <w:spacing w:after="240" w:line="360" w:lineRule="auto"/>
        <w:contextualSpacing w:val="0"/>
      </w:pPr>
      <w:r w:rsidRPr="00E86492">
        <w:t xml:space="preserve">A written case </w:t>
      </w:r>
      <w:r w:rsidR="00D3679D">
        <w:t xml:space="preserve">relating to a leave application </w:t>
      </w:r>
      <w:r w:rsidRPr="00E86492">
        <w:t>may not exceed 10 pages</w:t>
      </w:r>
      <w:r w:rsidR="00AD4DC2">
        <w:t>, and a written case relating to a notice of contention may not exceed 5 pages,</w:t>
      </w:r>
      <w:r w:rsidRPr="00E86492">
        <w:t xml:space="preserve"> unless leave is obtained from the Registrar.</w:t>
      </w:r>
      <w:r w:rsidRPr="00E86492">
        <w:rPr>
          <w:vertAlign w:val="superscript"/>
        </w:rPr>
        <w:footnoteReference w:id="3"/>
      </w:r>
      <w:r w:rsidRPr="00E86492">
        <w:t xml:space="preserve">  All </w:t>
      </w:r>
      <w:r w:rsidR="00AD4DC2">
        <w:t>written cases must</w:t>
      </w:r>
      <w:r w:rsidRPr="00E86492">
        <w:t xml:space="preserve"> be in legible and easily read type, with </w:t>
      </w:r>
      <w:r w:rsidR="00AD4DC2">
        <w:t xml:space="preserve">text in the body in </w:t>
      </w:r>
      <w:r w:rsidRPr="00E86492">
        <w:t xml:space="preserve">1.5 </w:t>
      </w:r>
      <w:r w:rsidR="00AD4DC2">
        <w:t xml:space="preserve">line </w:t>
      </w:r>
      <w:r w:rsidRPr="00E86492">
        <w:t>spacing</w:t>
      </w:r>
      <w:r w:rsidR="00E64BD3">
        <w:t>,</w:t>
      </w:r>
      <w:r w:rsidR="00E37634">
        <w:t xml:space="preserve"> and</w:t>
      </w:r>
      <w:r w:rsidR="00AD4DC2">
        <w:t xml:space="preserve"> have</w:t>
      </w:r>
      <w:r w:rsidRPr="00E86492">
        <w:t xml:space="preserve"> 3 cm margins.</w:t>
      </w:r>
      <w:r w:rsidR="00AD4DC2">
        <w:rPr>
          <w:rStyle w:val="FootnoteReference"/>
        </w:rPr>
        <w:footnoteReference w:id="4"/>
      </w:r>
    </w:p>
    <w:p w14:paraId="63B71030" w14:textId="5B3C5739" w:rsidR="00786898" w:rsidRPr="00E86492" w:rsidRDefault="00786898" w:rsidP="00B17161">
      <w:pPr>
        <w:pStyle w:val="ListParagraph"/>
        <w:numPr>
          <w:ilvl w:val="0"/>
          <w:numId w:val="10"/>
        </w:numPr>
        <w:spacing w:after="240" w:line="360" w:lineRule="auto"/>
        <w:contextualSpacing w:val="0"/>
      </w:pPr>
      <w:r w:rsidRPr="00E86492">
        <w:lastRenderedPageBreak/>
        <w:t xml:space="preserve">Any clear and readable font may be used in the written case. </w:t>
      </w:r>
      <w:r w:rsidR="00AD4DC2">
        <w:t xml:space="preserve"> F</w:t>
      </w:r>
      <w:r w:rsidRPr="00E86492">
        <w:t xml:space="preserve">or purposes of illustration, some </w:t>
      </w:r>
      <w:r w:rsidR="00AD4DC2">
        <w:t>acceptable</w:t>
      </w:r>
      <w:r w:rsidRPr="00E86492">
        <w:t xml:space="preserve"> fonts (in 12 point type</w:t>
      </w:r>
      <w:r w:rsidR="00AD4DC2">
        <w:t xml:space="preserve"> for text in the body, and 10 point type in footnotes</w:t>
      </w:r>
      <w:r w:rsidRPr="00E86492">
        <w:t>) are:</w:t>
      </w:r>
    </w:p>
    <w:p w14:paraId="00F4FF65" w14:textId="77777777" w:rsidR="00786898" w:rsidRPr="00E86492" w:rsidRDefault="00786898" w:rsidP="00B17161">
      <w:pPr>
        <w:numPr>
          <w:ilvl w:val="0"/>
          <w:numId w:val="9"/>
        </w:numPr>
        <w:spacing w:after="240" w:line="360" w:lineRule="auto"/>
      </w:pPr>
      <w:r w:rsidRPr="00E86492">
        <w:t>Times New Roman;</w:t>
      </w:r>
    </w:p>
    <w:p w14:paraId="51F68621" w14:textId="77777777" w:rsidR="00786898" w:rsidRPr="00E86492" w:rsidRDefault="00786898" w:rsidP="00B17161">
      <w:pPr>
        <w:numPr>
          <w:ilvl w:val="0"/>
          <w:numId w:val="9"/>
        </w:numPr>
        <w:spacing w:after="240" w:line="360" w:lineRule="auto"/>
      </w:pPr>
      <w:r w:rsidRPr="00E86492">
        <w:t xml:space="preserve">Book Antiqua; </w:t>
      </w:r>
    </w:p>
    <w:p w14:paraId="798481EB" w14:textId="77777777" w:rsidR="00786898" w:rsidRPr="00E86492" w:rsidRDefault="00786898" w:rsidP="00B17161">
      <w:pPr>
        <w:numPr>
          <w:ilvl w:val="0"/>
          <w:numId w:val="9"/>
        </w:numPr>
        <w:spacing w:after="240" w:line="360" w:lineRule="auto"/>
      </w:pPr>
      <w:r w:rsidRPr="00E86492">
        <w:t>Garamond;</w:t>
      </w:r>
    </w:p>
    <w:p w14:paraId="6B79092F" w14:textId="77777777" w:rsidR="00786898" w:rsidRPr="00E86492" w:rsidRDefault="00786898" w:rsidP="00B17161">
      <w:pPr>
        <w:numPr>
          <w:ilvl w:val="0"/>
          <w:numId w:val="9"/>
        </w:numPr>
        <w:spacing w:after="240" w:line="360" w:lineRule="auto"/>
      </w:pPr>
      <w:r w:rsidRPr="00E86492">
        <w:t>Arial; and</w:t>
      </w:r>
    </w:p>
    <w:p w14:paraId="1D6230CF" w14:textId="77777777" w:rsidR="00786898" w:rsidRPr="00E86492" w:rsidRDefault="00786898" w:rsidP="00B17161">
      <w:pPr>
        <w:numPr>
          <w:ilvl w:val="0"/>
          <w:numId w:val="9"/>
        </w:numPr>
        <w:spacing w:after="240" w:line="360" w:lineRule="auto"/>
      </w:pPr>
      <w:r w:rsidRPr="00E86492">
        <w:t>Calibri.</w:t>
      </w:r>
    </w:p>
    <w:p w14:paraId="59C02569" w14:textId="34EB04B8" w:rsidR="00786898" w:rsidRPr="00E86492" w:rsidRDefault="00786898" w:rsidP="00B17161">
      <w:pPr>
        <w:pStyle w:val="ListParagraph"/>
        <w:numPr>
          <w:ilvl w:val="0"/>
          <w:numId w:val="10"/>
        </w:numPr>
        <w:spacing w:after="240" w:line="360" w:lineRule="auto"/>
        <w:contextualSpacing w:val="0"/>
      </w:pPr>
      <w:r w:rsidRPr="00E86492">
        <w:t xml:space="preserve">Please note that written cases </w:t>
      </w:r>
      <w:r w:rsidR="00AD4DC2">
        <w:t>must</w:t>
      </w:r>
      <w:r w:rsidRPr="00E86492">
        <w:t xml:space="preserve"> be filed in searchable PDF format to allow for copying of parts of the document.</w:t>
      </w:r>
      <w:r w:rsidRPr="00E86492">
        <w:rPr>
          <w:vertAlign w:val="superscript"/>
        </w:rPr>
        <w:footnoteReference w:id="5"/>
      </w:r>
    </w:p>
    <w:p w14:paraId="23AF62E4" w14:textId="77777777" w:rsidR="00786898" w:rsidRPr="00E86492" w:rsidRDefault="00786898" w:rsidP="00B17161">
      <w:pPr>
        <w:spacing w:after="240" w:line="360" w:lineRule="auto"/>
        <w:rPr>
          <w:b/>
        </w:rPr>
      </w:pPr>
      <w:r w:rsidRPr="00E86492">
        <w:rPr>
          <w:b/>
        </w:rPr>
        <w:t>GROUNDS</w:t>
      </w:r>
    </w:p>
    <w:p w14:paraId="1A717D67" w14:textId="7F70183F" w:rsidR="00786898" w:rsidRPr="00E86492" w:rsidRDefault="00786898" w:rsidP="00B17161">
      <w:pPr>
        <w:spacing w:after="240" w:line="360" w:lineRule="auto"/>
      </w:pPr>
      <w:r w:rsidRPr="006357E5">
        <w:rPr>
          <w:b/>
        </w:rPr>
        <w:t>Ground 1 – Your written case will not comply, and so may not be accepted, unless it states and numbers each proposed ground of appeal consecutively</w:t>
      </w:r>
      <w:r w:rsidRPr="00E86492">
        <w:t>.</w:t>
      </w:r>
      <w:r w:rsidRPr="00E86492">
        <w:rPr>
          <w:vertAlign w:val="superscript"/>
        </w:rPr>
        <w:footnoteReference w:id="6"/>
      </w:r>
    </w:p>
    <w:p w14:paraId="71A3B8AE" w14:textId="0A5F3754" w:rsidR="00786898" w:rsidRPr="00E86492" w:rsidRDefault="00786898" w:rsidP="00B17161">
      <w:pPr>
        <w:pStyle w:val="ListParagraph"/>
        <w:numPr>
          <w:ilvl w:val="0"/>
          <w:numId w:val="10"/>
        </w:numPr>
        <w:spacing w:after="240" w:line="360" w:lineRule="auto"/>
        <w:contextualSpacing w:val="0"/>
      </w:pPr>
      <w:r w:rsidRPr="00E86492">
        <w:t xml:space="preserve">Each argument to be advanced in support of a ground must be concisely outlined under </w:t>
      </w:r>
      <w:r w:rsidR="00366B4D">
        <w:t xml:space="preserve">a heading for </w:t>
      </w:r>
      <w:r w:rsidRPr="00E86492">
        <w:t>that ground.</w:t>
      </w:r>
      <w:r w:rsidRPr="00E86492">
        <w:rPr>
          <w:vertAlign w:val="superscript"/>
        </w:rPr>
        <w:footnoteReference w:id="7"/>
      </w:r>
    </w:p>
    <w:p w14:paraId="21D81D79" w14:textId="6C42F09E" w:rsidR="00786898" w:rsidRPr="00E86492" w:rsidRDefault="00786898" w:rsidP="00B17161">
      <w:pPr>
        <w:pStyle w:val="ListParagraph"/>
        <w:numPr>
          <w:ilvl w:val="0"/>
          <w:numId w:val="10"/>
        </w:numPr>
        <w:spacing w:after="240" w:line="360" w:lineRule="auto"/>
        <w:contextualSpacing w:val="0"/>
      </w:pPr>
      <w:r w:rsidRPr="00E86492">
        <w:t>The grounds must be prepared with sufficient precision for the Registrar and Court to clearly identify the issues and matters relied upon.</w:t>
      </w:r>
      <w:r w:rsidRPr="00E86492">
        <w:rPr>
          <w:vertAlign w:val="superscript"/>
        </w:rPr>
        <w:footnoteReference w:id="8"/>
      </w:r>
      <w:r w:rsidRPr="00E86492">
        <w:t xml:space="preserve"> </w:t>
      </w:r>
      <w:r w:rsidR="00366B4D">
        <w:t xml:space="preserve"> </w:t>
      </w:r>
      <w:r w:rsidRPr="00E86492">
        <w:t xml:space="preserve">A ground must be particularised and must not be expressed in general terms. </w:t>
      </w:r>
      <w:r w:rsidR="00366B4D">
        <w:t xml:space="preserve"> </w:t>
      </w:r>
      <w:r w:rsidRPr="00E86492">
        <w:t xml:space="preserve">It is not sufficient to state: “the judgment is against the evidence and the weight of the evidence”. </w:t>
      </w:r>
      <w:r w:rsidR="00366B4D">
        <w:t xml:space="preserve"> </w:t>
      </w:r>
      <w:r w:rsidRPr="00E86492">
        <w:t>The ground must instead specifically identify the evidence and other matters relied upon.</w:t>
      </w:r>
    </w:p>
    <w:p w14:paraId="4CB0325E" w14:textId="01DA5089" w:rsidR="00786898" w:rsidRPr="00E86492" w:rsidRDefault="00786898" w:rsidP="00B17161">
      <w:pPr>
        <w:pStyle w:val="ListParagraph"/>
        <w:numPr>
          <w:ilvl w:val="0"/>
          <w:numId w:val="10"/>
        </w:numPr>
        <w:spacing w:after="240" w:line="360" w:lineRule="auto"/>
        <w:contextualSpacing w:val="0"/>
        <w:rPr>
          <w:lang w:val="en-US"/>
        </w:rPr>
      </w:pPr>
      <w:r w:rsidRPr="00E86492">
        <w:lastRenderedPageBreak/>
        <w:t>For example, where a party intends to challenge an evidential finding, the written case must identify the error (including any failure to make a finding of fact); identify the finding that the party contends ought to have been made; state concisely why, in the party’s submission, the finding, or failure to make a finding, is erroneous; and</w:t>
      </w:r>
      <w:r w:rsidRPr="00E86492">
        <w:rPr>
          <w:lang w:val="en-US"/>
        </w:rPr>
        <w:t xml:space="preserve"> refer</w:t>
      </w:r>
      <w:r w:rsidRPr="00E86492">
        <w:rPr>
          <w:bCs/>
          <w:lang w:val="en-US"/>
        </w:rPr>
        <w:t xml:space="preserve"> </w:t>
      </w:r>
      <w:r w:rsidRPr="00E86492">
        <w:rPr>
          <w:lang w:val="en-US"/>
        </w:rPr>
        <w:t xml:space="preserve">to the evidence to be relied upon in support of the argument. </w:t>
      </w:r>
      <w:r w:rsidR="00366B4D">
        <w:rPr>
          <w:lang w:val="en-US"/>
        </w:rPr>
        <w:t xml:space="preserve"> </w:t>
      </w:r>
      <w:r w:rsidRPr="00E86492">
        <w:rPr>
          <w:lang w:val="en-US"/>
        </w:rPr>
        <w:t>This may be best addressed by including a schedule to the written case.  Such a schedule is to be included in the page limit of a written case.</w:t>
      </w:r>
    </w:p>
    <w:p w14:paraId="2F771CFB" w14:textId="31AD0A5F" w:rsidR="00786898" w:rsidRPr="00E86492" w:rsidRDefault="00786898" w:rsidP="00B17161">
      <w:pPr>
        <w:pStyle w:val="ListParagraph"/>
        <w:numPr>
          <w:ilvl w:val="0"/>
          <w:numId w:val="10"/>
        </w:numPr>
        <w:spacing w:after="240" w:line="360" w:lineRule="auto"/>
        <w:contextualSpacing w:val="0"/>
      </w:pPr>
      <w:r w:rsidRPr="00E86492">
        <w:t>The written case will not be compliant unless the ground contains reference to each authority relied upon or sought to be distinguished.</w:t>
      </w:r>
      <w:r w:rsidRPr="00E86492">
        <w:rPr>
          <w:vertAlign w:val="superscript"/>
        </w:rPr>
        <w:footnoteReference w:id="9"/>
      </w:r>
    </w:p>
    <w:p w14:paraId="079FA174" w14:textId="2C5D202A" w:rsidR="00786898" w:rsidRPr="00E86492" w:rsidRDefault="00786898" w:rsidP="00B17161">
      <w:pPr>
        <w:spacing w:after="240" w:line="360" w:lineRule="auto"/>
      </w:pPr>
      <w:r w:rsidRPr="006357E5">
        <w:rPr>
          <w:b/>
        </w:rPr>
        <w:t>Ground 2 – Your written case will not comply, and so may not be accepted, unless:</w:t>
      </w:r>
      <w:r w:rsidR="00366B4D" w:rsidRPr="006357E5">
        <w:rPr>
          <w:rStyle w:val="FootnoteReference"/>
          <w:b/>
        </w:rPr>
        <w:footnoteReference w:id="10"/>
      </w:r>
    </w:p>
    <w:p w14:paraId="613A4AE1" w14:textId="26995ACB" w:rsidR="00786898" w:rsidRPr="00E86492" w:rsidRDefault="00786898" w:rsidP="00B17161">
      <w:pPr>
        <w:pStyle w:val="ListParagraph"/>
        <w:numPr>
          <w:ilvl w:val="0"/>
          <w:numId w:val="10"/>
        </w:numPr>
        <w:spacing w:after="240" w:line="360" w:lineRule="auto"/>
        <w:contextualSpacing w:val="0"/>
      </w:pPr>
      <w:r w:rsidRPr="00E86492">
        <w:t>Any claimed errors or errors of law in the decision below are identified precisely.</w:t>
      </w:r>
    </w:p>
    <w:p w14:paraId="7CCE25D8" w14:textId="7127EB15" w:rsidR="00786898" w:rsidRPr="00E86492" w:rsidRDefault="00786898" w:rsidP="00B17161">
      <w:pPr>
        <w:pStyle w:val="ListParagraph"/>
        <w:numPr>
          <w:ilvl w:val="0"/>
          <w:numId w:val="10"/>
        </w:numPr>
        <w:spacing w:after="240" w:line="360" w:lineRule="auto"/>
        <w:contextualSpacing w:val="0"/>
      </w:pPr>
      <w:r w:rsidRPr="00E86492">
        <w:t>Precise transcript references are provided in relation to each ground.</w:t>
      </w:r>
    </w:p>
    <w:p w14:paraId="004910AB" w14:textId="1E312534" w:rsidR="00786898" w:rsidRPr="00E86492" w:rsidRDefault="00786898" w:rsidP="00B17161">
      <w:pPr>
        <w:pStyle w:val="ListParagraph"/>
        <w:numPr>
          <w:ilvl w:val="0"/>
          <w:numId w:val="10"/>
        </w:numPr>
        <w:spacing w:after="240" w:line="360" w:lineRule="auto"/>
        <w:contextualSpacing w:val="0"/>
      </w:pPr>
      <w:r w:rsidRPr="00E86492">
        <w:t xml:space="preserve">A clear description is provided of any document that is referred to in the ground which allows it to be identified. </w:t>
      </w:r>
      <w:r w:rsidR="00366B4D">
        <w:t xml:space="preserve"> </w:t>
      </w:r>
      <w:r w:rsidRPr="00E86492">
        <w:t>Imprecise descriptions such as “the accountant’s report” or “the note” are insufficient as the author’s name and date of the document (or its exhibit number) should also be included.</w:t>
      </w:r>
    </w:p>
    <w:p w14:paraId="35DCB670" w14:textId="2ADBE8BC" w:rsidR="00B17161" w:rsidRDefault="00B17161" w:rsidP="00B17161">
      <w:pPr>
        <w:spacing w:after="0" w:line="240" w:lineRule="auto"/>
        <w:ind w:right="-7"/>
        <w:rPr>
          <w:rFonts w:eastAsia="Cambria"/>
          <w:color w:val="404040"/>
        </w:rPr>
      </w:pPr>
      <w:r w:rsidRPr="00B17161">
        <w:rPr>
          <w:rFonts w:eastAsia="Cambria"/>
          <w:color w:val="404040"/>
        </w:rPr>
        <w:t>Date:</w:t>
      </w:r>
    </w:p>
    <w:p w14:paraId="517C3842" w14:textId="7F24465C" w:rsidR="00B17161" w:rsidRPr="00B17161" w:rsidRDefault="00B17161" w:rsidP="00B17161">
      <w:pPr>
        <w:spacing w:after="0" w:line="240" w:lineRule="auto"/>
        <w:ind w:right="-7"/>
        <w:jc w:val="right"/>
        <w:rPr>
          <w:rFonts w:eastAsia="Cambria"/>
          <w:color w:val="404040"/>
        </w:rPr>
      </w:pPr>
    </w:p>
    <w:p w14:paraId="6F4FA4CD" w14:textId="77777777" w:rsidR="00B17161" w:rsidRPr="00B17161" w:rsidRDefault="00B17161" w:rsidP="00B17161">
      <w:pPr>
        <w:spacing w:after="0" w:line="240" w:lineRule="auto"/>
        <w:ind w:right="-7"/>
        <w:jc w:val="right"/>
        <w:rPr>
          <w:rFonts w:eastAsia="Cambria"/>
          <w:color w:val="404040"/>
        </w:rPr>
      </w:pPr>
      <w:r w:rsidRPr="00B17161">
        <w:rPr>
          <w:rFonts w:eastAsia="Cambria"/>
          <w:color w:val="404040"/>
        </w:rPr>
        <w:t>……………………………………</w:t>
      </w:r>
    </w:p>
    <w:p w14:paraId="0764838A" w14:textId="77777777" w:rsidR="00E64BD3" w:rsidRDefault="00B17161" w:rsidP="00B17161">
      <w:pPr>
        <w:spacing w:after="0" w:line="240" w:lineRule="auto"/>
        <w:ind w:right="-7"/>
        <w:jc w:val="right"/>
        <w:rPr>
          <w:rFonts w:eastAsia="Cambria"/>
          <w:color w:val="404040"/>
        </w:rPr>
      </w:pPr>
      <w:r w:rsidRPr="00B17161">
        <w:rPr>
          <w:rFonts w:eastAsia="Cambria"/>
          <w:color w:val="404040"/>
        </w:rPr>
        <w:t>[</w:t>
      </w:r>
      <w:r w:rsidR="00E64BD3">
        <w:rPr>
          <w:rFonts w:eastAsia="Cambria"/>
          <w:color w:val="404040"/>
        </w:rPr>
        <w:t>Signature of counsel / lawyer / party</w:t>
      </w:r>
    </w:p>
    <w:p w14:paraId="5D723C90" w14:textId="5020D8FE" w:rsidR="00B17161" w:rsidRPr="00B17161" w:rsidRDefault="00E64BD3" w:rsidP="00B17161">
      <w:pPr>
        <w:spacing w:after="0" w:line="240" w:lineRule="auto"/>
        <w:ind w:right="-7"/>
        <w:jc w:val="right"/>
        <w:rPr>
          <w:rFonts w:eastAsia="Cambria"/>
          <w:color w:val="404040"/>
        </w:rPr>
      </w:pPr>
      <w:r>
        <w:rPr>
          <w:rFonts w:eastAsia="Cambria"/>
          <w:color w:val="404040"/>
        </w:rPr>
        <w:t>with their n</w:t>
      </w:r>
      <w:r w:rsidR="00B17161" w:rsidRPr="00B17161">
        <w:rPr>
          <w:rFonts w:eastAsia="Cambria"/>
          <w:color w:val="404040"/>
        </w:rPr>
        <w:t>ame</w:t>
      </w:r>
      <w:r w:rsidR="00B17161">
        <w:rPr>
          <w:rFonts w:eastAsia="Cambria"/>
          <w:color w:val="404040"/>
        </w:rPr>
        <w:t xml:space="preserve"> </w:t>
      </w:r>
      <w:r>
        <w:rPr>
          <w:rFonts w:eastAsia="Cambria"/>
          <w:color w:val="404040"/>
        </w:rPr>
        <w:t>typed below the signature</w:t>
      </w:r>
      <w:r w:rsidR="00B17161" w:rsidRPr="00B17161">
        <w:rPr>
          <w:rFonts w:eastAsia="Cambria"/>
          <w:color w:val="404040"/>
        </w:rPr>
        <w:t>]</w:t>
      </w:r>
    </w:p>
    <w:p w14:paraId="78635267" w14:textId="77777777" w:rsidR="00786898" w:rsidRPr="00E86492" w:rsidRDefault="00786898" w:rsidP="00786898">
      <w:pPr>
        <w:spacing w:after="240"/>
        <w:rPr>
          <w:lang w:val="en-US"/>
        </w:rPr>
      </w:pPr>
    </w:p>
    <w:p w14:paraId="2989C775" w14:textId="77777777" w:rsidR="00B17161" w:rsidRDefault="00B17161" w:rsidP="00786898">
      <w:pPr>
        <w:spacing w:after="240"/>
        <w:rPr>
          <w:lang w:val="en-US"/>
        </w:rPr>
        <w:sectPr w:rsidR="00B17161" w:rsidSect="00B17161">
          <w:pgSz w:w="11906" w:h="16838"/>
          <w:pgMar w:top="1440" w:right="1701" w:bottom="1440" w:left="1701" w:header="709" w:footer="709" w:gutter="0"/>
          <w:cols w:space="708"/>
          <w:docGrid w:linePitch="360"/>
        </w:sectPr>
      </w:pPr>
    </w:p>
    <w:p w14:paraId="0A86E604" w14:textId="5CE9F3AA" w:rsidR="00786898" w:rsidRPr="00E86492" w:rsidRDefault="00786898" w:rsidP="00203081">
      <w:pPr>
        <w:widowControl w:val="0"/>
        <w:tabs>
          <w:tab w:val="right" w:pos="9026"/>
        </w:tabs>
        <w:snapToGrid w:val="0"/>
        <w:spacing w:after="0" w:line="240" w:lineRule="auto"/>
        <w:jc w:val="both"/>
        <w:outlineLvl w:val="0"/>
        <w:rPr>
          <w:rFonts w:eastAsia="Times New Roman"/>
        </w:rPr>
      </w:pPr>
      <w:r w:rsidRPr="00E86492">
        <w:rPr>
          <w:rFonts w:eastAsia="Times New Roman"/>
        </w:rPr>
        <w:lastRenderedPageBreak/>
        <w:t xml:space="preserve">IN THE </w:t>
      </w:r>
      <w:r w:rsidRPr="00E86492">
        <w:rPr>
          <w:rFonts w:eastAsia="Times New Roman"/>
          <w:noProof/>
        </w:rPr>
        <w:t>SUPREME</w:t>
      </w:r>
      <w:r w:rsidRPr="00E86492">
        <w:rPr>
          <w:rFonts w:eastAsia="Times New Roman"/>
        </w:rPr>
        <w:t xml:space="preserve"> COURT OF VICTORIA AT MELBOURNE</w:t>
      </w:r>
    </w:p>
    <w:p w14:paraId="7432E198" w14:textId="77777777" w:rsidR="00786898" w:rsidRPr="00E86492" w:rsidRDefault="00786898" w:rsidP="00203081">
      <w:pPr>
        <w:widowControl w:val="0"/>
        <w:tabs>
          <w:tab w:val="right" w:pos="9026"/>
        </w:tabs>
        <w:snapToGrid w:val="0"/>
        <w:spacing w:after="0" w:line="240" w:lineRule="auto"/>
        <w:jc w:val="both"/>
        <w:outlineLvl w:val="0"/>
        <w:rPr>
          <w:rFonts w:eastAsia="Times New Roman"/>
        </w:rPr>
      </w:pPr>
      <w:r w:rsidRPr="00E86492">
        <w:rPr>
          <w:rFonts w:eastAsia="Times New Roman"/>
        </w:rPr>
        <w:t>IN THE COURT OF APPEAL</w:t>
      </w:r>
    </w:p>
    <w:p w14:paraId="5F05829F" w14:textId="77777777" w:rsidR="00786898" w:rsidRPr="00E86492" w:rsidRDefault="00786898" w:rsidP="00203081">
      <w:pPr>
        <w:widowControl w:val="0"/>
        <w:tabs>
          <w:tab w:val="right" w:pos="9026"/>
        </w:tabs>
        <w:snapToGrid w:val="0"/>
        <w:spacing w:after="0" w:line="240" w:lineRule="auto"/>
        <w:jc w:val="both"/>
        <w:outlineLvl w:val="0"/>
        <w:rPr>
          <w:rFonts w:eastAsia="Times New Roman"/>
        </w:rPr>
      </w:pPr>
      <w:r w:rsidRPr="00E86492">
        <w:rPr>
          <w:rFonts w:eastAsia="Times New Roman"/>
        </w:rPr>
        <w:t>CIVIL DIVISION</w:t>
      </w:r>
    </w:p>
    <w:p w14:paraId="7170F815" w14:textId="77777777" w:rsidR="00786898" w:rsidRPr="00E86492" w:rsidRDefault="00786898" w:rsidP="00786898">
      <w:pPr>
        <w:widowControl w:val="0"/>
        <w:tabs>
          <w:tab w:val="left" w:pos="0"/>
          <w:tab w:val="left" w:pos="7800"/>
          <w:tab w:val="right" w:pos="9639"/>
        </w:tabs>
        <w:suppressAutoHyphens/>
        <w:snapToGrid w:val="0"/>
        <w:spacing w:after="0" w:line="240" w:lineRule="auto"/>
        <w:jc w:val="right"/>
        <w:rPr>
          <w:rFonts w:eastAsia="Times New Roman"/>
          <w:kern w:val="2"/>
        </w:rPr>
      </w:pPr>
      <w:r w:rsidRPr="00E86492">
        <w:rPr>
          <w:rFonts w:eastAsia="Times New Roman"/>
          <w:kern w:val="2"/>
        </w:rPr>
        <w:t xml:space="preserve">S EAPCI 20xx xxxx  </w:t>
      </w:r>
    </w:p>
    <w:p w14:paraId="15EA342B" w14:textId="77777777" w:rsidR="00786898" w:rsidRPr="00E86492" w:rsidRDefault="00786898" w:rsidP="00786898">
      <w:pPr>
        <w:widowControl w:val="0"/>
        <w:snapToGrid w:val="0"/>
        <w:spacing w:after="0" w:line="240" w:lineRule="auto"/>
        <w:jc w:val="right"/>
        <w:rPr>
          <w:rFonts w:eastAsia="Times New Roman"/>
          <w:u w:val="single"/>
        </w:rPr>
      </w:pPr>
    </w:p>
    <w:p w14:paraId="54E016E2" w14:textId="77777777" w:rsidR="00786898" w:rsidRPr="00E86492" w:rsidRDefault="00786898" w:rsidP="00786898">
      <w:pPr>
        <w:widowControl w:val="0"/>
        <w:tabs>
          <w:tab w:val="left" w:pos="0"/>
          <w:tab w:val="left" w:pos="7800"/>
          <w:tab w:val="right" w:pos="9639"/>
        </w:tabs>
        <w:suppressAutoHyphens/>
        <w:snapToGrid w:val="0"/>
        <w:spacing w:after="0" w:line="240" w:lineRule="auto"/>
        <w:rPr>
          <w:rFonts w:eastAsia="Times New Roman"/>
          <w:kern w:val="2"/>
        </w:rPr>
      </w:pPr>
      <w:r w:rsidRPr="00E86492">
        <w:rPr>
          <w:rFonts w:eastAsia="Times New Roman"/>
          <w:kern w:val="2"/>
        </w:rPr>
        <w:t>BETWEEN</w:t>
      </w:r>
    </w:p>
    <w:p w14:paraId="33DABDF5" w14:textId="77777777" w:rsidR="00786898" w:rsidRPr="00E86492" w:rsidRDefault="00786898" w:rsidP="00786898">
      <w:pPr>
        <w:widowControl w:val="0"/>
        <w:tabs>
          <w:tab w:val="center" w:pos="4820"/>
          <w:tab w:val="right" w:pos="9639"/>
        </w:tabs>
        <w:suppressAutoHyphens/>
        <w:snapToGrid w:val="0"/>
        <w:spacing w:after="0" w:line="240" w:lineRule="auto"/>
        <w:rPr>
          <w:rFonts w:eastAsia="Times New Roman"/>
          <w:kern w:val="2"/>
        </w:rPr>
      </w:pP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645"/>
      </w:tblGrid>
      <w:tr w:rsidR="00786898" w:rsidRPr="00E86492" w14:paraId="5A1F9700" w14:textId="77777777" w:rsidTr="00022E64">
        <w:tc>
          <w:tcPr>
            <w:tcW w:w="7513" w:type="dxa"/>
          </w:tcPr>
          <w:p w14:paraId="69B64262" w14:textId="77777777" w:rsidR="00786898" w:rsidRPr="00E86492" w:rsidRDefault="00786898" w:rsidP="00022E64">
            <w:pPr>
              <w:widowControl w:val="0"/>
              <w:tabs>
                <w:tab w:val="center" w:pos="4820"/>
                <w:tab w:val="right" w:pos="9639"/>
              </w:tabs>
              <w:suppressAutoHyphens/>
              <w:snapToGrid w:val="0"/>
              <w:rPr>
                <w:rFonts w:eastAsia="Times New Roman"/>
                <w:kern w:val="2"/>
              </w:rPr>
            </w:pPr>
            <w:r w:rsidRPr="00E86492">
              <w:rPr>
                <w:rFonts w:eastAsia="Times New Roman"/>
                <w:kern w:val="2"/>
              </w:rPr>
              <w:t>[APPLICANT’S NAME]</w:t>
            </w:r>
          </w:p>
        </w:tc>
        <w:tc>
          <w:tcPr>
            <w:tcW w:w="1645" w:type="dxa"/>
          </w:tcPr>
          <w:p w14:paraId="101D9667" w14:textId="77777777" w:rsidR="00786898" w:rsidRPr="00E86492" w:rsidRDefault="00786898" w:rsidP="00022E64">
            <w:pPr>
              <w:widowControl w:val="0"/>
              <w:tabs>
                <w:tab w:val="center" w:pos="4820"/>
                <w:tab w:val="right" w:pos="9639"/>
              </w:tabs>
              <w:suppressAutoHyphens/>
              <w:snapToGrid w:val="0"/>
              <w:rPr>
                <w:rFonts w:eastAsia="Times New Roman"/>
                <w:kern w:val="2"/>
              </w:rPr>
            </w:pPr>
            <w:r w:rsidRPr="00E86492">
              <w:rPr>
                <w:rFonts w:eastAsia="Times New Roman"/>
                <w:kern w:val="2"/>
              </w:rPr>
              <w:t>Applicant</w:t>
            </w:r>
          </w:p>
        </w:tc>
      </w:tr>
      <w:tr w:rsidR="00786898" w:rsidRPr="00E86492" w14:paraId="73E3ED4E" w14:textId="77777777" w:rsidTr="00022E64">
        <w:tc>
          <w:tcPr>
            <w:tcW w:w="7513" w:type="dxa"/>
          </w:tcPr>
          <w:p w14:paraId="08F0D3F0" w14:textId="77777777" w:rsidR="00786898" w:rsidRPr="00E86492" w:rsidRDefault="00786898" w:rsidP="00022E64">
            <w:pPr>
              <w:widowControl w:val="0"/>
              <w:tabs>
                <w:tab w:val="center" w:pos="4820"/>
                <w:tab w:val="right" w:pos="9639"/>
              </w:tabs>
              <w:suppressAutoHyphens/>
              <w:snapToGrid w:val="0"/>
              <w:rPr>
                <w:rFonts w:eastAsia="Times New Roman"/>
                <w:kern w:val="2"/>
              </w:rPr>
            </w:pPr>
          </w:p>
        </w:tc>
        <w:tc>
          <w:tcPr>
            <w:tcW w:w="1645" w:type="dxa"/>
          </w:tcPr>
          <w:p w14:paraId="19FF581C" w14:textId="77777777" w:rsidR="00786898" w:rsidRPr="00E86492" w:rsidRDefault="00786898" w:rsidP="00022E64">
            <w:pPr>
              <w:widowControl w:val="0"/>
              <w:tabs>
                <w:tab w:val="center" w:pos="4820"/>
                <w:tab w:val="right" w:pos="9639"/>
              </w:tabs>
              <w:suppressAutoHyphens/>
              <w:snapToGrid w:val="0"/>
              <w:rPr>
                <w:rFonts w:eastAsia="Times New Roman"/>
                <w:kern w:val="2"/>
              </w:rPr>
            </w:pPr>
          </w:p>
        </w:tc>
      </w:tr>
      <w:tr w:rsidR="00786898" w:rsidRPr="00E86492" w14:paraId="47EC9A17" w14:textId="77777777" w:rsidTr="00022E64">
        <w:tc>
          <w:tcPr>
            <w:tcW w:w="7513" w:type="dxa"/>
          </w:tcPr>
          <w:p w14:paraId="0A13BFF3" w14:textId="77777777" w:rsidR="00786898" w:rsidRPr="00E86492" w:rsidRDefault="00786898" w:rsidP="00022E64">
            <w:pPr>
              <w:widowControl w:val="0"/>
              <w:tabs>
                <w:tab w:val="center" w:pos="4820"/>
                <w:tab w:val="right" w:pos="9639"/>
              </w:tabs>
              <w:suppressAutoHyphens/>
              <w:snapToGrid w:val="0"/>
              <w:rPr>
                <w:rFonts w:eastAsia="Times New Roman"/>
                <w:kern w:val="2"/>
              </w:rPr>
            </w:pPr>
            <w:r w:rsidRPr="00E86492">
              <w:rPr>
                <w:rFonts w:eastAsia="Times New Roman"/>
                <w:kern w:val="2"/>
              </w:rPr>
              <w:t>and</w:t>
            </w:r>
          </w:p>
        </w:tc>
        <w:tc>
          <w:tcPr>
            <w:tcW w:w="1645" w:type="dxa"/>
          </w:tcPr>
          <w:p w14:paraId="32B7956F" w14:textId="77777777" w:rsidR="00786898" w:rsidRPr="00E86492" w:rsidRDefault="00786898" w:rsidP="00022E64">
            <w:pPr>
              <w:widowControl w:val="0"/>
              <w:tabs>
                <w:tab w:val="center" w:pos="4820"/>
                <w:tab w:val="right" w:pos="9639"/>
              </w:tabs>
              <w:suppressAutoHyphens/>
              <w:snapToGrid w:val="0"/>
              <w:rPr>
                <w:rFonts w:eastAsia="Times New Roman"/>
                <w:kern w:val="2"/>
              </w:rPr>
            </w:pPr>
          </w:p>
        </w:tc>
      </w:tr>
      <w:tr w:rsidR="00786898" w:rsidRPr="00E86492" w14:paraId="12FA451C" w14:textId="77777777" w:rsidTr="00022E64">
        <w:tc>
          <w:tcPr>
            <w:tcW w:w="7513" w:type="dxa"/>
          </w:tcPr>
          <w:p w14:paraId="5AE04B3B" w14:textId="77777777" w:rsidR="00786898" w:rsidRPr="00E86492" w:rsidRDefault="00786898" w:rsidP="00022E64">
            <w:pPr>
              <w:widowControl w:val="0"/>
              <w:tabs>
                <w:tab w:val="center" w:pos="4820"/>
                <w:tab w:val="right" w:pos="9639"/>
              </w:tabs>
              <w:suppressAutoHyphens/>
              <w:snapToGrid w:val="0"/>
              <w:rPr>
                <w:rFonts w:eastAsia="Times New Roman"/>
                <w:kern w:val="2"/>
              </w:rPr>
            </w:pPr>
          </w:p>
        </w:tc>
        <w:tc>
          <w:tcPr>
            <w:tcW w:w="1645" w:type="dxa"/>
          </w:tcPr>
          <w:p w14:paraId="69B2FF55" w14:textId="77777777" w:rsidR="00786898" w:rsidRPr="00E86492" w:rsidRDefault="00786898" w:rsidP="00022E64">
            <w:pPr>
              <w:widowControl w:val="0"/>
              <w:tabs>
                <w:tab w:val="center" w:pos="4820"/>
                <w:tab w:val="right" w:pos="9639"/>
              </w:tabs>
              <w:suppressAutoHyphens/>
              <w:snapToGrid w:val="0"/>
              <w:rPr>
                <w:rFonts w:eastAsia="Times New Roman"/>
                <w:kern w:val="2"/>
              </w:rPr>
            </w:pPr>
          </w:p>
        </w:tc>
      </w:tr>
      <w:tr w:rsidR="00786898" w:rsidRPr="00E86492" w14:paraId="5A1FBB03" w14:textId="77777777" w:rsidTr="005B4B0B">
        <w:trPr>
          <w:trHeight w:val="93"/>
        </w:trPr>
        <w:tc>
          <w:tcPr>
            <w:tcW w:w="7513" w:type="dxa"/>
          </w:tcPr>
          <w:p w14:paraId="263A05DC" w14:textId="77777777" w:rsidR="00786898" w:rsidRPr="00E86492" w:rsidRDefault="00786898" w:rsidP="00022E64">
            <w:pPr>
              <w:widowControl w:val="0"/>
              <w:tabs>
                <w:tab w:val="center" w:pos="4820"/>
                <w:tab w:val="right" w:pos="9639"/>
              </w:tabs>
              <w:suppressAutoHyphens/>
              <w:snapToGrid w:val="0"/>
              <w:rPr>
                <w:rFonts w:eastAsia="Times New Roman"/>
                <w:kern w:val="2"/>
              </w:rPr>
            </w:pPr>
            <w:r w:rsidRPr="00E86492">
              <w:rPr>
                <w:rFonts w:eastAsia="Times New Roman"/>
                <w:kern w:val="2"/>
              </w:rPr>
              <w:t>[RESPONDENT’S NAME]</w:t>
            </w:r>
          </w:p>
        </w:tc>
        <w:tc>
          <w:tcPr>
            <w:tcW w:w="1645" w:type="dxa"/>
          </w:tcPr>
          <w:p w14:paraId="1AFF95BA" w14:textId="77777777" w:rsidR="00786898" w:rsidRPr="00E86492" w:rsidRDefault="00786898" w:rsidP="00022E64">
            <w:pPr>
              <w:widowControl w:val="0"/>
              <w:tabs>
                <w:tab w:val="center" w:pos="4820"/>
                <w:tab w:val="right" w:pos="9639"/>
              </w:tabs>
              <w:suppressAutoHyphens/>
              <w:snapToGrid w:val="0"/>
              <w:rPr>
                <w:rFonts w:eastAsia="Times New Roman"/>
                <w:kern w:val="2"/>
              </w:rPr>
            </w:pPr>
            <w:r w:rsidRPr="00E86492">
              <w:rPr>
                <w:rFonts w:eastAsia="Times New Roman"/>
                <w:kern w:val="2"/>
              </w:rPr>
              <w:t>Respondent</w:t>
            </w:r>
          </w:p>
        </w:tc>
      </w:tr>
    </w:tbl>
    <w:p w14:paraId="614E1899" w14:textId="0BE930FC" w:rsidR="00BE6FFF" w:rsidRPr="00ED75CC" w:rsidRDefault="00BE6FFF" w:rsidP="00BE6FFF">
      <w:pPr>
        <w:widowControl w:val="0"/>
        <w:snapToGrid w:val="0"/>
        <w:spacing w:after="0" w:line="240" w:lineRule="auto"/>
        <w:rPr>
          <w:rFonts w:eastAsia="Times New Roman"/>
        </w:rPr>
      </w:pPr>
    </w:p>
    <w:p w14:paraId="0C128F9C" w14:textId="0BE930FC" w:rsidR="00BE6FFF" w:rsidRPr="00ED75CC" w:rsidRDefault="00BE6FFF" w:rsidP="00BE6FF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480" w:lineRule="auto"/>
        <w:jc w:val="center"/>
        <w:rPr>
          <w:rFonts w:eastAsia="Times New Roman"/>
          <w:b/>
        </w:rPr>
      </w:pPr>
      <w:r>
        <w:rPr>
          <w:rFonts w:eastAsia="Times New Roman"/>
          <w:b/>
        </w:rPr>
        <w:t>LIST OF AUTHORITIES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E6FFF" w14:paraId="47E88193" w14:textId="77777777" w:rsidTr="00DA5F71">
        <w:tc>
          <w:tcPr>
            <w:tcW w:w="4508" w:type="dxa"/>
          </w:tcPr>
          <w:p w14:paraId="3F1C07F9" w14:textId="77777777" w:rsidR="00BE6FFF" w:rsidRDefault="00BE6FFF" w:rsidP="00680829">
            <w:pPr>
              <w:widowControl w:val="0"/>
              <w:snapToGrid w:val="0"/>
              <w:spacing w:before="120" w:after="120"/>
              <w:rPr>
                <w:rFonts w:eastAsia="Times New Roman"/>
              </w:rPr>
            </w:pPr>
            <w:r>
              <w:rPr>
                <w:rFonts w:eastAsia="Times New Roman"/>
              </w:rPr>
              <w:t>Date of document:</w:t>
            </w:r>
            <w:r>
              <w:rPr>
                <w:rFonts w:eastAsia="Times New Roman"/>
              </w:rPr>
              <w:br/>
              <w:t>Filed on behalf of:</w:t>
            </w:r>
            <w:r>
              <w:rPr>
                <w:rFonts w:eastAsia="Times New Roman"/>
              </w:rPr>
              <w:br/>
              <w:t>Party’s or lawyer’s name and address:</w:t>
            </w:r>
            <w:r>
              <w:rPr>
                <w:rFonts w:eastAsia="Times New Roman"/>
              </w:rPr>
              <w:br/>
            </w:r>
          </w:p>
        </w:tc>
        <w:tc>
          <w:tcPr>
            <w:tcW w:w="4508" w:type="dxa"/>
          </w:tcPr>
          <w:p w14:paraId="316AAD0E" w14:textId="77777777" w:rsidR="00BE6FFF" w:rsidRDefault="00BE6FFF" w:rsidP="00680829">
            <w:pPr>
              <w:widowControl w:val="0"/>
              <w:snapToGrid w:val="0"/>
              <w:spacing w:before="120"/>
              <w:rPr>
                <w:rFonts w:eastAsia="Times New Roman"/>
              </w:rPr>
            </w:pPr>
            <w:r>
              <w:rPr>
                <w:rFonts w:eastAsia="Times New Roman"/>
              </w:rPr>
              <w:t>Solicitor’s code:</w:t>
            </w:r>
          </w:p>
          <w:p w14:paraId="647DC481" w14:textId="77777777" w:rsidR="00BE6FFF" w:rsidRDefault="00BE6FFF" w:rsidP="00680829">
            <w:pPr>
              <w:widowControl w:val="0"/>
              <w:snapToGrid w:val="0"/>
              <w:spacing w:after="120"/>
              <w:rPr>
                <w:rFonts w:eastAsia="Times New Roman"/>
              </w:rPr>
            </w:pPr>
            <w:r>
              <w:rPr>
                <w:rFonts w:eastAsia="Times New Roman"/>
              </w:rPr>
              <w:t>DX:</w:t>
            </w:r>
            <w:r>
              <w:rPr>
                <w:rFonts w:eastAsia="Times New Roman"/>
              </w:rPr>
              <w:br/>
              <w:t>Tel:</w:t>
            </w:r>
            <w:r>
              <w:rPr>
                <w:rFonts w:eastAsia="Times New Roman"/>
              </w:rPr>
              <w:br/>
              <w:t>Fax:</w:t>
            </w:r>
            <w:r>
              <w:rPr>
                <w:rFonts w:eastAsia="Times New Roman"/>
              </w:rPr>
              <w:br/>
              <w:t>Ref:</w:t>
            </w:r>
            <w:r>
              <w:rPr>
                <w:rFonts w:eastAsia="Times New Roman"/>
              </w:rPr>
              <w:br/>
              <w:t>Attention:</w:t>
            </w:r>
            <w:r>
              <w:rPr>
                <w:rFonts w:eastAsia="Times New Roman"/>
              </w:rPr>
              <w:br/>
              <w:t>Email:</w:t>
            </w:r>
          </w:p>
        </w:tc>
      </w:tr>
    </w:tbl>
    <w:p w14:paraId="3DBFAFC8" w14:textId="77777777" w:rsidR="00BE6FFF" w:rsidRPr="00ED75CC" w:rsidRDefault="00BE6FFF" w:rsidP="00BE6FFF">
      <w:pPr>
        <w:widowControl w:val="0"/>
        <w:snapToGrid w:val="0"/>
        <w:spacing w:after="0" w:line="240" w:lineRule="auto"/>
        <w:rPr>
          <w:rFonts w:eastAsia="Times New Roman"/>
        </w:rPr>
      </w:pPr>
    </w:p>
    <w:p w14:paraId="3177DDCB" w14:textId="77777777" w:rsidR="00786898" w:rsidRPr="00E86492" w:rsidRDefault="00786898" w:rsidP="00786898">
      <w:pPr>
        <w:spacing w:after="240"/>
        <w:rPr>
          <w:b/>
        </w:rPr>
      </w:pPr>
      <w:r w:rsidRPr="00E86492">
        <w:rPr>
          <w:b/>
        </w:rPr>
        <w:t xml:space="preserve">Part A </w:t>
      </w:r>
    </w:p>
    <w:p w14:paraId="5E847076" w14:textId="1B87ABC1" w:rsidR="00786898" w:rsidRPr="00E86492" w:rsidRDefault="00786898" w:rsidP="00786898">
      <w:pPr>
        <w:pStyle w:val="ListParagraph"/>
        <w:numPr>
          <w:ilvl w:val="0"/>
          <w:numId w:val="13"/>
        </w:numPr>
        <w:spacing w:after="240"/>
      </w:pPr>
      <w:r w:rsidRPr="00E86492">
        <w:t>Cases (authorised version if exists) and legislation from which counsel intends to read should be listed in this part.</w:t>
      </w:r>
    </w:p>
    <w:p w14:paraId="19DB5628" w14:textId="77777777" w:rsidR="00786898" w:rsidRPr="00E86492" w:rsidRDefault="00786898" w:rsidP="00786898">
      <w:pPr>
        <w:spacing w:after="240"/>
      </w:pPr>
      <w:r w:rsidRPr="00E86492">
        <w:rPr>
          <w:b/>
        </w:rPr>
        <w:t>Part B</w:t>
      </w:r>
    </w:p>
    <w:p w14:paraId="0E84F69B" w14:textId="6C86E7B5" w:rsidR="00786898" w:rsidRPr="00E86492" w:rsidRDefault="00786898" w:rsidP="00786898">
      <w:pPr>
        <w:pStyle w:val="ListParagraph"/>
        <w:numPr>
          <w:ilvl w:val="0"/>
          <w:numId w:val="13"/>
        </w:numPr>
        <w:spacing w:after="240"/>
      </w:pPr>
      <w:r w:rsidRPr="00E86492">
        <w:t>Cases (authorised version if exists) and legislation to which counsel intends to refer but not read should be listed in this part.</w:t>
      </w:r>
    </w:p>
    <w:p w14:paraId="1DF54305" w14:textId="77777777" w:rsidR="00786898" w:rsidRPr="00E86492" w:rsidRDefault="00786898" w:rsidP="00786898">
      <w:pPr>
        <w:spacing w:after="240"/>
      </w:pPr>
      <w:r w:rsidRPr="00E86492">
        <w:rPr>
          <w:b/>
        </w:rPr>
        <w:t>Part C</w:t>
      </w:r>
    </w:p>
    <w:p w14:paraId="6518DED2" w14:textId="1E2B9B61" w:rsidR="00786898" w:rsidRPr="00E86492" w:rsidRDefault="00786898" w:rsidP="00786898">
      <w:pPr>
        <w:pStyle w:val="ListParagraph"/>
        <w:numPr>
          <w:ilvl w:val="0"/>
          <w:numId w:val="13"/>
        </w:numPr>
        <w:spacing w:after="240"/>
      </w:pPr>
      <w:r w:rsidRPr="00E86492">
        <w:t>Textbooks and articles that a party considers will be of substantial assistance to the Court should be listed in this part.</w:t>
      </w:r>
    </w:p>
    <w:p w14:paraId="71EC2D11" w14:textId="77777777" w:rsidR="00366B4D" w:rsidRDefault="00366B4D" w:rsidP="00366B4D">
      <w:pPr>
        <w:spacing w:after="0" w:line="240" w:lineRule="auto"/>
        <w:ind w:right="-7"/>
      </w:pPr>
    </w:p>
    <w:p w14:paraId="407BDFA8" w14:textId="1A6A0FC8" w:rsidR="00366B4D" w:rsidRPr="00366B4D" w:rsidRDefault="00366B4D" w:rsidP="00366B4D">
      <w:pPr>
        <w:spacing w:after="0" w:line="240" w:lineRule="auto"/>
        <w:ind w:right="-7"/>
        <w:rPr>
          <w:rFonts w:eastAsia="Cambria"/>
          <w:color w:val="404040"/>
        </w:rPr>
      </w:pPr>
      <w:r w:rsidRPr="00366B4D">
        <w:rPr>
          <w:rFonts w:eastAsia="Cambria"/>
          <w:color w:val="404040"/>
        </w:rPr>
        <w:t>Date:</w:t>
      </w:r>
    </w:p>
    <w:p w14:paraId="6B40085F" w14:textId="77777777" w:rsidR="00366B4D" w:rsidRPr="00366B4D" w:rsidRDefault="00366B4D" w:rsidP="00366B4D">
      <w:pPr>
        <w:spacing w:after="0" w:line="240" w:lineRule="auto"/>
        <w:ind w:right="-7"/>
        <w:rPr>
          <w:rFonts w:eastAsia="Cambria"/>
          <w:color w:val="404040"/>
        </w:rPr>
      </w:pPr>
    </w:p>
    <w:p w14:paraId="128E0446" w14:textId="77777777" w:rsidR="00366B4D" w:rsidRPr="00366B4D" w:rsidRDefault="00366B4D" w:rsidP="00366B4D">
      <w:pPr>
        <w:pStyle w:val="ListParagraph"/>
        <w:spacing w:after="0" w:line="240" w:lineRule="auto"/>
        <w:ind w:left="567" w:right="-7"/>
        <w:jc w:val="right"/>
        <w:rPr>
          <w:rFonts w:eastAsia="Cambria"/>
          <w:color w:val="404040"/>
        </w:rPr>
      </w:pPr>
      <w:r w:rsidRPr="00366B4D">
        <w:rPr>
          <w:rFonts w:eastAsia="Cambria"/>
          <w:color w:val="404040"/>
        </w:rPr>
        <w:t>……………………………………</w:t>
      </w:r>
    </w:p>
    <w:p w14:paraId="79F2C5D9" w14:textId="5245C5CD" w:rsidR="00BE6FFF" w:rsidRDefault="00BE6FFF" w:rsidP="00BE6FFF">
      <w:pPr>
        <w:pStyle w:val="ListParagraph"/>
        <w:spacing w:after="0" w:line="240" w:lineRule="auto"/>
        <w:ind w:left="567" w:right="-7"/>
        <w:jc w:val="right"/>
        <w:rPr>
          <w:rFonts w:eastAsia="Cambria"/>
          <w:color w:val="404040"/>
        </w:rPr>
      </w:pPr>
      <w:r>
        <w:rPr>
          <w:rFonts w:eastAsia="Cambria"/>
          <w:color w:val="404040"/>
        </w:rPr>
        <w:t>[Name]</w:t>
      </w:r>
    </w:p>
    <w:p w14:paraId="5AFE8628" w14:textId="597F0BC1" w:rsidR="00AF03D2" w:rsidRPr="00E86492" w:rsidRDefault="00366B4D" w:rsidP="00BE6FFF">
      <w:pPr>
        <w:pStyle w:val="ListParagraph"/>
        <w:spacing w:after="0" w:line="240" w:lineRule="auto"/>
        <w:ind w:left="567" w:right="-7"/>
        <w:jc w:val="right"/>
      </w:pPr>
      <w:r w:rsidRPr="00366B4D">
        <w:rPr>
          <w:rFonts w:eastAsia="Cambria"/>
          <w:color w:val="404040"/>
        </w:rPr>
        <w:t>[</w:t>
      </w:r>
      <w:r>
        <w:rPr>
          <w:rFonts w:eastAsia="Cambria"/>
          <w:color w:val="404040"/>
        </w:rPr>
        <w:t>Signature of lawyer/self-represented party</w:t>
      </w:r>
      <w:r w:rsidRPr="00366B4D">
        <w:rPr>
          <w:rFonts w:eastAsia="Cambria"/>
          <w:color w:val="404040"/>
        </w:rPr>
        <w:t>]</w:t>
      </w:r>
    </w:p>
    <w:sectPr w:rsidR="00AF03D2" w:rsidRPr="00E864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9923A" w14:textId="77777777" w:rsidR="00833AD9" w:rsidRDefault="00833AD9" w:rsidP="00BB022A">
      <w:pPr>
        <w:spacing w:after="0" w:line="240" w:lineRule="auto"/>
      </w:pPr>
      <w:r>
        <w:separator/>
      </w:r>
    </w:p>
  </w:endnote>
  <w:endnote w:type="continuationSeparator" w:id="0">
    <w:p w14:paraId="5ACFF785" w14:textId="77777777" w:rsidR="00833AD9" w:rsidRDefault="00833AD9" w:rsidP="00BB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75281"/>
      <w:docPartObj>
        <w:docPartGallery w:val="Page Numbers (Bottom of Page)"/>
        <w:docPartUnique/>
      </w:docPartObj>
    </w:sdtPr>
    <w:sdtEndPr>
      <w:rPr>
        <w:noProof/>
      </w:rPr>
    </w:sdtEndPr>
    <w:sdtContent>
      <w:p w14:paraId="73879EA4" w14:textId="7D4CECC8" w:rsidR="008A7E94" w:rsidRDefault="008A7E94">
        <w:pPr>
          <w:pStyle w:val="Footer"/>
          <w:jc w:val="right"/>
        </w:pPr>
        <w:r>
          <w:fldChar w:fldCharType="begin"/>
        </w:r>
        <w:r>
          <w:instrText xml:space="preserve"> PAGE   \* MERGEFORMAT </w:instrText>
        </w:r>
        <w:r>
          <w:fldChar w:fldCharType="separate"/>
        </w:r>
        <w:r w:rsidR="001D654D">
          <w:rPr>
            <w:noProof/>
          </w:rPr>
          <w:t>1</w:t>
        </w:r>
        <w:r>
          <w:rPr>
            <w:noProof/>
          </w:rPr>
          <w:fldChar w:fldCharType="end"/>
        </w:r>
      </w:p>
    </w:sdtContent>
  </w:sdt>
  <w:p w14:paraId="759BF430" w14:textId="77777777" w:rsidR="008A7E94" w:rsidRDefault="008A7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4C775" w14:textId="77777777" w:rsidR="00833AD9" w:rsidRDefault="00833AD9" w:rsidP="00BB022A">
      <w:pPr>
        <w:spacing w:after="0" w:line="240" w:lineRule="auto"/>
      </w:pPr>
      <w:r>
        <w:separator/>
      </w:r>
    </w:p>
  </w:footnote>
  <w:footnote w:type="continuationSeparator" w:id="0">
    <w:p w14:paraId="5F1AB988" w14:textId="77777777" w:rsidR="00833AD9" w:rsidRDefault="00833AD9" w:rsidP="00BB022A">
      <w:pPr>
        <w:spacing w:after="0" w:line="240" w:lineRule="auto"/>
      </w:pPr>
      <w:r>
        <w:continuationSeparator/>
      </w:r>
    </w:p>
  </w:footnote>
  <w:footnote w:id="1">
    <w:p w14:paraId="4E26603B" w14:textId="14CD32D5" w:rsidR="00E43D27" w:rsidRDefault="00E43D27">
      <w:pPr>
        <w:pStyle w:val="FootnoteText"/>
      </w:pPr>
      <w:r>
        <w:rPr>
          <w:rStyle w:val="FootnoteReference"/>
        </w:rPr>
        <w:footnoteRef/>
      </w:r>
      <w:r>
        <w:t xml:space="preserve"> Rules 64.02, 64.03</w:t>
      </w:r>
      <w:r w:rsidR="00F33519">
        <w:t>, 64.11, 64.30, 64.31, 64.32.</w:t>
      </w:r>
    </w:p>
  </w:footnote>
  <w:footnote w:id="2">
    <w:p w14:paraId="2558178C" w14:textId="166927E7" w:rsidR="00786898" w:rsidRPr="005A5C99" w:rsidRDefault="00786898" w:rsidP="00786898">
      <w:pPr>
        <w:pStyle w:val="FootnoteText"/>
        <w:ind w:right="-64"/>
        <w:rPr>
          <w:rFonts w:ascii="Times New Roman" w:hAnsi="Times New Roman"/>
        </w:rPr>
      </w:pPr>
      <w:r w:rsidRPr="00D3679D">
        <w:rPr>
          <w:rStyle w:val="FootnoteReference"/>
          <w:rFonts w:ascii="Times New Roman" w:hAnsi="Times New Roman"/>
        </w:rPr>
        <w:footnoteRef/>
      </w:r>
      <w:r w:rsidRPr="00D3679D">
        <w:rPr>
          <w:rFonts w:ascii="Times New Roman" w:hAnsi="Times New Roman"/>
        </w:rPr>
        <w:t xml:space="preserve"> </w:t>
      </w:r>
      <w:r w:rsidRPr="006357E5">
        <w:rPr>
          <w:rFonts w:ascii="Times New Roman" w:hAnsi="Times New Roman"/>
        </w:rPr>
        <w:t>Practice Note SC CA 3</w:t>
      </w:r>
      <w:r w:rsidRPr="00D3679D">
        <w:rPr>
          <w:rFonts w:ascii="Times New Roman" w:hAnsi="Times New Roman"/>
        </w:rPr>
        <w:t xml:space="preserve"> s</w:t>
      </w:r>
      <w:r w:rsidR="00E64BD3">
        <w:rPr>
          <w:rFonts w:ascii="Times New Roman" w:hAnsi="Times New Roman"/>
        </w:rPr>
        <w:t>s</w:t>
      </w:r>
      <w:r w:rsidRPr="00D3679D">
        <w:rPr>
          <w:rFonts w:ascii="Times New Roman" w:hAnsi="Times New Roman"/>
        </w:rPr>
        <w:t xml:space="preserve"> 6.4</w:t>
      </w:r>
      <w:r w:rsidR="00E64BD3">
        <w:rPr>
          <w:rFonts w:ascii="Times New Roman" w:hAnsi="Times New Roman"/>
        </w:rPr>
        <w:t>, 6.5, 9.3</w:t>
      </w:r>
      <w:r w:rsidRPr="00D3679D">
        <w:rPr>
          <w:rFonts w:ascii="Times New Roman" w:hAnsi="Times New Roman"/>
        </w:rPr>
        <w:t xml:space="preserve"> (‘</w:t>
      </w:r>
      <w:r w:rsidRPr="006357E5">
        <w:rPr>
          <w:rFonts w:ascii="Times New Roman" w:hAnsi="Times New Roman"/>
        </w:rPr>
        <w:t>Practice Note</w:t>
      </w:r>
      <w:r w:rsidRPr="00D3679D">
        <w:rPr>
          <w:rFonts w:ascii="Times New Roman" w:hAnsi="Times New Roman"/>
        </w:rPr>
        <w:t>’);</w:t>
      </w:r>
      <w:r w:rsidRPr="006357E5">
        <w:rPr>
          <w:rFonts w:ascii="Times New Roman" w:hAnsi="Times New Roman"/>
        </w:rPr>
        <w:t xml:space="preserve"> Registrar’s Note on the Preparation of a Written Case</w:t>
      </w:r>
      <w:r w:rsidRPr="00D3679D">
        <w:rPr>
          <w:rFonts w:ascii="Times New Roman" w:hAnsi="Times New Roman"/>
        </w:rPr>
        <w:t xml:space="preserve"> </w:t>
      </w:r>
      <w:r>
        <w:rPr>
          <w:rFonts w:ascii="Times New Roman" w:hAnsi="Times New Roman"/>
        </w:rPr>
        <w:t>[</w:t>
      </w:r>
      <w:r w:rsidR="000E42F0">
        <w:rPr>
          <w:rFonts w:ascii="Times New Roman" w:hAnsi="Times New Roman"/>
        </w:rPr>
        <w:t>8</w:t>
      </w:r>
      <w:r>
        <w:rPr>
          <w:rFonts w:ascii="Times New Roman" w:hAnsi="Times New Roman"/>
        </w:rPr>
        <w:t>]</w:t>
      </w:r>
      <w:r w:rsidR="000E42F0">
        <w:rPr>
          <w:rFonts w:ascii="Times New Roman" w:hAnsi="Times New Roman"/>
        </w:rPr>
        <w:t>, [9]</w:t>
      </w:r>
      <w:r w:rsidRPr="005A5C99">
        <w:rPr>
          <w:rFonts w:ascii="Times New Roman" w:hAnsi="Times New Roman"/>
        </w:rPr>
        <w:t xml:space="preserve"> (‘</w:t>
      </w:r>
      <w:r w:rsidRPr="006357E5">
        <w:rPr>
          <w:rFonts w:ascii="Times New Roman" w:hAnsi="Times New Roman"/>
        </w:rPr>
        <w:t>Registrar’s Note</w:t>
      </w:r>
      <w:r w:rsidRPr="005A5C99">
        <w:rPr>
          <w:rFonts w:ascii="Times New Roman" w:hAnsi="Times New Roman"/>
        </w:rPr>
        <w:t>’).</w:t>
      </w:r>
    </w:p>
  </w:footnote>
  <w:footnote w:id="3">
    <w:p w14:paraId="3F8C09C9" w14:textId="5B2C80E3" w:rsidR="00786898" w:rsidRPr="00D3679D" w:rsidRDefault="00786898" w:rsidP="00786898">
      <w:pPr>
        <w:pStyle w:val="FootnoteText"/>
        <w:ind w:right="-1996"/>
        <w:rPr>
          <w:rFonts w:ascii="Times New Roman" w:hAnsi="Times New Roman"/>
        </w:rPr>
      </w:pPr>
      <w:r w:rsidRPr="00D3679D">
        <w:rPr>
          <w:rStyle w:val="FootnoteReference"/>
          <w:rFonts w:ascii="Times New Roman" w:hAnsi="Times New Roman"/>
        </w:rPr>
        <w:footnoteRef/>
      </w:r>
      <w:r w:rsidRPr="006357E5">
        <w:rPr>
          <w:rFonts w:ascii="Times New Roman" w:hAnsi="Times New Roman"/>
        </w:rPr>
        <w:t xml:space="preserve"> Practice Note </w:t>
      </w:r>
      <w:r w:rsidRPr="00D3679D">
        <w:rPr>
          <w:rFonts w:ascii="Times New Roman" w:hAnsi="Times New Roman"/>
        </w:rPr>
        <w:t xml:space="preserve">s 9.3; </w:t>
      </w:r>
      <w:r w:rsidRPr="006357E5">
        <w:rPr>
          <w:rFonts w:ascii="Times New Roman" w:hAnsi="Times New Roman"/>
        </w:rPr>
        <w:t>Registrar’s Note</w:t>
      </w:r>
      <w:r w:rsidRPr="00D3679D">
        <w:rPr>
          <w:rFonts w:ascii="Times New Roman" w:hAnsi="Times New Roman"/>
        </w:rPr>
        <w:t xml:space="preserve"> [</w:t>
      </w:r>
      <w:r w:rsidR="00D3679D">
        <w:rPr>
          <w:rFonts w:ascii="Times New Roman" w:hAnsi="Times New Roman"/>
        </w:rPr>
        <w:t>3</w:t>
      </w:r>
      <w:r w:rsidRPr="00D3679D">
        <w:rPr>
          <w:rFonts w:ascii="Times New Roman" w:hAnsi="Times New Roman"/>
        </w:rPr>
        <w:t>]</w:t>
      </w:r>
      <w:r w:rsidR="00AD4DC2">
        <w:rPr>
          <w:rFonts w:ascii="Times New Roman" w:hAnsi="Times New Roman"/>
        </w:rPr>
        <w:t>, [4]</w:t>
      </w:r>
      <w:r w:rsidRPr="00D3679D">
        <w:rPr>
          <w:rFonts w:ascii="Times New Roman" w:hAnsi="Times New Roman"/>
        </w:rPr>
        <w:t>.</w:t>
      </w:r>
    </w:p>
  </w:footnote>
  <w:footnote w:id="4">
    <w:p w14:paraId="426B646D" w14:textId="0EED6D3C" w:rsidR="00AD4DC2" w:rsidRDefault="00AD4DC2">
      <w:pPr>
        <w:pStyle w:val="FootnoteText"/>
      </w:pPr>
      <w:r>
        <w:rPr>
          <w:rStyle w:val="FootnoteReference"/>
        </w:rPr>
        <w:footnoteRef/>
      </w:r>
      <w:r>
        <w:t xml:space="preserve"> Practice Note s 4.4; Registrar’s Note [5].</w:t>
      </w:r>
    </w:p>
  </w:footnote>
  <w:footnote w:id="5">
    <w:p w14:paraId="587CDABD" w14:textId="6055E7B8" w:rsidR="00786898" w:rsidRPr="00AD4DC2" w:rsidRDefault="00786898" w:rsidP="00786898">
      <w:pPr>
        <w:pStyle w:val="FootnoteText"/>
      </w:pPr>
      <w:r w:rsidRPr="00AD4DC2">
        <w:rPr>
          <w:rStyle w:val="FootnoteReference"/>
        </w:rPr>
        <w:footnoteRef/>
      </w:r>
      <w:r w:rsidRPr="00AD4DC2">
        <w:t xml:space="preserve"> </w:t>
      </w:r>
      <w:r w:rsidRPr="006357E5">
        <w:rPr>
          <w:rFonts w:ascii="Times New Roman" w:hAnsi="Times New Roman"/>
        </w:rPr>
        <w:t>Practice Note</w:t>
      </w:r>
      <w:r w:rsidRPr="00AD4DC2">
        <w:rPr>
          <w:rFonts w:ascii="Times New Roman" w:hAnsi="Times New Roman"/>
        </w:rPr>
        <w:t xml:space="preserve"> s 5.1</w:t>
      </w:r>
      <w:r w:rsidR="00AD4DC2">
        <w:rPr>
          <w:rFonts w:ascii="Times New Roman" w:hAnsi="Times New Roman"/>
        </w:rPr>
        <w:t>; Registrar’s Note [5]</w:t>
      </w:r>
      <w:r w:rsidRPr="00AD4DC2">
        <w:rPr>
          <w:rFonts w:ascii="Times New Roman" w:hAnsi="Times New Roman"/>
        </w:rPr>
        <w:t>.</w:t>
      </w:r>
    </w:p>
  </w:footnote>
  <w:footnote w:id="6">
    <w:p w14:paraId="48E07B92" w14:textId="5559789A" w:rsidR="00786898" w:rsidRPr="00AD4DC2" w:rsidRDefault="00786898" w:rsidP="00786898">
      <w:pPr>
        <w:pStyle w:val="FootnoteText"/>
        <w:ind w:right="-1996"/>
        <w:rPr>
          <w:rFonts w:ascii="Times New Roman" w:hAnsi="Times New Roman"/>
        </w:rPr>
      </w:pPr>
      <w:r w:rsidRPr="00AD4DC2">
        <w:rPr>
          <w:rStyle w:val="FootnoteReference"/>
          <w:rFonts w:ascii="Times New Roman" w:hAnsi="Times New Roman"/>
        </w:rPr>
        <w:footnoteRef/>
      </w:r>
      <w:r w:rsidRPr="00AD4DC2">
        <w:rPr>
          <w:rFonts w:ascii="Times New Roman" w:hAnsi="Times New Roman"/>
        </w:rPr>
        <w:t xml:space="preserve"> </w:t>
      </w:r>
      <w:r w:rsidRPr="006357E5">
        <w:rPr>
          <w:rFonts w:ascii="Times New Roman" w:hAnsi="Times New Roman"/>
        </w:rPr>
        <w:t xml:space="preserve">Registrar’s Note </w:t>
      </w:r>
      <w:r w:rsidRPr="00AD4DC2">
        <w:rPr>
          <w:rFonts w:ascii="Times New Roman" w:hAnsi="Times New Roman"/>
        </w:rPr>
        <w:t>[</w:t>
      </w:r>
      <w:r w:rsidR="00366B4D">
        <w:rPr>
          <w:rFonts w:ascii="Times New Roman" w:hAnsi="Times New Roman"/>
        </w:rPr>
        <w:t>6</w:t>
      </w:r>
      <w:r w:rsidRPr="00AD4DC2">
        <w:rPr>
          <w:rFonts w:ascii="Times New Roman" w:hAnsi="Times New Roman"/>
        </w:rPr>
        <w:t>]</w:t>
      </w:r>
      <w:r w:rsidR="00366B4D">
        <w:rPr>
          <w:rFonts w:ascii="Times New Roman" w:hAnsi="Times New Roman"/>
        </w:rPr>
        <w:t>, [7]</w:t>
      </w:r>
      <w:r w:rsidRPr="00AD4DC2">
        <w:rPr>
          <w:rFonts w:ascii="Times New Roman" w:hAnsi="Times New Roman"/>
        </w:rPr>
        <w:t>.</w:t>
      </w:r>
    </w:p>
  </w:footnote>
  <w:footnote w:id="7">
    <w:p w14:paraId="66F173FE" w14:textId="685C5DBD" w:rsidR="00786898" w:rsidRPr="005A5C99" w:rsidRDefault="00786898" w:rsidP="00786898">
      <w:pPr>
        <w:pStyle w:val="FootnoteText"/>
        <w:ind w:right="-1996"/>
        <w:rPr>
          <w:rFonts w:ascii="Times New Roman" w:hAnsi="Times New Roman"/>
        </w:rPr>
      </w:pPr>
      <w:r w:rsidRPr="005A5C99">
        <w:rPr>
          <w:rStyle w:val="FootnoteReference"/>
          <w:rFonts w:ascii="Times New Roman" w:hAnsi="Times New Roman"/>
        </w:rPr>
        <w:footnoteRef/>
      </w:r>
      <w:r>
        <w:rPr>
          <w:rFonts w:ascii="Times New Roman" w:hAnsi="Times New Roman"/>
        </w:rPr>
        <w:t xml:space="preserve"> Ibid [</w:t>
      </w:r>
      <w:r w:rsidR="00366B4D">
        <w:rPr>
          <w:rFonts w:ascii="Times New Roman" w:hAnsi="Times New Roman"/>
        </w:rPr>
        <w:t>7</w:t>
      </w:r>
      <w:r w:rsidRPr="005A5C99">
        <w:rPr>
          <w:rFonts w:ascii="Times New Roman" w:hAnsi="Times New Roman"/>
        </w:rPr>
        <w:t>].</w:t>
      </w:r>
    </w:p>
  </w:footnote>
  <w:footnote w:id="8">
    <w:p w14:paraId="57FBBCF3" w14:textId="77777777" w:rsidR="00786898" w:rsidRPr="00366B4D" w:rsidRDefault="00786898" w:rsidP="00786898">
      <w:pPr>
        <w:pStyle w:val="FootnoteText"/>
        <w:ind w:right="-1996"/>
        <w:rPr>
          <w:rFonts w:ascii="Times New Roman" w:hAnsi="Times New Roman"/>
        </w:rPr>
      </w:pPr>
      <w:r w:rsidRPr="00366B4D">
        <w:rPr>
          <w:rStyle w:val="FootnoteReference"/>
          <w:rFonts w:ascii="Times New Roman" w:hAnsi="Times New Roman"/>
        </w:rPr>
        <w:footnoteRef/>
      </w:r>
      <w:r w:rsidRPr="00366B4D">
        <w:rPr>
          <w:rFonts w:ascii="Times New Roman" w:hAnsi="Times New Roman"/>
        </w:rPr>
        <w:t xml:space="preserve"> </w:t>
      </w:r>
      <w:r w:rsidRPr="006357E5">
        <w:rPr>
          <w:rFonts w:ascii="Times New Roman" w:hAnsi="Times New Roman"/>
        </w:rPr>
        <w:t>Practice Note</w:t>
      </w:r>
      <w:r w:rsidRPr="00366B4D">
        <w:rPr>
          <w:rFonts w:ascii="Times New Roman" w:hAnsi="Times New Roman"/>
        </w:rPr>
        <w:t xml:space="preserve"> s 1.3; </w:t>
      </w:r>
      <w:r w:rsidRPr="006357E5">
        <w:rPr>
          <w:rFonts w:ascii="Times New Roman" w:hAnsi="Times New Roman"/>
        </w:rPr>
        <w:t>Registrar’s Note</w:t>
      </w:r>
      <w:r w:rsidRPr="00366B4D">
        <w:rPr>
          <w:rFonts w:ascii="Times New Roman" w:hAnsi="Times New Roman"/>
        </w:rPr>
        <w:t xml:space="preserve"> [2].</w:t>
      </w:r>
    </w:p>
  </w:footnote>
  <w:footnote w:id="9">
    <w:p w14:paraId="6F8CA2C5" w14:textId="3A84FA4C" w:rsidR="00786898" w:rsidRPr="00366B4D" w:rsidRDefault="00786898" w:rsidP="00786898">
      <w:pPr>
        <w:pStyle w:val="FootnoteText"/>
        <w:ind w:right="-1996"/>
        <w:rPr>
          <w:rFonts w:ascii="Times New Roman" w:hAnsi="Times New Roman"/>
        </w:rPr>
      </w:pPr>
      <w:r w:rsidRPr="00366B4D">
        <w:rPr>
          <w:rStyle w:val="FootnoteReference"/>
          <w:rFonts w:ascii="Times New Roman" w:hAnsi="Times New Roman"/>
        </w:rPr>
        <w:footnoteRef/>
      </w:r>
      <w:r w:rsidRPr="006357E5">
        <w:rPr>
          <w:rFonts w:ascii="Times New Roman" w:hAnsi="Times New Roman"/>
        </w:rPr>
        <w:t xml:space="preserve"> Registrar’s Note</w:t>
      </w:r>
      <w:r w:rsidRPr="00366B4D">
        <w:rPr>
          <w:rFonts w:ascii="Times New Roman" w:hAnsi="Times New Roman"/>
        </w:rPr>
        <w:t xml:space="preserve"> [</w:t>
      </w:r>
      <w:r w:rsidR="00366B4D">
        <w:rPr>
          <w:rFonts w:ascii="Times New Roman" w:hAnsi="Times New Roman"/>
        </w:rPr>
        <w:t>7</w:t>
      </w:r>
      <w:r w:rsidRPr="00366B4D">
        <w:rPr>
          <w:rFonts w:ascii="Times New Roman" w:hAnsi="Times New Roman"/>
        </w:rPr>
        <w:t>].</w:t>
      </w:r>
    </w:p>
  </w:footnote>
  <w:footnote w:id="10">
    <w:p w14:paraId="0BA7C21A" w14:textId="172CE2EB" w:rsidR="00366B4D" w:rsidRDefault="00366B4D">
      <w:pPr>
        <w:pStyle w:val="FootnoteText"/>
      </w:pPr>
      <w:r>
        <w:rPr>
          <w:rStyle w:val="FootnoteReference"/>
        </w:rPr>
        <w:footnoteRef/>
      </w:r>
      <w:r>
        <w:t xml:space="preserve"> See Registrar’s Note [6],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DA58DB"/>
    <w:multiLevelType w:val="multilevel"/>
    <w:tmpl w:val="5B18112A"/>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b w:val="0"/>
      </w:rPr>
    </w:lvl>
    <w:lvl w:ilvl="2">
      <w:start w:val="1"/>
      <w:numFmt w:val="lowerRoman"/>
      <w:lvlText w:val="(%3)"/>
      <w:lvlJc w:val="left"/>
      <w:pPr>
        <w:ind w:left="2304" w:hanging="720"/>
      </w:pPr>
      <w:rPr>
        <w:rFonts w:hint="default"/>
      </w:rPr>
    </w:lvl>
    <w:lvl w:ilvl="3">
      <w:start w:val="1"/>
      <w:numFmt w:val="upperLetter"/>
      <w:lvlText w:val="%4"/>
      <w:lvlJc w:val="left"/>
      <w:pPr>
        <w:ind w:left="3096" w:hanging="57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185074"/>
    <w:multiLevelType w:val="hybridMultilevel"/>
    <w:tmpl w:val="B702569E"/>
    <w:lvl w:ilvl="0" w:tplc="0C090001">
      <w:start w:val="1"/>
      <w:numFmt w:val="bullet"/>
      <w:lvlText w:val=""/>
      <w:lvlJc w:val="left"/>
      <w:pPr>
        <w:tabs>
          <w:tab w:val="num" w:pos="990"/>
        </w:tabs>
        <w:ind w:left="990" w:hanging="360"/>
      </w:pPr>
      <w:rPr>
        <w:rFonts w:ascii="Symbol" w:hAnsi="Symbol" w:hint="default"/>
      </w:rPr>
    </w:lvl>
    <w:lvl w:ilvl="1" w:tplc="0C090003" w:tentative="1">
      <w:start w:val="1"/>
      <w:numFmt w:val="bullet"/>
      <w:lvlText w:val="o"/>
      <w:lvlJc w:val="left"/>
      <w:pPr>
        <w:tabs>
          <w:tab w:val="num" w:pos="1710"/>
        </w:tabs>
        <w:ind w:left="1710" w:hanging="360"/>
      </w:pPr>
      <w:rPr>
        <w:rFonts w:ascii="Courier New" w:hAnsi="Courier New" w:cs="Courier New" w:hint="default"/>
      </w:rPr>
    </w:lvl>
    <w:lvl w:ilvl="2" w:tplc="0C090005" w:tentative="1">
      <w:start w:val="1"/>
      <w:numFmt w:val="bullet"/>
      <w:lvlText w:val=""/>
      <w:lvlJc w:val="left"/>
      <w:pPr>
        <w:tabs>
          <w:tab w:val="num" w:pos="2430"/>
        </w:tabs>
        <w:ind w:left="2430" w:hanging="360"/>
      </w:pPr>
      <w:rPr>
        <w:rFonts w:ascii="Wingdings" w:hAnsi="Wingdings" w:hint="default"/>
      </w:rPr>
    </w:lvl>
    <w:lvl w:ilvl="3" w:tplc="0C090001" w:tentative="1">
      <w:start w:val="1"/>
      <w:numFmt w:val="bullet"/>
      <w:lvlText w:val=""/>
      <w:lvlJc w:val="left"/>
      <w:pPr>
        <w:tabs>
          <w:tab w:val="num" w:pos="3150"/>
        </w:tabs>
        <w:ind w:left="3150" w:hanging="360"/>
      </w:pPr>
      <w:rPr>
        <w:rFonts w:ascii="Symbol" w:hAnsi="Symbol" w:hint="default"/>
      </w:rPr>
    </w:lvl>
    <w:lvl w:ilvl="4" w:tplc="0C090003" w:tentative="1">
      <w:start w:val="1"/>
      <w:numFmt w:val="bullet"/>
      <w:lvlText w:val="o"/>
      <w:lvlJc w:val="left"/>
      <w:pPr>
        <w:tabs>
          <w:tab w:val="num" w:pos="3870"/>
        </w:tabs>
        <w:ind w:left="3870" w:hanging="360"/>
      </w:pPr>
      <w:rPr>
        <w:rFonts w:ascii="Courier New" w:hAnsi="Courier New" w:cs="Courier New" w:hint="default"/>
      </w:rPr>
    </w:lvl>
    <w:lvl w:ilvl="5" w:tplc="0C090005" w:tentative="1">
      <w:start w:val="1"/>
      <w:numFmt w:val="bullet"/>
      <w:lvlText w:val=""/>
      <w:lvlJc w:val="left"/>
      <w:pPr>
        <w:tabs>
          <w:tab w:val="num" w:pos="4590"/>
        </w:tabs>
        <w:ind w:left="4590" w:hanging="360"/>
      </w:pPr>
      <w:rPr>
        <w:rFonts w:ascii="Wingdings" w:hAnsi="Wingdings" w:hint="default"/>
      </w:rPr>
    </w:lvl>
    <w:lvl w:ilvl="6" w:tplc="0C090001" w:tentative="1">
      <w:start w:val="1"/>
      <w:numFmt w:val="bullet"/>
      <w:lvlText w:val=""/>
      <w:lvlJc w:val="left"/>
      <w:pPr>
        <w:tabs>
          <w:tab w:val="num" w:pos="5310"/>
        </w:tabs>
        <w:ind w:left="5310" w:hanging="360"/>
      </w:pPr>
      <w:rPr>
        <w:rFonts w:ascii="Symbol" w:hAnsi="Symbol" w:hint="default"/>
      </w:rPr>
    </w:lvl>
    <w:lvl w:ilvl="7" w:tplc="0C090003" w:tentative="1">
      <w:start w:val="1"/>
      <w:numFmt w:val="bullet"/>
      <w:lvlText w:val="o"/>
      <w:lvlJc w:val="left"/>
      <w:pPr>
        <w:tabs>
          <w:tab w:val="num" w:pos="6030"/>
        </w:tabs>
        <w:ind w:left="6030" w:hanging="360"/>
      </w:pPr>
      <w:rPr>
        <w:rFonts w:ascii="Courier New" w:hAnsi="Courier New" w:cs="Courier New" w:hint="default"/>
      </w:rPr>
    </w:lvl>
    <w:lvl w:ilvl="8" w:tplc="0C090005"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336A293A"/>
    <w:multiLevelType w:val="hybridMultilevel"/>
    <w:tmpl w:val="7B504EFE"/>
    <w:lvl w:ilvl="0" w:tplc="58F87DFA">
      <w:start w:val="1"/>
      <w:numFmt w:val="decimal"/>
      <w:lvlText w:val="%1."/>
      <w:lvlJc w:val="left"/>
      <w:pPr>
        <w:ind w:left="720" w:hanging="720"/>
      </w:pPr>
      <w:rPr>
        <w:rFonts w:eastAsia="Cambria" w:hint="default"/>
        <w:color w:val="292929"/>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DC4BC9"/>
    <w:multiLevelType w:val="multilevel"/>
    <w:tmpl w:val="022C96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2304" w:hanging="72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AC7544"/>
    <w:multiLevelType w:val="hybridMultilevel"/>
    <w:tmpl w:val="783AAE92"/>
    <w:lvl w:ilvl="0" w:tplc="F304933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0B38DD"/>
    <w:multiLevelType w:val="multilevel"/>
    <w:tmpl w:val="022C96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2304" w:hanging="72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32C017A"/>
    <w:multiLevelType w:val="hybridMultilevel"/>
    <w:tmpl w:val="9FE0BDE0"/>
    <w:lvl w:ilvl="0" w:tplc="50345C9E">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6507FA7"/>
    <w:multiLevelType w:val="hybridMultilevel"/>
    <w:tmpl w:val="1E50413C"/>
    <w:lvl w:ilvl="0" w:tplc="DB3E9CEE">
      <w:start w:val="1"/>
      <w:numFmt w:val="decimal"/>
      <w:lvlText w:val="%1."/>
      <w:lvlJc w:val="left"/>
      <w:pPr>
        <w:ind w:left="567" w:hanging="567"/>
      </w:pPr>
      <w:rPr>
        <w:rFonts w:hint="default"/>
      </w:rPr>
    </w:lvl>
    <w:lvl w:ilvl="1" w:tplc="4FBEB8FC">
      <w:start w:val="1"/>
      <w:numFmt w:val="lowerLetter"/>
      <w:lvlText w:val="(%2)"/>
      <w:lvlJc w:val="left"/>
      <w:pPr>
        <w:ind w:left="1134" w:hanging="567"/>
      </w:pPr>
      <w:rPr>
        <w:rFonts w:hint="default"/>
      </w:rPr>
    </w:lvl>
    <w:lvl w:ilvl="2" w:tplc="D5000D76">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706F06"/>
    <w:multiLevelType w:val="multilevel"/>
    <w:tmpl w:val="022C96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2304" w:hanging="72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AA16F58"/>
    <w:multiLevelType w:val="hybridMultilevel"/>
    <w:tmpl w:val="BFFE05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09D7A71"/>
    <w:multiLevelType w:val="multilevel"/>
    <w:tmpl w:val="0C62615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24F1210"/>
    <w:multiLevelType w:val="multilevel"/>
    <w:tmpl w:val="022C96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2304" w:hanging="72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85657ED"/>
    <w:multiLevelType w:val="hybridMultilevel"/>
    <w:tmpl w:val="BB344A6C"/>
    <w:lvl w:ilvl="0" w:tplc="0D385D90">
      <w:start w:val="1"/>
      <w:numFmt w:val="upperLetter"/>
      <w:lvlText w:val="%1."/>
      <w:lvlJc w:val="left"/>
      <w:pPr>
        <w:ind w:left="1656" w:hanging="567"/>
      </w:pPr>
      <w:rPr>
        <w:rFonts w:hint="default"/>
      </w:rPr>
    </w:lvl>
    <w:lvl w:ilvl="1" w:tplc="0C090019" w:tentative="1">
      <w:start w:val="1"/>
      <w:numFmt w:val="lowerLetter"/>
      <w:lvlText w:val="%2."/>
      <w:lvlJc w:val="left"/>
      <w:pPr>
        <w:ind w:left="2835" w:hanging="360"/>
      </w:pPr>
    </w:lvl>
    <w:lvl w:ilvl="2" w:tplc="0C09001B">
      <w:start w:val="1"/>
      <w:numFmt w:val="lowerRoman"/>
      <w:lvlText w:val="%3."/>
      <w:lvlJc w:val="right"/>
      <w:pPr>
        <w:ind w:left="3555" w:hanging="180"/>
      </w:pPr>
    </w:lvl>
    <w:lvl w:ilvl="3" w:tplc="0C09000F" w:tentative="1">
      <w:start w:val="1"/>
      <w:numFmt w:val="decimal"/>
      <w:lvlText w:val="%4."/>
      <w:lvlJc w:val="left"/>
      <w:pPr>
        <w:ind w:left="4275" w:hanging="360"/>
      </w:pPr>
    </w:lvl>
    <w:lvl w:ilvl="4" w:tplc="0C090019" w:tentative="1">
      <w:start w:val="1"/>
      <w:numFmt w:val="lowerLetter"/>
      <w:lvlText w:val="%5."/>
      <w:lvlJc w:val="left"/>
      <w:pPr>
        <w:ind w:left="4995" w:hanging="360"/>
      </w:pPr>
    </w:lvl>
    <w:lvl w:ilvl="5" w:tplc="0C09001B" w:tentative="1">
      <w:start w:val="1"/>
      <w:numFmt w:val="lowerRoman"/>
      <w:lvlText w:val="%6."/>
      <w:lvlJc w:val="right"/>
      <w:pPr>
        <w:ind w:left="5715" w:hanging="180"/>
      </w:pPr>
    </w:lvl>
    <w:lvl w:ilvl="6" w:tplc="0C09000F" w:tentative="1">
      <w:start w:val="1"/>
      <w:numFmt w:val="decimal"/>
      <w:lvlText w:val="%7."/>
      <w:lvlJc w:val="left"/>
      <w:pPr>
        <w:ind w:left="6435" w:hanging="360"/>
      </w:pPr>
    </w:lvl>
    <w:lvl w:ilvl="7" w:tplc="0C090019" w:tentative="1">
      <w:start w:val="1"/>
      <w:numFmt w:val="lowerLetter"/>
      <w:lvlText w:val="%8."/>
      <w:lvlJc w:val="left"/>
      <w:pPr>
        <w:ind w:left="7155" w:hanging="360"/>
      </w:pPr>
    </w:lvl>
    <w:lvl w:ilvl="8" w:tplc="0C09001B" w:tentative="1">
      <w:start w:val="1"/>
      <w:numFmt w:val="lowerRoman"/>
      <w:lvlText w:val="%9."/>
      <w:lvlJc w:val="right"/>
      <w:pPr>
        <w:ind w:left="7875" w:hanging="180"/>
      </w:pPr>
    </w:lvl>
  </w:abstractNum>
  <w:num w:numId="1">
    <w:abstractNumId w:val="0"/>
    <w:lvlOverride w:ilvl="0">
      <w:lvl w:ilvl="0">
        <w:start w:val="1"/>
        <w:numFmt w:val="decimal"/>
        <w:pStyle w:val="Level1"/>
        <w:lvlText w:val="%1."/>
        <w:lvlJc w:val="left"/>
        <w:pPr>
          <w:tabs>
            <w:tab w:val="num" w:pos="567"/>
          </w:tabs>
          <w:ind w:left="567" w:hanging="567"/>
        </w:pPr>
      </w:lvl>
    </w:lvlOverride>
    <w:lvlOverride w:ilvl="1">
      <w:lvl w:ilvl="1">
        <w:start w:val="1"/>
        <w:numFmt w:val="decimal"/>
        <w:lvlText w:val="%2"/>
        <w:lvlJc w:val="left"/>
        <w:pPr>
          <w:tabs>
            <w:tab w:val="num" w:pos="0"/>
          </w:tabs>
          <w:ind w:left="0" w:firstLine="0"/>
        </w:pPr>
      </w:lvl>
    </w:lvlOverride>
    <w:lvlOverride w:ilvl="2">
      <w:lvl w:ilvl="2">
        <w:start w:val="1"/>
        <w:numFmt w:val="decimal"/>
        <w:lvlText w:val="%3"/>
        <w:lvlJc w:val="left"/>
        <w:pPr>
          <w:tabs>
            <w:tab w:val="num" w:pos="0"/>
          </w:tabs>
          <w:ind w:left="0" w:firstLine="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start w:val="12068211"/>
        <w:numFmt w:val="decimal"/>
        <w:lvlText w:val=""/>
        <w:lvlJc w:val="left"/>
        <w:pPr>
          <w:tabs>
            <w:tab w:val="num" w:pos="0"/>
          </w:tabs>
          <w:ind w:left="0" w:firstLine="0"/>
        </w:pPr>
      </w:lvl>
    </w:lvlOverride>
  </w:num>
  <w:num w:numId="2">
    <w:abstractNumId w:val="3"/>
  </w:num>
  <w:num w:numId="3">
    <w:abstractNumId w:val="5"/>
  </w:num>
  <w:num w:numId="4">
    <w:abstractNumId w:val="7"/>
  </w:num>
  <w:num w:numId="5">
    <w:abstractNumId w:val="8"/>
  </w:num>
  <w:num w:numId="6">
    <w:abstractNumId w:val="10"/>
  </w:num>
  <w:num w:numId="7">
    <w:abstractNumId w:val="13"/>
  </w:num>
  <w:num w:numId="8">
    <w:abstractNumId w:val="11"/>
  </w:num>
  <w:num w:numId="9">
    <w:abstractNumId w:val="2"/>
  </w:num>
  <w:num w:numId="10">
    <w:abstractNumId w:val="4"/>
  </w:num>
  <w:num w:numId="11">
    <w:abstractNumId w:val="6"/>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2MTWzNDI1Mze2NDVX0lEKTi0uzszPAykwrQUAR3dnaCwAAAA="/>
  </w:docVars>
  <w:rsids>
    <w:rsidRoot w:val="007C34D6"/>
    <w:rsid w:val="00016FD0"/>
    <w:rsid w:val="00092DD6"/>
    <w:rsid w:val="000E42F0"/>
    <w:rsid w:val="001554C5"/>
    <w:rsid w:val="001743B5"/>
    <w:rsid w:val="00197908"/>
    <w:rsid w:val="001A218D"/>
    <w:rsid w:val="001D654D"/>
    <w:rsid w:val="00202E9E"/>
    <w:rsid w:val="00203081"/>
    <w:rsid w:val="0021415A"/>
    <w:rsid w:val="002313DD"/>
    <w:rsid w:val="002512E6"/>
    <w:rsid w:val="00295AB4"/>
    <w:rsid w:val="002B3435"/>
    <w:rsid w:val="002F2332"/>
    <w:rsid w:val="00310BD1"/>
    <w:rsid w:val="00314BE2"/>
    <w:rsid w:val="003403DA"/>
    <w:rsid w:val="00366B4D"/>
    <w:rsid w:val="003811F7"/>
    <w:rsid w:val="003A7587"/>
    <w:rsid w:val="003B4D9A"/>
    <w:rsid w:val="003C138C"/>
    <w:rsid w:val="003F0CEE"/>
    <w:rsid w:val="00435EE2"/>
    <w:rsid w:val="00482A57"/>
    <w:rsid w:val="004901E3"/>
    <w:rsid w:val="0049494F"/>
    <w:rsid w:val="00505FCD"/>
    <w:rsid w:val="00592A5E"/>
    <w:rsid w:val="005B4B0B"/>
    <w:rsid w:val="005F09F6"/>
    <w:rsid w:val="005F76B0"/>
    <w:rsid w:val="006357E5"/>
    <w:rsid w:val="007626F8"/>
    <w:rsid w:val="00786898"/>
    <w:rsid w:val="007A44A3"/>
    <w:rsid w:val="007C34D6"/>
    <w:rsid w:val="007D0D28"/>
    <w:rsid w:val="007D3764"/>
    <w:rsid w:val="00815348"/>
    <w:rsid w:val="00833AD9"/>
    <w:rsid w:val="00836830"/>
    <w:rsid w:val="008648FC"/>
    <w:rsid w:val="008A7E94"/>
    <w:rsid w:val="008E3CD8"/>
    <w:rsid w:val="00910AD8"/>
    <w:rsid w:val="009825AC"/>
    <w:rsid w:val="00994770"/>
    <w:rsid w:val="009A26F1"/>
    <w:rsid w:val="009B0640"/>
    <w:rsid w:val="009C5BA2"/>
    <w:rsid w:val="00A27171"/>
    <w:rsid w:val="00A57D4A"/>
    <w:rsid w:val="00A60392"/>
    <w:rsid w:val="00A63E12"/>
    <w:rsid w:val="00A778F7"/>
    <w:rsid w:val="00A86BA7"/>
    <w:rsid w:val="00AC4550"/>
    <w:rsid w:val="00AD4DC2"/>
    <w:rsid w:val="00AF03D2"/>
    <w:rsid w:val="00B16969"/>
    <w:rsid w:val="00B17161"/>
    <w:rsid w:val="00B179B3"/>
    <w:rsid w:val="00B73C37"/>
    <w:rsid w:val="00B774D9"/>
    <w:rsid w:val="00B8229A"/>
    <w:rsid w:val="00BB022A"/>
    <w:rsid w:val="00BB51A3"/>
    <w:rsid w:val="00BE6FFF"/>
    <w:rsid w:val="00BF2F57"/>
    <w:rsid w:val="00C02C0A"/>
    <w:rsid w:val="00C12AA0"/>
    <w:rsid w:val="00C25DD8"/>
    <w:rsid w:val="00C4009D"/>
    <w:rsid w:val="00C7618B"/>
    <w:rsid w:val="00CA5067"/>
    <w:rsid w:val="00CB22DB"/>
    <w:rsid w:val="00CF72BB"/>
    <w:rsid w:val="00D3679D"/>
    <w:rsid w:val="00D4753F"/>
    <w:rsid w:val="00D73CCF"/>
    <w:rsid w:val="00D74A7B"/>
    <w:rsid w:val="00D772D4"/>
    <w:rsid w:val="00D8134D"/>
    <w:rsid w:val="00DA5F71"/>
    <w:rsid w:val="00DB101D"/>
    <w:rsid w:val="00DC2917"/>
    <w:rsid w:val="00DD31AE"/>
    <w:rsid w:val="00DD3BA5"/>
    <w:rsid w:val="00E3268E"/>
    <w:rsid w:val="00E37634"/>
    <w:rsid w:val="00E43D27"/>
    <w:rsid w:val="00E617E9"/>
    <w:rsid w:val="00E64BD3"/>
    <w:rsid w:val="00E86492"/>
    <w:rsid w:val="00EA2D27"/>
    <w:rsid w:val="00EA7249"/>
    <w:rsid w:val="00ED3064"/>
    <w:rsid w:val="00ED75CC"/>
    <w:rsid w:val="00F06AC9"/>
    <w:rsid w:val="00F147A8"/>
    <w:rsid w:val="00F33519"/>
    <w:rsid w:val="00F53E0B"/>
    <w:rsid w:val="00FC28EC"/>
    <w:rsid w:val="00FE4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90C"/>
  <w15:chartTrackingRefBased/>
  <w15:docId w15:val="{2A1D5FD9-D621-4EB2-9004-9ED60FF8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F6"/>
  </w:style>
  <w:style w:type="paragraph" w:styleId="Heading1">
    <w:name w:val="heading 1"/>
    <w:basedOn w:val="Normal"/>
    <w:next w:val="Normal"/>
    <w:link w:val="Heading1Char"/>
    <w:qFormat/>
    <w:rsid w:val="005F09F6"/>
    <w:pPr>
      <w:keepNext/>
      <w:widowControl w:val="0"/>
      <w:tabs>
        <w:tab w:val="right" w:pos="9026"/>
      </w:tabs>
      <w:snapToGrid w:val="0"/>
      <w:spacing w:after="0" w:line="480" w:lineRule="auto"/>
      <w:jc w:val="both"/>
      <w:outlineLvl w:val="0"/>
    </w:pPr>
    <w:rPr>
      <w:rFonts w:ascii="Times New Roman" w:eastAsia="Times New Roman" w:hAnsi="Times New Roman"/>
      <w:szCs w:val="20"/>
      <w:u w:val="single"/>
    </w:rPr>
  </w:style>
  <w:style w:type="paragraph" w:styleId="Heading5">
    <w:name w:val="heading 5"/>
    <w:basedOn w:val="Normal"/>
    <w:next w:val="Normal"/>
    <w:link w:val="Heading5Char"/>
    <w:uiPriority w:val="9"/>
    <w:semiHidden/>
    <w:unhideWhenUsed/>
    <w:qFormat/>
    <w:rsid w:val="0078689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348"/>
    <w:rPr>
      <w:rFonts w:ascii="Segoe UI" w:hAnsi="Segoe UI" w:cs="Segoe UI"/>
      <w:sz w:val="18"/>
      <w:szCs w:val="18"/>
    </w:rPr>
  </w:style>
  <w:style w:type="character" w:styleId="CommentReference">
    <w:name w:val="annotation reference"/>
    <w:basedOn w:val="DefaultParagraphFont"/>
    <w:uiPriority w:val="99"/>
    <w:semiHidden/>
    <w:unhideWhenUsed/>
    <w:rsid w:val="002B3435"/>
    <w:rPr>
      <w:sz w:val="16"/>
      <w:szCs w:val="16"/>
    </w:rPr>
  </w:style>
  <w:style w:type="paragraph" w:styleId="CommentText">
    <w:name w:val="annotation text"/>
    <w:basedOn w:val="Normal"/>
    <w:link w:val="CommentTextChar"/>
    <w:uiPriority w:val="99"/>
    <w:semiHidden/>
    <w:unhideWhenUsed/>
    <w:rsid w:val="002B3435"/>
    <w:pPr>
      <w:spacing w:line="240" w:lineRule="auto"/>
    </w:pPr>
    <w:rPr>
      <w:sz w:val="20"/>
      <w:szCs w:val="20"/>
    </w:rPr>
  </w:style>
  <w:style w:type="character" w:customStyle="1" w:styleId="CommentTextChar">
    <w:name w:val="Comment Text Char"/>
    <w:basedOn w:val="DefaultParagraphFont"/>
    <w:link w:val="CommentText"/>
    <w:uiPriority w:val="99"/>
    <w:semiHidden/>
    <w:rsid w:val="002B3435"/>
    <w:rPr>
      <w:sz w:val="20"/>
      <w:szCs w:val="20"/>
    </w:rPr>
  </w:style>
  <w:style w:type="paragraph" w:styleId="CommentSubject">
    <w:name w:val="annotation subject"/>
    <w:basedOn w:val="CommentText"/>
    <w:next w:val="CommentText"/>
    <w:link w:val="CommentSubjectChar"/>
    <w:uiPriority w:val="99"/>
    <w:semiHidden/>
    <w:unhideWhenUsed/>
    <w:rsid w:val="002B3435"/>
    <w:rPr>
      <w:b/>
      <w:bCs/>
    </w:rPr>
  </w:style>
  <w:style w:type="character" w:customStyle="1" w:styleId="CommentSubjectChar">
    <w:name w:val="Comment Subject Char"/>
    <w:basedOn w:val="CommentTextChar"/>
    <w:link w:val="CommentSubject"/>
    <w:uiPriority w:val="99"/>
    <w:semiHidden/>
    <w:rsid w:val="002B3435"/>
    <w:rPr>
      <w:b/>
      <w:bCs/>
      <w:sz w:val="20"/>
      <w:szCs w:val="20"/>
    </w:rPr>
  </w:style>
  <w:style w:type="paragraph" w:styleId="Header">
    <w:name w:val="header"/>
    <w:basedOn w:val="Normal"/>
    <w:link w:val="HeaderChar"/>
    <w:uiPriority w:val="99"/>
    <w:unhideWhenUsed/>
    <w:rsid w:val="00BB0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2A"/>
  </w:style>
  <w:style w:type="paragraph" w:styleId="Footer">
    <w:name w:val="footer"/>
    <w:basedOn w:val="Normal"/>
    <w:link w:val="FooterChar"/>
    <w:uiPriority w:val="99"/>
    <w:unhideWhenUsed/>
    <w:rsid w:val="00BB0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2A"/>
  </w:style>
  <w:style w:type="character" w:customStyle="1" w:styleId="Heading1Char">
    <w:name w:val="Heading 1 Char"/>
    <w:basedOn w:val="DefaultParagraphFont"/>
    <w:link w:val="Heading1"/>
    <w:rsid w:val="005F09F6"/>
    <w:rPr>
      <w:rFonts w:ascii="Times New Roman" w:eastAsia="Times New Roman" w:hAnsi="Times New Roman" w:cs="Times New Roman"/>
      <w:sz w:val="24"/>
      <w:szCs w:val="20"/>
      <w:u w:val="single"/>
    </w:rPr>
  </w:style>
  <w:style w:type="paragraph" w:styleId="NoSpacing">
    <w:name w:val="No Spacing"/>
    <w:uiPriority w:val="1"/>
    <w:qFormat/>
    <w:rsid w:val="005F09F6"/>
    <w:pPr>
      <w:widowControl w:val="0"/>
      <w:snapToGrid w:val="0"/>
      <w:spacing w:after="0" w:line="240" w:lineRule="auto"/>
    </w:pPr>
    <w:rPr>
      <w:rFonts w:ascii="CG Times" w:eastAsia="Times New Roman" w:hAnsi="CG Times"/>
      <w:szCs w:val="20"/>
      <w:lang w:val="en-US"/>
    </w:rPr>
  </w:style>
  <w:style w:type="paragraph" w:customStyle="1" w:styleId="Level1">
    <w:name w:val="Level 1"/>
    <w:basedOn w:val="Normal"/>
    <w:rsid w:val="005F09F6"/>
    <w:pPr>
      <w:widowControl w:val="0"/>
      <w:numPr>
        <w:numId w:val="1"/>
      </w:numPr>
      <w:spacing w:after="0" w:line="240" w:lineRule="auto"/>
      <w:ind w:left="720" w:hanging="720"/>
      <w:outlineLvl w:val="0"/>
    </w:pPr>
    <w:rPr>
      <w:rFonts w:ascii="Times New Roman" w:eastAsia="Times New Roman" w:hAnsi="Times New Roman"/>
      <w:snapToGrid w:val="0"/>
      <w:szCs w:val="20"/>
    </w:rPr>
  </w:style>
  <w:style w:type="character" w:styleId="Hyperlink">
    <w:name w:val="Hyperlink"/>
    <w:basedOn w:val="DefaultParagraphFont"/>
    <w:uiPriority w:val="99"/>
    <w:unhideWhenUsed/>
    <w:rsid w:val="005F09F6"/>
    <w:rPr>
      <w:color w:val="0563C1" w:themeColor="hyperlink"/>
      <w:u w:val="single"/>
    </w:rPr>
  </w:style>
  <w:style w:type="paragraph" w:customStyle="1" w:styleId="ScheduleFlushLeft">
    <w:name w:val="Schedule Flush Left"/>
    <w:next w:val="Normal"/>
    <w:link w:val="ScheduleFlushLeftChar"/>
    <w:rsid w:val="005F09F6"/>
    <w:pPr>
      <w:spacing w:before="120" w:after="0" w:line="240" w:lineRule="auto"/>
    </w:pPr>
    <w:rPr>
      <w:rFonts w:ascii="Times New Roman" w:eastAsia="Times New Roman" w:hAnsi="Times New Roman"/>
      <w:sz w:val="20"/>
      <w:szCs w:val="20"/>
    </w:rPr>
  </w:style>
  <w:style w:type="character" w:customStyle="1" w:styleId="ScheduleFlushLeftChar">
    <w:name w:val="Schedule Flush Left Char"/>
    <w:link w:val="ScheduleFlushLeft"/>
    <w:rsid w:val="005F09F6"/>
    <w:rPr>
      <w:rFonts w:ascii="Times New Roman" w:eastAsia="Times New Roman" w:hAnsi="Times New Roman" w:cs="Times New Roman"/>
      <w:sz w:val="20"/>
      <w:szCs w:val="20"/>
    </w:rPr>
  </w:style>
  <w:style w:type="paragraph" w:styleId="ListParagraph">
    <w:name w:val="List Paragraph"/>
    <w:basedOn w:val="Normal"/>
    <w:uiPriority w:val="34"/>
    <w:qFormat/>
    <w:rsid w:val="005F09F6"/>
    <w:pPr>
      <w:ind w:left="720"/>
      <w:contextualSpacing/>
    </w:pPr>
  </w:style>
  <w:style w:type="paragraph" w:styleId="FootnoteText">
    <w:name w:val="footnote text"/>
    <w:basedOn w:val="Normal"/>
    <w:link w:val="FootnoteTextChar"/>
    <w:uiPriority w:val="99"/>
    <w:semiHidden/>
    <w:unhideWhenUsed/>
    <w:rsid w:val="00D81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34D"/>
    <w:rPr>
      <w:sz w:val="20"/>
      <w:szCs w:val="20"/>
    </w:rPr>
  </w:style>
  <w:style w:type="character" w:styleId="FootnoteReference">
    <w:name w:val="footnote reference"/>
    <w:basedOn w:val="DefaultParagraphFont"/>
    <w:semiHidden/>
    <w:unhideWhenUsed/>
    <w:rsid w:val="00D8134D"/>
    <w:rPr>
      <w:vertAlign w:val="superscript"/>
    </w:rPr>
  </w:style>
  <w:style w:type="table" w:styleId="TableGrid">
    <w:name w:val="Table Grid"/>
    <w:basedOn w:val="TableNormal"/>
    <w:uiPriority w:val="39"/>
    <w:rsid w:val="0086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786898"/>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39"/>
    <w:rsid w:val="0078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4ee726a5436f1f05eeae06a3e4908793">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38af3f63c1128c57b4ac6d6028bf6b42"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E733A-CD0C-43B6-87CA-9C329C96C0F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f3e12af-d81d-47be-85b1-f01e92e38df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0E4C035-9A4E-47E5-B524-FCDE7D8DA2CA}">
  <ds:schemaRefs>
    <ds:schemaRef ds:uri="http://schemas.microsoft.com/sharepoint/v3/contenttype/forms"/>
  </ds:schemaRefs>
</ds:datastoreItem>
</file>

<file path=customXml/itemProps3.xml><?xml version="1.0" encoding="utf-8"?>
<ds:datastoreItem xmlns:ds="http://schemas.openxmlformats.org/officeDocument/2006/customXml" ds:itemID="{342A173A-4BEB-4787-A2DC-1F3C9FC2A10C}"/>
</file>

<file path=customXml/itemProps4.xml><?xml version="1.0" encoding="utf-8"?>
<ds:datastoreItem xmlns:ds="http://schemas.openxmlformats.org/officeDocument/2006/customXml" ds:itemID="{848F937B-710B-4509-9762-D5BAB061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1351</Words>
  <Characters>7704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2019-09-20T06:49:00Z</cp:lastPrinted>
  <dcterms:created xsi:type="dcterms:W3CDTF">2019-09-20T07:47:00Z</dcterms:created>
  <dcterms:modified xsi:type="dcterms:W3CDTF">2019-09-24T00:54:00Z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