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024CB" w14:textId="7708B207" w:rsidR="00270D25" w:rsidRPr="005E2DF1" w:rsidRDefault="002A0B24" w:rsidP="00270D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E6AB1">
        <w:rPr>
          <w:rFonts w:ascii="Times New Roman" w:hAnsi="Times New Roman"/>
          <w:noProof/>
          <w:lang w:eastAsia="en-AU"/>
        </w:rPr>
        <w:drawing>
          <wp:inline distT="0" distB="0" distL="0" distR="0" wp14:anchorId="319C1FDB" wp14:editId="6B56ABC6">
            <wp:extent cx="1127125" cy="112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03D90" w14:textId="77777777" w:rsidR="00BF7AC3" w:rsidRPr="005E2DF1" w:rsidRDefault="00BF7AC3" w:rsidP="00270D2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B669188" w14:textId="77777777" w:rsidR="00270D25" w:rsidRPr="005E2DF1" w:rsidRDefault="00EE434D" w:rsidP="00270D2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E2DF1">
        <w:rPr>
          <w:rFonts w:ascii="Times New Roman" w:hAnsi="Times New Roman"/>
          <w:b/>
          <w:sz w:val="36"/>
          <w:szCs w:val="36"/>
        </w:rPr>
        <w:t>Notice to the Profession</w:t>
      </w:r>
    </w:p>
    <w:p w14:paraId="58E9EE8A" w14:textId="77777777" w:rsidR="00270D25" w:rsidRPr="004E6AB1" w:rsidRDefault="00270D25" w:rsidP="00270D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70FFC6" w14:textId="77777777" w:rsidR="008C39AD" w:rsidRPr="00AF494E" w:rsidRDefault="008C39AD" w:rsidP="00270D2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AF494E">
        <w:rPr>
          <w:rFonts w:ascii="Times New Roman" w:hAnsi="Times New Roman"/>
          <w:sz w:val="24"/>
          <w:szCs w:val="24"/>
        </w:rPr>
        <w:t>The Chief Justice has authorised the issue of the following notice.</w:t>
      </w:r>
      <w:r w:rsidRPr="00AF494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7110807" w14:textId="77777777" w:rsidR="008C39AD" w:rsidRDefault="0093427C" w:rsidP="0093427C">
      <w:pPr>
        <w:tabs>
          <w:tab w:val="left" w:pos="581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36DB7C1" w14:textId="77777777" w:rsidR="00C74B3A" w:rsidRDefault="00C74B3A" w:rsidP="00C74B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en-AU"/>
        </w:rPr>
      </w:pPr>
      <w:r w:rsidRPr="00C74B3A">
        <w:rPr>
          <w:rFonts w:ascii="Times New Roman" w:eastAsia="Times New Roman" w:hAnsi="Times New Roman"/>
          <w:b/>
          <w:sz w:val="28"/>
          <w:szCs w:val="24"/>
          <w:lang w:eastAsia="en-AU"/>
        </w:rPr>
        <w:t>Mortgage Recovery List in the Commercial Court</w:t>
      </w:r>
    </w:p>
    <w:p w14:paraId="132F3E55" w14:textId="77777777" w:rsidR="00AF494E" w:rsidRPr="00C74B3A" w:rsidRDefault="00AF494E" w:rsidP="00C74B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en-AU"/>
        </w:rPr>
      </w:pPr>
    </w:p>
    <w:p w14:paraId="167706D7" w14:textId="77777777" w:rsidR="00C74B3A" w:rsidRPr="00AF494E" w:rsidRDefault="00C74B3A" w:rsidP="00AF494E">
      <w:pPr>
        <w:spacing w:before="12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en-AU"/>
        </w:rPr>
      </w:pPr>
      <w:r w:rsidRPr="00C74B3A">
        <w:rPr>
          <w:rFonts w:ascii="Times New Roman" w:eastAsia="Times New Roman" w:hAnsi="Times New Roman"/>
          <w:sz w:val="24"/>
          <w:szCs w:val="24"/>
          <w:lang w:eastAsia="en-AU"/>
        </w:rPr>
        <w:t>The purpose of this Notice is to provide updated guidance to practitioners and li</w:t>
      </w:r>
      <w:bookmarkStart w:id="0" w:name="_GoBack"/>
      <w:bookmarkEnd w:id="0"/>
      <w:r w:rsidRPr="00C74B3A">
        <w:rPr>
          <w:rFonts w:ascii="Times New Roman" w:eastAsia="Times New Roman" w:hAnsi="Times New Roman"/>
          <w:sz w:val="24"/>
          <w:szCs w:val="24"/>
          <w:lang w:eastAsia="en-AU"/>
        </w:rPr>
        <w:t>tigants when commencing mortgage default proceedings in the Commercial Court.</w:t>
      </w:r>
    </w:p>
    <w:p w14:paraId="6F4E3647" w14:textId="2656D4CC" w:rsidR="00AF494E" w:rsidRPr="00AF494E" w:rsidRDefault="00C74B3A" w:rsidP="00AF494E">
      <w:pPr>
        <w:spacing w:before="12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en-AU"/>
        </w:rPr>
      </w:pPr>
      <w:r w:rsidRPr="00C74B3A">
        <w:rPr>
          <w:rFonts w:ascii="Times New Roman" w:eastAsia="Times New Roman" w:hAnsi="Times New Roman"/>
          <w:sz w:val="24"/>
          <w:szCs w:val="24"/>
          <w:lang w:eastAsia="en-AU"/>
        </w:rPr>
        <w:t>From 30 September 2019, a new Mortgage Recovery List is established</w:t>
      </w:r>
      <w:r w:rsidR="00AF494E" w:rsidRPr="00AF494E">
        <w:rPr>
          <w:rFonts w:ascii="Times New Roman" w:eastAsia="Times New Roman" w:hAnsi="Times New Roman"/>
          <w:sz w:val="24"/>
          <w:szCs w:val="24"/>
          <w:lang w:eastAsia="en-AU"/>
        </w:rPr>
        <w:t>.</w:t>
      </w:r>
      <w:r w:rsidR="00500CD8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AF494E" w:rsidRPr="00AF494E">
        <w:rPr>
          <w:rFonts w:ascii="Times New Roman" w:eastAsia="Times New Roman" w:hAnsi="Times New Roman"/>
          <w:sz w:val="24"/>
          <w:szCs w:val="24"/>
          <w:lang w:eastAsia="en-AU"/>
        </w:rPr>
        <w:t>The Mortgage Recovery List shall be managed by Judicial Registrar Matthews.</w:t>
      </w:r>
    </w:p>
    <w:p w14:paraId="26852945" w14:textId="39F8C165" w:rsidR="00C74B3A" w:rsidRPr="00AF494E" w:rsidRDefault="00AF494E" w:rsidP="00AF494E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F494E">
        <w:rPr>
          <w:rFonts w:ascii="Times New Roman" w:eastAsia="Times New Roman" w:hAnsi="Times New Roman"/>
          <w:sz w:val="24"/>
          <w:szCs w:val="24"/>
          <w:lang w:eastAsia="en-AU"/>
        </w:rPr>
        <w:t>A</w:t>
      </w:r>
      <w:r w:rsidR="00C74B3A" w:rsidRPr="00C74B3A">
        <w:rPr>
          <w:rFonts w:ascii="Times New Roman" w:eastAsia="Times New Roman" w:hAnsi="Times New Roman"/>
          <w:sz w:val="24"/>
          <w:szCs w:val="24"/>
          <w:lang w:eastAsia="en-AU"/>
        </w:rPr>
        <w:t xml:space="preserve"> party initiating a mortgage default proceeding in the Commercial Court will be required to initiate that proceeding in the Mortgage Recovery List.</w:t>
      </w:r>
      <w:r w:rsidR="00500CD8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C74B3A" w:rsidRPr="00AF494E">
        <w:rPr>
          <w:rFonts w:ascii="Times New Roman" w:hAnsi="Times New Roman"/>
          <w:sz w:val="24"/>
          <w:szCs w:val="24"/>
        </w:rPr>
        <w:t>Proceedings should be initiated in the List by endorsing the heading of the originating process “Mortgage Recovery List”.</w:t>
      </w:r>
      <w:r w:rsidR="00500CD8">
        <w:rPr>
          <w:rFonts w:ascii="Times New Roman" w:hAnsi="Times New Roman"/>
          <w:sz w:val="24"/>
          <w:szCs w:val="24"/>
        </w:rPr>
        <w:t xml:space="preserve"> </w:t>
      </w:r>
      <w:r w:rsidR="00C74B3A" w:rsidRPr="00AF494E">
        <w:rPr>
          <w:rFonts w:ascii="Times New Roman" w:hAnsi="Times New Roman"/>
          <w:sz w:val="24"/>
          <w:szCs w:val="24"/>
        </w:rPr>
        <w:t>The heading of all subsequent documents filed in the proceeding should also be endorsed “Mortgage Recovery List”.</w:t>
      </w:r>
    </w:p>
    <w:p w14:paraId="5D8D100F" w14:textId="4F5C6A56" w:rsidR="00C74B3A" w:rsidRDefault="00C74B3A" w:rsidP="00AF494E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F494E">
        <w:rPr>
          <w:rFonts w:ascii="Times New Roman" w:hAnsi="Times New Roman"/>
          <w:sz w:val="24"/>
          <w:szCs w:val="24"/>
        </w:rPr>
        <w:t>If at any time after the initiation of a proceeding it appears to the Court that it is appropriate to have the proceeding managed in the Mortgage Recovery List, the Court may transfer the proceeding into the List.</w:t>
      </w:r>
      <w:r w:rsidR="00500CD8">
        <w:rPr>
          <w:rFonts w:ascii="Times New Roman" w:hAnsi="Times New Roman"/>
          <w:sz w:val="24"/>
          <w:szCs w:val="24"/>
        </w:rPr>
        <w:t xml:space="preserve"> </w:t>
      </w:r>
      <w:r w:rsidRPr="00AF494E">
        <w:rPr>
          <w:rFonts w:ascii="Times New Roman" w:hAnsi="Times New Roman"/>
          <w:sz w:val="24"/>
          <w:szCs w:val="24"/>
        </w:rPr>
        <w:t>Conversely, a proceeding initiated in the Mortgage Recovery List may be transferred out of the List if it appears to the Court that it is appropriate to have the proceeding managed in a different list.</w:t>
      </w:r>
    </w:p>
    <w:p w14:paraId="07AE010B" w14:textId="370D7EFD" w:rsidR="00AF494E" w:rsidRPr="00AF494E" w:rsidRDefault="00AF494E" w:rsidP="00AF494E">
      <w:pPr>
        <w:spacing w:before="12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</w:rPr>
        <w:t xml:space="preserve">Any queries in relation to urgent hearings should continue to be directed to </w:t>
      </w:r>
      <w:hyperlink r:id="rId12" w:history="1">
        <w:r w:rsidR="009A1749" w:rsidRPr="006040EA">
          <w:rPr>
            <w:rStyle w:val="Hyperlink"/>
            <w:rFonts w:ascii="Times New Roman" w:hAnsi="Times New Roman"/>
            <w:sz w:val="24"/>
            <w:szCs w:val="24"/>
          </w:rPr>
          <w:t>commercialcourturgents@supcourt.vic.gov.au</w:t>
        </w:r>
      </w:hyperlink>
      <w:r w:rsidR="009A1749">
        <w:rPr>
          <w:rFonts w:ascii="Times New Roman" w:hAnsi="Times New Roman"/>
          <w:sz w:val="24"/>
          <w:szCs w:val="24"/>
        </w:rPr>
        <w:t xml:space="preserve"> or </w:t>
      </w:r>
      <w:r w:rsidR="00500CD8">
        <w:rPr>
          <w:rFonts w:ascii="Times New Roman" w:hAnsi="Times New Roman"/>
          <w:sz w:val="24"/>
          <w:szCs w:val="24"/>
        </w:rPr>
        <w:t xml:space="preserve">03 </w:t>
      </w:r>
      <w:r w:rsidR="009A1749">
        <w:rPr>
          <w:rFonts w:ascii="Times New Roman" w:hAnsi="Times New Roman"/>
          <w:sz w:val="24"/>
          <w:szCs w:val="24"/>
        </w:rPr>
        <w:t>8600 2002 (from 9 am to 5 pm on business days) or 0439 153 522 (outside of those hours).</w:t>
      </w:r>
    </w:p>
    <w:p w14:paraId="396AC48F" w14:textId="77777777" w:rsidR="00F9539C" w:rsidRPr="00AF494E" w:rsidRDefault="00F9539C" w:rsidP="00F953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0037951" w14:textId="77777777" w:rsidR="00C74B3A" w:rsidRPr="00C74B3A" w:rsidRDefault="00C74B3A" w:rsidP="00C74B3A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en-AU"/>
        </w:rPr>
      </w:pPr>
      <w:r w:rsidRPr="00C74B3A">
        <w:rPr>
          <w:rFonts w:ascii="Times New Roman" w:eastAsia="Times New Roman" w:hAnsi="Times New Roman"/>
          <w:sz w:val="24"/>
          <w:szCs w:val="24"/>
          <w:lang w:eastAsia="en-AU"/>
        </w:rPr>
        <w:t>Vivienne Macgillivray</w:t>
      </w:r>
    </w:p>
    <w:p w14:paraId="3051EA53" w14:textId="77777777" w:rsidR="00C74B3A" w:rsidRPr="00C74B3A" w:rsidRDefault="00C74B3A" w:rsidP="00C74B3A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en-AU"/>
        </w:rPr>
      </w:pPr>
      <w:r w:rsidRPr="00C74B3A">
        <w:rPr>
          <w:rFonts w:ascii="Times New Roman" w:eastAsia="Times New Roman" w:hAnsi="Times New Roman"/>
          <w:sz w:val="24"/>
          <w:szCs w:val="24"/>
          <w:lang w:eastAsia="en-AU"/>
        </w:rPr>
        <w:t>Executive Associate to the Chief Justice</w:t>
      </w:r>
    </w:p>
    <w:p w14:paraId="51973A15" w14:textId="77777777" w:rsidR="004E6AB1" w:rsidRDefault="00AF494E" w:rsidP="009A1749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AF494E">
        <w:rPr>
          <w:rFonts w:ascii="Times New Roman" w:eastAsia="Times New Roman" w:hAnsi="Times New Roman"/>
          <w:sz w:val="24"/>
          <w:szCs w:val="24"/>
          <w:lang w:eastAsia="en-AU"/>
        </w:rPr>
        <w:t>30 September 2019</w:t>
      </w:r>
    </w:p>
    <w:sectPr w:rsidR="004E6AB1" w:rsidSect="00792C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A5A9E" w14:textId="77777777" w:rsidR="00B82F67" w:rsidRDefault="00B82F67" w:rsidP="00270D25">
      <w:pPr>
        <w:spacing w:after="0" w:line="240" w:lineRule="auto"/>
      </w:pPr>
      <w:r>
        <w:separator/>
      </w:r>
    </w:p>
  </w:endnote>
  <w:endnote w:type="continuationSeparator" w:id="0">
    <w:p w14:paraId="30535A14" w14:textId="77777777" w:rsidR="00B82F67" w:rsidRDefault="00B82F67" w:rsidP="0027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5A6B" w14:textId="77777777" w:rsidR="00F77571" w:rsidRDefault="00F77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9EB1" w14:textId="283F54ED" w:rsidR="009823E4" w:rsidRPr="005B7BE2" w:rsidRDefault="0067586E" w:rsidP="00792C16">
    <w:pPr>
      <w:pStyle w:val="Foo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>Notice to the Profession</w:t>
    </w:r>
    <w:r w:rsidR="00792C16" w:rsidRPr="00376FD3">
      <w:rPr>
        <w:rFonts w:ascii="Times New Roman" w:hAnsi="Times New Roman"/>
        <w:sz w:val="20"/>
        <w:szCs w:val="20"/>
      </w:rPr>
      <w:t xml:space="preserve"> </w:t>
    </w:r>
    <w:r w:rsidR="00376FD3">
      <w:rPr>
        <w:rFonts w:ascii="Times New Roman" w:hAnsi="Times New Roman"/>
        <w:sz w:val="20"/>
        <w:szCs w:val="20"/>
      </w:rPr>
      <w:t>–</w:t>
    </w:r>
    <w:r w:rsidR="00792C16" w:rsidRPr="005B7BE2">
      <w:rPr>
        <w:rFonts w:ascii="Times New Roman" w:hAnsi="Times New Roman"/>
        <w:sz w:val="20"/>
        <w:szCs w:val="20"/>
      </w:rPr>
      <w:t xml:space="preserve"> </w:t>
    </w:r>
    <w:r w:rsidR="005B7BE2" w:rsidRPr="005B7BE2">
      <w:rPr>
        <w:rFonts w:ascii="Times New Roman" w:hAnsi="Times New Roman"/>
        <w:sz w:val="20"/>
        <w:szCs w:val="20"/>
      </w:rPr>
      <w:t>Updated Practice Court procedures (</w:t>
    </w:r>
    <w:r w:rsidR="0004121D">
      <w:rPr>
        <w:rFonts w:ascii="Times New Roman" w:hAnsi="Times New Roman"/>
        <w:sz w:val="20"/>
        <w:szCs w:val="20"/>
      </w:rPr>
      <w:t>Commercial Court</w:t>
    </w:r>
    <w:r w:rsidR="005B7BE2" w:rsidRPr="005B7BE2">
      <w:rPr>
        <w:rFonts w:ascii="Times New Roman" w:hAnsi="Times New Roman"/>
        <w:sz w:val="20"/>
        <w:szCs w:val="20"/>
      </w:rPr>
      <w:t>)</w:t>
    </w:r>
    <w:r w:rsidR="005B7BE2">
      <w:rPr>
        <w:rFonts w:ascii="Times New Roman" w:hAnsi="Times New Roman"/>
        <w:b/>
        <w:sz w:val="20"/>
        <w:szCs w:val="20"/>
      </w:rPr>
      <w:tab/>
    </w:r>
    <w:r w:rsidR="00792C16" w:rsidRPr="00376FD3">
      <w:rPr>
        <w:rFonts w:ascii="Times New Roman" w:hAnsi="Times New Roman"/>
        <w:sz w:val="20"/>
        <w:szCs w:val="20"/>
      </w:rPr>
      <w:t xml:space="preserve">Page </w:t>
    </w:r>
    <w:r w:rsidR="00792C16" w:rsidRPr="00376FD3">
      <w:rPr>
        <w:rFonts w:ascii="Times New Roman" w:hAnsi="Times New Roman"/>
        <w:bCs/>
        <w:sz w:val="20"/>
        <w:szCs w:val="20"/>
      </w:rPr>
      <w:fldChar w:fldCharType="begin"/>
    </w:r>
    <w:r w:rsidR="00792C16" w:rsidRPr="00376FD3">
      <w:rPr>
        <w:rFonts w:ascii="Times New Roman" w:hAnsi="Times New Roman"/>
        <w:bCs/>
        <w:sz w:val="20"/>
        <w:szCs w:val="20"/>
      </w:rPr>
      <w:instrText xml:space="preserve"> PAGE  \* Arabic  \* MERGEFORMAT </w:instrText>
    </w:r>
    <w:r w:rsidR="00792C16" w:rsidRPr="00376FD3">
      <w:rPr>
        <w:rFonts w:ascii="Times New Roman" w:hAnsi="Times New Roman"/>
        <w:bCs/>
        <w:sz w:val="20"/>
        <w:szCs w:val="20"/>
      </w:rPr>
      <w:fldChar w:fldCharType="separate"/>
    </w:r>
    <w:r w:rsidR="009A1749">
      <w:rPr>
        <w:rFonts w:ascii="Times New Roman" w:hAnsi="Times New Roman"/>
        <w:bCs/>
        <w:noProof/>
        <w:sz w:val="20"/>
        <w:szCs w:val="20"/>
      </w:rPr>
      <w:t>2</w:t>
    </w:r>
    <w:r w:rsidR="00792C16" w:rsidRPr="00376FD3">
      <w:rPr>
        <w:rFonts w:ascii="Times New Roman" w:hAnsi="Times New Roman"/>
        <w:bCs/>
        <w:sz w:val="20"/>
        <w:szCs w:val="20"/>
      </w:rPr>
      <w:fldChar w:fldCharType="end"/>
    </w:r>
    <w:r w:rsidR="00792C16" w:rsidRPr="00376FD3">
      <w:rPr>
        <w:rFonts w:ascii="Times New Roman" w:hAnsi="Times New Roman"/>
        <w:sz w:val="20"/>
        <w:szCs w:val="20"/>
      </w:rPr>
      <w:t xml:space="preserve"> of </w:t>
    </w:r>
    <w:r w:rsidR="00792C16" w:rsidRPr="00376FD3">
      <w:rPr>
        <w:rFonts w:ascii="Times New Roman" w:hAnsi="Times New Roman"/>
        <w:bCs/>
        <w:sz w:val="20"/>
        <w:szCs w:val="20"/>
      </w:rPr>
      <w:fldChar w:fldCharType="begin"/>
    </w:r>
    <w:r w:rsidR="00792C16" w:rsidRPr="00376FD3">
      <w:rPr>
        <w:rFonts w:ascii="Times New Roman" w:hAnsi="Times New Roman"/>
        <w:bCs/>
        <w:sz w:val="20"/>
        <w:szCs w:val="20"/>
      </w:rPr>
      <w:instrText xml:space="preserve"> NUMPAGES  \* Arabic  \* MERGEFORMAT </w:instrText>
    </w:r>
    <w:r w:rsidR="00792C16" w:rsidRPr="00376FD3">
      <w:rPr>
        <w:rFonts w:ascii="Times New Roman" w:hAnsi="Times New Roman"/>
        <w:bCs/>
        <w:sz w:val="20"/>
        <w:szCs w:val="20"/>
      </w:rPr>
      <w:fldChar w:fldCharType="separate"/>
    </w:r>
    <w:r w:rsidR="006A4A49">
      <w:rPr>
        <w:rFonts w:ascii="Times New Roman" w:hAnsi="Times New Roman"/>
        <w:bCs/>
        <w:noProof/>
        <w:sz w:val="20"/>
        <w:szCs w:val="20"/>
      </w:rPr>
      <w:t>1</w:t>
    </w:r>
    <w:r w:rsidR="00792C16" w:rsidRPr="00376FD3">
      <w:rPr>
        <w:rFonts w:ascii="Times New Roman" w:hAnsi="Times New Roman"/>
        <w:bCs/>
        <w:sz w:val="20"/>
        <w:szCs w:val="20"/>
      </w:rPr>
      <w:fldChar w:fldCharType="end"/>
    </w:r>
  </w:p>
  <w:p w14:paraId="2F00BF2C" w14:textId="77777777" w:rsidR="009823E4" w:rsidRDefault="00982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50C6" w14:textId="4D1D6832" w:rsidR="00792C16" w:rsidRPr="00792C16" w:rsidRDefault="00792C16" w:rsidP="00792C16">
    <w:pPr>
      <w:pStyle w:val="Footer"/>
      <w:jc w:val="right"/>
      <w:rPr>
        <w:rFonts w:ascii="Times New Roman" w:hAnsi="Times New Roman"/>
        <w:sz w:val="20"/>
        <w:szCs w:val="20"/>
      </w:rPr>
    </w:pPr>
    <w:r w:rsidRPr="00792C16">
      <w:rPr>
        <w:rFonts w:ascii="Times New Roman" w:hAnsi="Times New Roman"/>
        <w:sz w:val="20"/>
        <w:szCs w:val="20"/>
      </w:rPr>
      <w:tab/>
    </w:r>
    <w:r w:rsidRPr="00376FD3">
      <w:rPr>
        <w:rFonts w:ascii="Times New Roman" w:hAnsi="Times New Roman"/>
        <w:sz w:val="20"/>
        <w:szCs w:val="20"/>
      </w:rPr>
      <w:t xml:space="preserve">Page </w:t>
    </w:r>
    <w:r w:rsidRPr="00376FD3">
      <w:rPr>
        <w:rFonts w:ascii="Times New Roman" w:hAnsi="Times New Roman"/>
        <w:bCs/>
        <w:sz w:val="20"/>
        <w:szCs w:val="20"/>
      </w:rPr>
      <w:fldChar w:fldCharType="begin"/>
    </w:r>
    <w:r w:rsidRPr="00376FD3">
      <w:rPr>
        <w:rFonts w:ascii="Times New Roman" w:hAnsi="Times New Roman"/>
        <w:bCs/>
        <w:sz w:val="20"/>
        <w:szCs w:val="20"/>
      </w:rPr>
      <w:instrText xml:space="preserve"> PAGE  \* Arabic  \* MERGEFORMAT </w:instrText>
    </w:r>
    <w:r w:rsidRPr="00376FD3">
      <w:rPr>
        <w:rFonts w:ascii="Times New Roman" w:hAnsi="Times New Roman"/>
        <w:bCs/>
        <w:sz w:val="20"/>
        <w:szCs w:val="20"/>
      </w:rPr>
      <w:fldChar w:fldCharType="separate"/>
    </w:r>
    <w:r w:rsidR="006A4A49">
      <w:rPr>
        <w:rFonts w:ascii="Times New Roman" w:hAnsi="Times New Roman"/>
        <w:bCs/>
        <w:noProof/>
        <w:sz w:val="20"/>
        <w:szCs w:val="20"/>
      </w:rPr>
      <w:t>1</w:t>
    </w:r>
    <w:r w:rsidRPr="00376FD3">
      <w:rPr>
        <w:rFonts w:ascii="Times New Roman" w:hAnsi="Times New Roman"/>
        <w:bCs/>
        <w:sz w:val="20"/>
        <w:szCs w:val="20"/>
      </w:rPr>
      <w:fldChar w:fldCharType="end"/>
    </w:r>
    <w:r w:rsidRPr="00376FD3">
      <w:rPr>
        <w:rFonts w:ascii="Times New Roman" w:hAnsi="Times New Roman"/>
        <w:sz w:val="20"/>
        <w:szCs w:val="20"/>
      </w:rPr>
      <w:t xml:space="preserve"> of </w:t>
    </w:r>
    <w:r w:rsidRPr="00376FD3">
      <w:rPr>
        <w:rFonts w:ascii="Times New Roman" w:hAnsi="Times New Roman"/>
        <w:bCs/>
        <w:sz w:val="20"/>
        <w:szCs w:val="20"/>
      </w:rPr>
      <w:fldChar w:fldCharType="begin"/>
    </w:r>
    <w:r w:rsidRPr="00376FD3">
      <w:rPr>
        <w:rFonts w:ascii="Times New Roman" w:hAnsi="Times New Roman"/>
        <w:bCs/>
        <w:sz w:val="20"/>
        <w:szCs w:val="20"/>
      </w:rPr>
      <w:instrText xml:space="preserve"> NUMPAGES  \* Arabic  \* MERGEFORMAT </w:instrText>
    </w:r>
    <w:r w:rsidRPr="00376FD3">
      <w:rPr>
        <w:rFonts w:ascii="Times New Roman" w:hAnsi="Times New Roman"/>
        <w:bCs/>
        <w:sz w:val="20"/>
        <w:szCs w:val="20"/>
      </w:rPr>
      <w:fldChar w:fldCharType="separate"/>
    </w:r>
    <w:r w:rsidR="006A4A49">
      <w:rPr>
        <w:rFonts w:ascii="Times New Roman" w:hAnsi="Times New Roman"/>
        <w:bCs/>
        <w:noProof/>
        <w:sz w:val="20"/>
        <w:szCs w:val="20"/>
      </w:rPr>
      <w:t>1</w:t>
    </w:r>
    <w:r w:rsidRPr="00376FD3">
      <w:rPr>
        <w:rFonts w:ascii="Times New Roman" w:hAnsi="Times New Roman"/>
        <w:bCs/>
        <w:sz w:val="20"/>
        <w:szCs w:val="20"/>
      </w:rPr>
      <w:fldChar w:fldCharType="end"/>
    </w:r>
  </w:p>
  <w:p w14:paraId="75E78608" w14:textId="77777777" w:rsidR="00792C16" w:rsidRDefault="00792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B471A" w14:textId="77777777" w:rsidR="00B82F67" w:rsidRDefault="00B82F67" w:rsidP="00270D25">
      <w:pPr>
        <w:spacing w:after="0" w:line="240" w:lineRule="auto"/>
      </w:pPr>
      <w:r>
        <w:separator/>
      </w:r>
    </w:p>
  </w:footnote>
  <w:footnote w:type="continuationSeparator" w:id="0">
    <w:p w14:paraId="0F676084" w14:textId="77777777" w:rsidR="00B82F67" w:rsidRDefault="00B82F67" w:rsidP="0027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1E3B" w14:textId="77777777" w:rsidR="00F77571" w:rsidRDefault="00F77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4634" w14:textId="77777777" w:rsidR="00792C16" w:rsidRPr="00792C16" w:rsidRDefault="00A609FC" w:rsidP="00792C16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Supreme Court of </w:t>
    </w:r>
    <w:r w:rsidRPr="00A609FC">
      <w:rPr>
        <w:rFonts w:ascii="Times New Roman" w:hAnsi="Times New Roman"/>
        <w:sz w:val="20"/>
        <w:szCs w:val="20"/>
      </w:rPr>
      <w:t>Victoria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766C46">
      <w:rPr>
        <w:rFonts w:ascii="Times New Roman" w:hAnsi="Times New Roman"/>
        <w:sz w:val="20"/>
        <w:szCs w:val="20"/>
      </w:rPr>
      <w:t>September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03B4F" w14:textId="77777777" w:rsidR="008A6E3E" w:rsidRDefault="008A6E3E" w:rsidP="004E6AB1">
    <w:pPr>
      <w:pStyle w:val="Header"/>
      <w:tabs>
        <w:tab w:val="clear" w:pos="9026"/>
        <w:tab w:val="righ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4D5"/>
    <w:multiLevelType w:val="hybridMultilevel"/>
    <w:tmpl w:val="209A0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1411"/>
    <w:multiLevelType w:val="hybridMultilevel"/>
    <w:tmpl w:val="208290DA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7DA477F"/>
    <w:multiLevelType w:val="hybridMultilevel"/>
    <w:tmpl w:val="2C24B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77F5"/>
    <w:multiLevelType w:val="hybridMultilevel"/>
    <w:tmpl w:val="EFD422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522F0"/>
    <w:multiLevelType w:val="hybridMultilevel"/>
    <w:tmpl w:val="1EACF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43228"/>
    <w:multiLevelType w:val="hybridMultilevel"/>
    <w:tmpl w:val="C284F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40957"/>
    <w:multiLevelType w:val="hybridMultilevel"/>
    <w:tmpl w:val="1864F47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E4363C"/>
    <w:multiLevelType w:val="hybridMultilevel"/>
    <w:tmpl w:val="D85CE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14953"/>
    <w:multiLevelType w:val="hybridMultilevel"/>
    <w:tmpl w:val="65806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E47EE"/>
    <w:multiLevelType w:val="hybridMultilevel"/>
    <w:tmpl w:val="720E1576"/>
    <w:lvl w:ilvl="0" w:tplc="56AEE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0067"/>
    <w:multiLevelType w:val="hybridMultilevel"/>
    <w:tmpl w:val="5A527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5230E"/>
    <w:multiLevelType w:val="hybridMultilevel"/>
    <w:tmpl w:val="FAAEAA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B5880"/>
    <w:multiLevelType w:val="hybridMultilevel"/>
    <w:tmpl w:val="FAF88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25EF5"/>
    <w:multiLevelType w:val="hybridMultilevel"/>
    <w:tmpl w:val="6A328172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AA04E66"/>
    <w:multiLevelType w:val="hybridMultilevel"/>
    <w:tmpl w:val="EC8AF7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B63A0"/>
    <w:multiLevelType w:val="hybridMultilevel"/>
    <w:tmpl w:val="66207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757C3"/>
    <w:multiLevelType w:val="hybridMultilevel"/>
    <w:tmpl w:val="28A211D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7F05CE"/>
    <w:multiLevelType w:val="hybridMultilevel"/>
    <w:tmpl w:val="D2FA78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631B2"/>
    <w:multiLevelType w:val="multilevel"/>
    <w:tmpl w:val="FF748D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0"/>
  </w:num>
  <w:num w:numId="17">
    <w:abstractNumId w:val="1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F2"/>
    <w:rsid w:val="0004121D"/>
    <w:rsid w:val="000454A2"/>
    <w:rsid w:val="00054B4C"/>
    <w:rsid w:val="00071B54"/>
    <w:rsid w:val="00080004"/>
    <w:rsid w:val="00082E94"/>
    <w:rsid w:val="000925B4"/>
    <w:rsid w:val="000A32D8"/>
    <w:rsid w:val="000A3762"/>
    <w:rsid w:val="000A71AC"/>
    <w:rsid w:val="000B4C00"/>
    <w:rsid w:val="000B50D6"/>
    <w:rsid w:val="000C0783"/>
    <w:rsid w:val="000D44DD"/>
    <w:rsid w:val="0010305C"/>
    <w:rsid w:val="00106D9C"/>
    <w:rsid w:val="001160FC"/>
    <w:rsid w:val="0012718F"/>
    <w:rsid w:val="00131D76"/>
    <w:rsid w:val="001516CA"/>
    <w:rsid w:val="00151B8C"/>
    <w:rsid w:val="00157399"/>
    <w:rsid w:val="001670FE"/>
    <w:rsid w:val="001730CA"/>
    <w:rsid w:val="00191652"/>
    <w:rsid w:val="001E56E4"/>
    <w:rsid w:val="001E760C"/>
    <w:rsid w:val="001E7B94"/>
    <w:rsid w:val="00215381"/>
    <w:rsid w:val="00230F7F"/>
    <w:rsid w:val="0023337C"/>
    <w:rsid w:val="00237CC5"/>
    <w:rsid w:val="00252E3F"/>
    <w:rsid w:val="00260F42"/>
    <w:rsid w:val="00264AB9"/>
    <w:rsid w:val="00270D25"/>
    <w:rsid w:val="0029684F"/>
    <w:rsid w:val="002A0B24"/>
    <w:rsid w:val="002B3DD3"/>
    <w:rsid w:val="002C4DA3"/>
    <w:rsid w:val="002D0D4B"/>
    <w:rsid w:val="002D19B9"/>
    <w:rsid w:val="00305B20"/>
    <w:rsid w:val="003076AC"/>
    <w:rsid w:val="00342F5C"/>
    <w:rsid w:val="0034416C"/>
    <w:rsid w:val="00346DDB"/>
    <w:rsid w:val="003501F8"/>
    <w:rsid w:val="0036016E"/>
    <w:rsid w:val="0037198F"/>
    <w:rsid w:val="00376FD3"/>
    <w:rsid w:val="0038456B"/>
    <w:rsid w:val="003940A7"/>
    <w:rsid w:val="003B1678"/>
    <w:rsid w:val="003B432A"/>
    <w:rsid w:val="003C4699"/>
    <w:rsid w:val="003C797F"/>
    <w:rsid w:val="003E4A0C"/>
    <w:rsid w:val="003F2550"/>
    <w:rsid w:val="00433C65"/>
    <w:rsid w:val="00454D6F"/>
    <w:rsid w:val="00466C0D"/>
    <w:rsid w:val="00477548"/>
    <w:rsid w:val="004A1AF7"/>
    <w:rsid w:val="004A60CC"/>
    <w:rsid w:val="004A7684"/>
    <w:rsid w:val="004C1E8C"/>
    <w:rsid w:val="004E17E9"/>
    <w:rsid w:val="004E6AB1"/>
    <w:rsid w:val="00500CD8"/>
    <w:rsid w:val="005033B3"/>
    <w:rsid w:val="005062E1"/>
    <w:rsid w:val="005115C5"/>
    <w:rsid w:val="005121E2"/>
    <w:rsid w:val="00513E05"/>
    <w:rsid w:val="005273A8"/>
    <w:rsid w:val="0052758A"/>
    <w:rsid w:val="00540D3A"/>
    <w:rsid w:val="00564BAA"/>
    <w:rsid w:val="00567016"/>
    <w:rsid w:val="00585DCD"/>
    <w:rsid w:val="005A10F0"/>
    <w:rsid w:val="005B6AA1"/>
    <w:rsid w:val="005B7BE2"/>
    <w:rsid w:val="005C53A4"/>
    <w:rsid w:val="005C7732"/>
    <w:rsid w:val="005E2DF1"/>
    <w:rsid w:val="005F1AF2"/>
    <w:rsid w:val="00603012"/>
    <w:rsid w:val="006041D7"/>
    <w:rsid w:val="00606BDD"/>
    <w:rsid w:val="0064588C"/>
    <w:rsid w:val="00656564"/>
    <w:rsid w:val="00656C33"/>
    <w:rsid w:val="0066652C"/>
    <w:rsid w:val="0067586E"/>
    <w:rsid w:val="00686B2D"/>
    <w:rsid w:val="006A22DC"/>
    <w:rsid w:val="006A2F20"/>
    <w:rsid w:val="006A4A49"/>
    <w:rsid w:val="006E0A8E"/>
    <w:rsid w:val="006E30C6"/>
    <w:rsid w:val="00717A86"/>
    <w:rsid w:val="00744978"/>
    <w:rsid w:val="00750C38"/>
    <w:rsid w:val="00766C46"/>
    <w:rsid w:val="00792C16"/>
    <w:rsid w:val="007B438D"/>
    <w:rsid w:val="007B54F2"/>
    <w:rsid w:val="007B5DF8"/>
    <w:rsid w:val="007B7F06"/>
    <w:rsid w:val="007C1D16"/>
    <w:rsid w:val="007C7DC6"/>
    <w:rsid w:val="007D29D4"/>
    <w:rsid w:val="007D3ECB"/>
    <w:rsid w:val="007D49F6"/>
    <w:rsid w:val="007E175B"/>
    <w:rsid w:val="007F680C"/>
    <w:rsid w:val="008010EF"/>
    <w:rsid w:val="008043C3"/>
    <w:rsid w:val="0081362F"/>
    <w:rsid w:val="008165DA"/>
    <w:rsid w:val="00853A3B"/>
    <w:rsid w:val="00864402"/>
    <w:rsid w:val="00874810"/>
    <w:rsid w:val="008766E1"/>
    <w:rsid w:val="00881ED0"/>
    <w:rsid w:val="008A6E3E"/>
    <w:rsid w:val="008C28DA"/>
    <w:rsid w:val="008C39AD"/>
    <w:rsid w:val="009034E0"/>
    <w:rsid w:val="0091375D"/>
    <w:rsid w:val="009279E3"/>
    <w:rsid w:val="0093427C"/>
    <w:rsid w:val="00950064"/>
    <w:rsid w:val="00950249"/>
    <w:rsid w:val="00951DBF"/>
    <w:rsid w:val="0096608C"/>
    <w:rsid w:val="00973024"/>
    <w:rsid w:val="00981951"/>
    <w:rsid w:val="009823E4"/>
    <w:rsid w:val="009929F5"/>
    <w:rsid w:val="009A1749"/>
    <w:rsid w:val="009A232E"/>
    <w:rsid w:val="009B6AA8"/>
    <w:rsid w:val="009E008E"/>
    <w:rsid w:val="009E5F0A"/>
    <w:rsid w:val="009F1402"/>
    <w:rsid w:val="00A02F28"/>
    <w:rsid w:val="00A03861"/>
    <w:rsid w:val="00A47510"/>
    <w:rsid w:val="00A544E1"/>
    <w:rsid w:val="00A609FC"/>
    <w:rsid w:val="00A629F0"/>
    <w:rsid w:val="00A6776F"/>
    <w:rsid w:val="00A92DFC"/>
    <w:rsid w:val="00AA1ED1"/>
    <w:rsid w:val="00AF3018"/>
    <w:rsid w:val="00AF494E"/>
    <w:rsid w:val="00B133B0"/>
    <w:rsid w:val="00B13C09"/>
    <w:rsid w:val="00B2423B"/>
    <w:rsid w:val="00B2517B"/>
    <w:rsid w:val="00B30595"/>
    <w:rsid w:val="00B40D42"/>
    <w:rsid w:val="00B50375"/>
    <w:rsid w:val="00B5578D"/>
    <w:rsid w:val="00B65004"/>
    <w:rsid w:val="00B737DB"/>
    <w:rsid w:val="00B82F67"/>
    <w:rsid w:val="00B8480B"/>
    <w:rsid w:val="00BC022E"/>
    <w:rsid w:val="00BC1DDC"/>
    <w:rsid w:val="00BC57C6"/>
    <w:rsid w:val="00BC702B"/>
    <w:rsid w:val="00BD214F"/>
    <w:rsid w:val="00BD6E46"/>
    <w:rsid w:val="00BE049D"/>
    <w:rsid w:val="00BE5F9B"/>
    <w:rsid w:val="00BF6A90"/>
    <w:rsid w:val="00BF7AC3"/>
    <w:rsid w:val="00BF7E13"/>
    <w:rsid w:val="00C53C9E"/>
    <w:rsid w:val="00C5648A"/>
    <w:rsid w:val="00C61B4C"/>
    <w:rsid w:val="00C74B3A"/>
    <w:rsid w:val="00C93E57"/>
    <w:rsid w:val="00C96892"/>
    <w:rsid w:val="00CA788C"/>
    <w:rsid w:val="00CC2FDB"/>
    <w:rsid w:val="00CD39D5"/>
    <w:rsid w:val="00CE2E5E"/>
    <w:rsid w:val="00CF2112"/>
    <w:rsid w:val="00D065D6"/>
    <w:rsid w:val="00D137C0"/>
    <w:rsid w:val="00D1750B"/>
    <w:rsid w:val="00D2329C"/>
    <w:rsid w:val="00D32BF3"/>
    <w:rsid w:val="00D37F0C"/>
    <w:rsid w:val="00D40552"/>
    <w:rsid w:val="00D85977"/>
    <w:rsid w:val="00DD7C88"/>
    <w:rsid w:val="00DE7899"/>
    <w:rsid w:val="00DF368C"/>
    <w:rsid w:val="00DF3844"/>
    <w:rsid w:val="00DF5752"/>
    <w:rsid w:val="00E0058F"/>
    <w:rsid w:val="00E03333"/>
    <w:rsid w:val="00E04FA5"/>
    <w:rsid w:val="00E11E9F"/>
    <w:rsid w:val="00E24AB3"/>
    <w:rsid w:val="00E45DC2"/>
    <w:rsid w:val="00E622E0"/>
    <w:rsid w:val="00E840FA"/>
    <w:rsid w:val="00E85145"/>
    <w:rsid w:val="00E87CFB"/>
    <w:rsid w:val="00EB1FB1"/>
    <w:rsid w:val="00EC589B"/>
    <w:rsid w:val="00ED2493"/>
    <w:rsid w:val="00ED5716"/>
    <w:rsid w:val="00EE434D"/>
    <w:rsid w:val="00F34D48"/>
    <w:rsid w:val="00F773D5"/>
    <w:rsid w:val="00F77571"/>
    <w:rsid w:val="00F9539C"/>
    <w:rsid w:val="00FA6072"/>
    <w:rsid w:val="00FA7480"/>
    <w:rsid w:val="00FB08B3"/>
    <w:rsid w:val="00FB1A5C"/>
    <w:rsid w:val="00FB2D91"/>
    <w:rsid w:val="00FD0ADF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2D72C0B"/>
  <w15:docId w15:val="{078B8084-6E55-4791-94A3-9695320F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25"/>
  </w:style>
  <w:style w:type="paragraph" w:styleId="Footer">
    <w:name w:val="footer"/>
    <w:basedOn w:val="Normal"/>
    <w:link w:val="FooterChar"/>
    <w:uiPriority w:val="99"/>
    <w:unhideWhenUsed/>
    <w:rsid w:val="002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25"/>
  </w:style>
  <w:style w:type="character" w:styleId="CommentReference">
    <w:name w:val="annotation reference"/>
    <w:uiPriority w:val="99"/>
    <w:semiHidden/>
    <w:unhideWhenUsed/>
    <w:rsid w:val="00E8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5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514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F7E1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F7E13"/>
    <w:rPr>
      <w:vertAlign w:val="superscript"/>
    </w:rPr>
  </w:style>
  <w:style w:type="character" w:styleId="Hyperlink">
    <w:name w:val="Hyperlink"/>
    <w:uiPriority w:val="99"/>
    <w:unhideWhenUsed/>
    <w:rsid w:val="005E2DF1"/>
    <w:rPr>
      <w:color w:val="0000FF"/>
      <w:u w:val="single"/>
    </w:rPr>
  </w:style>
  <w:style w:type="paragraph" w:customStyle="1" w:styleId="Default">
    <w:name w:val="Default"/>
    <w:rsid w:val="008C28D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ercialcourturgents@supcourt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D70E-86FB-4E3D-B0A1-8BECAC5E2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DAEE2-C407-4755-BCBA-E0879533D2EB}">
  <ds:schemaRefs>
    <ds:schemaRef ds:uri="http://purl.org/dc/elements/1.1/"/>
    <ds:schemaRef ds:uri="http://schemas.microsoft.com/office/2006/metadata/properties"/>
    <ds:schemaRef ds:uri="http://purl.org/dc/terms/"/>
    <ds:schemaRef ds:uri="263eaefd-0475-4860-b86f-622cd66f4e0c"/>
    <ds:schemaRef ds:uri="bdde84cb-4b1f-4b74-b4a5-14e1a433eee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3BB964-7828-412C-9579-A938ACD05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4418F-B1A4-4153-8C5B-2B07527C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Links>
    <vt:vector size="6" baseType="variant"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mailto:commercialcourturgents@supcourt.vic.gov.au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2019-09-25T23:55:00Z</cp:lastPrinted>
  <dcterms:created xsi:type="dcterms:W3CDTF">2019-09-25T23:51:00Z</dcterms:created>
  <dcterms:modified xsi:type="dcterms:W3CDTF">2019-09-25T23:56:00Z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  <property fmtid="{D5CDD505-2E9C-101B-9397-08002B2CF9AE}" pid="3" name="Date">
    <vt:lpwstr/>
  </property>
</Properties>
</file>