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8897" w14:textId="77777777" w:rsidR="00F01876" w:rsidRDefault="008872F7">
      <w:pPr>
        <w:pStyle w:val="BodyText"/>
        <w:ind w:left="3850"/>
        <w:rPr>
          <w:rFonts w:ascii="Times New Roman"/>
          <w:sz w:val="20"/>
        </w:rPr>
      </w:pPr>
      <w:r>
        <w:rPr>
          <w:rFonts w:ascii="Times New Roman"/>
          <w:noProof/>
          <w:sz w:val="20"/>
          <w:lang w:bidi="ar-SA"/>
        </w:rPr>
        <w:drawing>
          <wp:inline distT="0" distB="0" distL="0" distR="0" wp14:anchorId="5E78890D" wp14:editId="5E78890E">
            <wp:extent cx="1322633" cy="1188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322633" cy="1188720"/>
                    </a:xfrm>
                    <a:prstGeom prst="rect">
                      <a:avLst/>
                    </a:prstGeom>
                  </pic:spPr>
                </pic:pic>
              </a:graphicData>
            </a:graphic>
          </wp:inline>
        </w:drawing>
      </w:r>
    </w:p>
    <w:p w14:paraId="5E788898" w14:textId="77777777" w:rsidR="00F01876" w:rsidRDefault="00F01876">
      <w:pPr>
        <w:pStyle w:val="BodyText"/>
        <w:spacing w:before="4"/>
        <w:rPr>
          <w:rFonts w:ascii="Times New Roman"/>
          <w:sz w:val="29"/>
        </w:rPr>
      </w:pPr>
    </w:p>
    <w:p w14:paraId="5E788899" w14:textId="77777777" w:rsidR="00F01876" w:rsidRDefault="008872F7">
      <w:pPr>
        <w:spacing w:before="94" w:line="259" w:lineRule="auto"/>
        <w:ind w:left="3228" w:right="152" w:hanging="3083"/>
        <w:rPr>
          <w:b/>
          <w:sz w:val="32"/>
        </w:rPr>
      </w:pPr>
      <w:r>
        <w:rPr>
          <w:b/>
          <w:sz w:val="32"/>
        </w:rPr>
        <w:t>Protocol: Principles for Managing Children in the Custody of the Supreme Court</w:t>
      </w:r>
    </w:p>
    <w:p w14:paraId="5E78889A" w14:textId="77777777" w:rsidR="00F01876" w:rsidRDefault="00F01876">
      <w:pPr>
        <w:pStyle w:val="BodyText"/>
        <w:rPr>
          <w:b/>
          <w:sz w:val="20"/>
        </w:rPr>
      </w:pPr>
    </w:p>
    <w:p w14:paraId="5E78889B" w14:textId="77777777" w:rsidR="00F01876" w:rsidRDefault="00F01876">
      <w:pPr>
        <w:pStyle w:val="BodyText"/>
        <w:rPr>
          <w:b/>
          <w:sz w:val="20"/>
        </w:rPr>
      </w:pPr>
    </w:p>
    <w:p w14:paraId="5E78889C" w14:textId="77777777" w:rsidR="00F01876" w:rsidRDefault="00F01876">
      <w:pPr>
        <w:pStyle w:val="BodyText"/>
        <w:spacing w:before="4"/>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138"/>
        <w:gridCol w:w="2340"/>
        <w:gridCol w:w="1980"/>
        <w:gridCol w:w="2451"/>
      </w:tblGrid>
      <w:tr w:rsidR="00F01876" w14:paraId="5E78889F" w14:textId="77777777">
        <w:trPr>
          <w:trHeight w:val="317"/>
        </w:trPr>
        <w:tc>
          <w:tcPr>
            <w:tcW w:w="108" w:type="dxa"/>
            <w:tcBorders>
              <w:right w:val="nil"/>
            </w:tcBorders>
            <w:shd w:val="clear" w:color="auto" w:fill="D0CECE"/>
          </w:tcPr>
          <w:p w14:paraId="5E78889D" w14:textId="77777777" w:rsidR="00F01876" w:rsidRPr="00EB4850" w:rsidRDefault="00F01876">
            <w:pPr>
              <w:pStyle w:val="TableParagraph"/>
              <w:spacing w:line="240" w:lineRule="auto"/>
              <w:ind w:left="0"/>
              <w:rPr>
                <w:rFonts w:ascii="Book Antiqua" w:hAnsi="Book Antiqua"/>
                <w:sz w:val="24"/>
                <w:szCs w:val="24"/>
              </w:rPr>
            </w:pPr>
          </w:p>
        </w:tc>
        <w:tc>
          <w:tcPr>
            <w:tcW w:w="8909" w:type="dxa"/>
            <w:gridSpan w:val="4"/>
            <w:tcBorders>
              <w:left w:val="nil"/>
            </w:tcBorders>
            <w:shd w:val="clear" w:color="auto" w:fill="D0CECE"/>
          </w:tcPr>
          <w:p w14:paraId="5E78889E" w14:textId="77777777" w:rsidR="00F01876" w:rsidRPr="00EB4850" w:rsidRDefault="008872F7">
            <w:pPr>
              <w:pStyle w:val="TableParagraph"/>
              <w:spacing w:line="297" w:lineRule="exact"/>
              <w:ind w:left="4"/>
              <w:rPr>
                <w:rFonts w:ascii="Book Antiqua" w:hAnsi="Book Antiqua"/>
                <w:b/>
                <w:sz w:val="24"/>
                <w:szCs w:val="24"/>
              </w:rPr>
            </w:pPr>
            <w:r w:rsidRPr="00EB4850">
              <w:rPr>
                <w:rFonts w:ascii="Book Antiqua" w:hAnsi="Book Antiqua"/>
                <w:b/>
                <w:sz w:val="24"/>
                <w:szCs w:val="24"/>
              </w:rPr>
              <w:t>Document Details</w:t>
            </w:r>
          </w:p>
        </w:tc>
      </w:tr>
      <w:tr w:rsidR="00F01876" w14:paraId="5E7888A3" w14:textId="77777777">
        <w:trPr>
          <w:trHeight w:val="635"/>
        </w:trPr>
        <w:tc>
          <w:tcPr>
            <w:tcW w:w="2246" w:type="dxa"/>
            <w:gridSpan w:val="2"/>
          </w:tcPr>
          <w:p w14:paraId="5E7888A0" w14:textId="77777777" w:rsidR="00F01876" w:rsidRPr="00EB4850" w:rsidRDefault="008872F7">
            <w:pPr>
              <w:pStyle w:val="TableParagraph"/>
              <w:spacing w:line="317" w:lineRule="exact"/>
              <w:ind w:left="107"/>
              <w:rPr>
                <w:rFonts w:ascii="Book Antiqua" w:hAnsi="Book Antiqua"/>
                <w:b/>
                <w:sz w:val="24"/>
                <w:szCs w:val="24"/>
              </w:rPr>
            </w:pPr>
            <w:r w:rsidRPr="00EB4850">
              <w:rPr>
                <w:rFonts w:ascii="Book Antiqua" w:hAnsi="Book Antiqua"/>
                <w:b/>
                <w:sz w:val="24"/>
                <w:szCs w:val="24"/>
              </w:rPr>
              <w:t>Subject</w:t>
            </w:r>
          </w:p>
        </w:tc>
        <w:tc>
          <w:tcPr>
            <w:tcW w:w="6771" w:type="dxa"/>
            <w:gridSpan w:val="3"/>
          </w:tcPr>
          <w:p w14:paraId="5E7888A1" w14:textId="77777777" w:rsidR="00F01876" w:rsidRPr="00EB4850" w:rsidRDefault="008872F7">
            <w:pPr>
              <w:pStyle w:val="TableParagraph"/>
              <w:spacing w:line="317" w:lineRule="exact"/>
              <w:rPr>
                <w:rFonts w:ascii="Book Antiqua" w:hAnsi="Book Antiqua"/>
                <w:sz w:val="24"/>
                <w:szCs w:val="24"/>
              </w:rPr>
            </w:pPr>
            <w:r w:rsidRPr="00EB4850">
              <w:rPr>
                <w:rFonts w:ascii="Book Antiqua" w:hAnsi="Book Antiqua"/>
                <w:sz w:val="24"/>
                <w:szCs w:val="24"/>
              </w:rPr>
              <w:t>Managing children in the custody of the Supreme Court of</w:t>
            </w:r>
          </w:p>
          <w:p w14:paraId="5E7888A2" w14:textId="77777777" w:rsidR="00F01876" w:rsidRPr="00EB4850" w:rsidRDefault="008872F7">
            <w:pPr>
              <w:pStyle w:val="TableParagraph"/>
              <w:spacing w:before="2" w:line="297" w:lineRule="exact"/>
              <w:rPr>
                <w:rFonts w:ascii="Book Antiqua" w:hAnsi="Book Antiqua"/>
                <w:sz w:val="24"/>
                <w:szCs w:val="24"/>
              </w:rPr>
            </w:pPr>
            <w:r w:rsidRPr="00EB4850">
              <w:rPr>
                <w:rFonts w:ascii="Book Antiqua" w:hAnsi="Book Antiqua"/>
                <w:sz w:val="24"/>
                <w:szCs w:val="24"/>
              </w:rPr>
              <w:t>Victoria</w:t>
            </w:r>
          </w:p>
        </w:tc>
      </w:tr>
      <w:tr w:rsidR="00F01876" w14:paraId="5E7888A8" w14:textId="77777777">
        <w:trPr>
          <w:trHeight w:val="316"/>
        </w:trPr>
        <w:tc>
          <w:tcPr>
            <w:tcW w:w="2246" w:type="dxa"/>
            <w:gridSpan w:val="2"/>
          </w:tcPr>
          <w:p w14:paraId="5E7888A4" w14:textId="77777777" w:rsidR="00F01876" w:rsidRPr="00EB4850" w:rsidRDefault="008872F7">
            <w:pPr>
              <w:pStyle w:val="TableParagraph"/>
              <w:ind w:left="107"/>
              <w:rPr>
                <w:rFonts w:ascii="Book Antiqua" w:hAnsi="Book Antiqua"/>
                <w:b/>
                <w:sz w:val="24"/>
                <w:szCs w:val="24"/>
              </w:rPr>
            </w:pPr>
            <w:r w:rsidRPr="00EB4850">
              <w:rPr>
                <w:rFonts w:ascii="Book Antiqua" w:hAnsi="Book Antiqua"/>
                <w:b/>
                <w:sz w:val="24"/>
                <w:szCs w:val="24"/>
              </w:rPr>
              <w:t>Date Created</w:t>
            </w:r>
          </w:p>
        </w:tc>
        <w:tc>
          <w:tcPr>
            <w:tcW w:w="2340" w:type="dxa"/>
          </w:tcPr>
          <w:p w14:paraId="5E7888A5" w14:textId="77777777" w:rsidR="00F01876" w:rsidRPr="00EB4850" w:rsidRDefault="008872F7">
            <w:pPr>
              <w:pStyle w:val="TableParagraph"/>
              <w:rPr>
                <w:rFonts w:ascii="Book Antiqua" w:hAnsi="Book Antiqua"/>
                <w:sz w:val="24"/>
                <w:szCs w:val="24"/>
              </w:rPr>
            </w:pPr>
            <w:r w:rsidRPr="00EB4850">
              <w:rPr>
                <w:rFonts w:ascii="Book Antiqua" w:hAnsi="Book Antiqua"/>
                <w:sz w:val="24"/>
                <w:szCs w:val="24"/>
              </w:rPr>
              <w:t>7 April 2017</w:t>
            </w:r>
          </w:p>
        </w:tc>
        <w:tc>
          <w:tcPr>
            <w:tcW w:w="1980" w:type="dxa"/>
          </w:tcPr>
          <w:p w14:paraId="5E7888A6" w14:textId="77777777" w:rsidR="00F01876" w:rsidRPr="00EB4850" w:rsidRDefault="008872F7">
            <w:pPr>
              <w:pStyle w:val="TableParagraph"/>
              <w:rPr>
                <w:rFonts w:ascii="Book Antiqua" w:hAnsi="Book Antiqua"/>
                <w:b/>
                <w:sz w:val="24"/>
                <w:szCs w:val="24"/>
              </w:rPr>
            </w:pPr>
            <w:r w:rsidRPr="00EB4850">
              <w:rPr>
                <w:rFonts w:ascii="Book Antiqua" w:hAnsi="Book Antiqua"/>
                <w:b/>
                <w:sz w:val="24"/>
                <w:szCs w:val="24"/>
              </w:rPr>
              <w:t>Last Updated</w:t>
            </w:r>
          </w:p>
        </w:tc>
        <w:tc>
          <w:tcPr>
            <w:tcW w:w="2451" w:type="dxa"/>
          </w:tcPr>
          <w:p w14:paraId="5E7888A7" w14:textId="6E5154AC" w:rsidR="00F01876" w:rsidRPr="00EB4850" w:rsidRDefault="00AF70AE">
            <w:pPr>
              <w:pStyle w:val="TableParagraph"/>
              <w:rPr>
                <w:rFonts w:ascii="Book Antiqua" w:hAnsi="Book Antiqua"/>
                <w:sz w:val="24"/>
                <w:szCs w:val="24"/>
              </w:rPr>
            </w:pPr>
            <w:r w:rsidRPr="00EB4850">
              <w:rPr>
                <w:rFonts w:ascii="Book Antiqua" w:hAnsi="Book Antiqua"/>
                <w:sz w:val="24"/>
                <w:szCs w:val="24"/>
              </w:rPr>
              <w:t xml:space="preserve"> </w:t>
            </w:r>
            <w:r w:rsidR="009A403E" w:rsidRPr="00EB4850">
              <w:rPr>
                <w:rFonts w:ascii="Book Antiqua" w:hAnsi="Book Antiqua"/>
                <w:sz w:val="24"/>
                <w:szCs w:val="24"/>
              </w:rPr>
              <w:t xml:space="preserve">13 </w:t>
            </w:r>
            <w:r w:rsidRPr="00EB4850">
              <w:rPr>
                <w:rFonts w:ascii="Book Antiqua" w:hAnsi="Book Antiqua"/>
                <w:sz w:val="24"/>
                <w:szCs w:val="24"/>
              </w:rPr>
              <w:t>September 2019</w:t>
            </w:r>
          </w:p>
        </w:tc>
      </w:tr>
      <w:tr w:rsidR="00F01876" w14:paraId="5E7888AB" w14:textId="77777777">
        <w:trPr>
          <w:trHeight w:val="318"/>
        </w:trPr>
        <w:tc>
          <w:tcPr>
            <w:tcW w:w="2246" w:type="dxa"/>
            <w:gridSpan w:val="2"/>
          </w:tcPr>
          <w:p w14:paraId="5E7888A9" w14:textId="77777777" w:rsidR="00F01876" w:rsidRPr="00EB4850" w:rsidRDefault="008872F7">
            <w:pPr>
              <w:pStyle w:val="TableParagraph"/>
              <w:spacing w:line="299" w:lineRule="exact"/>
              <w:ind w:left="107"/>
              <w:rPr>
                <w:rFonts w:ascii="Book Antiqua" w:hAnsi="Book Antiqua"/>
                <w:b/>
                <w:sz w:val="24"/>
                <w:szCs w:val="24"/>
              </w:rPr>
            </w:pPr>
            <w:r w:rsidRPr="00EB4850">
              <w:rPr>
                <w:rFonts w:ascii="Book Antiqua" w:hAnsi="Book Antiqua"/>
                <w:b/>
                <w:sz w:val="24"/>
                <w:szCs w:val="24"/>
              </w:rPr>
              <w:t>Authorised By</w:t>
            </w:r>
          </w:p>
        </w:tc>
        <w:tc>
          <w:tcPr>
            <w:tcW w:w="6771" w:type="dxa"/>
            <w:gridSpan w:val="3"/>
          </w:tcPr>
          <w:p w14:paraId="5E7888AA" w14:textId="77777777" w:rsidR="00F01876" w:rsidRPr="00EB4850" w:rsidRDefault="00F01876">
            <w:pPr>
              <w:pStyle w:val="TableParagraph"/>
              <w:spacing w:line="240" w:lineRule="auto"/>
              <w:ind w:left="0"/>
              <w:rPr>
                <w:rFonts w:ascii="Book Antiqua" w:hAnsi="Book Antiqua"/>
                <w:sz w:val="24"/>
                <w:szCs w:val="24"/>
              </w:rPr>
            </w:pPr>
          </w:p>
        </w:tc>
      </w:tr>
    </w:tbl>
    <w:p w14:paraId="72786A98" w14:textId="5E5291FC" w:rsidR="00353145" w:rsidRDefault="00353145">
      <w:pPr>
        <w:pStyle w:val="BodyText"/>
        <w:rPr>
          <w:b/>
          <w:sz w:val="20"/>
        </w:rPr>
      </w:pPr>
    </w:p>
    <w:p w14:paraId="5E7888AD" w14:textId="77777777" w:rsidR="00F01876" w:rsidRDefault="008872F7">
      <w:pPr>
        <w:pStyle w:val="Heading1"/>
        <w:spacing w:before="241"/>
        <w:rPr>
          <w:u w:val="none"/>
        </w:rPr>
      </w:pPr>
      <w:r>
        <w:t>Statement of Purpose</w:t>
      </w:r>
    </w:p>
    <w:p w14:paraId="5E7888AE" w14:textId="77777777" w:rsidR="00F01876" w:rsidRDefault="00F01876">
      <w:pPr>
        <w:pStyle w:val="BodyText"/>
        <w:spacing w:before="9"/>
        <w:rPr>
          <w:b/>
          <w:sz w:val="21"/>
        </w:rPr>
      </w:pPr>
    </w:p>
    <w:p w14:paraId="5E7888AF" w14:textId="04B42E95" w:rsidR="00F01876" w:rsidRDefault="008872F7">
      <w:pPr>
        <w:pStyle w:val="ListParagraph"/>
        <w:numPr>
          <w:ilvl w:val="0"/>
          <w:numId w:val="1"/>
        </w:numPr>
        <w:tabs>
          <w:tab w:val="left" w:pos="821"/>
        </w:tabs>
        <w:spacing w:line="360" w:lineRule="auto"/>
        <w:ind w:right="113"/>
        <w:rPr>
          <w:sz w:val="24"/>
        </w:rPr>
      </w:pPr>
      <w:r>
        <w:rPr>
          <w:sz w:val="24"/>
        </w:rPr>
        <w:t>This protocol applies to matters heard by the Supreme Court of Victoria (‘the Supreme Court’) involving a child</w:t>
      </w:r>
      <w:r w:rsidR="00420CE6">
        <w:rPr>
          <w:rStyle w:val="FootnoteReference"/>
          <w:sz w:val="24"/>
        </w:rPr>
        <w:footnoteReference w:id="1"/>
      </w:r>
      <w:r w:rsidR="00420CE6">
        <w:rPr>
          <w:position w:val="6"/>
          <w:sz w:val="16"/>
        </w:rPr>
        <w:t xml:space="preserve"> </w:t>
      </w:r>
      <w:r>
        <w:rPr>
          <w:sz w:val="24"/>
        </w:rPr>
        <w:t>accused who appears in the criminal trial division</w:t>
      </w:r>
      <w:r>
        <w:rPr>
          <w:spacing w:val="-5"/>
          <w:sz w:val="24"/>
        </w:rPr>
        <w:t xml:space="preserve"> </w:t>
      </w:r>
      <w:r>
        <w:rPr>
          <w:sz w:val="24"/>
        </w:rPr>
        <w:t>or</w:t>
      </w:r>
      <w:r>
        <w:rPr>
          <w:spacing w:val="-2"/>
          <w:sz w:val="24"/>
        </w:rPr>
        <w:t xml:space="preserve"> </w:t>
      </w:r>
      <w:r>
        <w:rPr>
          <w:sz w:val="24"/>
        </w:rPr>
        <w:t>a</w:t>
      </w:r>
      <w:r>
        <w:rPr>
          <w:spacing w:val="-5"/>
          <w:sz w:val="24"/>
        </w:rPr>
        <w:t xml:space="preserve"> </w:t>
      </w:r>
      <w:r>
        <w:rPr>
          <w:sz w:val="24"/>
        </w:rPr>
        <w:t>child</w:t>
      </w:r>
      <w:r>
        <w:rPr>
          <w:spacing w:val="-4"/>
          <w:sz w:val="24"/>
        </w:rPr>
        <w:t xml:space="preserve"> </w:t>
      </w:r>
      <w:r>
        <w:rPr>
          <w:sz w:val="24"/>
        </w:rPr>
        <w:t>applicant</w:t>
      </w:r>
      <w:r>
        <w:rPr>
          <w:spacing w:val="-4"/>
          <w:sz w:val="24"/>
        </w:rPr>
        <w:t xml:space="preserve"> </w:t>
      </w:r>
      <w:r>
        <w:rPr>
          <w:sz w:val="24"/>
        </w:rPr>
        <w:t>or</w:t>
      </w:r>
      <w:r>
        <w:rPr>
          <w:spacing w:val="-3"/>
          <w:sz w:val="24"/>
        </w:rPr>
        <w:t xml:space="preserve"> </w:t>
      </w:r>
      <w:r>
        <w:rPr>
          <w:sz w:val="24"/>
        </w:rPr>
        <w:t>respondent</w:t>
      </w:r>
      <w:r>
        <w:rPr>
          <w:spacing w:val="-3"/>
          <w:sz w:val="24"/>
        </w:rPr>
        <w:t xml:space="preserve"> </w:t>
      </w:r>
      <w:r>
        <w:rPr>
          <w:sz w:val="24"/>
        </w:rPr>
        <w:t>who</w:t>
      </w:r>
      <w:r>
        <w:rPr>
          <w:spacing w:val="-3"/>
          <w:sz w:val="24"/>
        </w:rPr>
        <w:t xml:space="preserve"> </w:t>
      </w:r>
      <w:r>
        <w:rPr>
          <w:sz w:val="24"/>
        </w:rPr>
        <w:t>appears</w:t>
      </w:r>
      <w:r>
        <w:rPr>
          <w:spacing w:val="-5"/>
          <w:sz w:val="24"/>
        </w:rPr>
        <w:t xml:space="preserve"> </w:t>
      </w:r>
      <w:r>
        <w:rPr>
          <w:sz w:val="24"/>
        </w:rPr>
        <w:t>in</w:t>
      </w:r>
      <w:r>
        <w:rPr>
          <w:spacing w:val="-6"/>
          <w:sz w:val="24"/>
        </w:rPr>
        <w:t xml:space="preserve"> </w:t>
      </w:r>
      <w:r>
        <w:rPr>
          <w:sz w:val="24"/>
        </w:rPr>
        <w:t>the</w:t>
      </w:r>
      <w:r>
        <w:rPr>
          <w:spacing w:val="-4"/>
          <w:sz w:val="24"/>
        </w:rPr>
        <w:t xml:space="preserve"> </w:t>
      </w:r>
      <w:r>
        <w:rPr>
          <w:sz w:val="24"/>
        </w:rPr>
        <w:t>criminal</w:t>
      </w:r>
      <w:r>
        <w:rPr>
          <w:spacing w:val="-5"/>
          <w:sz w:val="24"/>
        </w:rPr>
        <w:t xml:space="preserve"> </w:t>
      </w:r>
      <w:r>
        <w:rPr>
          <w:sz w:val="24"/>
        </w:rPr>
        <w:t>appeal division.</w:t>
      </w:r>
    </w:p>
    <w:p w14:paraId="5E7888B0" w14:textId="77777777" w:rsidR="00F01876" w:rsidRDefault="00F01876">
      <w:pPr>
        <w:pStyle w:val="BodyText"/>
        <w:spacing w:before="1"/>
        <w:rPr>
          <w:sz w:val="36"/>
        </w:rPr>
      </w:pPr>
    </w:p>
    <w:p w14:paraId="3DBCBB19" w14:textId="1817EA58" w:rsidR="00420CE6" w:rsidRDefault="008872F7" w:rsidP="00420CE6">
      <w:pPr>
        <w:pStyle w:val="ListParagraph"/>
        <w:numPr>
          <w:ilvl w:val="0"/>
          <w:numId w:val="1"/>
        </w:numPr>
        <w:tabs>
          <w:tab w:val="left" w:pos="821"/>
        </w:tabs>
        <w:spacing w:line="360" w:lineRule="auto"/>
        <w:ind w:right="114"/>
        <w:rPr>
          <w:sz w:val="24"/>
        </w:rPr>
      </w:pPr>
      <w:r>
        <w:rPr>
          <w:sz w:val="24"/>
        </w:rPr>
        <w:t xml:space="preserve">The Supreme Court recognises the rights of children and the obligations it has under the </w:t>
      </w:r>
      <w:r>
        <w:rPr>
          <w:i/>
          <w:sz w:val="24"/>
        </w:rPr>
        <w:t>Charter of Human Rights and Responsibilities Act 2006</w:t>
      </w:r>
      <w:r w:rsidR="005C16E0">
        <w:rPr>
          <w:i/>
          <w:sz w:val="24"/>
        </w:rPr>
        <w:t xml:space="preserve"> </w:t>
      </w:r>
      <w:r w:rsidR="005C16E0" w:rsidRPr="00EB4850">
        <w:rPr>
          <w:sz w:val="24"/>
        </w:rPr>
        <w:t>(</w:t>
      </w:r>
      <w:r w:rsidR="00A7697A">
        <w:rPr>
          <w:sz w:val="24"/>
        </w:rPr>
        <w:t>Vic)</w:t>
      </w:r>
      <w:r w:rsidRPr="005C16E0">
        <w:rPr>
          <w:sz w:val="24"/>
        </w:rPr>
        <w:t>,</w:t>
      </w:r>
      <w:r>
        <w:rPr>
          <w:sz w:val="24"/>
        </w:rPr>
        <w:t xml:space="preserve"> and adopts the following practices and procedures in the management of child accused or child applicants or respondents during their time in its</w:t>
      </w:r>
      <w:r>
        <w:rPr>
          <w:spacing w:val="-6"/>
          <w:sz w:val="24"/>
        </w:rPr>
        <w:t xml:space="preserve"> </w:t>
      </w:r>
      <w:r w:rsidR="00420CE6">
        <w:rPr>
          <w:sz w:val="24"/>
        </w:rPr>
        <w:t xml:space="preserve">custody. </w:t>
      </w:r>
    </w:p>
    <w:p w14:paraId="754FA61B" w14:textId="77777777" w:rsidR="00EF2B20" w:rsidRPr="00EF2B20" w:rsidRDefault="00EF2B20" w:rsidP="00EF2B20">
      <w:pPr>
        <w:pStyle w:val="ListParagraph"/>
        <w:rPr>
          <w:sz w:val="24"/>
        </w:rPr>
      </w:pPr>
    </w:p>
    <w:p w14:paraId="6885EFDB" w14:textId="77777777" w:rsidR="00EF2B20" w:rsidRDefault="00EF2B20" w:rsidP="00EF2B20">
      <w:pPr>
        <w:pStyle w:val="ListParagraph"/>
        <w:tabs>
          <w:tab w:val="left" w:pos="821"/>
        </w:tabs>
        <w:spacing w:line="360" w:lineRule="auto"/>
        <w:ind w:left="820" w:right="114" w:firstLine="0"/>
        <w:rPr>
          <w:sz w:val="24"/>
        </w:rPr>
      </w:pPr>
    </w:p>
    <w:p w14:paraId="0C627A23" w14:textId="77777777" w:rsidR="00420CE6" w:rsidRPr="00420CE6" w:rsidRDefault="00420CE6" w:rsidP="00420CE6">
      <w:pPr>
        <w:pStyle w:val="ListParagraph"/>
        <w:rPr>
          <w:sz w:val="24"/>
        </w:rPr>
      </w:pPr>
    </w:p>
    <w:p w14:paraId="192419C7" w14:textId="089D62E7" w:rsidR="00420CE6" w:rsidRDefault="00420CE6" w:rsidP="00420CE6">
      <w:pPr>
        <w:pStyle w:val="ListParagraph"/>
        <w:numPr>
          <w:ilvl w:val="0"/>
          <w:numId w:val="1"/>
        </w:numPr>
        <w:tabs>
          <w:tab w:val="left" w:pos="821"/>
        </w:tabs>
        <w:spacing w:line="360" w:lineRule="auto"/>
        <w:ind w:right="114"/>
        <w:rPr>
          <w:sz w:val="24"/>
        </w:rPr>
      </w:pPr>
      <w:r w:rsidRPr="00420CE6">
        <w:rPr>
          <w:sz w:val="24"/>
        </w:rPr>
        <w:t>In</w:t>
      </w:r>
      <w:r w:rsidRPr="00420CE6">
        <w:rPr>
          <w:spacing w:val="-14"/>
          <w:sz w:val="24"/>
        </w:rPr>
        <w:t xml:space="preserve"> </w:t>
      </w:r>
      <w:r w:rsidRPr="00420CE6">
        <w:rPr>
          <w:sz w:val="24"/>
        </w:rPr>
        <w:t>its</w:t>
      </w:r>
      <w:r w:rsidRPr="00420CE6">
        <w:rPr>
          <w:spacing w:val="-14"/>
          <w:sz w:val="24"/>
        </w:rPr>
        <w:t xml:space="preserve"> </w:t>
      </w:r>
      <w:r w:rsidRPr="00420CE6">
        <w:rPr>
          <w:sz w:val="24"/>
        </w:rPr>
        <w:t>management</w:t>
      </w:r>
      <w:r w:rsidRPr="00420CE6">
        <w:rPr>
          <w:spacing w:val="-13"/>
          <w:sz w:val="24"/>
        </w:rPr>
        <w:t xml:space="preserve"> </w:t>
      </w:r>
      <w:r w:rsidRPr="00420CE6">
        <w:rPr>
          <w:sz w:val="24"/>
        </w:rPr>
        <w:t>of</w:t>
      </w:r>
      <w:r w:rsidRPr="00420CE6">
        <w:rPr>
          <w:spacing w:val="-16"/>
          <w:sz w:val="24"/>
        </w:rPr>
        <w:t xml:space="preserve"> </w:t>
      </w:r>
      <w:r w:rsidRPr="00420CE6">
        <w:rPr>
          <w:sz w:val="24"/>
        </w:rPr>
        <w:t>these</w:t>
      </w:r>
      <w:r w:rsidRPr="00420CE6">
        <w:rPr>
          <w:spacing w:val="-13"/>
          <w:sz w:val="24"/>
        </w:rPr>
        <w:t xml:space="preserve"> </w:t>
      </w:r>
      <w:r w:rsidRPr="00420CE6">
        <w:rPr>
          <w:sz w:val="24"/>
        </w:rPr>
        <w:t>children</w:t>
      </w:r>
      <w:r w:rsidRPr="00420CE6">
        <w:rPr>
          <w:spacing w:val="-14"/>
          <w:sz w:val="24"/>
        </w:rPr>
        <w:t xml:space="preserve"> </w:t>
      </w:r>
      <w:r w:rsidRPr="00420CE6">
        <w:rPr>
          <w:sz w:val="24"/>
        </w:rPr>
        <w:t>in</w:t>
      </w:r>
      <w:r w:rsidRPr="00420CE6">
        <w:rPr>
          <w:spacing w:val="-14"/>
          <w:sz w:val="24"/>
        </w:rPr>
        <w:t xml:space="preserve"> </w:t>
      </w:r>
      <w:r w:rsidRPr="00420CE6">
        <w:rPr>
          <w:sz w:val="24"/>
        </w:rPr>
        <w:t>its</w:t>
      </w:r>
      <w:r w:rsidRPr="00420CE6">
        <w:rPr>
          <w:spacing w:val="-14"/>
          <w:sz w:val="24"/>
        </w:rPr>
        <w:t xml:space="preserve"> </w:t>
      </w:r>
      <w:r w:rsidRPr="00420CE6">
        <w:rPr>
          <w:sz w:val="24"/>
        </w:rPr>
        <w:t>custody,</w:t>
      </w:r>
      <w:r w:rsidRPr="00420CE6">
        <w:rPr>
          <w:spacing w:val="-12"/>
          <w:sz w:val="24"/>
        </w:rPr>
        <w:t xml:space="preserve"> </w:t>
      </w:r>
      <w:r w:rsidRPr="00420CE6">
        <w:rPr>
          <w:sz w:val="24"/>
        </w:rPr>
        <w:t>the</w:t>
      </w:r>
      <w:r w:rsidRPr="00420CE6">
        <w:rPr>
          <w:spacing w:val="-17"/>
          <w:sz w:val="24"/>
        </w:rPr>
        <w:t xml:space="preserve"> </w:t>
      </w:r>
      <w:r w:rsidRPr="00420CE6">
        <w:rPr>
          <w:sz w:val="24"/>
        </w:rPr>
        <w:t>Supreme</w:t>
      </w:r>
      <w:r w:rsidRPr="00420CE6">
        <w:rPr>
          <w:spacing w:val="-13"/>
          <w:sz w:val="24"/>
        </w:rPr>
        <w:t xml:space="preserve"> </w:t>
      </w:r>
      <w:r w:rsidRPr="00420CE6">
        <w:rPr>
          <w:sz w:val="24"/>
        </w:rPr>
        <w:t>Court</w:t>
      </w:r>
      <w:r w:rsidRPr="00420CE6">
        <w:rPr>
          <w:spacing w:val="-12"/>
          <w:sz w:val="24"/>
        </w:rPr>
        <w:t xml:space="preserve"> </w:t>
      </w:r>
      <w:r w:rsidRPr="00420CE6">
        <w:rPr>
          <w:sz w:val="24"/>
        </w:rPr>
        <w:t>is</w:t>
      </w:r>
      <w:r w:rsidRPr="00420CE6">
        <w:rPr>
          <w:spacing w:val="-14"/>
          <w:sz w:val="24"/>
        </w:rPr>
        <w:t xml:space="preserve"> </w:t>
      </w:r>
      <w:r w:rsidRPr="00420CE6">
        <w:rPr>
          <w:sz w:val="24"/>
        </w:rPr>
        <w:t>guided by the general principle that it should take reasonable and necessary steps to ensure</w:t>
      </w:r>
      <w:r w:rsidRPr="00420CE6">
        <w:rPr>
          <w:spacing w:val="-17"/>
          <w:sz w:val="24"/>
        </w:rPr>
        <w:t xml:space="preserve"> </w:t>
      </w:r>
      <w:r w:rsidRPr="00420CE6">
        <w:rPr>
          <w:sz w:val="24"/>
        </w:rPr>
        <w:t>that</w:t>
      </w:r>
      <w:r w:rsidRPr="00420CE6">
        <w:rPr>
          <w:spacing w:val="-16"/>
          <w:sz w:val="24"/>
        </w:rPr>
        <w:t xml:space="preserve"> </w:t>
      </w:r>
      <w:r w:rsidRPr="00420CE6">
        <w:rPr>
          <w:sz w:val="24"/>
        </w:rPr>
        <w:t>children</w:t>
      </w:r>
      <w:r w:rsidRPr="00420CE6">
        <w:rPr>
          <w:spacing w:val="-17"/>
          <w:sz w:val="24"/>
        </w:rPr>
        <w:t xml:space="preserve"> </w:t>
      </w:r>
      <w:r w:rsidRPr="00420CE6">
        <w:rPr>
          <w:sz w:val="24"/>
        </w:rPr>
        <w:t>are</w:t>
      </w:r>
      <w:r w:rsidRPr="00420CE6">
        <w:rPr>
          <w:spacing w:val="-16"/>
          <w:sz w:val="24"/>
        </w:rPr>
        <w:t xml:space="preserve"> </w:t>
      </w:r>
      <w:r w:rsidRPr="00420CE6">
        <w:rPr>
          <w:sz w:val="24"/>
        </w:rPr>
        <w:t>not</w:t>
      </w:r>
      <w:r w:rsidRPr="00420CE6">
        <w:rPr>
          <w:spacing w:val="-16"/>
          <w:sz w:val="24"/>
        </w:rPr>
        <w:t xml:space="preserve"> </w:t>
      </w:r>
      <w:r w:rsidRPr="00420CE6">
        <w:rPr>
          <w:sz w:val="24"/>
        </w:rPr>
        <w:t>exposed</w:t>
      </w:r>
      <w:r w:rsidRPr="00420CE6">
        <w:rPr>
          <w:spacing w:val="-17"/>
          <w:sz w:val="24"/>
        </w:rPr>
        <w:t xml:space="preserve"> </w:t>
      </w:r>
      <w:r w:rsidRPr="00420CE6">
        <w:rPr>
          <w:sz w:val="24"/>
        </w:rPr>
        <w:t>to</w:t>
      </w:r>
      <w:r w:rsidRPr="00420CE6">
        <w:rPr>
          <w:spacing w:val="-17"/>
          <w:sz w:val="24"/>
        </w:rPr>
        <w:t xml:space="preserve"> </w:t>
      </w:r>
      <w:r w:rsidRPr="00420CE6">
        <w:rPr>
          <w:sz w:val="24"/>
        </w:rPr>
        <w:t>avoidable</w:t>
      </w:r>
      <w:r w:rsidRPr="00420CE6">
        <w:rPr>
          <w:spacing w:val="-17"/>
          <w:sz w:val="24"/>
        </w:rPr>
        <w:t xml:space="preserve"> </w:t>
      </w:r>
      <w:r w:rsidRPr="00420CE6">
        <w:rPr>
          <w:sz w:val="24"/>
        </w:rPr>
        <w:t>intimidation,</w:t>
      </w:r>
      <w:r w:rsidRPr="00420CE6">
        <w:rPr>
          <w:spacing w:val="-17"/>
          <w:sz w:val="24"/>
        </w:rPr>
        <w:t xml:space="preserve"> </w:t>
      </w:r>
      <w:r w:rsidRPr="00420CE6">
        <w:rPr>
          <w:sz w:val="24"/>
        </w:rPr>
        <w:t>humiliation</w:t>
      </w:r>
      <w:r w:rsidRPr="00420CE6">
        <w:rPr>
          <w:spacing w:val="-17"/>
          <w:sz w:val="24"/>
        </w:rPr>
        <w:t xml:space="preserve"> </w:t>
      </w:r>
      <w:r w:rsidRPr="00420CE6">
        <w:rPr>
          <w:sz w:val="24"/>
        </w:rPr>
        <w:t>and distress and that they are assisted to effectively participate in proceedings before the court.</w:t>
      </w:r>
      <w:r>
        <w:rPr>
          <w:rStyle w:val="FootnoteReference"/>
          <w:sz w:val="24"/>
        </w:rPr>
        <w:footnoteReference w:id="2"/>
      </w:r>
      <w:r w:rsidRPr="00420CE6">
        <w:rPr>
          <w:position w:val="6"/>
          <w:sz w:val="16"/>
        </w:rPr>
        <w:t xml:space="preserve"> </w:t>
      </w:r>
      <w:r w:rsidRPr="00420CE6">
        <w:rPr>
          <w:sz w:val="24"/>
        </w:rPr>
        <w:t>The Court acknowledges that particularised in-court procedures may be needed to make them age appropriate and possible adjustments will be considered by the Court in each</w:t>
      </w:r>
      <w:r w:rsidRPr="00420CE6">
        <w:rPr>
          <w:spacing w:val="-7"/>
          <w:sz w:val="24"/>
        </w:rPr>
        <w:t xml:space="preserve"> </w:t>
      </w:r>
      <w:r>
        <w:rPr>
          <w:sz w:val="24"/>
        </w:rPr>
        <w:t xml:space="preserve">case. </w:t>
      </w:r>
    </w:p>
    <w:p w14:paraId="0989F576" w14:textId="1471BFDC" w:rsidR="00420CE6" w:rsidRDefault="00420CE6" w:rsidP="00420CE6">
      <w:pPr>
        <w:tabs>
          <w:tab w:val="left" w:pos="821"/>
        </w:tabs>
        <w:spacing w:line="360" w:lineRule="auto"/>
        <w:ind w:right="114"/>
        <w:rPr>
          <w:sz w:val="24"/>
        </w:rPr>
      </w:pPr>
    </w:p>
    <w:p w14:paraId="6ADA0B9F" w14:textId="77777777" w:rsidR="00420CE6" w:rsidRPr="00420CE6" w:rsidRDefault="00420CE6" w:rsidP="00420CE6">
      <w:pPr>
        <w:tabs>
          <w:tab w:val="left" w:pos="821"/>
        </w:tabs>
        <w:spacing w:line="360" w:lineRule="auto"/>
        <w:ind w:right="114"/>
        <w:rPr>
          <w:sz w:val="24"/>
        </w:rPr>
        <w:sectPr w:rsidR="00420CE6" w:rsidRPr="00420CE6" w:rsidSect="00420CE6">
          <w:type w:val="continuous"/>
          <w:pgSz w:w="11910" w:h="16840" w:code="9"/>
          <w:pgMar w:top="1440" w:right="1440" w:bottom="1440" w:left="1440" w:header="720" w:footer="720" w:gutter="0"/>
          <w:cols w:space="720"/>
          <w:docGrid w:linePitch="299"/>
        </w:sectPr>
      </w:pPr>
    </w:p>
    <w:p w14:paraId="5E7888BE" w14:textId="65836222" w:rsidR="00F01876" w:rsidRPr="00420CE6" w:rsidRDefault="008872F7" w:rsidP="00420CE6">
      <w:pPr>
        <w:pStyle w:val="ListParagraph"/>
        <w:numPr>
          <w:ilvl w:val="0"/>
          <w:numId w:val="1"/>
        </w:numPr>
        <w:tabs>
          <w:tab w:val="left" w:pos="821"/>
        </w:tabs>
        <w:spacing w:line="360" w:lineRule="auto"/>
        <w:ind w:right="116"/>
        <w:rPr>
          <w:sz w:val="24"/>
        </w:rPr>
      </w:pPr>
      <w:r w:rsidRPr="00420CE6">
        <w:rPr>
          <w:sz w:val="24"/>
        </w:rPr>
        <w:t>Whilst</w:t>
      </w:r>
      <w:r w:rsidRPr="00420CE6">
        <w:rPr>
          <w:spacing w:val="-7"/>
          <w:sz w:val="24"/>
        </w:rPr>
        <w:t xml:space="preserve"> </w:t>
      </w:r>
      <w:r w:rsidRPr="00420CE6">
        <w:rPr>
          <w:sz w:val="24"/>
        </w:rPr>
        <w:t>many</w:t>
      </w:r>
      <w:r w:rsidRPr="00420CE6">
        <w:rPr>
          <w:spacing w:val="-6"/>
          <w:sz w:val="24"/>
        </w:rPr>
        <w:t xml:space="preserve"> </w:t>
      </w:r>
      <w:r w:rsidRPr="00420CE6">
        <w:rPr>
          <w:sz w:val="24"/>
        </w:rPr>
        <w:t>of</w:t>
      </w:r>
      <w:r w:rsidRPr="00420CE6">
        <w:rPr>
          <w:spacing w:val="-7"/>
          <w:sz w:val="24"/>
        </w:rPr>
        <w:t xml:space="preserve"> </w:t>
      </w:r>
      <w:r w:rsidRPr="00420CE6">
        <w:rPr>
          <w:sz w:val="24"/>
        </w:rPr>
        <w:t>the</w:t>
      </w:r>
      <w:r w:rsidRPr="00420CE6">
        <w:rPr>
          <w:spacing w:val="-7"/>
          <w:sz w:val="24"/>
        </w:rPr>
        <w:t xml:space="preserve"> </w:t>
      </w:r>
      <w:r w:rsidRPr="00420CE6">
        <w:rPr>
          <w:sz w:val="24"/>
        </w:rPr>
        <w:t>in-court</w:t>
      </w:r>
      <w:r w:rsidRPr="00420CE6">
        <w:rPr>
          <w:spacing w:val="-5"/>
          <w:sz w:val="24"/>
        </w:rPr>
        <w:t xml:space="preserve"> </w:t>
      </w:r>
      <w:r w:rsidRPr="00420CE6">
        <w:rPr>
          <w:sz w:val="24"/>
        </w:rPr>
        <w:t>procedures</w:t>
      </w:r>
      <w:r w:rsidRPr="00420CE6">
        <w:rPr>
          <w:spacing w:val="-7"/>
          <w:sz w:val="24"/>
        </w:rPr>
        <w:t xml:space="preserve"> </w:t>
      </w:r>
      <w:r w:rsidRPr="00420CE6">
        <w:rPr>
          <w:sz w:val="24"/>
        </w:rPr>
        <w:t>used</w:t>
      </w:r>
      <w:r w:rsidRPr="00420CE6">
        <w:rPr>
          <w:spacing w:val="-6"/>
          <w:sz w:val="24"/>
        </w:rPr>
        <w:t xml:space="preserve"> </w:t>
      </w:r>
      <w:r w:rsidRPr="00420CE6">
        <w:rPr>
          <w:sz w:val="24"/>
        </w:rPr>
        <w:t>in</w:t>
      </w:r>
      <w:r w:rsidRPr="00420CE6">
        <w:rPr>
          <w:spacing w:val="-7"/>
          <w:sz w:val="24"/>
        </w:rPr>
        <w:t xml:space="preserve"> </w:t>
      </w:r>
      <w:r w:rsidRPr="00420CE6">
        <w:rPr>
          <w:sz w:val="24"/>
        </w:rPr>
        <w:t>the</w:t>
      </w:r>
      <w:r w:rsidRPr="00420CE6">
        <w:rPr>
          <w:spacing w:val="-7"/>
          <w:sz w:val="24"/>
        </w:rPr>
        <w:t xml:space="preserve"> </w:t>
      </w:r>
      <w:r w:rsidRPr="00420CE6">
        <w:rPr>
          <w:sz w:val="24"/>
        </w:rPr>
        <w:t>Children’s</w:t>
      </w:r>
      <w:r w:rsidRPr="00420CE6">
        <w:rPr>
          <w:spacing w:val="-7"/>
          <w:sz w:val="24"/>
        </w:rPr>
        <w:t xml:space="preserve"> </w:t>
      </w:r>
      <w:r w:rsidRPr="00420CE6">
        <w:rPr>
          <w:sz w:val="24"/>
        </w:rPr>
        <w:t>Court</w:t>
      </w:r>
      <w:r w:rsidRPr="00420CE6">
        <w:rPr>
          <w:spacing w:val="-5"/>
          <w:sz w:val="24"/>
        </w:rPr>
        <w:t xml:space="preserve"> </w:t>
      </w:r>
      <w:r w:rsidRPr="00420CE6">
        <w:rPr>
          <w:sz w:val="24"/>
        </w:rPr>
        <w:t>will</w:t>
      </w:r>
      <w:r w:rsidRPr="00420CE6">
        <w:rPr>
          <w:spacing w:val="-7"/>
          <w:sz w:val="24"/>
        </w:rPr>
        <w:t xml:space="preserve"> </w:t>
      </w:r>
      <w:r w:rsidRPr="00420CE6">
        <w:rPr>
          <w:sz w:val="24"/>
        </w:rPr>
        <w:t>serve as an appropriate guide, it must also be recognised that the Supreme Court does not have the same purpose built facilities as the Children’s</w:t>
      </w:r>
      <w:r w:rsidRPr="00420CE6">
        <w:rPr>
          <w:spacing w:val="-10"/>
          <w:sz w:val="24"/>
        </w:rPr>
        <w:t xml:space="preserve"> </w:t>
      </w:r>
      <w:r w:rsidRPr="00420CE6">
        <w:rPr>
          <w:sz w:val="24"/>
        </w:rPr>
        <w:t>Court.</w:t>
      </w:r>
    </w:p>
    <w:p w14:paraId="5E7888BF" w14:textId="77777777" w:rsidR="00F01876" w:rsidRDefault="00F01876">
      <w:pPr>
        <w:pStyle w:val="BodyText"/>
        <w:rPr>
          <w:sz w:val="28"/>
        </w:rPr>
      </w:pPr>
    </w:p>
    <w:p w14:paraId="5E7888C0" w14:textId="77777777" w:rsidR="00F01876" w:rsidRDefault="00F01876">
      <w:pPr>
        <w:pStyle w:val="BodyText"/>
        <w:spacing w:before="5"/>
        <w:rPr>
          <w:sz w:val="27"/>
        </w:rPr>
      </w:pPr>
    </w:p>
    <w:p w14:paraId="5E7888C1" w14:textId="77777777" w:rsidR="00F01876" w:rsidRDefault="008872F7">
      <w:pPr>
        <w:pStyle w:val="ListParagraph"/>
        <w:numPr>
          <w:ilvl w:val="0"/>
          <w:numId w:val="1"/>
        </w:numPr>
        <w:tabs>
          <w:tab w:val="left" w:pos="820"/>
          <w:tab w:val="left" w:pos="821"/>
        </w:tabs>
        <w:rPr>
          <w:sz w:val="24"/>
        </w:rPr>
      </w:pPr>
      <w:r>
        <w:rPr>
          <w:sz w:val="24"/>
        </w:rPr>
        <w:t>This protocol is strictly confined to matters heard in the Supreme</w:t>
      </w:r>
      <w:r>
        <w:rPr>
          <w:spacing w:val="-14"/>
          <w:sz w:val="24"/>
        </w:rPr>
        <w:t xml:space="preserve"> </w:t>
      </w:r>
      <w:r>
        <w:rPr>
          <w:sz w:val="24"/>
        </w:rPr>
        <w:t>Court.</w:t>
      </w:r>
    </w:p>
    <w:p w14:paraId="5E7888C2" w14:textId="77777777" w:rsidR="00F01876" w:rsidRDefault="00F01876">
      <w:pPr>
        <w:pStyle w:val="BodyText"/>
        <w:rPr>
          <w:sz w:val="28"/>
        </w:rPr>
      </w:pPr>
    </w:p>
    <w:p w14:paraId="5E7888C3" w14:textId="77777777" w:rsidR="00F01876" w:rsidRDefault="00F01876">
      <w:pPr>
        <w:pStyle w:val="BodyText"/>
        <w:spacing w:before="2"/>
        <w:rPr>
          <w:sz w:val="38"/>
        </w:rPr>
      </w:pPr>
    </w:p>
    <w:p w14:paraId="5E7888C4" w14:textId="77777777" w:rsidR="00F01876" w:rsidRDefault="008872F7">
      <w:pPr>
        <w:pStyle w:val="Heading1"/>
        <w:rPr>
          <w:u w:val="none"/>
        </w:rPr>
      </w:pPr>
      <w:r>
        <w:t>Detention of a child whilst in the custody of the Supreme Court</w:t>
      </w:r>
    </w:p>
    <w:p w14:paraId="5E7888C5" w14:textId="77777777" w:rsidR="00F01876" w:rsidRDefault="00F01876">
      <w:pPr>
        <w:pStyle w:val="BodyText"/>
        <w:rPr>
          <w:b/>
          <w:sz w:val="22"/>
        </w:rPr>
      </w:pPr>
    </w:p>
    <w:p w14:paraId="5E7888C6" w14:textId="5A1295FA" w:rsidR="00F01876" w:rsidRDefault="008872F7">
      <w:pPr>
        <w:pStyle w:val="ListParagraph"/>
        <w:numPr>
          <w:ilvl w:val="0"/>
          <w:numId w:val="1"/>
        </w:numPr>
        <w:tabs>
          <w:tab w:val="left" w:pos="821"/>
        </w:tabs>
        <w:spacing w:line="360" w:lineRule="auto"/>
        <w:ind w:right="118"/>
        <w:rPr>
          <w:sz w:val="16"/>
        </w:rPr>
      </w:pPr>
      <w:r>
        <w:rPr>
          <w:sz w:val="24"/>
        </w:rPr>
        <w:t>When in attendance at the Supreme Court, a child accused or child applicant or respondent must be segregated from adults whilst held in</w:t>
      </w:r>
      <w:r>
        <w:rPr>
          <w:spacing w:val="-12"/>
          <w:sz w:val="24"/>
        </w:rPr>
        <w:t xml:space="preserve"> </w:t>
      </w:r>
      <w:r>
        <w:rPr>
          <w:sz w:val="24"/>
        </w:rPr>
        <w:t>detention.</w:t>
      </w:r>
      <w:r w:rsidR="00420CE6">
        <w:rPr>
          <w:rStyle w:val="FootnoteReference"/>
          <w:sz w:val="24"/>
        </w:rPr>
        <w:footnoteReference w:id="3"/>
      </w:r>
    </w:p>
    <w:p w14:paraId="5E7888C7" w14:textId="77777777" w:rsidR="00F01876" w:rsidRDefault="00F01876">
      <w:pPr>
        <w:pStyle w:val="BodyText"/>
        <w:rPr>
          <w:sz w:val="28"/>
        </w:rPr>
      </w:pPr>
    </w:p>
    <w:p w14:paraId="5E7888C8" w14:textId="77777777" w:rsidR="00F01876" w:rsidRDefault="00F01876">
      <w:pPr>
        <w:pStyle w:val="BodyText"/>
        <w:spacing w:before="4"/>
        <w:rPr>
          <w:sz w:val="27"/>
        </w:rPr>
      </w:pPr>
    </w:p>
    <w:p w14:paraId="327C7A8B" w14:textId="03791393" w:rsidR="001C58FF" w:rsidRDefault="008872F7" w:rsidP="001C58FF">
      <w:pPr>
        <w:pStyle w:val="ListParagraph"/>
        <w:numPr>
          <w:ilvl w:val="0"/>
          <w:numId w:val="1"/>
        </w:numPr>
        <w:tabs>
          <w:tab w:val="left" w:pos="821"/>
        </w:tabs>
        <w:spacing w:line="360" w:lineRule="auto"/>
        <w:ind w:right="112"/>
        <w:rPr>
          <w:sz w:val="24"/>
        </w:rPr>
      </w:pPr>
      <w:r>
        <w:rPr>
          <w:sz w:val="24"/>
        </w:rPr>
        <w:t>The requirement for segregation of children from adults in custody is mandatory</w:t>
      </w:r>
      <w:r>
        <w:rPr>
          <w:spacing w:val="-16"/>
          <w:sz w:val="24"/>
        </w:rPr>
        <w:t xml:space="preserve"> </w:t>
      </w:r>
      <w:r>
        <w:rPr>
          <w:sz w:val="24"/>
        </w:rPr>
        <w:t>pursuant</w:t>
      </w:r>
      <w:r>
        <w:rPr>
          <w:spacing w:val="-16"/>
          <w:sz w:val="24"/>
        </w:rPr>
        <w:t xml:space="preserve"> </w:t>
      </w:r>
      <w:r>
        <w:rPr>
          <w:sz w:val="24"/>
        </w:rPr>
        <w:t>to</w:t>
      </w:r>
      <w:r>
        <w:rPr>
          <w:spacing w:val="-17"/>
          <w:sz w:val="24"/>
        </w:rPr>
        <w:t xml:space="preserve"> </w:t>
      </w:r>
      <w:r>
        <w:rPr>
          <w:sz w:val="24"/>
        </w:rPr>
        <w:t>s</w:t>
      </w:r>
      <w:r>
        <w:rPr>
          <w:spacing w:val="-18"/>
          <w:sz w:val="24"/>
        </w:rPr>
        <w:t xml:space="preserve"> </w:t>
      </w:r>
      <w:r>
        <w:rPr>
          <w:sz w:val="24"/>
        </w:rPr>
        <w:t>23(1)</w:t>
      </w:r>
      <w:r>
        <w:rPr>
          <w:spacing w:val="-17"/>
          <w:sz w:val="24"/>
        </w:rPr>
        <w:t xml:space="preserve"> </w:t>
      </w:r>
      <w:r>
        <w:rPr>
          <w:sz w:val="24"/>
        </w:rPr>
        <w:t>of</w:t>
      </w:r>
      <w:r>
        <w:rPr>
          <w:spacing w:val="43"/>
          <w:sz w:val="24"/>
        </w:rPr>
        <w:t xml:space="preserve"> </w:t>
      </w:r>
      <w:r>
        <w:rPr>
          <w:sz w:val="24"/>
        </w:rPr>
        <w:t>the</w:t>
      </w:r>
      <w:r>
        <w:rPr>
          <w:spacing w:val="-16"/>
          <w:sz w:val="24"/>
        </w:rPr>
        <w:t xml:space="preserve"> </w:t>
      </w:r>
      <w:r>
        <w:rPr>
          <w:i/>
          <w:sz w:val="24"/>
        </w:rPr>
        <w:t>Charter</w:t>
      </w:r>
      <w:r>
        <w:rPr>
          <w:i/>
          <w:spacing w:val="-15"/>
          <w:sz w:val="24"/>
        </w:rPr>
        <w:t xml:space="preserve"> </w:t>
      </w:r>
      <w:r>
        <w:rPr>
          <w:i/>
          <w:sz w:val="24"/>
        </w:rPr>
        <w:t>of</w:t>
      </w:r>
      <w:r>
        <w:rPr>
          <w:i/>
          <w:spacing w:val="-16"/>
          <w:sz w:val="24"/>
        </w:rPr>
        <w:t xml:space="preserve"> </w:t>
      </w:r>
      <w:r>
        <w:rPr>
          <w:i/>
          <w:sz w:val="24"/>
        </w:rPr>
        <w:t>Human</w:t>
      </w:r>
      <w:r>
        <w:rPr>
          <w:i/>
          <w:spacing w:val="-15"/>
          <w:sz w:val="24"/>
        </w:rPr>
        <w:t xml:space="preserve"> </w:t>
      </w:r>
      <w:r>
        <w:rPr>
          <w:i/>
          <w:sz w:val="24"/>
        </w:rPr>
        <w:t>Rights</w:t>
      </w:r>
      <w:r>
        <w:rPr>
          <w:i/>
          <w:spacing w:val="-17"/>
          <w:sz w:val="24"/>
        </w:rPr>
        <w:t xml:space="preserve"> </w:t>
      </w:r>
      <w:r>
        <w:rPr>
          <w:i/>
          <w:sz w:val="24"/>
        </w:rPr>
        <w:t>and</w:t>
      </w:r>
      <w:r>
        <w:rPr>
          <w:i/>
          <w:spacing w:val="-16"/>
          <w:sz w:val="24"/>
        </w:rPr>
        <w:t xml:space="preserve"> </w:t>
      </w:r>
      <w:r>
        <w:rPr>
          <w:i/>
          <w:sz w:val="24"/>
        </w:rPr>
        <w:t>Responsibilities Act 2006</w:t>
      </w:r>
      <w:r w:rsidR="00A7697A">
        <w:rPr>
          <w:i/>
          <w:sz w:val="24"/>
        </w:rPr>
        <w:t xml:space="preserve"> </w:t>
      </w:r>
      <w:r w:rsidR="00A7697A">
        <w:rPr>
          <w:sz w:val="24"/>
        </w:rPr>
        <w:t>(Vic)</w:t>
      </w:r>
      <w:r>
        <w:rPr>
          <w:sz w:val="24"/>
        </w:rPr>
        <w:t>. Further, under s 23(3</w:t>
      </w:r>
      <w:r w:rsidRPr="0088065F">
        <w:rPr>
          <w:sz w:val="24"/>
        </w:rPr>
        <w:t>) of that Act, a</w:t>
      </w:r>
      <w:r>
        <w:rPr>
          <w:sz w:val="24"/>
        </w:rPr>
        <w:t xml:space="preserve"> child charged with a criminal offence has the right to a procedure that takes into account his or her age and the desirability of promoting the child’s rehabilitation. The right to age- appropriate</w:t>
      </w:r>
      <w:r>
        <w:rPr>
          <w:spacing w:val="-17"/>
          <w:sz w:val="24"/>
        </w:rPr>
        <w:t xml:space="preserve"> </w:t>
      </w:r>
      <w:r>
        <w:rPr>
          <w:sz w:val="24"/>
        </w:rPr>
        <w:t>procedures</w:t>
      </w:r>
      <w:r>
        <w:rPr>
          <w:spacing w:val="-17"/>
          <w:sz w:val="24"/>
        </w:rPr>
        <w:t xml:space="preserve"> </w:t>
      </w:r>
      <w:r>
        <w:rPr>
          <w:sz w:val="24"/>
        </w:rPr>
        <w:t>also</w:t>
      </w:r>
      <w:r>
        <w:rPr>
          <w:spacing w:val="-15"/>
          <w:sz w:val="24"/>
        </w:rPr>
        <w:t xml:space="preserve"> </w:t>
      </w:r>
      <w:r>
        <w:rPr>
          <w:sz w:val="24"/>
        </w:rPr>
        <w:t>arises</w:t>
      </w:r>
      <w:r>
        <w:rPr>
          <w:spacing w:val="-17"/>
          <w:sz w:val="24"/>
        </w:rPr>
        <w:t xml:space="preserve"> </w:t>
      </w:r>
      <w:r>
        <w:rPr>
          <w:sz w:val="24"/>
        </w:rPr>
        <w:t>as</w:t>
      </w:r>
      <w:r>
        <w:rPr>
          <w:spacing w:val="-16"/>
          <w:sz w:val="24"/>
        </w:rPr>
        <w:t xml:space="preserve"> </w:t>
      </w:r>
      <w:r>
        <w:rPr>
          <w:sz w:val="24"/>
        </w:rPr>
        <w:t>an</w:t>
      </w:r>
      <w:r>
        <w:rPr>
          <w:spacing w:val="-16"/>
          <w:sz w:val="24"/>
        </w:rPr>
        <w:t xml:space="preserve"> </w:t>
      </w:r>
      <w:r>
        <w:rPr>
          <w:sz w:val="24"/>
        </w:rPr>
        <w:t>aspect</w:t>
      </w:r>
      <w:r>
        <w:rPr>
          <w:spacing w:val="-15"/>
          <w:sz w:val="24"/>
        </w:rPr>
        <w:t xml:space="preserve"> </w:t>
      </w:r>
      <w:r>
        <w:rPr>
          <w:sz w:val="24"/>
        </w:rPr>
        <w:t>of</w:t>
      </w:r>
      <w:r>
        <w:rPr>
          <w:spacing w:val="-17"/>
          <w:sz w:val="24"/>
        </w:rPr>
        <w:t xml:space="preserve"> </w:t>
      </w:r>
      <w:r>
        <w:rPr>
          <w:sz w:val="24"/>
        </w:rPr>
        <w:t>the</w:t>
      </w:r>
      <w:r>
        <w:rPr>
          <w:spacing w:val="-17"/>
          <w:sz w:val="24"/>
        </w:rPr>
        <w:t xml:space="preserve"> </w:t>
      </w:r>
      <w:r>
        <w:rPr>
          <w:sz w:val="24"/>
        </w:rPr>
        <w:t>right</w:t>
      </w:r>
      <w:r>
        <w:rPr>
          <w:spacing w:val="-18"/>
          <w:sz w:val="24"/>
        </w:rPr>
        <w:t xml:space="preserve"> </w:t>
      </w:r>
      <w:r>
        <w:rPr>
          <w:sz w:val="24"/>
        </w:rPr>
        <w:t>to</w:t>
      </w:r>
      <w:r>
        <w:rPr>
          <w:spacing w:val="-15"/>
          <w:sz w:val="24"/>
        </w:rPr>
        <w:t xml:space="preserve"> </w:t>
      </w:r>
      <w:r>
        <w:rPr>
          <w:sz w:val="24"/>
        </w:rPr>
        <w:t>equality</w:t>
      </w:r>
      <w:r>
        <w:rPr>
          <w:spacing w:val="-17"/>
          <w:sz w:val="24"/>
        </w:rPr>
        <w:t xml:space="preserve"> </w:t>
      </w:r>
      <w:r>
        <w:rPr>
          <w:sz w:val="24"/>
        </w:rPr>
        <w:t>in</w:t>
      </w:r>
      <w:r>
        <w:rPr>
          <w:spacing w:val="-17"/>
          <w:sz w:val="24"/>
        </w:rPr>
        <w:t xml:space="preserve"> </w:t>
      </w:r>
      <w:r>
        <w:rPr>
          <w:sz w:val="24"/>
        </w:rPr>
        <w:t>section 8(3) of th</w:t>
      </w:r>
      <w:r w:rsidR="00EB4850">
        <w:rPr>
          <w:sz w:val="24"/>
        </w:rPr>
        <w:t>e</w:t>
      </w:r>
      <w:r>
        <w:rPr>
          <w:spacing w:val="-4"/>
          <w:sz w:val="24"/>
        </w:rPr>
        <w:t xml:space="preserve"> </w:t>
      </w:r>
      <w:r w:rsidR="001C58FF">
        <w:rPr>
          <w:sz w:val="24"/>
        </w:rPr>
        <w:t>Act.</w:t>
      </w:r>
    </w:p>
    <w:p w14:paraId="56F0B043" w14:textId="6743BB38" w:rsidR="00EF2B20" w:rsidRDefault="00EF2B20" w:rsidP="00EF2B20">
      <w:pPr>
        <w:pStyle w:val="ListParagraph"/>
        <w:tabs>
          <w:tab w:val="left" w:pos="821"/>
        </w:tabs>
        <w:spacing w:line="360" w:lineRule="auto"/>
        <w:ind w:left="820" w:right="112" w:firstLine="0"/>
        <w:rPr>
          <w:sz w:val="24"/>
        </w:rPr>
      </w:pPr>
    </w:p>
    <w:p w14:paraId="2C7237D3" w14:textId="77777777" w:rsidR="00B45476" w:rsidRPr="00EF2B20" w:rsidRDefault="00B45476" w:rsidP="00EF2B20">
      <w:pPr>
        <w:pStyle w:val="ListParagraph"/>
        <w:tabs>
          <w:tab w:val="left" w:pos="821"/>
        </w:tabs>
        <w:spacing w:line="360" w:lineRule="auto"/>
        <w:ind w:left="820" w:right="112" w:firstLine="0"/>
        <w:rPr>
          <w:sz w:val="24"/>
        </w:rPr>
        <w:sectPr w:rsidR="00B45476" w:rsidRPr="00EF2B20" w:rsidSect="00420CE6">
          <w:type w:val="continuous"/>
          <w:pgSz w:w="11910" w:h="16840" w:code="9"/>
          <w:pgMar w:top="1440" w:right="1440" w:bottom="1440" w:left="1440" w:header="720" w:footer="720" w:gutter="0"/>
          <w:cols w:space="720"/>
          <w:docGrid w:linePitch="299"/>
        </w:sectPr>
      </w:pPr>
      <w:bookmarkStart w:id="0" w:name="_GoBack"/>
      <w:bookmarkEnd w:id="0"/>
    </w:p>
    <w:p w14:paraId="5E7888D1" w14:textId="77777777" w:rsidR="00F01876" w:rsidRDefault="00F01876">
      <w:pPr>
        <w:pStyle w:val="BodyText"/>
        <w:spacing w:before="4"/>
        <w:rPr>
          <w:sz w:val="23"/>
        </w:rPr>
      </w:pPr>
    </w:p>
    <w:p w14:paraId="5E7888D2" w14:textId="7BC801E3" w:rsidR="00F01876" w:rsidRPr="00EB4850" w:rsidRDefault="008872F7" w:rsidP="00B973B8">
      <w:pPr>
        <w:pStyle w:val="Heading1"/>
        <w:spacing w:before="97" w:line="360" w:lineRule="auto"/>
        <w:ind w:right="152"/>
      </w:pPr>
      <w:r w:rsidRPr="00EB4850">
        <w:t>In-court procedures for hearings (including bail hearings</w:t>
      </w:r>
      <w:r w:rsidR="00C56FFF" w:rsidRPr="00B973B8">
        <w:t>)</w:t>
      </w:r>
      <w:r w:rsidR="00420CE6">
        <w:rPr>
          <w:rStyle w:val="FootnoteReference"/>
        </w:rPr>
        <w:footnoteReference w:id="4"/>
      </w:r>
      <w:r w:rsidRPr="00EB4850">
        <w:t xml:space="preserve"> involving a chi</w:t>
      </w:r>
      <w:r w:rsidR="00B973B8">
        <w:t>ld accused</w:t>
      </w:r>
    </w:p>
    <w:p w14:paraId="5E7888D3" w14:textId="77777777" w:rsidR="00F01876" w:rsidRDefault="008872F7" w:rsidP="00420CE6">
      <w:pPr>
        <w:pStyle w:val="ListParagraph"/>
        <w:numPr>
          <w:ilvl w:val="0"/>
          <w:numId w:val="1"/>
        </w:numPr>
        <w:tabs>
          <w:tab w:val="left" w:pos="820"/>
          <w:tab w:val="left" w:pos="821"/>
        </w:tabs>
        <w:spacing w:before="120" w:line="360" w:lineRule="auto"/>
        <w:ind w:right="116"/>
        <w:rPr>
          <w:sz w:val="24"/>
        </w:rPr>
      </w:pPr>
      <w:r>
        <w:rPr>
          <w:sz w:val="24"/>
        </w:rPr>
        <w:t>Possible</w:t>
      </w:r>
      <w:r>
        <w:rPr>
          <w:spacing w:val="-10"/>
          <w:sz w:val="24"/>
        </w:rPr>
        <w:t xml:space="preserve"> </w:t>
      </w:r>
      <w:r>
        <w:rPr>
          <w:sz w:val="24"/>
        </w:rPr>
        <w:t>adjustments</w:t>
      </w:r>
      <w:r>
        <w:rPr>
          <w:spacing w:val="-12"/>
          <w:sz w:val="24"/>
        </w:rPr>
        <w:t xml:space="preserve"> </w:t>
      </w:r>
      <w:r>
        <w:rPr>
          <w:sz w:val="24"/>
        </w:rPr>
        <w:t>to</w:t>
      </w:r>
      <w:r>
        <w:rPr>
          <w:spacing w:val="-11"/>
          <w:sz w:val="24"/>
        </w:rPr>
        <w:t xml:space="preserve"> </w:t>
      </w:r>
      <w:r>
        <w:rPr>
          <w:sz w:val="24"/>
        </w:rPr>
        <w:t>in-court</w:t>
      </w:r>
      <w:r>
        <w:rPr>
          <w:spacing w:val="-10"/>
          <w:sz w:val="24"/>
        </w:rPr>
        <w:t xml:space="preserve"> </w:t>
      </w:r>
      <w:r>
        <w:rPr>
          <w:sz w:val="24"/>
        </w:rPr>
        <w:t>procedures</w:t>
      </w:r>
      <w:r>
        <w:rPr>
          <w:spacing w:val="-11"/>
          <w:sz w:val="24"/>
        </w:rPr>
        <w:t xml:space="preserve"> </w:t>
      </w:r>
      <w:r>
        <w:rPr>
          <w:sz w:val="24"/>
        </w:rPr>
        <w:t>should</w:t>
      </w:r>
      <w:r>
        <w:rPr>
          <w:spacing w:val="-12"/>
          <w:sz w:val="24"/>
        </w:rPr>
        <w:t xml:space="preserve"> </w:t>
      </w:r>
      <w:r>
        <w:rPr>
          <w:sz w:val="24"/>
        </w:rPr>
        <w:t>be</w:t>
      </w:r>
      <w:r>
        <w:rPr>
          <w:spacing w:val="-10"/>
          <w:sz w:val="24"/>
        </w:rPr>
        <w:t xml:space="preserve"> </w:t>
      </w:r>
      <w:r>
        <w:rPr>
          <w:sz w:val="24"/>
        </w:rPr>
        <w:t>considered</w:t>
      </w:r>
      <w:r>
        <w:rPr>
          <w:spacing w:val="-11"/>
          <w:sz w:val="24"/>
        </w:rPr>
        <w:t xml:space="preserve"> </w:t>
      </w:r>
      <w:r>
        <w:rPr>
          <w:sz w:val="24"/>
        </w:rPr>
        <w:t>and</w:t>
      </w:r>
      <w:r>
        <w:rPr>
          <w:spacing w:val="-13"/>
          <w:sz w:val="24"/>
        </w:rPr>
        <w:t xml:space="preserve"> </w:t>
      </w:r>
      <w:r>
        <w:rPr>
          <w:sz w:val="24"/>
        </w:rPr>
        <w:t>adopted whenever practicable. These</w:t>
      </w:r>
      <w:r>
        <w:rPr>
          <w:spacing w:val="1"/>
          <w:sz w:val="24"/>
        </w:rPr>
        <w:t xml:space="preserve"> </w:t>
      </w:r>
      <w:r>
        <w:rPr>
          <w:sz w:val="24"/>
        </w:rPr>
        <w:t>include:</w:t>
      </w:r>
    </w:p>
    <w:p w14:paraId="5E7888D4" w14:textId="567B630C" w:rsidR="00F01876" w:rsidRDefault="008872F7" w:rsidP="00420CE6">
      <w:pPr>
        <w:pStyle w:val="ListParagraph"/>
        <w:numPr>
          <w:ilvl w:val="1"/>
          <w:numId w:val="3"/>
        </w:numPr>
        <w:tabs>
          <w:tab w:val="left" w:pos="1541"/>
        </w:tabs>
        <w:spacing w:before="1" w:line="360" w:lineRule="auto"/>
        <w:ind w:right="116"/>
        <w:rPr>
          <w:sz w:val="24"/>
        </w:rPr>
      </w:pPr>
      <w:r>
        <w:rPr>
          <w:sz w:val="24"/>
        </w:rPr>
        <w:t>that the hearing of the matter is conducted in a courtroom in which all participants are at or near the same</w:t>
      </w:r>
      <w:r>
        <w:rPr>
          <w:spacing w:val="-3"/>
          <w:sz w:val="24"/>
        </w:rPr>
        <w:t xml:space="preserve"> </w:t>
      </w:r>
      <w:r>
        <w:rPr>
          <w:sz w:val="24"/>
        </w:rPr>
        <w:t>level;</w:t>
      </w:r>
      <w:r w:rsidR="00420CE6">
        <w:rPr>
          <w:rStyle w:val="FootnoteReference"/>
          <w:sz w:val="24"/>
        </w:rPr>
        <w:footnoteReference w:id="5"/>
      </w:r>
    </w:p>
    <w:p w14:paraId="5E7888D5" w14:textId="506FD605" w:rsidR="00F01876" w:rsidRDefault="008872F7" w:rsidP="00420CE6">
      <w:pPr>
        <w:pStyle w:val="ListParagraph"/>
        <w:numPr>
          <w:ilvl w:val="1"/>
          <w:numId w:val="3"/>
        </w:numPr>
        <w:tabs>
          <w:tab w:val="left" w:pos="1540"/>
          <w:tab w:val="left" w:pos="1541"/>
        </w:tabs>
        <w:rPr>
          <w:sz w:val="24"/>
        </w:rPr>
      </w:pPr>
      <w:r>
        <w:rPr>
          <w:sz w:val="24"/>
        </w:rPr>
        <w:t>there is continuity of the judge and</w:t>
      </w:r>
      <w:r>
        <w:rPr>
          <w:spacing w:val="-4"/>
          <w:sz w:val="24"/>
        </w:rPr>
        <w:t xml:space="preserve"> </w:t>
      </w:r>
      <w:r>
        <w:rPr>
          <w:sz w:val="24"/>
        </w:rPr>
        <w:t>courtroom;</w:t>
      </w:r>
      <w:r w:rsidR="00420CE6">
        <w:rPr>
          <w:rStyle w:val="FootnoteReference"/>
          <w:sz w:val="24"/>
        </w:rPr>
        <w:footnoteReference w:id="6"/>
      </w:r>
    </w:p>
    <w:p w14:paraId="5E7888D6" w14:textId="57E1CC20" w:rsidR="00F01876" w:rsidRDefault="008872F7" w:rsidP="00420CE6">
      <w:pPr>
        <w:pStyle w:val="ListParagraph"/>
        <w:numPr>
          <w:ilvl w:val="1"/>
          <w:numId w:val="3"/>
        </w:numPr>
        <w:tabs>
          <w:tab w:val="left" w:pos="1541"/>
        </w:tabs>
        <w:spacing w:before="149" w:line="360" w:lineRule="auto"/>
        <w:ind w:right="119"/>
        <w:rPr>
          <w:sz w:val="24"/>
        </w:rPr>
      </w:pPr>
      <w:r>
        <w:rPr>
          <w:sz w:val="24"/>
        </w:rPr>
        <w:t>the child is allowed to familiarise him or herself with the courtroom at an early stage, such as at directions’</w:t>
      </w:r>
      <w:r>
        <w:rPr>
          <w:spacing w:val="-3"/>
          <w:sz w:val="24"/>
        </w:rPr>
        <w:t xml:space="preserve"> </w:t>
      </w:r>
      <w:r>
        <w:rPr>
          <w:sz w:val="24"/>
        </w:rPr>
        <w:t>hearings;</w:t>
      </w:r>
      <w:r w:rsidR="00420CE6">
        <w:rPr>
          <w:rStyle w:val="FootnoteReference"/>
          <w:sz w:val="24"/>
        </w:rPr>
        <w:footnoteReference w:id="7"/>
      </w:r>
    </w:p>
    <w:p w14:paraId="5E7888D7" w14:textId="08497561" w:rsidR="00F01876" w:rsidRDefault="008872F7" w:rsidP="00420CE6">
      <w:pPr>
        <w:pStyle w:val="ListParagraph"/>
        <w:numPr>
          <w:ilvl w:val="1"/>
          <w:numId w:val="3"/>
        </w:numPr>
        <w:tabs>
          <w:tab w:val="left" w:pos="1541"/>
        </w:tabs>
        <w:spacing w:before="1" w:line="360" w:lineRule="auto"/>
        <w:ind w:right="118"/>
        <w:rPr>
          <w:sz w:val="24"/>
        </w:rPr>
      </w:pPr>
      <w:r>
        <w:rPr>
          <w:sz w:val="24"/>
        </w:rPr>
        <w:t>each step of the proceeding is explained to the child in a manner they can understand, and similarly ensure the matter is conducted, so far as practical, in language that they can</w:t>
      </w:r>
      <w:r>
        <w:rPr>
          <w:spacing w:val="-4"/>
          <w:sz w:val="24"/>
        </w:rPr>
        <w:t xml:space="preserve"> </w:t>
      </w:r>
      <w:r>
        <w:rPr>
          <w:sz w:val="24"/>
        </w:rPr>
        <w:t>understand;</w:t>
      </w:r>
      <w:r w:rsidR="00420CE6">
        <w:rPr>
          <w:rStyle w:val="FootnoteReference"/>
          <w:sz w:val="24"/>
        </w:rPr>
        <w:footnoteReference w:id="8"/>
      </w:r>
    </w:p>
    <w:p w14:paraId="5E7888D8" w14:textId="4DE3744B" w:rsidR="00F01876" w:rsidRDefault="008872F7" w:rsidP="00420CE6">
      <w:pPr>
        <w:pStyle w:val="ListParagraph"/>
        <w:numPr>
          <w:ilvl w:val="1"/>
          <w:numId w:val="3"/>
        </w:numPr>
        <w:tabs>
          <w:tab w:val="left" w:pos="1541"/>
        </w:tabs>
        <w:spacing w:line="360" w:lineRule="auto"/>
        <w:ind w:right="116"/>
        <w:rPr>
          <w:sz w:val="24"/>
        </w:rPr>
      </w:pPr>
      <w:r>
        <w:rPr>
          <w:sz w:val="24"/>
        </w:rPr>
        <w:t>frequent and regular breaks are permitted to account for the child’s inability to concentrate for long</w:t>
      </w:r>
      <w:r>
        <w:rPr>
          <w:spacing w:val="-1"/>
          <w:sz w:val="24"/>
        </w:rPr>
        <w:t xml:space="preserve"> </w:t>
      </w:r>
      <w:r>
        <w:rPr>
          <w:sz w:val="24"/>
        </w:rPr>
        <w:t>periods;</w:t>
      </w:r>
      <w:r w:rsidR="00420CE6">
        <w:rPr>
          <w:rStyle w:val="FootnoteReference"/>
          <w:sz w:val="24"/>
        </w:rPr>
        <w:footnoteReference w:id="9"/>
      </w:r>
    </w:p>
    <w:p w14:paraId="5E7888D9" w14:textId="7DD6EDF7" w:rsidR="00F01876" w:rsidRDefault="008872F7" w:rsidP="00420CE6">
      <w:pPr>
        <w:pStyle w:val="ListParagraph"/>
        <w:numPr>
          <w:ilvl w:val="1"/>
          <w:numId w:val="3"/>
        </w:numPr>
        <w:tabs>
          <w:tab w:val="left" w:pos="1541"/>
        </w:tabs>
        <w:spacing w:line="360" w:lineRule="auto"/>
        <w:ind w:right="115"/>
        <w:rPr>
          <w:sz w:val="24"/>
        </w:rPr>
      </w:pPr>
      <w:r>
        <w:rPr>
          <w:sz w:val="24"/>
        </w:rPr>
        <w:t>the</w:t>
      </w:r>
      <w:r>
        <w:rPr>
          <w:spacing w:val="-5"/>
          <w:sz w:val="24"/>
        </w:rPr>
        <w:t xml:space="preserve"> </w:t>
      </w:r>
      <w:r>
        <w:rPr>
          <w:sz w:val="24"/>
        </w:rPr>
        <w:t>child</w:t>
      </w:r>
      <w:r>
        <w:rPr>
          <w:spacing w:val="-3"/>
          <w:sz w:val="24"/>
        </w:rPr>
        <w:t xml:space="preserve"> </w:t>
      </w:r>
      <w:r>
        <w:rPr>
          <w:sz w:val="24"/>
        </w:rPr>
        <w:t>is</w:t>
      </w:r>
      <w:r>
        <w:rPr>
          <w:spacing w:val="-5"/>
          <w:sz w:val="24"/>
        </w:rPr>
        <w:t xml:space="preserve"> </w:t>
      </w:r>
      <w:r>
        <w:rPr>
          <w:sz w:val="24"/>
        </w:rPr>
        <w:t>held</w:t>
      </w:r>
      <w:r>
        <w:rPr>
          <w:spacing w:val="-5"/>
          <w:sz w:val="24"/>
        </w:rPr>
        <w:t xml:space="preserve"> </w:t>
      </w:r>
      <w:r>
        <w:rPr>
          <w:sz w:val="24"/>
        </w:rPr>
        <w:t>in</w:t>
      </w:r>
      <w:r>
        <w:rPr>
          <w:spacing w:val="-5"/>
          <w:sz w:val="24"/>
        </w:rPr>
        <w:t xml:space="preserve"> </w:t>
      </w:r>
      <w:r>
        <w:rPr>
          <w:sz w:val="24"/>
        </w:rPr>
        <w:t>child</w:t>
      </w:r>
      <w:r>
        <w:rPr>
          <w:spacing w:val="-4"/>
          <w:sz w:val="24"/>
        </w:rPr>
        <w:t xml:space="preserve"> </w:t>
      </w:r>
      <w:r>
        <w:rPr>
          <w:sz w:val="24"/>
        </w:rPr>
        <w:t>friendly</w:t>
      </w:r>
      <w:r>
        <w:rPr>
          <w:spacing w:val="-3"/>
          <w:sz w:val="24"/>
        </w:rPr>
        <w:t xml:space="preserve"> </w:t>
      </w:r>
      <w:r>
        <w:rPr>
          <w:sz w:val="24"/>
        </w:rPr>
        <w:t>waiting</w:t>
      </w:r>
      <w:r>
        <w:rPr>
          <w:spacing w:val="-3"/>
          <w:sz w:val="24"/>
        </w:rPr>
        <w:t xml:space="preserve"> </w:t>
      </w:r>
      <w:r>
        <w:rPr>
          <w:sz w:val="24"/>
        </w:rPr>
        <w:t>rooms,</w:t>
      </w:r>
      <w:r>
        <w:rPr>
          <w:spacing w:val="-5"/>
          <w:sz w:val="24"/>
        </w:rPr>
        <w:t xml:space="preserve"> </w:t>
      </w:r>
      <w:r>
        <w:rPr>
          <w:sz w:val="24"/>
        </w:rPr>
        <w:t>such</w:t>
      </w:r>
      <w:r>
        <w:rPr>
          <w:spacing w:val="-4"/>
          <w:sz w:val="24"/>
        </w:rPr>
        <w:t xml:space="preserve"> </w:t>
      </w:r>
      <w:r>
        <w:rPr>
          <w:sz w:val="24"/>
        </w:rPr>
        <w:t>as</w:t>
      </w:r>
      <w:r>
        <w:rPr>
          <w:spacing w:val="-3"/>
          <w:sz w:val="24"/>
        </w:rPr>
        <w:t xml:space="preserve"> </w:t>
      </w:r>
      <w:r>
        <w:rPr>
          <w:sz w:val="24"/>
        </w:rPr>
        <w:t>an</w:t>
      </w:r>
      <w:r>
        <w:rPr>
          <w:spacing w:val="-4"/>
          <w:sz w:val="24"/>
        </w:rPr>
        <w:t xml:space="preserve"> </w:t>
      </w:r>
      <w:r>
        <w:rPr>
          <w:sz w:val="24"/>
        </w:rPr>
        <w:t>anteroom</w:t>
      </w:r>
      <w:r>
        <w:rPr>
          <w:spacing w:val="-5"/>
          <w:sz w:val="24"/>
        </w:rPr>
        <w:t xml:space="preserve"> </w:t>
      </w:r>
      <w:r>
        <w:rPr>
          <w:sz w:val="24"/>
        </w:rPr>
        <w:t>to the courtroom, during the proceeding.</w:t>
      </w:r>
      <w:r w:rsidR="00420CE6">
        <w:rPr>
          <w:rStyle w:val="FootnoteReference"/>
          <w:sz w:val="24"/>
        </w:rPr>
        <w:footnoteReference w:id="10"/>
      </w:r>
      <w:r>
        <w:rPr>
          <w:position w:val="6"/>
          <w:sz w:val="16"/>
        </w:rPr>
        <w:t xml:space="preserve"> </w:t>
      </w:r>
      <w:r>
        <w:rPr>
          <w:sz w:val="24"/>
        </w:rPr>
        <w:t>The interview rooms outside</w:t>
      </w:r>
      <w:r>
        <w:rPr>
          <w:spacing w:val="-40"/>
          <w:sz w:val="24"/>
        </w:rPr>
        <w:t xml:space="preserve"> </w:t>
      </w:r>
      <w:r>
        <w:rPr>
          <w:sz w:val="24"/>
        </w:rPr>
        <w:t>of Courts 2 and 3 are examples of suitable</w:t>
      </w:r>
      <w:r>
        <w:rPr>
          <w:spacing w:val="-6"/>
          <w:sz w:val="24"/>
        </w:rPr>
        <w:t xml:space="preserve"> </w:t>
      </w:r>
      <w:r>
        <w:rPr>
          <w:sz w:val="24"/>
        </w:rPr>
        <w:t>locations;</w:t>
      </w:r>
    </w:p>
    <w:p w14:paraId="5E7888DA" w14:textId="389D41DD" w:rsidR="00F01876" w:rsidRDefault="008872F7" w:rsidP="00420CE6">
      <w:pPr>
        <w:pStyle w:val="ListParagraph"/>
        <w:numPr>
          <w:ilvl w:val="1"/>
          <w:numId w:val="3"/>
        </w:numPr>
        <w:tabs>
          <w:tab w:val="left" w:pos="1540"/>
          <w:tab w:val="left" w:pos="1541"/>
        </w:tabs>
        <w:rPr>
          <w:sz w:val="24"/>
        </w:rPr>
      </w:pPr>
      <w:r>
        <w:rPr>
          <w:sz w:val="24"/>
        </w:rPr>
        <w:t>the child is not handcuffed;</w:t>
      </w:r>
      <w:r>
        <w:rPr>
          <w:spacing w:val="1"/>
          <w:sz w:val="24"/>
        </w:rPr>
        <w:t xml:space="preserve"> </w:t>
      </w:r>
      <w:r w:rsidR="00420CE6">
        <w:rPr>
          <w:rStyle w:val="FootnoteReference"/>
          <w:spacing w:val="1"/>
          <w:sz w:val="24"/>
        </w:rPr>
        <w:footnoteReference w:id="11"/>
      </w:r>
    </w:p>
    <w:p w14:paraId="5E7888DB" w14:textId="1A4979A8" w:rsidR="00F01876" w:rsidRDefault="008872F7" w:rsidP="00420CE6">
      <w:pPr>
        <w:pStyle w:val="ListParagraph"/>
        <w:numPr>
          <w:ilvl w:val="1"/>
          <w:numId w:val="3"/>
        </w:numPr>
        <w:tabs>
          <w:tab w:val="left" w:pos="1541"/>
        </w:tabs>
        <w:spacing w:before="148" w:line="360" w:lineRule="auto"/>
        <w:ind w:right="123"/>
        <w:rPr>
          <w:sz w:val="24"/>
        </w:rPr>
      </w:pPr>
      <w:r>
        <w:rPr>
          <w:sz w:val="24"/>
        </w:rPr>
        <w:t>the child is permitted to sit near or with counsel and family or friends, and not in the</w:t>
      </w:r>
      <w:r>
        <w:rPr>
          <w:spacing w:val="-2"/>
          <w:sz w:val="24"/>
        </w:rPr>
        <w:t xml:space="preserve"> </w:t>
      </w:r>
      <w:r>
        <w:rPr>
          <w:sz w:val="24"/>
        </w:rPr>
        <w:t>dock;</w:t>
      </w:r>
      <w:r w:rsidR="00420CE6">
        <w:rPr>
          <w:rStyle w:val="FootnoteReference"/>
          <w:sz w:val="24"/>
        </w:rPr>
        <w:footnoteReference w:id="12"/>
      </w:r>
    </w:p>
    <w:p w14:paraId="5E7888EC" w14:textId="0D6ACBCE" w:rsidR="00F01876" w:rsidRDefault="00F01876">
      <w:pPr>
        <w:spacing w:line="248" w:lineRule="exact"/>
        <w:rPr>
          <w:sz w:val="20"/>
        </w:rPr>
        <w:sectPr w:rsidR="00F01876" w:rsidSect="00420CE6">
          <w:type w:val="continuous"/>
          <w:pgSz w:w="11910" w:h="16840" w:code="9"/>
          <w:pgMar w:top="1440" w:right="1440" w:bottom="1440" w:left="1440" w:header="720" w:footer="720" w:gutter="0"/>
          <w:cols w:space="720"/>
          <w:docGrid w:linePitch="299"/>
        </w:sectPr>
      </w:pPr>
    </w:p>
    <w:p w14:paraId="5E7888ED" w14:textId="1B343AB3" w:rsidR="00F01876" w:rsidRDefault="008872F7" w:rsidP="00420CE6">
      <w:pPr>
        <w:pStyle w:val="ListParagraph"/>
        <w:numPr>
          <w:ilvl w:val="1"/>
          <w:numId w:val="3"/>
        </w:numPr>
        <w:tabs>
          <w:tab w:val="left" w:pos="1541"/>
        </w:tabs>
        <w:spacing w:before="80" w:line="360" w:lineRule="auto"/>
        <w:ind w:right="116"/>
        <w:rPr>
          <w:sz w:val="24"/>
        </w:rPr>
      </w:pPr>
      <w:r>
        <w:rPr>
          <w:sz w:val="24"/>
        </w:rPr>
        <w:lastRenderedPageBreak/>
        <w:t>persons responsible for the security of a child are not in uniform and there is no recognisable police presence in the courtroom save for good reason;</w:t>
      </w:r>
      <w:r w:rsidR="00420CE6">
        <w:rPr>
          <w:rStyle w:val="FootnoteReference"/>
          <w:sz w:val="24"/>
        </w:rPr>
        <w:footnoteReference w:id="13"/>
      </w:r>
    </w:p>
    <w:p w14:paraId="5E7888EE" w14:textId="7A393E85" w:rsidR="00F01876" w:rsidRDefault="008872F7" w:rsidP="00420CE6">
      <w:pPr>
        <w:pStyle w:val="ListParagraph"/>
        <w:numPr>
          <w:ilvl w:val="1"/>
          <w:numId w:val="3"/>
        </w:numPr>
        <w:tabs>
          <w:tab w:val="left" w:pos="1540"/>
          <w:tab w:val="left" w:pos="1541"/>
        </w:tabs>
        <w:rPr>
          <w:sz w:val="24"/>
        </w:rPr>
      </w:pPr>
      <w:r>
        <w:rPr>
          <w:sz w:val="24"/>
        </w:rPr>
        <w:t>robes are not</w:t>
      </w:r>
      <w:r>
        <w:rPr>
          <w:spacing w:val="-2"/>
          <w:sz w:val="24"/>
        </w:rPr>
        <w:t xml:space="preserve"> </w:t>
      </w:r>
      <w:r>
        <w:rPr>
          <w:sz w:val="24"/>
        </w:rPr>
        <w:t>worn;</w:t>
      </w:r>
      <w:r w:rsidR="00420CE6">
        <w:rPr>
          <w:rStyle w:val="FootnoteReference"/>
          <w:sz w:val="24"/>
        </w:rPr>
        <w:footnoteReference w:id="14"/>
      </w:r>
    </w:p>
    <w:p w14:paraId="5E7888EF" w14:textId="5BC31B2A" w:rsidR="00F01876" w:rsidRDefault="008872F7" w:rsidP="00420CE6">
      <w:pPr>
        <w:pStyle w:val="ListParagraph"/>
        <w:numPr>
          <w:ilvl w:val="1"/>
          <w:numId w:val="3"/>
        </w:numPr>
        <w:tabs>
          <w:tab w:val="left" w:pos="1540"/>
          <w:tab w:val="left" w:pos="1541"/>
        </w:tabs>
        <w:spacing w:before="148"/>
        <w:rPr>
          <w:sz w:val="24"/>
        </w:rPr>
      </w:pPr>
      <w:r>
        <w:rPr>
          <w:sz w:val="24"/>
        </w:rPr>
        <w:t>counsel speak from a seated</w:t>
      </w:r>
      <w:r>
        <w:rPr>
          <w:spacing w:val="-2"/>
          <w:sz w:val="24"/>
        </w:rPr>
        <w:t xml:space="preserve"> </w:t>
      </w:r>
      <w:r>
        <w:rPr>
          <w:sz w:val="24"/>
        </w:rPr>
        <w:t>position;</w:t>
      </w:r>
      <w:r w:rsidR="00420CE6">
        <w:rPr>
          <w:rStyle w:val="FootnoteReference"/>
          <w:sz w:val="24"/>
        </w:rPr>
        <w:footnoteReference w:id="15"/>
      </w:r>
    </w:p>
    <w:p w14:paraId="5E7888F0" w14:textId="7A68379D" w:rsidR="00F01876" w:rsidRDefault="008872F7" w:rsidP="00420CE6">
      <w:pPr>
        <w:pStyle w:val="ListParagraph"/>
        <w:numPr>
          <w:ilvl w:val="1"/>
          <w:numId w:val="3"/>
        </w:numPr>
        <w:tabs>
          <w:tab w:val="left" w:pos="1540"/>
          <w:tab w:val="left" w:pos="1541"/>
        </w:tabs>
        <w:spacing w:before="150" w:line="360" w:lineRule="auto"/>
        <w:ind w:right="115"/>
        <w:rPr>
          <w:sz w:val="24"/>
        </w:rPr>
      </w:pPr>
      <w:r>
        <w:rPr>
          <w:sz w:val="24"/>
        </w:rPr>
        <w:t>the number of people in attendance is restricted to only those with an immediate interest in the outcome of the proceeding;</w:t>
      </w:r>
      <w:r w:rsidR="00420CE6">
        <w:rPr>
          <w:rStyle w:val="FootnoteReference"/>
          <w:sz w:val="24"/>
        </w:rPr>
        <w:footnoteReference w:id="16"/>
      </w:r>
      <w:r>
        <w:rPr>
          <w:spacing w:val="16"/>
          <w:position w:val="6"/>
          <w:sz w:val="16"/>
        </w:rPr>
        <w:t xml:space="preserve"> </w:t>
      </w:r>
      <w:r>
        <w:rPr>
          <w:sz w:val="24"/>
        </w:rPr>
        <w:t>and</w:t>
      </w:r>
    </w:p>
    <w:p w14:paraId="5E7888F1" w14:textId="1DA0AA82" w:rsidR="00F01876" w:rsidRDefault="008872F7" w:rsidP="00420CE6">
      <w:pPr>
        <w:pStyle w:val="ListParagraph"/>
        <w:numPr>
          <w:ilvl w:val="1"/>
          <w:numId w:val="3"/>
        </w:numPr>
        <w:tabs>
          <w:tab w:val="left" w:pos="1540"/>
          <w:tab w:val="left" w:pos="1541"/>
        </w:tabs>
        <w:spacing w:before="1" w:line="360" w:lineRule="auto"/>
        <w:ind w:right="117"/>
        <w:rPr>
          <w:sz w:val="24"/>
        </w:rPr>
      </w:pPr>
      <w:r>
        <w:rPr>
          <w:sz w:val="24"/>
        </w:rPr>
        <w:t>the</w:t>
      </w:r>
      <w:r>
        <w:rPr>
          <w:spacing w:val="-6"/>
          <w:sz w:val="24"/>
        </w:rPr>
        <w:t xml:space="preserve"> </w:t>
      </w:r>
      <w:r>
        <w:rPr>
          <w:sz w:val="24"/>
        </w:rPr>
        <w:t>child</w:t>
      </w:r>
      <w:r>
        <w:rPr>
          <w:spacing w:val="-4"/>
          <w:sz w:val="24"/>
        </w:rPr>
        <w:t xml:space="preserve"> </w:t>
      </w:r>
      <w:r>
        <w:rPr>
          <w:sz w:val="24"/>
        </w:rPr>
        <w:t>is</w:t>
      </w:r>
      <w:r>
        <w:rPr>
          <w:spacing w:val="-5"/>
          <w:sz w:val="24"/>
        </w:rPr>
        <w:t xml:space="preserve"> </w:t>
      </w:r>
      <w:r>
        <w:rPr>
          <w:sz w:val="24"/>
        </w:rPr>
        <w:t>referred</w:t>
      </w:r>
      <w:r>
        <w:rPr>
          <w:spacing w:val="-6"/>
          <w:sz w:val="24"/>
        </w:rPr>
        <w:t xml:space="preserve"> </w:t>
      </w:r>
      <w:r>
        <w:rPr>
          <w:sz w:val="24"/>
        </w:rPr>
        <w:t>to</w:t>
      </w:r>
      <w:r>
        <w:rPr>
          <w:spacing w:val="-8"/>
          <w:sz w:val="24"/>
        </w:rPr>
        <w:t xml:space="preserve"> </w:t>
      </w:r>
      <w:r>
        <w:rPr>
          <w:sz w:val="24"/>
        </w:rPr>
        <w:t>by</w:t>
      </w:r>
      <w:r>
        <w:rPr>
          <w:spacing w:val="-6"/>
          <w:sz w:val="24"/>
        </w:rPr>
        <w:t xml:space="preserve"> </w:t>
      </w:r>
      <w:r>
        <w:rPr>
          <w:sz w:val="24"/>
        </w:rPr>
        <w:t>his</w:t>
      </w:r>
      <w:r>
        <w:rPr>
          <w:spacing w:val="-5"/>
          <w:sz w:val="24"/>
        </w:rPr>
        <w:t xml:space="preserve"> </w:t>
      </w:r>
      <w:r>
        <w:rPr>
          <w:sz w:val="24"/>
        </w:rPr>
        <w:t>or</w:t>
      </w:r>
      <w:r>
        <w:rPr>
          <w:spacing w:val="-5"/>
          <w:sz w:val="24"/>
        </w:rPr>
        <w:t xml:space="preserve"> </w:t>
      </w:r>
      <w:r>
        <w:rPr>
          <w:sz w:val="24"/>
        </w:rPr>
        <w:t>her</w:t>
      </w:r>
      <w:r>
        <w:rPr>
          <w:spacing w:val="-6"/>
          <w:sz w:val="24"/>
        </w:rPr>
        <w:t xml:space="preserve"> </w:t>
      </w:r>
      <w:r>
        <w:rPr>
          <w:sz w:val="24"/>
        </w:rPr>
        <w:t>first</w:t>
      </w:r>
      <w:r>
        <w:rPr>
          <w:spacing w:val="-5"/>
          <w:sz w:val="24"/>
        </w:rPr>
        <w:t xml:space="preserve"> </w:t>
      </w:r>
      <w:r>
        <w:rPr>
          <w:sz w:val="24"/>
        </w:rPr>
        <w:t>name</w:t>
      </w:r>
      <w:r>
        <w:rPr>
          <w:spacing w:val="-4"/>
          <w:sz w:val="24"/>
        </w:rPr>
        <w:t xml:space="preserve"> </w:t>
      </w:r>
      <w:r>
        <w:rPr>
          <w:sz w:val="24"/>
        </w:rPr>
        <w:t>and</w:t>
      </w:r>
      <w:r>
        <w:rPr>
          <w:spacing w:val="-7"/>
          <w:sz w:val="24"/>
        </w:rPr>
        <w:t xml:space="preserve"> </w:t>
      </w:r>
      <w:r>
        <w:rPr>
          <w:sz w:val="24"/>
        </w:rPr>
        <w:t>not</w:t>
      </w:r>
      <w:r>
        <w:rPr>
          <w:spacing w:val="-3"/>
          <w:sz w:val="24"/>
        </w:rPr>
        <w:t xml:space="preserve"> </w:t>
      </w:r>
      <w:r>
        <w:rPr>
          <w:sz w:val="24"/>
        </w:rPr>
        <w:t>by</w:t>
      </w:r>
      <w:r>
        <w:rPr>
          <w:spacing w:val="-6"/>
          <w:sz w:val="24"/>
        </w:rPr>
        <w:t xml:space="preserve"> </w:t>
      </w:r>
      <w:r>
        <w:rPr>
          <w:sz w:val="24"/>
        </w:rPr>
        <w:t>any</w:t>
      </w:r>
      <w:r>
        <w:rPr>
          <w:spacing w:val="-1"/>
          <w:sz w:val="24"/>
        </w:rPr>
        <w:t xml:space="preserve"> </w:t>
      </w:r>
      <w:r>
        <w:rPr>
          <w:sz w:val="24"/>
        </w:rPr>
        <w:t>pejorative term such as “the</w:t>
      </w:r>
      <w:r>
        <w:rPr>
          <w:spacing w:val="-6"/>
          <w:sz w:val="24"/>
        </w:rPr>
        <w:t xml:space="preserve"> </w:t>
      </w:r>
      <w:r>
        <w:rPr>
          <w:sz w:val="24"/>
        </w:rPr>
        <w:t>prisoner.”</w:t>
      </w:r>
      <w:r w:rsidR="00420CE6">
        <w:rPr>
          <w:rStyle w:val="FootnoteReference"/>
          <w:sz w:val="24"/>
        </w:rPr>
        <w:footnoteReference w:id="17"/>
      </w:r>
    </w:p>
    <w:p w14:paraId="5E7888F2" w14:textId="77777777" w:rsidR="00F01876" w:rsidRDefault="00F01876">
      <w:pPr>
        <w:pStyle w:val="BodyText"/>
        <w:rPr>
          <w:sz w:val="28"/>
        </w:rPr>
      </w:pPr>
    </w:p>
    <w:p w14:paraId="5E7888F3" w14:textId="77777777" w:rsidR="00F01876" w:rsidRDefault="00F01876">
      <w:pPr>
        <w:pStyle w:val="BodyText"/>
        <w:spacing w:before="4"/>
        <w:rPr>
          <w:sz w:val="27"/>
        </w:rPr>
      </w:pPr>
    </w:p>
    <w:p w14:paraId="5E7888F4" w14:textId="3E6117B9" w:rsidR="00F01876" w:rsidRDefault="008872F7" w:rsidP="00420CE6">
      <w:pPr>
        <w:pStyle w:val="ListParagraph"/>
        <w:numPr>
          <w:ilvl w:val="0"/>
          <w:numId w:val="1"/>
        </w:numPr>
        <w:tabs>
          <w:tab w:val="left" w:pos="821"/>
        </w:tabs>
        <w:spacing w:line="360" w:lineRule="auto"/>
        <w:ind w:right="113"/>
        <w:rPr>
          <w:sz w:val="16"/>
        </w:rPr>
      </w:pPr>
      <w:r>
        <w:rPr>
          <w:sz w:val="24"/>
        </w:rPr>
        <w:t>Detention</w:t>
      </w:r>
      <w:r>
        <w:rPr>
          <w:spacing w:val="-14"/>
          <w:sz w:val="24"/>
        </w:rPr>
        <w:t xml:space="preserve"> </w:t>
      </w:r>
      <w:r>
        <w:rPr>
          <w:sz w:val="24"/>
        </w:rPr>
        <w:t>of</w:t>
      </w:r>
      <w:r>
        <w:rPr>
          <w:spacing w:val="-15"/>
          <w:sz w:val="24"/>
        </w:rPr>
        <w:t xml:space="preserve"> </w:t>
      </w:r>
      <w:r>
        <w:rPr>
          <w:sz w:val="24"/>
        </w:rPr>
        <w:t>children</w:t>
      </w:r>
      <w:r>
        <w:rPr>
          <w:spacing w:val="-14"/>
          <w:sz w:val="24"/>
        </w:rPr>
        <w:t xml:space="preserve"> </w:t>
      </w:r>
      <w:r>
        <w:rPr>
          <w:sz w:val="24"/>
        </w:rPr>
        <w:t>on</w:t>
      </w:r>
      <w:r>
        <w:rPr>
          <w:spacing w:val="-14"/>
          <w:sz w:val="24"/>
        </w:rPr>
        <w:t xml:space="preserve"> </w:t>
      </w:r>
      <w:r>
        <w:rPr>
          <w:sz w:val="24"/>
        </w:rPr>
        <w:t>remand</w:t>
      </w:r>
      <w:r>
        <w:rPr>
          <w:spacing w:val="-14"/>
          <w:sz w:val="24"/>
        </w:rPr>
        <w:t xml:space="preserve"> </w:t>
      </w:r>
      <w:r>
        <w:rPr>
          <w:sz w:val="24"/>
        </w:rPr>
        <w:t>is</w:t>
      </w:r>
      <w:r>
        <w:rPr>
          <w:spacing w:val="-12"/>
          <w:sz w:val="24"/>
        </w:rPr>
        <w:t xml:space="preserve"> </w:t>
      </w:r>
      <w:r>
        <w:rPr>
          <w:sz w:val="24"/>
        </w:rPr>
        <w:t>subject</w:t>
      </w:r>
      <w:r>
        <w:rPr>
          <w:spacing w:val="-13"/>
          <w:sz w:val="24"/>
        </w:rPr>
        <w:t xml:space="preserve"> </w:t>
      </w:r>
      <w:r>
        <w:rPr>
          <w:sz w:val="24"/>
        </w:rPr>
        <w:t>to</w:t>
      </w:r>
      <w:r>
        <w:rPr>
          <w:spacing w:val="-13"/>
          <w:sz w:val="24"/>
        </w:rPr>
        <w:t xml:space="preserve"> </w:t>
      </w:r>
      <w:r>
        <w:rPr>
          <w:sz w:val="24"/>
        </w:rPr>
        <w:t>judicial</w:t>
      </w:r>
      <w:r>
        <w:rPr>
          <w:spacing w:val="-14"/>
          <w:sz w:val="24"/>
        </w:rPr>
        <w:t xml:space="preserve"> </w:t>
      </w:r>
      <w:r>
        <w:rPr>
          <w:sz w:val="24"/>
        </w:rPr>
        <w:t>oversight</w:t>
      </w:r>
      <w:r>
        <w:rPr>
          <w:spacing w:val="-8"/>
          <w:sz w:val="24"/>
        </w:rPr>
        <w:t xml:space="preserve"> </w:t>
      </w:r>
      <w:r>
        <w:rPr>
          <w:sz w:val="24"/>
        </w:rPr>
        <w:t>arising</w:t>
      </w:r>
      <w:r>
        <w:rPr>
          <w:spacing w:val="-13"/>
          <w:sz w:val="24"/>
        </w:rPr>
        <w:t xml:space="preserve"> </w:t>
      </w:r>
      <w:r>
        <w:rPr>
          <w:sz w:val="24"/>
        </w:rPr>
        <w:t>from</w:t>
      </w:r>
      <w:r>
        <w:rPr>
          <w:spacing w:val="-14"/>
          <w:sz w:val="24"/>
        </w:rPr>
        <w:t xml:space="preserve"> </w:t>
      </w:r>
      <w:r>
        <w:rPr>
          <w:sz w:val="24"/>
        </w:rPr>
        <w:t xml:space="preserve">the limitation in the </w:t>
      </w:r>
      <w:r>
        <w:rPr>
          <w:i/>
          <w:sz w:val="24"/>
        </w:rPr>
        <w:t>Bail Act 1977</w:t>
      </w:r>
      <w:r w:rsidR="004815D0">
        <w:rPr>
          <w:i/>
          <w:sz w:val="24"/>
        </w:rPr>
        <w:t xml:space="preserve"> </w:t>
      </w:r>
      <w:r w:rsidR="004815D0">
        <w:rPr>
          <w:sz w:val="24"/>
        </w:rPr>
        <w:t>(Vic)</w:t>
      </w:r>
      <w:r>
        <w:rPr>
          <w:i/>
          <w:sz w:val="24"/>
        </w:rPr>
        <w:t xml:space="preserve"> </w:t>
      </w:r>
      <w:r>
        <w:rPr>
          <w:sz w:val="24"/>
        </w:rPr>
        <w:t>that a child not be remanded in custody for a period longer than 21 clear</w:t>
      </w:r>
      <w:r>
        <w:rPr>
          <w:spacing w:val="-2"/>
          <w:sz w:val="24"/>
        </w:rPr>
        <w:t xml:space="preserve"> </w:t>
      </w:r>
      <w:r>
        <w:rPr>
          <w:sz w:val="24"/>
        </w:rPr>
        <w:t>days.</w:t>
      </w:r>
      <w:r w:rsidR="00420CE6">
        <w:rPr>
          <w:rStyle w:val="FootnoteReference"/>
          <w:sz w:val="24"/>
        </w:rPr>
        <w:footnoteReference w:id="18"/>
      </w:r>
    </w:p>
    <w:p w14:paraId="5E7888F5" w14:textId="77777777" w:rsidR="00F01876" w:rsidRDefault="00F01876">
      <w:pPr>
        <w:pStyle w:val="BodyText"/>
        <w:rPr>
          <w:sz w:val="28"/>
        </w:rPr>
      </w:pPr>
    </w:p>
    <w:p w14:paraId="5E7888F6" w14:textId="77777777" w:rsidR="00F01876" w:rsidRDefault="00F01876">
      <w:pPr>
        <w:pStyle w:val="BodyText"/>
        <w:spacing w:before="2"/>
        <w:rPr>
          <w:sz w:val="27"/>
        </w:rPr>
      </w:pPr>
    </w:p>
    <w:p w14:paraId="4CE4D10A" w14:textId="50084BDC" w:rsidR="00EB4850" w:rsidRPr="00420CE6" w:rsidRDefault="008872F7" w:rsidP="00420CE6">
      <w:pPr>
        <w:pStyle w:val="BodyText"/>
        <w:spacing w:line="360" w:lineRule="auto"/>
        <w:ind w:left="100" w:right="113"/>
        <w:jc w:val="both"/>
      </w:pPr>
      <w:r>
        <w:t>Please direct any queries regarding trial division matters to</w:t>
      </w:r>
      <w:r w:rsidR="00CC1A1D">
        <w:t xml:space="preserve"> the Criminal Division Registry via email to </w:t>
      </w:r>
      <w:hyperlink r:id="rId12" w:history="1">
        <w:r w:rsidR="00CC1A1D" w:rsidRPr="004E438B">
          <w:rPr>
            <w:rStyle w:val="Hyperlink"/>
          </w:rPr>
          <w:t>criminaldivision@supcourt.vic.gov.au</w:t>
        </w:r>
      </w:hyperlink>
      <w:r w:rsidR="00CC1A1D">
        <w:t xml:space="preserve"> or by telephone</w:t>
      </w:r>
      <w:r>
        <w:t xml:space="preserve"> on</w:t>
      </w:r>
      <w:r w:rsidR="00CC1A1D">
        <w:t xml:space="preserve"> (03) 8600 2059</w:t>
      </w:r>
      <w:r>
        <w:t xml:space="preserve">, and any queries regarding appeal division matters to the Court of Appeal Registry via email to </w:t>
      </w:r>
      <w:hyperlink r:id="rId13" w:history="1">
        <w:r w:rsidR="00CC1A1D" w:rsidRPr="004E438B">
          <w:rPr>
            <w:rStyle w:val="Hyperlink"/>
            <w:u w:color="0462C1"/>
          </w:rPr>
          <w:t>coaregistry@supcourt.vic.gov.au</w:t>
        </w:r>
      </w:hyperlink>
      <w:r>
        <w:rPr>
          <w:color w:val="0462C1"/>
        </w:rPr>
        <w:t xml:space="preserve"> </w:t>
      </w:r>
      <w:r>
        <w:t xml:space="preserve">or by telephone on (03) </w:t>
      </w:r>
      <w:r w:rsidR="00CC1A1D">
        <w:t>8600 2001.</w:t>
      </w:r>
    </w:p>
    <w:sectPr w:rsidR="00EB4850" w:rsidRPr="00420CE6" w:rsidSect="00420CE6">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BD1F" w14:textId="77777777" w:rsidR="00C56FFF" w:rsidRDefault="00C56FFF" w:rsidP="00C56FFF">
      <w:r>
        <w:separator/>
      </w:r>
    </w:p>
  </w:endnote>
  <w:endnote w:type="continuationSeparator" w:id="0">
    <w:p w14:paraId="2DD35F2D" w14:textId="77777777" w:rsidR="00C56FFF" w:rsidRDefault="00C56FFF" w:rsidP="00C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3972" w14:textId="77777777" w:rsidR="00C56FFF" w:rsidRDefault="00C56FFF" w:rsidP="00C56FFF">
      <w:r>
        <w:separator/>
      </w:r>
    </w:p>
  </w:footnote>
  <w:footnote w:type="continuationSeparator" w:id="0">
    <w:p w14:paraId="10F1DADD" w14:textId="77777777" w:rsidR="00C56FFF" w:rsidRDefault="00C56FFF" w:rsidP="00C56FFF">
      <w:r>
        <w:continuationSeparator/>
      </w:r>
    </w:p>
  </w:footnote>
  <w:footnote w:id="1">
    <w:p w14:paraId="77BADBB9" w14:textId="77777777" w:rsidR="00420CE6" w:rsidRPr="001C58FF" w:rsidRDefault="00420CE6" w:rsidP="00420CE6">
      <w:pPr>
        <w:pStyle w:val="BodyText"/>
        <w:spacing w:before="3"/>
        <w:rPr>
          <w:sz w:val="20"/>
          <w:szCs w:val="20"/>
        </w:rPr>
      </w:pPr>
      <w:r w:rsidRPr="001C58FF">
        <w:rPr>
          <w:rStyle w:val="FootnoteReference"/>
          <w:sz w:val="20"/>
          <w:szCs w:val="20"/>
        </w:rPr>
        <w:footnoteRef/>
      </w:r>
      <w:r w:rsidRPr="001C58FF">
        <w:rPr>
          <w:sz w:val="20"/>
          <w:szCs w:val="20"/>
        </w:rPr>
        <w:t xml:space="preserve"> </w:t>
      </w:r>
      <w:r w:rsidRPr="001C58FF">
        <w:rPr>
          <w:sz w:val="20"/>
          <w:szCs w:val="20"/>
        </w:rPr>
        <w:t>As per the Children, Youth and Families Act 2005 s 3:</w:t>
      </w:r>
    </w:p>
    <w:p w14:paraId="568C41F7" w14:textId="77777777" w:rsidR="00420CE6" w:rsidRPr="001C58FF" w:rsidRDefault="00420CE6" w:rsidP="00420CE6">
      <w:pPr>
        <w:spacing w:before="1" w:line="248" w:lineRule="exact"/>
        <w:ind w:left="820"/>
        <w:rPr>
          <w:sz w:val="20"/>
          <w:szCs w:val="20"/>
        </w:rPr>
      </w:pPr>
      <w:r w:rsidRPr="001C58FF">
        <w:rPr>
          <w:b/>
          <w:i/>
          <w:sz w:val="20"/>
          <w:szCs w:val="20"/>
        </w:rPr>
        <w:t>child</w:t>
      </w:r>
      <w:r w:rsidRPr="001C58FF">
        <w:rPr>
          <w:b/>
          <w:sz w:val="20"/>
          <w:szCs w:val="20"/>
        </w:rPr>
        <w:t xml:space="preserve"> </w:t>
      </w:r>
      <w:r w:rsidRPr="001C58FF">
        <w:rPr>
          <w:sz w:val="20"/>
          <w:szCs w:val="20"/>
        </w:rPr>
        <w:t>means—</w:t>
      </w:r>
    </w:p>
    <w:p w14:paraId="5DCB8103" w14:textId="77777777" w:rsidR="00420CE6" w:rsidRPr="001C58FF" w:rsidRDefault="00420CE6" w:rsidP="00420CE6">
      <w:pPr>
        <w:pStyle w:val="ListParagraph"/>
        <w:numPr>
          <w:ilvl w:val="1"/>
          <w:numId w:val="1"/>
        </w:numPr>
        <w:tabs>
          <w:tab w:val="left" w:pos="2260"/>
          <w:tab w:val="left" w:pos="2261"/>
        </w:tabs>
        <w:ind w:left="2260" w:right="125"/>
        <w:rPr>
          <w:sz w:val="20"/>
          <w:szCs w:val="20"/>
        </w:rPr>
      </w:pPr>
      <w:r w:rsidRPr="001C58FF">
        <w:rPr>
          <w:sz w:val="20"/>
          <w:szCs w:val="20"/>
        </w:rPr>
        <w:t>in the case of a person who is alleged to have committed an offence, a person who at the time of the alleged commission of the offence was under the age of 18 years but of or above the age of 10 years but does not include any person who is of or above the age of 19 years when a proceeding for the offence is commenced in the</w:t>
      </w:r>
      <w:r w:rsidRPr="001C58FF">
        <w:rPr>
          <w:spacing w:val="1"/>
          <w:sz w:val="20"/>
          <w:szCs w:val="20"/>
        </w:rPr>
        <w:t xml:space="preserve"> </w:t>
      </w:r>
      <w:r w:rsidRPr="001C58FF">
        <w:rPr>
          <w:sz w:val="20"/>
          <w:szCs w:val="20"/>
        </w:rPr>
        <w:t>Court;...</w:t>
      </w:r>
    </w:p>
    <w:p w14:paraId="0F6BCE3E" w14:textId="1B1CAE4E" w:rsidR="00420CE6" w:rsidRPr="001C58FF" w:rsidRDefault="00420CE6">
      <w:pPr>
        <w:pStyle w:val="FootnoteText"/>
      </w:pPr>
    </w:p>
  </w:footnote>
  <w:footnote w:id="2">
    <w:p w14:paraId="18E7FDD4" w14:textId="106C822A" w:rsidR="00420CE6" w:rsidRPr="001C58FF" w:rsidRDefault="00420CE6">
      <w:pPr>
        <w:pStyle w:val="FootnoteText"/>
      </w:pPr>
      <w:r w:rsidRPr="001C58FF">
        <w:rPr>
          <w:rStyle w:val="FootnoteReference"/>
        </w:rPr>
        <w:footnoteRef/>
      </w:r>
      <w:r w:rsidRPr="001C58FF">
        <w:t xml:space="preserve"> </w:t>
      </w:r>
      <w:r w:rsidRPr="001C58FF">
        <w:rPr>
          <w:i/>
        </w:rPr>
        <w:t xml:space="preserve">DPP (Vic) v SL </w:t>
      </w:r>
      <w:r w:rsidRPr="001C58FF">
        <w:t>[2016] VSC 714 [12] (‘</w:t>
      </w:r>
      <w:r w:rsidRPr="001C58FF">
        <w:rPr>
          <w:i/>
        </w:rPr>
        <w:t>SL</w:t>
      </w:r>
      <w:r w:rsidRPr="001C58FF">
        <w:t>’).</w:t>
      </w:r>
    </w:p>
  </w:footnote>
  <w:footnote w:id="3">
    <w:p w14:paraId="16107C01" w14:textId="77BA7D0C" w:rsidR="00420CE6" w:rsidRPr="001C58FF" w:rsidRDefault="00420CE6">
      <w:pPr>
        <w:pStyle w:val="FootnoteText"/>
      </w:pPr>
      <w:r w:rsidRPr="001C58FF">
        <w:rPr>
          <w:rStyle w:val="FootnoteReference"/>
        </w:rPr>
        <w:footnoteRef/>
      </w:r>
      <w:r w:rsidRPr="001C58FF">
        <w:t xml:space="preserve"> </w:t>
      </w:r>
      <w:r w:rsidRPr="001C58FF">
        <w:rPr>
          <w:i/>
        </w:rPr>
        <w:t xml:space="preserve">Charter of Human Rights and Responsibilities Act 2006 </w:t>
      </w:r>
      <w:r w:rsidRPr="001C58FF">
        <w:t>(Vic)</w:t>
      </w:r>
      <w:r w:rsidRPr="001C58FF">
        <w:rPr>
          <w:i/>
        </w:rPr>
        <w:t xml:space="preserve"> </w:t>
      </w:r>
      <w:r w:rsidRPr="001C58FF">
        <w:t>s 23(1).</w:t>
      </w:r>
    </w:p>
  </w:footnote>
  <w:footnote w:id="4">
    <w:p w14:paraId="42FD68DC" w14:textId="2A3BE2E0" w:rsidR="00420CE6" w:rsidRPr="001C58FF" w:rsidRDefault="00420CE6">
      <w:pPr>
        <w:pStyle w:val="FootnoteText"/>
      </w:pPr>
      <w:r w:rsidRPr="001C58FF">
        <w:rPr>
          <w:rStyle w:val="FootnoteReference"/>
        </w:rPr>
        <w:footnoteRef/>
      </w:r>
      <w:r w:rsidRPr="001C58FF">
        <w:t xml:space="preserve"> </w:t>
      </w:r>
      <w:r w:rsidRPr="001C58FF">
        <w:t xml:space="preserve">See generally </w:t>
      </w:r>
      <w:r w:rsidRPr="001C58FF">
        <w:rPr>
          <w:i/>
        </w:rPr>
        <w:t xml:space="preserve">CL (a minor) v Lee </w:t>
      </w:r>
      <w:r w:rsidRPr="001C58FF">
        <w:t xml:space="preserve">(2010) 29 VR 570, 589-90, [84]-[86]; </w:t>
      </w:r>
      <w:r w:rsidRPr="001C58FF">
        <w:rPr>
          <w:i/>
        </w:rPr>
        <w:t xml:space="preserve">DPP (Vic) v SE </w:t>
      </w:r>
      <w:r w:rsidRPr="001C58FF">
        <w:t>[2017] VSC 13 (‘</w:t>
      </w:r>
      <w:r w:rsidRPr="001C58FF">
        <w:rPr>
          <w:i/>
        </w:rPr>
        <w:t>SE</w:t>
      </w:r>
      <w:r w:rsidRPr="001C58FF">
        <w:t xml:space="preserve">’); </w:t>
      </w:r>
      <w:r w:rsidRPr="001C58FF">
        <w:rPr>
          <w:i/>
        </w:rPr>
        <w:t xml:space="preserve">SL </w:t>
      </w:r>
      <w:r w:rsidRPr="001C58FF">
        <w:t xml:space="preserve">[17], [25]; </w:t>
      </w:r>
      <w:r w:rsidRPr="001C58FF">
        <w:rPr>
          <w:i/>
        </w:rPr>
        <w:t xml:space="preserve">Bail Act 1977 </w:t>
      </w:r>
      <w:r w:rsidRPr="001C58FF">
        <w:t>(Vic) ss 12(1AA)-12(1AB), 24(3A).</w:t>
      </w:r>
    </w:p>
  </w:footnote>
  <w:footnote w:id="5">
    <w:p w14:paraId="56939BA0" w14:textId="4A568536" w:rsidR="00420CE6" w:rsidRPr="001C58FF" w:rsidRDefault="00420CE6">
      <w:pPr>
        <w:pStyle w:val="FootnoteText"/>
      </w:pPr>
      <w:r w:rsidRPr="001C58FF">
        <w:rPr>
          <w:rStyle w:val="FootnoteReference"/>
        </w:rPr>
        <w:footnoteRef/>
      </w:r>
      <w:r w:rsidRPr="001C58FF">
        <w:t xml:space="preserve"> </w:t>
      </w:r>
      <w:r w:rsidRPr="001C58FF">
        <w:rPr>
          <w:i/>
        </w:rPr>
        <w:t xml:space="preserve">SL </w:t>
      </w:r>
      <w:r w:rsidRPr="001C58FF">
        <w:t>[16].</w:t>
      </w:r>
    </w:p>
  </w:footnote>
  <w:footnote w:id="6">
    <w:p w14:paraId="6D72582D" w14:textId="41A31603" w:rsidR="00420CE6" w:rsidRPr="001C58FF" w:rsidRDefault="00420CE6">
      <w:pPr>
        <w:pStyle w:val="FootnoteText"/>
      </w:pPr>
      <w:r w:rsidRPr="001C58FF">
        <w:rPr>
          <w:rStyle w:val="FootnoteReference"/>
        </w:rPr>
        <w:footnoteRef/>
      </w:r>
      <w:r w:rsidRPr="001C58FF">
        <w:t xml:space="preserve"> </w:t>
      </w:r>
      <w:r w:rsidRPr="001C58FF">
        <w:t>Ibid [21],</w:t>
      </w:r>
      <w:r w:rsidRPr="001C58FF">
        <w:rPr>
          <w:spacing w:val="-21"/>
        </w:rPr>
        <w:t xml:space="preserve"> </w:t>
      </w:r>
      <w:r w:rsidRPr="001C58FF">
        <w:t>[25(c)].</w:t>
      </w:r>
    </w:p>
  </w:footnote>
  <w:footnote w:id="7">
    <w:p w14:paraId="0C60DEFD" w14:textId="20C47C96" w:rsidR="00420CE6" w:rsidRPr="001C58FF" w:rsidRDefault="00420CE6">
      <w:pPr>
        <w:pStyle w:val="FootnoteText"/>
      </w:pPr>
      <w:r w:rsidRPr="001C58FF">
        <w:rPr>
          <w:rStyle w:val="FootnoteReference"/>
        </w:rPr>
        <w:footnoteRef/>
      </w:r>
      <w:r w:rsidRPr="001C58FF">
        <w:t xml:space="preserve"> </w:t>
      </w:r>
      <w:r w:rsidRPr="001C58FF">
        <w:t>Ibid [20],</w:t>
      </w:r>
      <w:r w:rsidRPr="001C58FF">
        <w:rPr>
          <w:spacing w:val="-22"/>
        </w:rPr>
        <w:t xml:space="preserve"> </w:t>
      </w:r>
      <w:r w:rsidRPr="001C58FF">
        <w:t>[25(d)].</w:t>
      </w:r>
    </w:p>
  </w:footnote>
  <w:footnote w:id="8">
    <w:p w14:paraId="0528CAE8" w14:textId="46CE7D29" w:rsidR="00420CE6" w:rsidRPr="001C58FF" w:rsidRDefault="00420CE6">
      <w:pPr>
        <w:pStyle w:val="FootnoteText"/>
      </w:pPr>
      <w:r w:rsidRPr="001C58FF">
        <w:rPr>
          <w:rStyle w:val="FootnoteReference"/>
        </w:rPr>
        <w:footnoteRef/>
      </w:r>
      <w:r w:rsidRPr="001C58FF">
        <w:t xml:space="preserve"> </w:t>
      </w:r>
      <w:r w:rsidRPr="001C58FF">
        <w:t>Ibid [16], [23], [25(f)], [25(h)].</w:t>
      </w:r>
    </w:p>
  </w:footnote>
  <w:footnote w:id="9">
    <w:p w14:paraId="29F12D13" w14:textId="0D9875FD" w:rsidR="00420CE6" w:rsidRPr="001C58FF" w:rsidRDefault="00420CE6">
      <w:pPr>
        <w:pStyle w:val="FootnoteText"/>
      </w:pPr>
      <w:r w:rsidRPr="001C58FF">
        <w:rPr>
          <w:rStyle w:val="FootnoteReference"/>
        </w:rPr>
        <w:footnoteRef/>
      </w:r>
      <w:r w:rsidRPr="001C58FF">
        <w:t xml:space="preserve"> </w:t>
      </w:r>
      <w:r w:rsidRPr="001C58FF">
        <w:t>Ibid [16], [22].</w:t>
      </w:r>
    </w:p>
  </w:footnote>
  <w:footnote w:id="10">
    <w:p w14:paraId="39740AF3" w14:textId="54EC9189" w:rsidR="00420CE6" w:rsidRPr="001C58FF" w:rsidRDefault="00420CE6">
      <w:pPr>
        <w:pStyle w:val="FootnoteText"/>
      </w:pPr>
      <w:r w:rsidRPr="001C58FF">
        <w:rPr>
          <w:rStyle w:val="FootnoteReference"/>
        </w:rPr>
        <w:footnoteRef/>
      </w:r>
      <w:r w:rsidRPr="001C58FF">
        <w:t xml:space="preserve"> </w:t>
      </w:r>
      <w:r w:rsidRPr="001C58FF">
        <w:t>Ibid [11].</w:t>
      </w:r>
    </w:p>
  </w:footnote>
  <w:footnote w:id="11">
    <w:p w14:paraId="03F49B59" w14:textId="668D2246" w:rsidR="00420CE6" w:rsidRPr="001C58FF" w:rsidRDefault="00420CE6">
      <w:pPr>
        <w:pStyle w:val="FootnoteText"/>
      </w:pPr>
      <w:r w:rsidRPr="001C58FF">
        <w:rPr>
          <w:rStyle w:val="FootnoteReference"/>
        </w:rPr>
        <w:footnoteRef/>
      </w:r>
      <w:r w:rsidRPr="001C58FF">
        <w:t xml:space="preserve"> </w:t>
      </w:r>
      <w:r w:rsidRPr="001C58FF">
        <w:t>Ibid [18], [25(a)-(b)].</w:t>
      </w:r>
    </w:p>
  </w:footnote>
  <w:footnote w:id="12">
    <w:p w14:paraId="0FCCE133" w14:textId="326CBD7E" w:rsidR="00420CE6" w:rsidRPr="001C58FF" w:rsidRDefault="00420CE6">
      <w:pPr>
        <w:pStyle w:val="FootnoteText"/>
      </w:pPr>
      <w:r w:rsidRPr="001C58FF">
        <w:rPr>
          <w:rStyle w:val="FootnoteReference"/>
        </w:rPr>
        <w:footnoteRef/>
      </w:r>
      <w:r w:rsidRPr="001C58FF">
        <w:t xml:space="preserve"> </w:t>
      </w:r>
      <w:r w:rsidRPr="001C58FF">
        <w:t>Ibid [14], [16], [19], [22], [25(g)].</w:t>
      </w:r>
    </w:p>
  </w:footnote>
  <w:footnote w:id="13">
    <w:p w14:paraId="3DBCACA9" w14:textId="6DA6B408" w:rsidR="00420CE6" w:rsidRPr="001C58FF" w:rsidRDefault="00420CE6">
      <w:pPr>
        <w:pStyle w:val="FootnoteText"/>
      </w:pPr>
      <w:r w:rsidRPr="001C58FF">
        <w:rPr>
          <w:rStyle w:val="FootnoteReference"/>
        </w:rPr>
        <w:footnoteRef/>
      </w:r>
      <w:r w:rsidRPr="001C58FF">
        <w:t xml:space="preserve"> </w:t>
      </w:r>
      <w:r w:rsidRPr="001C58FF">
        <w:t>Ibid [16].</w:t>
      </w:r>
    </w:p>
  </w:footnote>
  <w:footnote w:id="14">
    <w:p w14:paraId="01207FD6" w14:textId="72477C04" w:rsidR="00420CE6" w:rsidRPr="001C58FF" w:rsidRDefault="00420CE6">
      <w:pPr>
        <w:pStyle w:val="FootnoteText"/>
      </w:pPr>
      <w:r w:rsidRPr="001C58FF">
        <w:rPr>
          <w:rStyle w:val="FootnoteReference"/>
        </w:rPr>
        <w:footnoteRef/>
      </w:r>
      <w:r w:rsidRPr="001C58FF">
        <w:t xml:space="preserve"> </w:t>
      </w:r>
      <w:r w:rsidRPr="001C58FF">
        <w:t>Ibid [16], [22], [25(e)].</w:t>
      </w:r>
    </w:p>
  </w:footnote>
  <w:footnote w:id="15">
    <w:p w14:paraId="66F612AA" w14:textId="070F95BF" w:rsidR="00420CE6" w:rsidRPr="001C58FF" w:rsidRDefault="00420CE6">
      <w:pPr>
        <w:pStyle w:val="FootnoteText"/>
      </w:pPr>
      <w:r w:rsidRPr="001C58FF">
        <w:rPr>
          <w:rStyle w:val="FootnoteReference"/>
        </w:rPr>
        <w:footnoteRef/>
      </w:r>
      <w:r w:rsidRPr="001C58FF">
        <w:t xml:space="preserve"> </w:t>
      </w:r>
      <w:r w:rsidRPr="001C58FF">
        <w:t>Ibid [22], [25(e)].</w:t>
      </w:r>
    </w:p>
  </w:footnote>
  <w:footnote w:id="16">
    <w:p w14:paraId="0B2A7774" w14:textId="195FB938" w:rsidR="00420CE6" w:rsidRPr="001C58FF" w:rsidRDefault="00420CE6">
      <w:pPr>
        <w:pStyle w:val="FootnoteText"/>
      </w:pPr>
      <w:r w:rsidRPr="001C58FF">
        <w:rPr>
          <w:rStyle w:val="FootnoteReference"/>
        </w:rPr>
        <w:footnoteRef/>
      </w:r>
      <w:r w:rsidRPr="001C58FF">
        <w:t xml:space="preserve"> </w:t>
      </w:r>
      <w:r w:rsidRPr="001C58FF">
        <w:t>Ibid</w:t>
      </w:r>
      <w:r w:rsidRPr="001C58FF">
        <w:rPr>
          <w:spacing w:val="-17"/>
        </w:rPr>
        <w:t xml:space="preserve"> </w:t>
      </w:r>
      <w:r w:rsidRPr="001C58FF">
        <w:t>[16].</w:t>
      </w:r>
    </w:p>
  </w:footnote>
  <w:footnote w:id="17">
    <w:p w14:paraId="37B9EE15" w14:textId="6E7A6BE4" w:rsidR="00420CE6" w:rsidRPr="001C58FF" w:rsidRDefault="00420CE6">
      <w:pPr>
        <w:pStyle w:val="FootnoteText"/>
      </w:pPr>
      <w:r w:rsidRPr="001C58FF">
        <w:rPr>
          <w:rStyle w:val="FootnoteReference"/>
        </w:rPr>
        <w:footnoteRef/>
      </w:r>
      <w:r w:rsidRPr="001C58FF">
        <w:t xml:space="preserve"> </w:t>
      </w:r>
      <w:r w:rsidRPr="001C58FF">
        <w:t>Ibid</w:t>
      </w:r>
      <w:r w:rsidRPr="001C58FF">
        <w:rPr>
          <w:spacing w:val="-17"/>
        </w:rPr>
        <w:t xml:space="preserve"> </w:t>
      </w:r>
      <w:r w:rsidRPr="001C58FF">
        <w:t>[17].</w:t>
      </w:r>
    </w:p>
  </w:footnote>
  <w:footnote w:id="18">
    <w:p w14:paraId="2DD7EE92" w14:textId="73B1271F" w:rsidR="00420CE6" w:rsidRPr="001C58FF" w:rsidRDefault="00420CE6">
      <w:pPr>
        <w:pStyle w:val="FootnoteText"/>
      </w:pPr>
      <w:r w:rsidRPr="001C58FF">
        <w:rPr>
          <w:rStyle w:val="FootnoteReference"/>
        </w:rPr>
        <w:footnoteRef/>
      </w:r>
      <w:r w:rsidRPr="001C58FF">
        <w:t xml:space="preserve"> </w:t>
      </w:r>
      <w:r w:rsidRPr="001C58FF">
        <w:rPr>
          <w:i/>
        </w:rPr>
        <w:t xml:space="preserve">SL </w:t>
      </w:r>
      <w:r w:rsidRPr="001C58FF">
        <w:t xml:space="preserve">[17], [25]; </w:t>
      </w:r>
      <w:r w:rsidRPr="001C58FF">
        <w:rPr>
          <w:i/>
        </w:rPr>
        <w:t xml:space="preserve">Bail Act 1977 </w:t>
      </w:r>
      <w:r w:rsidRPr="001C58FF">
        <w:t>(Vic) ss 12(1AA)-12(1AB), 24(3A).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C5FC5"/>
    <w:multiLevelType w:val="hybridMultilevel"/>
    <w:tmpl w:val="C938E976"/>
    <w:lvl w:ilvl="0" w:tplc="339653FA">
      <w:start w:val="1"/>
      <w:numFmt w:val="decimal"/>
      <w:lvlText w:val="%1."/>
      <w:lvlJc w:val="left"/>
      <w:pPr>
        <w:ind w:left="820" w:hanging="720"/>
      </w:pPr>
      <w:rPr>
        <w:rFonts w:ascii="Book Antiqua" w:eastAsia="Book Antiqua" w:hAnsi="Book Antiqua" w:cs="Book Antiqua" w:hint="default"/>
        <w:spacing w:val="-5"/>
        <w:w w:val="100"/>
        <w:sz w:val="24"/>
        <w:szCs w:val="24"/>
        <w:lang w:val="en-AU" w:eastAsia="en-AU" w:bidi="en-AU"/>
      </w:rPr>
    </w:lvl>
    <w:lvl w:ilvl="1" w:tplc="1A569D96">
      <w:start w:val="1"/>
      <w:numFmt w:val="lowerLetter"/>
      <w:lvlText w:val="(%2)"/>
      <w:lvlJc w:val="left"/>
      <w:pPr>
        <w:ind w:left="1540" w:hanging="720"/>
      </w:pPr>
      <w:rPr>
        <w:rFonts w:hint="default"/>
        <w:spacing w:val="-2"/>
        <w:w w:val="100"/>
        <w:lang w:val="en-AU" w:eastAsia="en-AU" w:bidi="en-AU"/>
      </w:rPr>
    </w:lvl>
    <w:lvl w:ilvl="2" w:tplc="143E07B8">
      <w:numFmt w:val="bullet"/>
      <w:lvlText w:val="•"/>
      <w:lvlJc w:val="left"/>
      <w:pPr>
        <w:ind w:left="2260" w:hanging="720"/>
      </w:pPr>
      <w:rPr>
        <w:rFonts w:hint="default"/>
        <w:lang w:val="en-AU" w:eastAsia="en-AU" w:bidi="en-AU"/>
      </w:rPr>
    </w:lvl>
    <w:lvl w:ilvl="3" w:tplc="7AACA656">
      <w:numFmt w:val="bullet"/>
      <w:lvlText w:val="•"/>
      <w:lvlJc w:val="left"/>
      <w:pPr>
        <w:ind w:left="3133" w:hanging="720"/>
      </w:pPr>
      <w:rPr>
        <w:rFonts w:hint="default"/>
        <w:lang w:val="en-AU" w:eastAsia="en-AU" w:bidi="en-AU"/>
      </w:rPr>
    </w:lvl>
    <w:lvl w:ilvl="4" w:tplc="A1442B2E">
      <w:numFmt w:val="bullet"/>
      <w:lvlText w:val="•"/>
      <w:lvlJc w:val="left"/>
      <w:pPr>
        <w:ind w:left="4006" w:hanging="720"/>
      </w:pPr>
      <w:rPr>
        <w:rFonts w:hint="default"/>
        <w:lang w:val="en-AU" w:eastAsia="en-AU" w:bidi="en-AU"/>
      </w:rPr>
    </w:lvl>
    <w:lvl w:ilvl="5" w:tplc="0E6CB61E">
      <w:numFmt w:val="bullet"/>
      <w:lvlText w:val="•"/>
      <w:lvlJc w:val="left"/>
      <w:pPr>
        <w:ind w:left="4879" w:hanging="720"/>
      </w:pPr>
      <w:rPr>
        <w:rFonts w:hint="default"/>
        <w:lang w:val="en-AU" w:eastAsia="en-AU" w:bidi="en-AU"/>
      </w:rPr>
    </w:lvl>
    <w:lvl w:ilvl="6" w:tplc="2A2AFDE8">
      <w:numFmt w:val="bullet"/>
      <w:lvlText w:val="•"/>
      <w:lvlJc w:val="left"/>
      <w:pPr>
        <w:ind w:left="5753" w:hanging="720"/>
      </w:pPr>
      <w:rPr>
        <w:rFonts w:hint="default"/>
        <w:lang w:val="en-AU" w:eastAsia="en-AU" w:bidi="en-AU"/>
      </w:rPr>
    </w:lvl>
    <w:lvl w:ilvl="7" w:tplc="55C4AA88">
      <w:numFmt w:val="bullet"/>
      <w:lvlText w:val="•"/>
      <w:lvlJc w:val="left"/>
      <w:pPr>
        <w:ind w:left="6626" w:hanging="720"/>
      </w:pPr>
      <w:rPr>
        <w:rFonts w:hint="default"/>
        <w:lang w:val="en-AU" w:eastAsia="en-AU" w:bidi="en-AU"/>
      </w:rPr>
    </w:lvl>
    <w:lvl w:ilvl="8" w:tplc="A768F038">
      <w:numFmt w:val="bullet"/>
      <w:lvlText w:val="•"/>
      <w:lvlJc w:val="left"/>
      <w:pPr>
        <w:ind w:left="7499" w:hanging="720"/>
      </w:pPr>
      <w:rPr>
        <w:rFonts w:hint="default"/>
        <w:lang w:val="en-AU" w:eastAsia="en-AU" w:bidi="en-AU"/>
      </w:rPr>
    </w:lvl>
  </w:abstractNum>
  <w:abstractNum w:abstractNumId="1" w15:restartNumberingAfterBreak="0">
    <w:nsid w:val="574E1592"/>
    <w:multiLevelType w:val="hybridMultilevel"/>
    <w:tmpl w:val="3E8A9F60"/>
    <w:lvl w:ilvl="0" w:tplc="6BB2032E">
      <w:start w:val="1"/>
      <w:numFmt w:val="decimal"/>
      <w:lvlText w:val="%1"/>
      <w:lvlJc w:val="left"/>
      <w:pPr>
        <w:ind w:left="460" w:hanging="360"/>
      </w:pPr>
      <w:rPr>
        <w:rFonts w:hint="default"/>
        <w:sz w:val="13"/>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 w15:restartNumberingAfterBreak="0">
    <w:nsid w:val="66133726"/>
    <w:multiLevelType w:val="hybridMultilevel"/>
    <w:tmpl w:val="F8AEE260"/>
    <w:lvl w:ilvl="0" w:tplc="339653FA">
      <w:start w:val="1"/>
      <w:numFmt w:val="decimal"/>
      <w:lvlText w:val="%1."/>
      <w:lvlJc w:val="left"/>
      <w:pPr>
        <w:ind w:left="820" w:hanging="720"/>
      </w:pPr>
      <w:rPr>
        <w:rFonts w:ascii="Book Antiqua" w:eastAsia="Book Antiqua" w:hAnsi="Book Antiqua" w:cs="Book Antiqua" w:hint="default"/>
        <w:spacing w:val="-5"/>
        <w:w w:val="100"/>
        <w:sz w:val="24"/>
        <w:szCs w:val="24"/>
        <w:lang w:val="en-AU" w:eastAsia="en-AU" w:bidi="en-AU"/>
      </w:rPr>
    </w:lvl>
    <w:lvl w:ilvl="1" w:tplc="1A569D96">
      <w:start w:val="1"/>
      <w:numFmt w:val="lowerLetter"/>
      <w:lvlText w:val="(%2)"/>
      <w:lvlJc w:val="left"/>
      <w:pPr>
        <w:ind w:left="1540" w:hanging="720"/>
      </w:pPr>
      <w:rPr>
        <w:rFonts w:hint="default"/>
        <w:spacing w:val="-2"/>
        <w:w w:val="100"/>
        <w:lang w:val="en-AU" w:eastAsia="en-AU" w:bidi="en-AU"/>
      </w:rPr>
    </w:lvl>
    <w:lvl w:ilvl="2" w:tplc="143E07B8">
      <w:numFmt w:val="bullet"/>
      <w:lvlText w:val="•"/>
      <w:lvlJc w:val="left"/>
      <w:pPr>
        <w:ind w:left="2260" w:hanging="720"/>
      </w:pPr>
      <w:rPr>
        <w:rFonts w:hint="default"/>
        <w:lang w:val="en-AU" w:eastAsia="en-AU" w:bidi="en-AU"/>
      </w:rPr>
    </w:lvl>
    <w:lvl w:ilvl="3" w:tplc="7AACA656">
      <w:numFmt w:val="bullet"/>
      <w:lvlText w:val="•"/>
      <w:lvlJc w:val="left"/>
      <w:pPr>
        <w:ind w:left="3133" w:hanging="720"/>
      </w:pPr>
      <w:rPr>
        <w:rFonts w:hint="default"/>
        <w:lang w:val="en-AU" w:eastAsia="en-AU" w:bidi="en-AU"/>
      </w:rPr>
    </w:lvl>
    <w:lvl w:ilvl="4" w:tplc="A1442B2E">
      <w:numFmt w:val="bullet"/>
      <w:lvlText w:val="•"/>
      <w:lvlJc w:val="left"/>
      <w:pPr>
        <w:ind w:left="4006" w:hanging="720"/>
      </w:pPr>
      <w:rPr>
        <w:rFonts w:hint="default"/>
        <w:lang w:val="en-AU" w:eastAsia="en-AU" w:bidi="en-AU"/>
      </w:rPr>
    </w:lvl>
    <w:lvl w:ilvl="5" w:tplc="0E6CB61E">
      <w:numFmt w:val="bullet"/>
      <w:lvlText w:val="•"/>
      <w:lvlJc w:val="left"/>
      <w:pPr>
        <w:ind w:left="4879" w:hanging="720"/>
      </w:pPr>
      <w:rPr>
        <w:rFonts w:hint="default"/>
        <w:lang w:val="en-AU" w:eastAsia="en-AU" w:bidi="en-AU"/>
      </w:rPr>
    </w:lvl>
    <w:lvl w:ilvl="6" w:tplc="2A2AFDE8">
      <w:numFmt w:val="bullet"/>
      <w:lvlText w:val="•"/>
      <w:lvlJc w:val="left"/>
      <w:pPr>
        <w:ind w:left="5753" w:hanging="720"/>
      </w:pPr>
      <w:rPr>
        <w:rFonts w:hint="default"/>
        <w:lang w:val="en-AU" w:eastAsia="en-AU" w:bidi="en-AU"/>
      </w:rPr>
    </w:lvl>
    <w:lvl w:ilvl="7" w:tplc="55C4AA88">
      <w:numFmt w:val="bullet"/>
      <w:lvlText w:val="•"/>
      <w:lvlJc w:val="left"/>
      <w:pPr>
        <w:ind w:left="6626" w:hanging="720"/>
      </w:pPr>
      <w:rPr>
        <w:rFonts w:hint="default"/>
        <w:lang w:val="en-AU" w:eastAsia="en-AU" w:bidi="en-AU"/>
      </w:rPr>
    </w:lvl>
    <w:lvl w:ilvl="8" w:tplc="A768F038">
      <w:numFmt w:val="bullet"/>
      <w:lvlText w:val="•"/>
      <w:lvlJc w:val="left"/>
      <w:pPr>
        <w:ind w:left="7499" w:hanging="720"/>
      </w:pPr>
      <w:rPr>
        <w:rFonts w:hint="default"/>
        <w:lang w:val="en-AU" w:eastAsia="en-AU" w:bidi="en-A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76"/>
    <w:rsid w:val="000353E6"/>
    <w:rsid w:val="001C58FF"/>
    <w:rsid w:val="00353145"/>
    <w:rsid w:val="00420CE6"/>
    <w:rsid w:val="004256A8"/>
    <w:rsid w:val="004815D0"/>
    <w:rsid w:val="005969C6"/>
    <w:rsid w:val="005C16E0"/>
    <w:rsid w:val="007A3ACB"/>
    <w:rsid w:val="007E7334"/>
    <w:rsid w:val="0088065F"/>
    <w:rsid w:val="008872F7"/>
    <w:rsid w:val="008A2A80"/>
    <w:rsid w:val="009A403E"/>
    <w:rsid w:val="00A7697A"/>
    <w:rsid w:val="00AF70AE"/>
    <w:rsid w:val="00B45476"/>
    <w:rsid w:val="00B973B8"/>
    <w:rsid w:val="00C56FFF"/>
    <w:rsid w:val="00CC1A1D"/>
    <w:rsid w:val="00D31C1E"/>
    <w:rsid w:val="00DE37D6"/>
    <w:rsid w:val="00E87ADB"/>
    <w:rsid w:val="00EB2404"/>
    <w:rsid w:val="00EB4850"/>
    <w:rsid w:val="00EF2B20"/>
    <w:rsid w:val="00F01876"/>
    <w:rsid w:val="00F9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8897"/>
  <w15:docId w15:val="{057BAEFC-A1DE-493B-A081-8BF1E074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n-AU" w:eastAsia="en-AU" w:bidi="en-AU"/>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pPr>
      <w:spacing w:line="296" w:lineRule="exact"/>
      <w:ind w:left="106"/>
    </w:pPr>
    <w:rPr>
      <w:rFonts w:ascii="Calibri" w:eastAsia="Calibri" w:hAnsi="Calibri" w:cs="Calibri"/>
    </w:rPr>
  </w:style>
  <w:style w:type="character" w:styleId="Hyperlink">
    <w:name w:val="Hyperlink"/>
    <w:basedOn w:val="DefaultParagraphFont"/>
    <w:uiPriority w:val="99"/>
    <w:unhideWhenUsed/>
    <w:rsid w:val="00CC1A1D"/>
    <w:rPr>
      <w:color w:val="0000FF" w:themeColor="hyperlink"/>
      <w:u w:val="single"/>
    </w:rPr>
  </w:style>
  <w:style w:type="paragraph" w:styleId="FootnoteText">
    <w:name w:val="footnote text"/>
    <w:basedOn w:val="Normal"/>
    <w:link w:val="FootnoteTextChar"/>
    <w:uiPriority w:val="99"/>
    <w:semiHidden/>
    <w:unhideWhenUsed/>
    <w:rsid w:val="00C56FFF"/>
    <w:rPr>
      <w:sz w:val="20"/>
      <w:szCs w:val="20"/>
    </w:rPr>
  </w:style>
  <w:style w:type="character" w:customStyle="1" w:styleId="FootnoteTextChar">
    <w:name w:val="Footnote Text Char"/>
    <w:basedOn w:val="DefaultParagraphFont"/>
    <w:link w:val="FootnoteText"/>
    <w:uiPriority w:val="99"/>
    <w:semiHidden/>
    <w:rsid w:val="00C56FFF"/>
    <w:rPr>
      <w:rFonts w:ascii="Book Antiqua" w:eastAsia="Book Antiqua" w:hAnsi="Book Antiqua" w:cs="Book Antiqua"/>
      <w:sz w:val="20"/>
      <w:szCs w:val="20"/>
      <w:lang w:val="en-AU" w:eastAsia="en-AU" w:bidi="en-AU"/>
    </w:rPr>
  </w:style>
  <w:style w:type="character" w:styleId="FootnoteReference">
    <w:name w:val="footnote reference"/>
    <w:basedOn w:val="DefaultParagraphFont"/>
    <w:uiPriority w:val="99"/>
    <w:semiHidden/>
    <w:unhideWhenUsed/>
    <w:rsid w:val="00C56FFF"/>
    <w:rPr>
      <w:vertAlign w:val="superscript"/>
    </w:rPr>
  </w:style>
  <w:style w:type="paragraph" w:styleId="BalloonText">
    <w:name w:val="Balloon Text"/>
    <w:basedOn w:val="Normal"/>
    <w:link w:val="BalloonTextChar"/>
    <w:uiPriority w:val="99"/>
    <w:semiHidden/>
    <w:unhideWhenUsed/>
    <w:rsid w:val="00EB4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50"/>
    <w:rPr>
      <w:rFonts w:ascii="Segoe UI" w:eastAsia="Book Antiqua"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aregistry@supcourt.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minaldivision@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740F-1240-44CA-A083-7EB73F379C37}">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b1b1ac8a-479c-424d-bbc1-9d7043b5e217"/>
    <ds:schemaRef ds:uri="http://purl.org/dc/dcmitype/"/>
    <ds:schemaRef ds:uri="http://purl.org/dc/terms/"/>
  </ds:schemaRefs>
</ds:datastoreItem>
</file>

<file path=customXml/itemProps2.xml><?xml version="1.0" encoding="utf-8"?>
<ds:datastoreItem xmlns:ds="http://schemas.openxmlformats.org/officeDocument/2006/customXml" ds:itemID="{60A168E7-1D22-4AA4-915A-032F743EB60C}">
  <ds:schemaRefs>
    <ds:schemaRef ds:uri="http://schemas.microsoft.com/sharepoint/v3/contenttype/forms"/>
  </ds:schemaRefs>
</ds:datastoreItem>
</file>

<file path=customXml/itemProps3.xml><?xml version="1.0" encoding="utf-8"?>
<ds:datastoreItem xmlns:ds="http://schemas.openxmlformats.org/officeDocument/2006/customXml" ds:itemID="{A659166E-AC8C-4E44-97FF-BC48A32AA863}"/>
</file>

<file path=customXml/itemProps4.xml><?xml version="1.0" encoding="utf-8"?>
<ds:datastoreItem xmlns:ds="http://schemas.openxmlformats.org/officeDocument/2006/customXml" ds:itemID="{317C7EE2-C24F-4AF2-A2BE-52460391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684</Words>
  <Characters>3903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2019-09-13T04:55:00Z</cp:lastPrinted>
  <dcterms:created xsi:type="dcterms:W3CDTF">2019-09-13T04:48:00Z</dcterms:created>
  <dcterms:modified xsi:type="dcterms:W3CDTF">2019-09-13T04:55:00Z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2019-09-12T00:00:00Z</vt:filetime>
  </property>
  <property fmtid="{D5CDD505-2E9C-101B-9397-08002B2CF9AE}" pid="4" name="ContentTypeId">
    <vt:lpwstr>0x010100FC344B925675ED46837EB14F9BF5688C</vt:lpwstr>
  </property>
</Properties>
</file>