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7FB9" w14:textId="77777777" w:rsidR="003D02E5" w:rsidRPr="00771C95" w:rsidRDefault="003D02E5" w:rsidP="003D02E5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0" wp14:anchorId="2FB5D604" wp14:editId="104B88FF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323340" cy="1189355"/>
            <wp:effectExtent l="0" t="0" r="0" b="0"/>
            <wp:wrapSquare wrapText="bothSides"/>
            <wp:docPr id="3" name="Picture 3" descr="Supreme Court of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2D152" w14:textId="77777777" w:rsidR="003D02E5" w:rsidRPr="00771C95" w:rsidRDefault="003D02E5" w:rsidP="003D02E5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5B450CF5" w14:textId="77777777" w:rsidR="003D02E5" w:rsidRPr="00771C95" w:rsidRDefault="003D02E5" w:rsidP="003D02E5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030EE880" w14:textId="77777777" w:rsidR="003D02E5" w:rsidRDefault="003D02E5" w:rsidP="003D02E5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</w:p>
    <w:p w14:paraId="6DFA33A4" w14:textId="77777777" w:rsidR="003D02E5" w:rsidRPr="007917BE" w:rsidRDefault="003D02E5" w:rsidP="003D02E5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  <w:r>
        <w:rPr>
          <w:rFonts w:ascii="Book Antiqua" w:hAnsi="Book Antiqua"/>
          <w:b/>
          <w:bCs/>
          <w:color w:val="000000"/>
          <w:sz w:val="44"/>
          <w:szCs w:val="44"/>
        </w:rPr>
        <w:t>Supreme C</w:t>
      </w:r>
      <w:r w:rsidRPr="007917BE">
        <w:rPr>
          <w:rFonts w:ascii="Book Antiqua" w:hAnsi="Book Antiqua"/>
          <w:b/>
          <w:bCs/>
          <w:color w:val="000000"/>
          <w:sz w:val="44"/>
          <w:szCs w:val="44"/>
        </w:rPr>
        <w:t>ourt of Vi</w:t>
      </w:r>
      <w:bookmarkStart w:id="0" w:name="_GoBack"/>
      <w:bookmarkEnd w:id="0"/>
      <w:r w:rsidRPr="007917BE">
        <w:rPr>
          <w:rFonts w:ascii="Book Antiqua" w:hAnsi="Book Antiqua"/>
          <w:b/>
          <w:bCs/>
          <w:color w:val="000000"/>
          <w:sz w:val="44"/>
          <w:szCs w:val="44"/>
        </w:rPr>
        <w:t>ctoria</w:t>
      </w:r>
    </w:p>
    <w:p w14:paraId="329BFCD0" w14:textId="77777777" w:rsidR="003D02E5" w:rsidRPr="007917BE" w:rsidRDefault="003D02E5" w:rsidP="003D02E5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 w:rsidRPr="007917BE">
        <w:rPr>
          <w:rFonts w:ascii="Book Antiqua" w:hAnsi="Book Antiqua"/>
          <w:b/>
          <w:color w:val="000000"/>
          <w:sz w:val="28"/>
        </w:rPr>
        <w:t xml:space="preserve">Practice Note </w:t>
      </w:r>
      <w:r>
        <w:rPr>
          <w:rFonts w:ascii="Book Antiqua" w:hAnsi="Book Antiqua"/>
          <w:b/>
          <w:color w:val="000000"/>
          <w:sz w:val="28"/>
        </w:rPr>
        <w:t>SC CA</w:t>
      </w:r>
      <w:r w:rsidRPr="007917BE">
        <w:rPr>
          <w:rFonts w:ascii="Book Antiqua" w:hAnsi="Book Antiqua"/>
          <w:b/>
          <w:color w:val="000000"/>
          <w:sz w:val="28"/>
        </w:rPr>
        <w:t xml:space="preserve"> </w:t>
      </w:r>
      <w:r>
        <w:rPr>
          <w:rFonts w:ascii="Book Antiqua" w:hAnsi="Book Antiqua"/>
          <w:b/>
          <w:color w:val="000000"/>
          <w:sz w:val="28"/>
        </w:rPr>
        <w:t>4</w:t>
      </w:r>
    </w:p>
    <w:p w14:paraId="253E8710" w14:textId="77777777" w:rsidR="003D02E5" w:rsidRDefault="003D02E5" w:rsidP="003D02E5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Second or subsequent appeal against conviction for an indictable offence</w:t>
      </w:r>
    </w:p>
    <w:p w14:paraId="6AD03FEF" w14:textId="77777777" w:rsidR="003D02E5" w:rsidRPr="007917BE" w:rsidRDefault="003D02E5" w:rsidP="003D02E5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</w:p>
    <w:p w14:paraId="5231ACD5" w14:textId="77777777" w:rsidR="003D02E5" w:rsidRPr="00BF7E0E" w:rsidRDefault="003D02E5" w:rsidP="003D02E5">
      <w:pPr>
        <w:pStyle w:val="Heading1"/>
      </w:pPr>
      <w:r w:rsidRPr="00BF7E0E">
        <w:t>INTRODUCTION</w:t>
      </w:r>
    </w:p>
    <w:p w14:paraId="56C04EB4" w14:textId="77777777" w:rsidR="003D02E5" w:rsidRPr="00BF7E0E" w:rsidRDefault="003D02E5" w:rsidP="003D02E5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BF7E0E">
        <w:rPr>
          <w:rFonts w:ascii="Book Antiqua" w:hAnsi="Book Antiqua"/>
          <w:sz w:val="24"/>
          <w:szCs w:val="24"/>
        </w:rPr>
        <w:t>The Chief Justice has authorised the issue of the following Practice Note.</w:t>
      </w:r>
    </w:p>
    <w:p w14:paraId="2A983BBD" w14:textId="77777777" w:rsidR="003D02E5" w:rsidRDefault="003D02E5" w:rsidP="003D02E5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>The purpose of this Practice Note is t</w:t>
      </w:r>
      <w:r>
        <w:rPr>
          <w:rFonts w:ascii="Book Antiqua" w:hAnsi="Book Antiqua"/>
          <w:sz w:val="24"/>
          <w:szCs w:val="24"/>
        </w:rPr>
        <w:t>o</w:t>
      </w:r>
      <w:r w:rsidRPr="00FD1C81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s</w:t>
      </w:r>
      <w:r w:rsidRPr="00FD1C81">
        <w:rPr>
          <w:rFonts w:ascii="Book Antiqua" w:hAnsi="Book Antiqua"/>
          <w:sz w:val="24"/>
          <w:szCs w:val="24"/>
        </w:rPr>
        <w:t xml:space="preserve">et out the practice to be followed in the Court of Appeal in dealing with </w:t>
      </w:r>
      <w:r>
        <w:rPr>
          <w:rFonts w:ascii="Book Antiqua" w:hAnsi="Book Antiqua"/>
          <w:sz w:val="24"/>
          <w:szCs w:val="24"/>
        </w:rPr>
        <w:t xml:space="preserve">second or subsequent </w:t>
      </w:r>
      <w:r w:rsidRPr="00FD1C81">
        <w:rPr>
          <w:rFonts w:ascii="Book Antiqua" w:hAnsi="Book Antiqua"/>
          <w:sz w:val="24"/>
          <w:szCs w:val="24"/>
        </w:rPr>
        <w:t>applications for leave to appeal against conviction.</w:t>
      </w:r>
    </w:p>
    <w:p w14:paraId="2D388E2A" w14:textId="77777777" w:rsidR="00042AEA" w:rsidRDefault="00042AEA" w:rsidP="003D02E5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Practice Note must be read together with Practice Note SC CA 1: Criminal Appeals.</w:t>
      </w:r>
    </w:p>
    <w:p w14:paraId="6DB2A630" w14:textId="77777777" w:rsidR="003D02E5" w:rsidRPr="007917BE" w:rsidRDefault="003D02E5" w:rsidP="003D02E5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799E83D5" w14:textId="77777777" w:rsidR="003D02E5" w:rsidRPr="00BF7E0E" w:rsidRDefault="003D02E5" w:rsidP="003D02E5">
      <w:pPr>
        <w:pStyle w:val="Heading1"/>
      </w:pPr>
      <w:r w:rsidRPr="00BF7E0E">
        <w:t>COMMENCEMENT</w:t>
      </w:r>
    </w:p>
    <w:p w14:paraId="51348115" w14:textId="77777777" w:rsidR="003D02E5" w:rsidRPr="00BF7E0E" w:rsidRDefault="003D02E5" w:rsidP="003D02E5">
      <w:pPr>
        <w:pStyle w:val="ListParagraph"/>
        <w:numPr>
          <w:ilvl w:val="1"/>
          <w:numId w:val="2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BF7E0E">
        <w:rPr>
          <w:rFonts w:ascii="Book Antiqua" w:hAnsi="Book Antiqua"/>
          <w:sz w:val="24"/>
          <w:szCs w:val="24"/>
        </w:rPr>
        <w:t xml:space="preserve">This Practice Note was issued on </w:t>
      </w:r>
      <w:r w:rsidR="00A66648">
        <w:rPr>
          <w:rFonts w:ascii="Book Antiqua" w:hAnsi="Book Antiqua"/>
          <w:sz w:val="24"/>
          <w:szCs w:val="24"/>
        </w:rPr>
        <w:t>4 December 2019</w:t>
      </w:r>
      <w:r w:rsidR="007232D7">
        <w:rPr>
          <w:rFonts w:ascii="Book Antiqua" w:hAnsi="Book Antiqua"/>
          <w:sz w:val="24"/>
          <w:szCs w:val="24"/>
        </w:rPr>
        <w:t xml:space="preserve"> and</w:t>
      </w:r>
      <w:r w:rsidRPr="00BF7E0E">
        <w:rPr>
          <w:rFonts w:ascii="Book Antiqua" w:hAnsi="Book Antiqua"/>
          <w:sz w:val="24"/>
          <w:szCs w:val="24"/>
        </w:rPr>
        <w:t xml:space="preserve"> applies to all </w:t>
      </w:r>
      <w:r>
        <w:rPr>
          <w:rFonts w:ascii="Book Antiqua" w:hAnsi="Book Antiqua"/>
          <w:sz w:val="24"/>
          <w:szCs w:val="24"/>
        </w:rPr>
        <w:t>second and subsequent</w:t>
      </w:r>
      <w:r w:rsidRPr="00BF7E0E">
        <w:rPr>
          <w:rFonts w:ascii="Book Antiqua" w:hAnsi="Book Antiqua"/>
          <w:sz w:val="24"/>
          <w:szCs w:val="24"/>
        </w:rPr>
        <w:t xml:space="preserve"> applications for leave to appeal </w:t>
      </w:r>
      <w:r w:rsidR="00B55F68">
        <w:rPr>
          <w:rFonts w:ascii="Book Antiqua" w:hAnsi="Book Antiqua"/>
          <w:sz w:val="24"/>
          <w:szCs w:val="24"/>
        </w:rPr>
        <w:t xml:space="preserve">against </w:t>
      </w:r>
      <w:r>
        <w:rPr>
          <w:rFonts w:ascii="Book Antiqua" w:hAnsi="Book Antiqua"/>
          <w:sz w:val="24"/>
          <w:szCs w:val="24"/>
        </w:rPr>
        <w:t xml:space="preserve">conviction </w:t>
      </w:r>
      <w:r w:rsidRPr="00BF7E0E">
        <w:rPr>
          <w:rFonts w:ascii="Book Antiqua" w:hAnsi="Book Antiqua"/>
          <w:sz w:val="24"/>
          <w:szCs w:val="24"/>
        </w:rPr>
        <w:t>commenced on or after that date.</w:t>
      </w:r>
    </w:p>
    <w:p w14:paraId="6648E276" w14:textId="77777777" w:rsidR="003D02E5" w:rsidRPr="000A1CFE" w:rsidRDefault="003D02E5" w:rsidP="003D02E5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1524AEEC" w14:textId="77777777" w:rsidR="003D02E5" w:rsidRPr="00BF7E0E" w:rsidRDefault="003D02E5" w:rsidP="003D02E5">
      <w:pPr>
        <w:pStyle w:val="Heading1"/>
      </w:pPr>
      <w:r w:rsidRPr="00BF7E0E">
        <w:t>DEFINITIONS</w:t>
      </w:r>
    </w:p>
    <w:p w14:paraId="3B575659" w14:textId="77777777" w:rsidR="003D02E5" w:rsidRPr="00BF7E0E" w:rsidRDefault="003D02E5" w:rsidP="003D02E5">
      <w:pPr>
        <w:pStyle w:val="ListParagraph"/>
        <w:numPr>
          <w:ilvl w:val="1"/>
          <w:numId w:val="2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BF7E0E">
        <w:rPr>
          <w:rFonts w:ascii="Book Antiqua" w:hAnsi="Book Antiqua"/>
          <w:sz w:val="24"/>
          <w:szCs w:val="24"/>
        </w:rPr>
        <w:t>In this Practice Note:</w:t>
      </w:r>
    </w:p>
    <w:p w14:paraId="20985A2B" w14:textId="77777777" w:rsidR="003D02E5" w:rsidRPr="00BF7E0E" w:rsidRDefault="003D02E5" w:rsidP="003D02E5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BF7E0E">
        <w:rPr>
          <w:rFonts w:ascii="Book Antiqua" w:hAnsi="Book Antiqua"/>
          <w:b/>
          <w:i/>
          <w:sz w:val="24"/>
          <w:szCs w:val="24"/>
        </w:rPr>
        <w:t>CPA</w:t>
      </w:r>
      <w:r w:rsidRPr="00BF7E0E">
        <w:rPr>
          <w:rFonts w:ascii="Book Antiqua" w:hAnsi="Book Antiqua"/>
          <w:sz w:val="24"/>
          <w:szCs w:val="24"/>
        </w:rPr>
        <w:t xml:space="preserve"> means the </w:t>
      </w:r>
      <w:r w:rsidRPr="00BF7E0E">
        <w:rPr>
          <w:rFonts w:ascii="Book Antiqua" w:hAnsi="Book Antiqua"/>
          <w:i/>
          <w:sz w:val="24"/>
          <w:szCs w:val="24"/>
        </w:rPr>
        <w:t>Criminal Procedure Act 2009</w:t>
      </w:r>
    </w:p>
    <w:p w14:paraId="0FC7E231" w14:textId="77777777" w:rsidR="003D02E5" w:rsidRDefault="003D02E5" w:rsidP="003D02E5">
      <w:pPr>
        <w:pStyle w:val="ListParagraph"/>
        <w:tabs>
          <w:tab w:val="right" w:pos="9820"/>
        </w:tabs>
        <w:spacing w:before="120" w:after="120"/>
        <w:jc w:val="both"/>
        <w:rPr>
          <w:rFonts w:ascii="Book Antiqua" w:hAnsi="Book Antiqua"/>
          <w:i/>
          <w:sz w:val="24"/>
          <w:szCs w:val="24"/>
        </w:rPr>
      </w:pPr>
      <w:r w:rsidRPr="00BF7E0E">
        <w:rPr>
          <w:rFonts w:ascii="Book Antiqua" w:hAnsi="Book Antiqua"/>
          <w:b/>
          <w:sz w:val="24"/>
          <w:szCs w:val="24"/>
        </w:rPr>
        <w:t>Rule or Rules</w:t>
      </w:r>
      <w:r w:rsidRPr="00BF7E0E">
        <w:rPr>
          <w:rFonts w:ascii="Book Antiqua" w:hAnsi="Book Antiqua"/>
          <w:b/>
          <w:i/>
          <w:sz w:val="24"/>
          <w:szCs w:val="24"/>
        </w:rPr>
        <w:t xml:space="preserve"> </w:t>
      </w:r>
      <w:r w:rsidRPr="00BF7E0E">
        <w:rPr>
          <w:rFonts w:ascii="Book Antiqua" w:hAnsi="Book Antiqua"/>
          <w:sz w:val="24"/>
          <w:szCs w:val="24"/>
        </w:rPr>
        <w:t xml:space="preserve">means the </w:t>
      </w:r>
      <w:r w:rsidRPr="00BF7E0E">
        <w:rPr>
          <w:rFonts w:ascii="Book Antiqua" w:hAnsi="Book Antiqua"/>
          <w:i/>
          <w:sz w:val="24"/>
          <w:szCs w:val="24"/>
        </w:rPr>
        <w:t>Supreme Court (Criminal Procedure) Rules 2008</w:t>
      </w:r>
    </w:p>
    <w:p w14:paraId="023D189E" w14:textId="77777777" w:rsidR="003D02E5" w:rsidRPr="00FC368D" w:rsidRDefault="003D02E5" w:rsidP="003D02E5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7CE61C51" w14:textId="77777777" w:rsidR="003D02E5" w:rsidRDefault="003D02E5" w:rsidP="003D02E5">
      <w:pPr>
        <w:pStyle w:val="Heading1"/>
      </w:pPr>
      <w:r>
        <w:t xml:space="preserve">APPLICATION OF PRACTICE NOTE SC CA 1: CRIMINAL APPEALS </w:t>
      </w:r>
    </w:p>
    <w:p w14:paraId="22D9551A" w14:textId="77777777" w:rsidR="003D02E5" w:rsidRDefault="003D02E5" w:rsidP="003D02E5">
      <w:pPr>
        <w:pStyle w:val="ListParagraph"/>
        <w:numPr>
          <w:ilvl w:val="1"/>
          <w:numId w:val="2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following parts of </w:t>
      </w:r>
      <w:r w:rsidR="003037CE">
        <w:rPr>
          <w:rFonts w:ascii="Book Antiqua" w:hAnsi="Book Antiqua"/>
          <w:sz w:val="24"/>
          <w:szCs w:val="24"/>
        </w:rPr>
        <w:t xml:space="preserve">Practice Note </w:t>
      </w:r>
      <w:r>
        <w:rPr>
          <w:rFonts w:ascii="Book Antiqua" w:hAnsi="Book Antiqua"/>
          <w:sz w:val="24"/>
          <w:szCs w:val="24"/>
        </w:rPr>
        <w:t>SC CA 1: Criminal Appeals appl</w:t>
      </w:r>
      <w:r w:rsidR="00B2402B">
        <w:rPr>
          <w:rFonts w:ascii="Book Antiqua" w:hAnsi="Book Antiqua"/>
          <w:sz w:val="24"/>
          <w:szCs w:val="24"/>
        </w:rPr>
        <w:t>y</w:t>
      </w:r>
      <w:r>
        <w:rPr>
          <w:rFonts w:ascii="Book Antiqua" w:hAnsi="Book Antiqua"/>
          <w:sz w:val="24"/>
          <w:szCs w:val="24"/>
        </w:rPr>
        <w:t xml:space="preserve"> with any necessary modification to applications for leave to bring a second or subsequent appeal:</w:t>
      </w:r>
      <w:r w:rsidRPr="003D02E5">
        <w:rPr>
          <w:rFonts w:ascii="Book Antiqua" w:hAnsi="Book Antiqua"/>
          <w:sz w:val="24"/>
          <w:szCs w:val="24"/>
        </w:rPr>
        <w:t xml:space="preserve"> </w:t>
      </w:r>
    </w:p>
    <w:p w14:paraId="06A292CD" w14:textId="77777777" w:rsidR="007232D7" w:rsidRPr="003D02E5" w:rsidRDefault="007232D7" w:rsidP="007232D7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25E67979" w14:textId="77777777" w:rsidR="003D02E5" w:rsidRDefault="003D02E5" w:rsidP="003D02E5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Part 4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Fi</w:t>
      </w:r>
      <w:r w:rsidR="00547C53">
        <w:rPr>
          <w:rFonts w:ascii="Book Antiqua" w:hAnsi="Book Antiqua"/>
          <w:sz w:val="24"/>
          <w:szCs w:val="24"/>
        </w:rPr>
        <w:t>ling and c</w:t>
      </w:r>
      <w:r>
        <w:rPr>
          <w:rFonts w:ascii="Book Antiqua" w:hAnsi="Book Antiqua"/>
          <w:sz w:val="24"/>
          <w:szCs w:val="24"/>
        </w:rPr>
        <w:t>orrespondence with the Court;</w:t>
      </w:r>
    </w:p>
    <w:p w14:paraId="15CED6E0" w14:textId="77777777" w:rsidR="00547C53" w:rsidRDefault="00547C53" w:rsidP="003D02E5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Part 8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Grounds of appeal</w:t>
      </w:r>
      <w:r w:rsidR="004657B7">
        <w:rPr>
          <w:rFonts w:ascii="Book Antiqua" w:hAnsi="Book Antiqua"/>
          <w:sz w:val="24"/>
          <w:szCs w:val="24"/>
        </w:rPr>
        <w:t>;</w:t>
      </w:r>
    </w:p>
    <w:p w14:paraId="3B160087" w14:textId="77777777" w:rsidR="00042AEA" w:rsidRDefault="00042AEA" w:rsidP="003D02E5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Part 11</w:t>
      </w:r>
      <w:r>
        <w:rPr>
          <w:rFonts w:ascii="Book Antiqua" w:hAnsi="Book Antiqua"/>
          <w:sz w:val="24"/>
          <w:szCs w:val="24"/>
        </w:rPr>
        <w:tab/>
        <w:t>Service of application for leave to appeal</w:t>
      </w:r>
      <w:r w:rsidR="004657B7">
        <w:rPr>
          <w:rFonts w:ascii="Book Antiqua" w:hAnsi="Book Antiqua"/>
          <w:sz w:val="24"/>
          <w:szCs w:val="24"/>
        </w:rPr>
        <w:t>;</w:t>
      </w:r>
    </w:p>
    <w:p w14:paraId="561F1AE0" w14:textId="77777777" w:rsidR="003D02E5" w:rsidRDefault="003D02E5" w:rsidP="003D02E5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Part 12 </w:t>
      </w:r>
      <w:r>
        <w:rPr>
          <w:rFonts w:ascii="Book Antiqua" w:hAnsi="Book Antiqua"/>
          <w:sz w:val="24"/>
          <w:szCs w:val="24"/>
        </w:rPr>
        <w:tab/>
        <w:t>Transcript</w:t>
      </w:r>
      <w:r w:rsidR="004657B7">
        <w:rPr>
          <w:rFonts w:ascii="Book Antiqua" w:hAnsi="Book Antiqua"/>
          <w:sz w:val="24"/>
          <w:szCs w:val="24"/>
        </w:rPr>
        <w:t>;</w:t>
      </w:r>
    </w:p>
    <w:p w14:paraId="0256E96E" w14:textId="77777777" w:rsidR="003D02E5" w:rsidRDefault="003D02E5" w:rsidP="003D02E5">
      <w:pPr>
        <w:pStyle w:val="ListParagraph"/>
        <w:spacing w:before="120" w:after="120"/>
        <w:ind w:left="2160" w:hanging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Part 13</w:t>
      </w:r>
      <w:r>
        <w:rPr>
          <w:rFonts w:ascii="Book Antiqua" w:hAnsi="Book Antiqua"/>
          <w:sz w:val="24"/>
          <w:szCs w:val="24"/>
        </w:rPr>
        <w:tab/>
        <w:t>Amendment of notice of application for leave to appeal or written case</w:t>
      </w:r>
      <w:r w:rsidR="004657B7">
        <w:rPr>
          <w:rFonts w:ascii="Book Antiqua" w:hAnsi="Book Antiqua"/>
          <w:sz w:val="24"/>
          <w:szCs w:val="24"/>
        </w:rPr>
        <w:t>;</w:t>
      </w:r>
    </w:p>
    <w:p w14:paraId="5B45E392" w14:textId="77777777" w:rsidR="003D02E5" w:rsidRDefault="003D02E5" w:rsidP="003D02E5">
      <w:pPr>
        <w:pStyle w:val="ListParagraph"/>
        <w:spacing w:before="120" w:after="120"/>
        <w:ind w:left="2160" w:hanging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Part 14</w:t>
      </w:r>
      <w:r>
        <w:rPr>
          <w:rFonts w:ascii="Book Antiqua" w:hAnsi="Book Antiqua"/>
          <w:sz w:val="24"/>
          <w:szCs w:val="24"/>
        </w:rPr>
        <w:tab/>
        <w:t>Crown response to applications for leave to appeal</w:t>
      </w:r>
      <w:r w:rsidR="004657B7">
        <w:rPr>
          <w:rFonts w:ascii="Book Antiqua" w:hAnsi="Book Antiqua"/>
          <w:sz w:val="24"/>
          <w:szCs w:val="24"/>
        </w:rPr>
        <w:t>;</w:t>
      </w:r>
    </w:p>
    <w:p w14:paraId="2338443D" w14:textId="77777777" w:rsidR="003D02E5" w:rsidRDefault="003D02E5" w:rsidP="003D02E5">
      <w:pPr>
        <w:pStyle w:val="ListParagraph"/>
        <w:spacing w:before="120" w:after="120"/>
        <w:ind w:left="2160" w:hanging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Part 15 </w:t>
      </w:r>
      <w:r>
        <w:rPr>
          <w:rFonts w:ascii="Book Antiqua" w:hAnsi="Book Antiqua"/>
          <w:sz w:val="24"/>
          <w:szCs w:val="24"/>
        </w:rPr>
        <w:tab/>
        <w:t>Referral by the Registrar</w:t>
      </w:r>
      <w:r w:rsidR="004657B7">
        <w:rPr>
          <w:rFonts w:ascii="Book Antiqua" w:hAnsi="Book Antiqua"/>
          <w:sz w:val="24"/>
          <w:szCs w:val="24"/>
        </w:rPr>
        <w:t>;</w:t>
      </w:r>
    </w:p>
    <w:p w14:paraId="409EADBB" w14:textId="77777777" w:rsidR="003D02E5" w:rsidRDefault="003D02E5" w:rsidP="003D02E5">
      <w:pPr>
        <w:pStyle w:val="ListParagraph"/>
        <w:spacing w:before="120" w:after="120"/>
        <w:ind w:left="2160" w:hanging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Part 16</w:t>
      </w:r>
      <w:r>
        <w:rPr>
          <w:rFonts w:ascii="Book Antiqua" w:hAnsi="Book Antiqua"/>
          <w:sz w:val="24"/>
          <w:szCs w:val="24"/>
        </w:rPr>
        <w:tab/>
        <w:t>Bail pending appeal</w:t>
      </w:r>
      <w:r w:rsidR="004657B7">
        <w:rPr>
          <w:rFonts w:ascii="Book Antiqua" w:hAnsi="Book Antiqua"/>
          <w:sz w:val="24"/>
          <w:szCs w:val="24"/>
        </w:rPr>
        <w:t>;</w:t>
      </w:r>
    </w:p>
    <w:p w14:paraId="227BA30C" w14:textId="77777777" w:rsidR="00734613" w:rsidRDefault="00734613" w:rsidP="003D02E5">
      <w:pPr>
        <w:pStyle w:val="ListParagraph"/>
        <w:spacing w:before="120" w:after="120"/>
        <w:ind w:left="2160" w:hanging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Part 18</w:t>
      </w:r>
      <w:r>
        <w:rPr>
          <w:rFonts w:ascii="Book Antiqua" w:hAnsi="Book Antiqua"/>
          <w:sz w:val="24"/>
          <w:szCs w:val="24"/>
        </w:rPr>
        <w:tab/>
        <w:t>Powers of a single judge</w:t>
      </w:r>
      <w:r w:rsidR="004657B7">
        <w:rPr>
          <w:rFonts w:ascii="Book Antiqua" w:hAnsi="Book Antiqua"/>
          <w:sz w:val="24"/>
          <w:szCs w:val="24"/>
        </w:rPr>
        <w:t>;</w:t>
      </w:r>
    </w:p>
    <w:p w14:paraId="7C2ABB1A" w14:textId="77777777" w:rsidR="003D02E5" w:rsidRDefault="003D02E5" w:rsidP="003D02E5">
      <w:pPr>
        <w:pStyle w:val="ListParagraph"/>
        <w:spacing w:before="120" w:after="120"/>
        <w:ind w:left="2160" w:hanging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Part 19</w:t>
      </w:r>
      <w:r>
        <w:rPr>
          <w:rFonts w:ascii="Book Antiqua" w:hAnsi="Book Antiqua"/>
          <w:sz w:val="24"/>
          <w:szCs w:val="24"/>
        </w:rPr>
        <w:tab/>
        <w:t>Renewed applications where single judge refuses leave</w:t>
      </w:r>
      <w:r w:rsidR="004657B7">
        <w:rPr>
          <w:rFonts w:ascii="Book Antiqua" w:hAnsi="Book Antiqua"/>
          <w:sz w:val="24"/>
          <w:szCs w:val="24"/>
        </w:rPr>
        <w:t>;</w:t>
      </w:r>
    </w:p>
    <w:p w14:paraId="0E58DA0C" w14:textId="77777777" w:rsidR="003D02E5" w:rsidRDefault="003D02E5" w:rsidP="003D02E5">
      <w:pPr>
        <w:pStyle w:val="ListParagraph"/>
        <w:spacing w:before="120" w:after="120"/>
        <w:ind w:left="2160" w:hanging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Part 21</w:t>
      </w:r>
      <w:r>
        <w:rPr>
          <w:rFonts w:ascii="Book Antiqua" w:hAnsi="Book Antiqua"/>
          <w:sz w:val="24"/>
          <w:szCs w:val="24"/>
        </w:rPr>
        <w:tab/>
        <w:t>Powers of Court comprising two or more judges</w:t>
      </w:r>
      <w:r w:rsidR="004657B7">
        <w:rPr>
          <w:rFonts w:ascii="Book Antiqua" w:hAnsi="Book Antiqua"/>
          <w:sz w:val="24"/>
          <w:szCs w:val="24"/>
        </w:rPr>
        <w:t>;</w:t>
      </w:r>
    </w:p>
    <w:p w14:paraId="01B1ACBE" w14:textId="77777777" w:rsidR="003D02E5" w:rsidRDefault="003D02E5" w:rsidP="003D02E5">
      <w:pPr>
        <w:pStyle w:val="ListParagraph"/>
        <w:spacing w:before="120" w:after="120"/>
        <w:ind w:left="2160" w:hanging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Part 22</w:t>
      </w:r>
      <w:r>
        <w:rPr>
          <w:rFonts w:ascii="Book Antiqua" w:hAnsi="Book Antiqua"/>
          <w:sz w:val="24"/>
          <w:szCs w:val="24"/>
        </w:rPr>
        <w:tab/>
        <w:t>Representation by counsel at further hearings</w:t>
      </w:r>
      <w:r w:rsidR="004657B7">
        <w:rPr>
          <w:rFonts w:ascii="Book Antiqua" w:hAnsi="Book Antiqua"/>
          <w:sz w:val="24"/>
          <w:szCs w:val="24"/>
        </w:rPr>
        <w:t>;</w:t>
      </w:r>
    </w:p>
    <w:p w14:paraId="183CB936" w14:textId="77777777" w:rsidR="005C17A6" w:rsidRDefault="005C17A6" w:rsidP="003D02E5">
      <w:pPr>
        <w:pStyle w:val="ListParagraph"/>
        <w:spacing w:before="120" w:after="120"/>
        <w:ind w:left="2160" w:hanging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Part 24</w:t>
      </w:r>
      <w:r>
        <w:rPr>
          <w:rFonts w:ascii="Book Antiqua" w:hAnsi="Book Antiqua"/>
          <w:sz w:val="24"/>
          <w:szCs w:val="24"/>
        </w:rPr>
        <w:tab/>
        <w:t>Registrar’s preparation of appeals for hearing;</w:t>
      </w:r>
      <w:r>
        <w:rPr>
          <w:rStyle w:val="FootnoteReference"/>
          <w:rFonts w:ascii="Book Antiqua" w:hAnsi="Book Antiqua"/>
          <w:sz w:val="24"/>
          <w:szCs w:val="24"/>
        </w:rPr>
        <w:footnoteReference w:id="1"/>
      </w:r>
    </w:p>
    <w:p w14:paraId="776CDBB0" w14:textId="77777777" w:rsidR="00042AEA" w:rsidRDefault="00042AEA" w:rsidP="003D02E5">
      <w:pPr>
        <w:pStyle w:val="ListParagraph"/>
        <w:spacing w:before="120" w:after="120"/>
        <w:ind w:left="2160" w:hanging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Part 25</w:t>
      </w:r>
      <w:r>
        <w:rPr>
          <w:rFonts w:ascii="Book Antiqua" w:hAnsi="Book Antiqua"/>
          <w:sz w:val="24"/>
          <w:szCs w:val="24"/>
        </w:rPr>
        <w:tab/>
        <w:t>Hearing of applications and appeals</w:t>
      </w:r>
      <w:r w:rsidR="004657B7">
        <w:rPr>
          <w:rFonts w:ascii="Book Antiqua" w:hAnsi="Book Antiqua"/>
          <w:sz w:val="24"/>
          <w:szCs w:val="24"/>
        </w:rPr>
        <w:t>; and</w:t>
      </w:r>
    </w:p>
    <w:p w14:paraId="2634D6DD" w14:textId="77777777" w:rsidR="003D02E5" w:rsidRDefault="003D02E5" w:rsidP="003D02E5">
      <w:pPr>
        <w:pStyle w:val="ListParagraph"/>
        <w:spacing w:before="120" w:after="120"/>
        <w:ind w:left="2160" w:hanging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Part 26</w:t>
      </w:r>
      <w:r>
        <w:rPr>
          <w:rFonts w:ascii="Book Antiqua" w:hAnsi="Book Antiqua"/>
          <w:sz w:val="24"/>
          <w:szCs w:val="24"/>
        </w:rPr>
        <w:tab/>
        <w:t>Abandonment of appeals and appeal grounds.</w:t>
      </w:r>
    </w:p>
    <w:p w14:paraId="5423B3BA" w14:textId="77777777" w:rsidR="003D02E5" w:rsidRPr="003D02E5" w:rsidRDefault="003D02E5" w:rsidP="003D02E5">
      <w:pPr>
        <w:spacing w:before="120" w:after="120"/>
        <w:jc w:val="both"/>
        <w:rPr>
          <w:rFonts w:ascii="Book Antiqua" w:hAnsi="Book Antiqua"/>
        </w:rPr>
      </w:pPr>
    </w:p>
    <w:p w14:paraId="78B2BF6F" w14:textId="77777777" w:rsidR="003D02E5" w:rsidRPr="007917BE" w:rsidRDefault="003D02E5" w:rsidP="003D02E5">
      <w:pPr>
        <w:pStyle w:val="Heading1"/>
      </w:pPr>
      <w:r>
        <w:t>LEAVE TO APPEAL</w:t>
      </w:r>
    </w:p>
    <w:p w14:paraId="7C66EF7F" w14:textId="77777777" w:rsidR="003D02E5" w:rsidRPr="007978F8" w:rsidRDefault="003D02E5" w:rsidP="003D02E5">
      <w:pPr>
        <w:pStyle w:val="ListParagraph"/>
        <w:numPr>
          <w:ilvl w:val="1"/>
          <w:numId w:val="2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978F8">
        <w:rPr>
          <w:rFonts w:ascii="Book Antiqua" w:hAnsi="Book Antiqua" w:cs="Arial"/>
          <w:sz w:val="24"/>
          <w:szCs w:val="24"/>
        </w:rPr>
        <w:t xml:space="preserve">Leave to appeal is required in all cases of </w:t>
      </w:r>
      <w:r>
        <w:rPr>
          <w:rFonts w:ascii="Book Antiqua" w:hAnsi="Book Antiqua" w:cs="Arial"/>
          <w:sz w:val="24"/>
          <w:szCs w:val="24"/>
        </w:rPr>
        <w:t xml:space="preserve">second or subsequent </w:t>
      </w:r>
      <w:r w:rsidRPr="007978F8">
        <w:rPr>
          <w:rFonts w:ascii="Book Antiqua" w:hAnsi="Book Antiqua" w:cs="Arial"/>
          <w:sz w:val="24"/>
          <w:szCs w:val="24"/>
        </w:rPr>
        <w:t xml:space="preserve">appeal against </w:t>
      </w:r>
      <w:r w:rsidRPr="008E6143">
        <w:rPr>
          <w:rFonts w:ascii="Book Antiqua" w:hAnsi="Book Antiqua" w:cs="Arial"/>
          <w:sz w:val="24"/>
          <w:szCs w:val="24"/>
        </w:rPr>
        <w:t>conviction</w:t>
      </w:r>
      <w:r w:rsidRPr="007978F8">
        <w:rPr>
          <w:rFonts w:ascii="Book Antiqua" w:hAnsi="Book Antiqua" w:cs="Arial"/>
          <w:sz w:val="24"/>
          <w:szCs w:val="24"/>
        </w:rPr>
        <w:t>.</w:t>
      </w:r>
      <w:r w:rsidRPr="007978F8">
        <w:rPr>
          <w:rStyle w:val="FootnoteReference"/>
          <w:rFonts w:ascii="Book Antiqua" w:hAnsi="Book Antiqua" w:cs="Arial"/>
          <w:sz w:val="24"/>
          <w:szCs w:val="24"/>
        </w:rPr>
        <w:footnoteReference w:id="2"/>
      </w:r>
    </w:p>
    <w:p w14:paraId="2FAAD2F6" w14:textId="77777777" w:rsidR="003D02E5" w:rsidRPr="000A1CFE" w:rsidRDefault="003D02E5" w:rsidP="003D02E5">
      <w:pPr>
        <w:pStyle w:val="ListParagraph"/>
        <w:numPr>
          <w:ilvl w:val="1"/>
          <w:numId w:val="2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Applications pursuant to s</w:t>
      </w:r>
      <w:r w:rsidR="000D6E16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326F for a stay of sentence or bail pending appeal will usually be determined by a single judge of appeal.</w:t>
      </w:r>
      <w:r>
        <w:rPr>
          <w:rStyle w:val="FootnoteReference"/>
          <w:rFonts w:ascii="Book Antiqua" w:hAnsi="Book Antiqua" w:cs="Arial"/>
          <w:sz w:val="24"/>
          <w:szCs w:val="24"/>
        </w:rPr>
        <w:footnoteReference w:id="3"/>
      </w:r>
      <w:r>
        <w:rPr>
          <w:rFonts w:ascii="Book Antiqua" w:hAnsi="Book Antiqua" w:cs="Arial"/>
          <w:sz w:val="24"/>
          <w:szCs w:val="24"/>
        </w:rPr>
        <w:t xml:space="preserve"> </w:t>
      </w:r>
    </w:p>
    <w:p w14:paraId="14E48686" w14:textId="77777777" w:rsidR="003D02E5" w:rsidRPr="007978F8" w:rsidRDefault="003D02E5" w:rsidP="003D02E5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1E098811" w14:textId="77777777" w:rsidR="003D02E5" w:rsidRDefault="003D02E5" w:rsidP="003D02E5">
      <w:pPr>
        <w:pStyle w:val="Heading1"/>
      </w:pPr>
      <w:r>
        <w:t>APPLICATION FOR LEAVE TO BRING A SECOND OR SUBSEQUENT APPEAL</w:t>
      </w:r>
    </w:p>
    <w:p w14:paraId="6EB5AF4B" w14:textId="77777777" w:rsidR="003D02E5" w:rsidRDefault="003D02E5" w:rsidP="003D02E5">
      <w:pPr>
        <w:pStyle w:val="ListParagraph"/>
        <w:numPr>
          <w:ilvl w:val="1"/>
          <w:numId w:val="2"/>
        </w:numPr>
        <w:spacing w:before="120" w:after="120"/>
        <w:ind w:left="720" w:hanging="720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 application for leave to bring a second or subsequent appeal is commenced by filing a notice in Form 6-2A.</w:t>
      </w:r>
      <w:r>
        <w:rPr>
          <w:rStyle w:val="FootnoteReference"/>
          <w:rFonts w:ascii="Book Antiqua" w:hAnsi="Book Antiqua"/>
          <w:sz w:val="24"/>
          <w:szCs w:val="24"/>
        </w:rPr>
        <w:footnoteReference w:id="4"/>
      </w:r>
    </w:p>
    <w:p w14:paraId="27E2AAD8" w14:textId="77777777" w:rsidR="003D02E5" w:rsidRDefault="003D02E5" w:rsidP="003D02E5">
      <w:pPr>
        <w:pStyle w:val="ListParagraph"/>
        <w:numPr>
          <w:ilvl w:val="1"/>
          <w:numId w:val="2"/>
        </w:numPr>
        <w:spacing w:before="120" w:after="120"/>
        <w:ind w:left="720" w:hanging="720"/>
        <w:contextualSpacing w:val="0"/>
        <w:jc w:val="both"/>
        <w:rPr>
          <w:rFonts w:ascii="Book Antiqua" w:hAnsi="Book Antiqua"/>
          <w:sz w:val="24"/>
          <w:szCs w:val="24"/>
        </w:rPr>
      </w:pPr>
      <w:r w:rsidRPr="008B5862">
        <w:rPr>
          <w:rFonts w:ascii="Book Antiqua" w:hAnsi="Book Antiqua"/>
          <w:sz w:val="24"/>
          <w:szCs w:val="24"/>
        </w:rPr>
        <w:t xml:space="preserve">At the time of filing a notice of application for leave to </w:t>
      </w:r>
      <w:r>
        <w:rPr>
          <w:rFonts w:ascii="Book Antiqua" w:hAnsi="Book Antiqua"/>
          <w:sz w:val="24"/>
          <w:szCs w:val="24"/>
        </w:rPr>
        <w:t xml:space="preserve">bring a second or subsequent </w:t>
      </w:r>
      <w:r w:rsidRPr="008B5862">
        <w:rPr>
          <w:rFonts w:ascii="Book Antiqua" w:hAnsi="Book Antiqua"/>
          <w:sz w:val="24"/>
          <w:szCs w:val="24"/>
        </w:rPr>
        <w:t>appeal, the applicant must also file</w:t>
      </w:r>
      <w:r>
        <w:rPr>
          <w:rFonts w:ascii="Book Antiqua" w:hAnsi="Book Antiqua"/>
          <w:sz w:val="24"/>
          <w:szCs w:val="24"/>
        </w:rPr>
        <w:t>:</w:t>
      </w:r>
    </w:p>
    <w:p w14:paraId="3DC0EE8B" w14:textId="77777777" w:rsidR="003D02E5" w:rsidRDefault="003D02E5" w:rsidP="003D02E5">
      <w:pPr>
        <w:pStyle w:val="ListParagraph"/>
        <w:numPr>
          <w:ilvl w:val="2"/>
          <w:numId w:val="2"/>
        </w:numPr>
        <w:spacing w:before="120" w:after="120"/>
        <w:ind w:left="1440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 affidavit setting out the evidence said to be fresh and compelling</w:t>
      </w:r>
      <w:r w:rsidR="00042AEA">
        <w:rPr>
          <w:rFonts w:ascii="Book Antiqua" w:hAnsi="Book Antiqua"/>
          <w:sz w:val="24"/>
          <w:szCs w:val="24"/>
        </w:rPr>
        <w:t xml:space="preserve"> within </w:t>
      </w:r>
      <w:r w:rsidR="007232D7">
        <w:rPr>
          <w:rFonts w:ascii="Book Antiqua" w:hAnsi="Book Antiqua"/>
          <w:sz w:val="24"/>
          <w:szCs w:val="24"/>
        </w:rPr>
        <w:t xml:space="preserve">the meaning of </w:t>
      </w:r>
      <w:r w:rsidR="00042AEA">
        <w:rPr>
          <w:rFonts w:ascii="Book Antiqua" w:hAnsi="Book Antiqua"/>
          <w:sz w:val="24"/>
          <w:szCs w:val="24"/>
        </w:rPr>
        <w:t xml:space="preserve">s 326C of the </w:t>
      </w:r>
      <w:r w:rsidR="00042AEA">
        <w:rPr>
          <w:rFonts w:ascii="Book Antiqua" w:hAnsi="Book Antiqua"/>
          <w:i/>
          <w:sz w:val="24"/>
          <w:szCs w:val="24"/>
        </w:rPr>
        <w:t>CPA</w:t>
      </w:r>
      <w:r>
        <w:rPr>
          <w:rFonts w:ascii="Book Antiqua" w:hAnsi="Book Antiqua"/>
          <w:sz w:val="24"/>
          <w:szCs w:val="24"/>
        </w:rPr>
        <w:t>;</w:t>
      </w:r>
    </w:p>
    <w:p w14:paraId="2D8C2EAD" w14:textId="77777777" w:rsidR="003D02E5" w:rsidRPr="00DD298D" w:rsidRDefault="003D02E5" w:rsidP="003D02E5">
      <w:pPr>
        <w:pStyle w:val="ListParagraph"/>
        <w:numPr>
          <w:ilvl w:val="2"/>
          <w:numId w:val="2"/>
        </w:numPr>
        <w:spacing w:before="120" w:after="120"/>
        <w:ind w:left="1440"/>
        <w:contextualSpacing w:val="0"/>
        <w:jc w:val="both"/>
        <w:rPr>
          <w:rFonts w:ascii="Book Antiqua" w:hAnsi="Book Antiqua"/>
          <w:sz w:val="24"/>
          <w:szCs w:val="24"/>
        </w:rPr>
      </w:pPr>
      <w:r w:rsidRPr="008B5862">
        <w:rPr>
          <w:rFonts w:ascii="Book Antiqua" w:hAnsi="Book Antiqua"/>
          <w:sz w:val="24"/>
          <w:szCs w:val="24"/>
        </w:rPr>
        <w:t>a written case in support</w:t>
      </w:r>
      <w:r>
        <w:rPr>
          <w:rFonts w:ascii="Book Antiqua" w:hAnsi="Book Antiqua"/>
          <w:sz w:val="24"/>
          <w:szCs w:val="24"/>
        </w:rPr>
        <w:t>;</w:t>
      </w:r>
      <w:r w:rsidRPr="008B5862">
        <w:rPr>
          <w:rFonts w:ascii="Book Antiqua" w:hAnsi="Book Antiqua"/>
          <w:sz w:val="24"/>
          <w:szCs w:val="24"/>
          <w:vertAlign w:val="superscript"/>
        </w:rPr>
        <w:footnoteReference w:id="5"/>
      </w:r>
      <w:r>
        <w:rPr>
          <w:rFonts w:ascii="Book Antiqua" w:hAnsi="Book Antiqua"/>
          <w:sz w:val="24"/>
          <w:szCs w:val="24"/>
        </w:rPr>
        <w:t xml:space="preserve"> and</w:t>
      </w:r>
    </w:p>
    <w:p w14:paraId="4BCFA74F" w14:textId="77777777" w:rsidR="003D02E5" w:rsidRPr="00DD298D" w:rsidRDefault="003D02E5" w:rsidP="003D02E5">
      <w:pPr>
        <w:pStyle w:val="ListParagraph"/>
        <w:numPr>
          <w:ilvl w:val="2"/>
          <w:numId w:val="2"/>
        </w:numPr>
        <w:spacing w:before="120" w:after="120"/>
        <w:ind w:left="1440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list of authorities and materials relied upon.</w:t>
      </w:r>
    </w:p>
    <w:p w14:paraId="78525D55" w14:textId="77777777" w:rsidR="003D02E5" w:rsidRDefault="003D02E5" w:rsidP="003D02E5">
      <w:pPr>
        <w:pStyle w:val="ListParagraph"/>
        <w:numPr>
          <w:ilvl w:val="1"/>
          <w:numId w:val="2"/>
        </w:numPr>
        <w:spacing w:before="120" w:after="120"/>
        <w:ind w:left="720" w:hanging="720"/>
        <w:contextualSpacing w:val="0"/>
        <w:jc w:val="both"/>
        <w:rPr>
          <w:rFonts w:ascii="Book Antiqua" w:hAnsi="Book Antiqua"/>
          <w:sz w:val="24"/>
          <w:szCs w:val="24"/>
        </w:rPr>
      </w:pPr>
      <w:r w:rsidRPr="0043435C">
        <w:rPr>
          <w:rFonts w:ascii="Book Antiqua" w:hAnsi="Book Antiqua"/>
          <w:sz w:val="24"/>
          <w:szCs w:val="24"/>
        </w:rPr>
        <w:t>The purpose of the written case is to enable the Court to grasp the facts and issues in the case and it should be prepared accordingly.</w:t>
      </w:r>
    </w:p>
    <w:p w14:paraId="0AD38BB4" w14:textId="77777777" w:rsidR="003D02E5" w:rsidRDefault="003D02E5" w:rsidP="003D02E5">
      <w:pPr>
        <w:pStyle w:val="ListParagraph"/>
        <w:numPr>
          <w:ilvl w:val="1"/>
          <w:numId w:val="2"/>
        </w:numPr>
        <w:spacing w:before="120" w:after="120"/>
        <w:ind w:left="720" w:hanging="720"/>
        <w:contextualSpacing w:val="0"/>
        <w:jc w:val="both"/>
        <w:rPr>
          <w:rFonts w:ascii="Book Antiqua" w:hAnsi="Book Antiqua"/>
          <w:sz w:val="24"/>
          <w:szCs w:val="24"/>
        </w:rPr>
      </w:pPr>
      <w:bookmarkStart w:id="1" w:name="_Ref15923746"/>
      <w:r w:rsidRPr="0043435C">
        <w:rPr>
          <w:rFonts w:ascii="Book Antiqua" w:hAnsi="Book Antiqua"/>
          <w:sz w:val="24"/>
          <w:szCs w:val="24"/>
        </w:rPr>
        <w:t>The written case must, unless the Registrar otherwise directs:</w:t>
      </w:r>
      <w:bookmarkEnd w:id="1"/>
    </w:p>
    <w:p w14:paraId="70A33BC0" w14:textId="77777777" w:rsidR="003D02E5" w:rsidRPr="00F01098" w:rsidRDefault="003C24BC" w:rsidP="003D02E5">
      <w:pPr>
        <w:pStyle w:val="ListParagraph"/>
        <w:numPr>
          <w:ilvl w:val="2"/>
          <w:numId w:val="2"/>
        </w:numPr>
        <w:spacing w:before="120" w:after="120"/>
        <w:ind w:left="1440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outline arguments in support of the contention that </w:t>
      </w:r>
      <w:r w:rsidR="00042AEA">
        <w:rPr>
          <w:rFonts w:ascii="Book Antiqua" w:hAnsi="Book Antiqua"/>
          <w:sz w:val="24"/>
          <w:szCs w:val="24"/>
        </w:rPr>
        <w:t>the Court of Appeal should be satisfied that there is</w:t>
      </w:r>
      <w:r w:rsidR="003D02E5">
        <w:rPr>
          <w:rFonts w:ascii="Book Antiqua" w:hAnsi="Book Antiqua"/>
          <w:sz w:val="24"/>
          <w:szCs w:val="24"/>
        </w:rPr>
        <w:t xml:space="preserve"> fresh and compelling</w:t>
      </w:r>
      <w:r w:rsidR="00042AEA">
        <w:rPr>
          <w:rFonts w:ascii="Book Antiqua" w:hAnsi="Book Antiqua"/>
          <w:sz w:val="24"/>
          <w:szCs w:val="24"/>
        </w:rPr>
        <w:t xml:space="preserve"> evidence that should, in the interests of justice, be considered on an appeal</w:t>
      </w:r>
      <w:r w:rsidR="003D02E5">
        <w:rPr>
          <w:rFonts w:ascii="Book Antiqua" w:hAnsi="Book Antiqua"/>
          <w:sz w:val="24"/>
          <w:szCs w:val="24"/>
        </w:rPr>
        <w:t xml:space="preserve">; </w:t>
      </w:r>
    </w:p>
    <w:p w14:paraId="413819E7" w14:textId="77777777" w:rsidR="003D02E5" w:rsidRDefault="003D02E5" w:rsidP="003D02E5">
      <w:pPr>
        <w:pStyle w:val="ListParagraph"/>
        <w:numPr>
          <w:ilvl w:val="2"/>
          <w:numId w:val="2"/>
        </w:numPr>
        <w:spacing w:before="120" w:after="120"/>
        <w:ind w:left="1440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otherwise comply with the requirements of section 9.4 of Practice Note SC CA 1: Criminal Appeals.</w:t>
      </w:r>
    </w:p>
    <w:p w14:paraId="20469527" w14:textId="77777777" w:rsidR="003D02E5" w:rsidRDefault="007232D7" w:rsidP="003D02E5">
      <w:pPr>
        <w:pStyle w:val="ListParagraph"/>
        <w:numPr>
          <w:ilvl w:val="1"/>
          <w:numId w:val="2"/>
        </w:numPr>
        <w:spacing w:before="120" w:after="120"/>
        <w:ind w:left="720" w:hanging="720"/>
        <w:contextualSpacing w:val="0"/>
        <w:jc w:val="both"/>
        <w:rPr>
          <w:rFonts w:ascii="Book Antiqua" w:hAnsi="Book Antiqua"/>
          <w:sz w:val="24"/>
          <w:szCs w:val="24"/>
        </w:rPr>
      </w:pPr>
      <w:bookmarkStart w:id="2" w:name="_Ref15923802"/>
      <w:r>
        <w:rPr>
          <w:rFonts w:ascii="Book Antiqua" w:hAnsi="Book Antiqua"/>
          <w:sz w:val="24"/>
          <w:szCs w:val="24"/>
        </w:rPr>
        <w:lastRenderedPageBreak/>
        <w:t>The</w:t>
      </w:r>
      <w:r w:rsidR="003D02E5">
        <w:rPr>
          <w:rFonts w:ascii="Book Antiqua" w:hAnsi="Book Antiqua"/>
          <w:sz w:val="24"/>
          <w:szCs w:val="24"/>
        </w:rPr>
        <w:t xml:space="preserve"> list of authorities and materials relied upon must comply with the requirements of section 9.5 of Practice Note SC CA 1: Criminal Appeals.</w:t>
      </w:r>
      <w:bookmarkEnd w:id="2"/>
    </w:p>
    <w:p w14:paraId="4ED4B1AA" w14:textId="77777777" w:rsidR="003D02E5" w:rsidRDefault="003D02E5" w:rsidP="003D02E5">
      <w:pPr>
        <w:pStyle w:val="ListParagraph"/>
        <w:numPr>
          <w:ilvl w:val="1"/>
          <w:numId w:val="2"/>
        </w:numPr>
        <w:spacing w:before="120" w:after="120"/>
        <w:ind w:left="720" w:hanging="720"/>
        <w:contextualSpacing w:val="0"/>
        <w:jc w:val="both"/>
        <w:rPr>
          <w:rFonts w:ascii="Book Antiqua" w:hAnsi="Book Antiqua"/>
          <w:sz w:val="24"/>
          <w:szCs w:val="24"/>
        </w:rPr>
      </w:pPr>
      <w:r w:rsidRPr="00443214">
        <w:rPr>
          <w:rFonts w:ascii="Book Antiqua" w:hAnsi="Book Antiqua"/>
          <w:sz w:val="24"/>
          <w:szCs w:val="24"/>
        </w:rPr>
        <w:t xml:space="preserve">Where the requirements </w:t>
      </w:r>
      <w:r>
        <w:rPr>
          <w:rFonts w:ascii="Book Antiqua" w:hAnsi="Book Antiqua"/>
          <w:sz w:val="24"/>
          <w:szCs w:val="24"/>
        </w:rPr>
        <w:t xml:space="preserve">of this Practice Note </w:t>
      </w:r>
      <w:r w:rsidRPr="00443214">
        <w:rPr>
          <w:rFonts w:ascii="Book Antiqua" w:hAnsi="Book Antiqua"/>
          <w:sz w:val="24"/>
          <w:szCs w:val="24"/>
        </w:rPr>
        <w:t xml:space="preserve">regarding </w:t>
      </w:r>
      <w:r>
        <w:rPr>
          <w:rFonts w:ascii="Book Antiqua" w:hAnsi="Book Antiqua"/>
          <w:sz w:val="24"/>
          <w:szCs w:val="24"/>
        </w:rPr>
        <w:t xml:space="preserve">a document to be filed </w:t>
      </w:r>
      <w:r w:rsidRPr="00443214">
        <w:rPr>
          <w:rFonts w:ascii="Book Antiqua" w:hAnsi="Book Antiqua"/>
          <w:sz w:val="24"/>
          <w:szCs w:val="24"/>
        </w:rPr>
        <w:t xml:space="preserve">are not complied with, </w:t>
      </w:r>
      <w:r>
        <w:rPr>
          <w:rFonts w:ascii="Book Antiqua" w:hAnsi="Book Antiqua"/>
          <w:sz w:val="24"/>
          <w:szCs w:val="24"/>
        </w:rPr>
        <w:t xml:space="preserve">or not all required documents have been submitted, </w:t>
      </w:r>
      <w:r w:rsidRPr="00443214">
        <w:rPr>
          <w:rFonts w:ascii="Book Antiqua" w:hAnsi="Book Antiqua"/>
          <w:sz w:val="24"/>
          <w:szCs w:val="24"/>
        </w:rPr>
        <w:t xml:space="preserve">the application for leave to appeal will be deemed unacceptable and rejected by the Registrar. 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50B09EF3" w14:textId="77777777" w:rsidR="003D02E5" w:rsidRPr="007978F8" w:rsidRDefault="003D02E5" w:rsidP="003D02E5">
      <w:pPr>
        <w:spacing w:before="120" w:after="120"/>
        <w:jc w:val="both"/>
        <w:rPr>
          <w:rFonts w:ascii="Book Antiqua" w:hAnsi="Book Antiqua"/>
        </w:rPr>
      </w:pPr>
    </w:p>
    <w:p w14:paraId="22CEA21A" w14:textId="77777777" w:rsidR="003D02E5" w:rsidRDefault="003D02E5" w:rsidP="003D02E5">
      <w:pPr>
        <w:pStyle w:val="Heading1"/>
      </w:pPr>
      <w:r w:rsidRPr="008C3432">
        <w:t>STAY OF SENTENCE</w:t>
      </w:r>
    </w:p>
    <w:p w14:paraId="6C2D8068" w14:textId="77777777" w:rsidR="003D02E5" w:rsidRPr="0028340B" w:rsidRDefault="003D02E5" w:rsidP="003D02E5">
      <w:pPr>
        <w:pStyle w:val="ListParagraph"/>
        <w:numPr>
          <w:ilvl w:val="1"/>
          <w:numId w:val="2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28340B">
        <w:rPr>
          <w:rFonts w:ascii="Book Antiqua" w:hAnsi="Book Antiqua"/>
          <w:sz w:val="24"/>
          <w:szCs w:val="24"/>
        </w:rPr>
        <w:t>An application for a stay of sentence is commenced by filing a notice in Form 6-1D.</w:t>
      </w:r>
    </w:p>
    <w:p w14:paraId="28A40221" w14:textId="77777777" w:rsidR="003D02E5" w:rsidRDefault="003D02E5" w:rsidP="003D02E5">
      <w:pPr>
        <w:pStyle w:val="Heading1"/>
        <w:numPr>
          <w:ilvl w:val="1"/>
          <w:numId w:val="2"/>
        </w:numPr>
        <w:ind w:left="720" w:hanging="720"/>
        <w:rPr>
          <w:rFonts w:ascii="Book Antiqua" w:hAnsi="Book Antiqua"/>
          <w:b w:val="0"/>
        </w:rPr>
      </w:pPr>
      <w:r w:rsidRPr="000C0612">
        <w:rPr>
          <w:rFonts w:ascii="Book Antiqua" w:hAnsi="Book Antiqua"/>
          <w:b w:val="0"/>
        </w:rPr>
        <w:t>A</w:t>
      </w:r>
      <w:r>
        <w:rPr>
          <w:rFonts w:ascii="Book Antiqua" w:hAnsi="Book Antiqua"/>
          <w:b w:val="0"/>
        </w:rPr>
        <w:t>t the time of filing an</w:t>
      </w:r>
      <w:r w:rsidRPr="000C0612">
        <w:rPr>
          <w:rFonts w:ascii="Book Antiqua" w:hAnsi="Book Antiqua"/>
          <w:b w:val="0"/>
        </w:rPr>
        <w:t xml:space="preserve"> application for a stay of sentence</w:t>
      </w:r>
      <w:r>
        <w:rPr>
          <w:rFonts w:ascii="Book Antiqua" w:hAnsi="Book Antiqua"/>
          <w:b w:val="0"/>
        </w:rPr>
        <w:t>, the applicant must also file</w:t>
      </w:r>
      <w:r w:rsidRPr="000C0612">
        <w:rPr>
          <w:rFonts w:ascii="Book Antiqua" w:hAnsi="Book Antiqua"/>
          <w:b w:val="0"/>
        </w:rPr>
        <w:t>:</w:t>
      </w:r>
    </w:p>
    <w:p w14:paraId="36F278A4" w14:textId="77777777" w:rsidR="00042AEA" w:rsidRDefault="003D02E5" w:rsidP="003D02E5">
      <w:pPr>
        <w:ind w:left="1440" w:hanging="720"/>
      </w:pPr>
      <w:r w:rsidRPr="007B00D4">
        <w:rPr>
          <w:rFonts w:ascii="Book Antiqua" w:hAnsi="Book Antiqua"/>
        </w:rPr>
        <w:t>a</w:t>
      </w:r>
      <w:r w:rsidR="000D6E16">
        <w:rPr>
          <w:rFonts w:ascii="Book Antiqua" w:hAnsi="Book Antiqua"/>
        </w:rPr>
        <w:t>)</w:t>
      </w:r>
      <w:r>
        <w:tab/>
      </w:r>
      <w:r w:rsidR="00042AEA">
        <w:t>an affidavit setting out the evidence sought to be adduced on the ap</w:t>
      </w:r>
      <w:r w:rsidR="007232D7">
        <w:t>plication</w:t>
      </w:r>
      <w:r w:rsidR="00042AEA">
        <w:t>;</w:t>
      </w:r>
    </w:p>
    <w:p w14:paraId="0F0AFE74" w14:textId="77777777" w:rsidR="003D02E5" w:rsidRPr="007B00D4" w:rsidRDefault="00042AEA" w:rsidP="003D02E5">
      <w:pPr>
        <w:ind w:left="1440" w:hanging="720"/>
        <w:rPr>
          <w:rFonts w:ascii="Book Antiqua" w:hAnsi="Book Antiqua"/>
        </w:rPr>
      </w:pPr>
      <w:r>
        <w:t>b</w:t>
      </w:r>
      <w:r w:rsidR="000D6E16">
        <w:t>)</w:t>
      </w:r>
      <w:r>
        <w:tab/>
      </w:r>
      <w:r w:rsidR="003D02E5" w:rsidRPr="007B00D4">
        <w:rPr>
          <w:rFonts w:ascii="Book Antiqua" w:hAnsi="Book Antiqua"/>
        </w:rPr>
        <w:t>short written submissions of no more than 3 pages in support of the application; and</w:t>
      </w:r>
    </w:p>
    <w:p w14:paraId="33D05792" w14:textId="77777777" w:rsidR="003D02E5" w:rsidRPr="007B00D4" w:rsidRDefault="00042AEA" w:rsidP="003D02E5">
      <w:p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0D6E16">
        <w:rPr>
          <w:rFonts w:ascii="Book Antiqua" w:hAnsi="Book Antiqua"/>
        </w:rPr>
        <w:t>)</w:t>
      </w:r>
      <w:r w:rsidR="003D02E5" w:rsidRPr="007B00D4">
        <w:rPr>
          <w:rFonts w:ascii="Book Antiqua" w:hAnsi="Book Antiqua"/>
        </w:rPr>
        <w:tab/>
        <w:t>a list of authorities and materials relied upon.</w:t>
      </w:r>
    </w:p>
    <w:p w14:paraId="5ABC550D" w14:textId="77777777" w:rsidR="003D02E5" w:rsidRPr="008C3432" w:rsidRDefault="003D02E5" w:rsidP="003D02E5">
      <w:pPr>
        <w:rPr>
          <w:rFonts w:ascii="Book Antiqua" w:hAnsi="Book Antiqua"/>
        </w:rPr>
      </w:pPr>
      <w:r w:rsidRPr="008C3432">
        <w:rPr>
          <w:rFonts w:ascii="Book Antiqua" w:hAnsi="Book Antiqua"/>
        </w:rPr>
        <w:t xml:space="preserve"> </w:t>
      </w:r>
    </w:p>
    <w:p w14:paraId="0617CBD6" w14:textId="77777777" w:rsidR="003D02E5" w:rsidRPr="007917BE" w:rsidRDefault="003D02E5" w:rsidP="003D02E5">
      <w:pPr>
        <w:spacing w:before="120" w:after="120"/>
        <w:jc w:val="both"/>
        <w:rPr>
          <w:rFonts w:ascii="Book Antiqua" w:hAnsi="Book Antiqua"/>
        </w:rPr>
      </w:pPr>
    </w:p>
    <w:p w14:paraId="59F38ABC" w14:textId="77777777" w:rsidR="003D02E5" w:rsidRPr="007917BE" w:rsidRDefault="003D02E5" w:rsidP="003D02E5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6F1E3EC3" w14:textId="77777777" w:rsidR="003D02E5" w:rsidRPr="007917BE" w:rsidRDefault="003D02E5" w:rsidP="003D02E5">
      <w:pPr>
        <w:spacing w:before="120" w:after="120"/>
        <w:ind w:left="720" w:hanging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Vivienne Macgillivray</w:t>
      </w:r>
    </w:p>
    <w:p w14:paraId="765AB154" w14:textId="2F907314" w:rsidR="003D02E5" w:rsidRDefault="003D02E5" w:rsidP="003D02E5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917BE">
        <w:rPr>
          <w:rFonts w:ascii="Book Antiqua" w:hAnsi="Book Antiqua"/>
        </w:rPr>
        <w:t>Executive Associate to the Chief Justice</w:t>
      </w:r>
    </w:p>
    <w:p w14:paraId="539B8188" w14:textId="780436F2" w:rsidR="00C7040D" w:rsidRPr="007917BE" w:rsidRDefault="00C7040D" w:rsidP="003D02E5">
      <w:pPr>
        <w:spacing w:before="120" w:after="120"/>
        <w:ind w:left="720" w:hanging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4 December 2019</w:t>
      </w:r>
    </w:p>
    <w:p w14:paraId="1051D256" w14:textId="77777777" w:rsidR="003D02E5" w:rsidRDefault="003D02E5" w:rsidP="003D02E5">
      <w:pPr>
        <w:spacing w:before="120" w:after="120"/>
        <w:ind w:left="720" w:hanging="720"/>
        <w:jc w:val="right"/>
        <w:rPr>
          <w:rFonts w:ascii="Book Antiqua" w:hAnsi="Book Antiqua"/>
        </w:rPr>
      </w:pPr>
    </w:p>
    <w:p w14:paraId="2DFEF998" w14:textId="77777777" w:rsidR="003D02E5" w:rsidRDefault="003D02E5" w:rsidP="003D02E5">
      <w:pPr>
        <w:rPr>
          <w:rFonts w:ascii="Book Antiqua" w:hAnsi="Book Antiqua"/>
        </w:rPr>
      </w:pPr>
    </w:p>
    <w:p w14:paraId="29BA1995" w14:textId="77777777" w:rsidR="00F7373F" w:rsidRDefault="00F7373F"/>
    <w:sectPr w:rsidR="00F7373F" w:rsidSect="003817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38BBF" w14:textId="77777777" w:rsidR="00511832" w:rsidRDefault="00511832" w:rsidP="003D02E5">
      <w:r>
        <w:separator/>
      </w:r>
    </w:p>
  </w:endnote>
  <w:endnote w:type="continuationSeparator" w:id="0">
    <w:p w14:paraId="7154E454" w14:textId="77777777" w:rsidR="00511832" w:rsidRDefault="00511832" w:rsidP="003D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C1102" w14:textId="77777777" w:rsidR="004F2215" w:rsidRDefault="004F2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22783" w14:textId="6EE4F86C" w:rsidR="006E32C1" w:rsidRDefault="004F221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2370">
      <w:rPr>
        <w:noProof/>
      </w:rPr>
      <w:t>1</w:t>
    </w:r>
    <w:r>
      <w:rPr>
        <w:noProof/>
      </w:rPr>
      <w:fldChar w:fldCharType="end"/>
    </w:r>
  </w:p>
  <w:p w14:paraId="44526FBB" w14:textId="77777777" w:rsidR="006E32C1" w:rsidRDefault="00E723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4D23" w14:textId="77777777" w:rsidR="004F2215" w:rsidRDefault="004F2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20723" w14:textId="77777777" w:rsidR="00511832" w:rsidRDefault="00511832" w:rsidP="003D02E5">
      <w:r>
        <w:separator/>
      </w:r>
    </w:p>
  </w:footnote>
  <w:footnote w:type="continuationSeparator" w:id="0">
    <w:p w14:paraId="2518B83C" w14:textId="77777777" w:rsidR="00511832" w:rsidRDefault="00511832" w:rsidP="003D02E5">
      <w:r>
        <w:continuationSeparator/>
      </w:r>
    </w:p>
  </w:footnote>
  <w:footnote w:id="1">
    <w:p w14:paraId="4060AC90" w14:textId="77777777" w:rsidR="005C17A6" w:rsidRDefault="005C17A6">
      <w:pPr>
        <w:pStyle w:val="FootnoteText"/>
      </w:pPr>
      <w:r>
        <w:rPr>
          <w:rStyle w:val="FootnoteReference"/>
        </w:rPr>
        <w:footnoteRef/>
      </w:r>
      <w:r>
        <w:t xml:space="preserve"> Summaries in a second or subsequent appeals will be produced at the Registrar’s discretion.</w:t>
      </w:r>
    </w:p>
  </w:footnote>
  <w:footnote w:id="2">
    <w:p w14:paraId="57C8F730" w14:textId="77777777" w:rsidR="003D02E5" w:rsidRPr="004C0E83" w:rsidRDefault="003D02E5" w:rsidP="003D02E5">
      <w:pPr>
        <w:pStyle w:val="FootnoteText"/>
        <w:rPr>
          <w:rFonts w:ascii="Book Antiqua" w:hAnsi="Book Antiqua"/>
        </w:rPr>
      </w:pPr>
      <w:r w:rsidRPr="004C0E83">
        <w:rPr>
          <w:rStyle w:val="FootnoteReference"/>
          <w:rFonts w:ascii="Book Antiqua" w:hAnsi="Book Antiqua"/>
        </w:rPr>
        <w:footnoteRef/>
      </w:r>
      <w:r w:rsidRPr="004C0E83">
        <w:rPr>
          <w:rFonts w:ascii="Book Antiqua" w:hAnsi="Book Antiqua"/>
          <w:i/>
        </w:rPr>
        <w:t xml:space="preserve"> CPA</w:t>
      </w:r>
      <w:r w:rsidRPr="004C0E83">
        <w:rPr>
          <w:rFonts w:ascii="Book Antiqua" w:hAnsi="Book Antiqua"/>
        </w:rPr>
        <w:t xml:space="preserve"> s 3</w:t>
      </w:r>
      <w:r>
        <w:rPr>
          <w:rFonts w:ascii="Book Antiqua" w:hAnsi="Book Antiqua"/>
        </w:rPr>
        <w:t>26A</w:t>
      </w:r>
      <w:r w:rsidRPr="004C0E83">
        <w:rPr>
          <w:rFonts w:ascii="Book Antiqua" w:hAnsi="Book Antiqua"/>
        </w:rPr>
        <w:t>.</w:t>
      </w:r>
    </w:p>
  </w:footnote>
  <w:footnote w:id="3">
    <w:p w14:paraId="53BFD556" w14:textId="77777777" w:rsidR="003D02E5" w:rsidRDefault="003D02E5" w:rsidP="003D02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5307">
        <w:rPr>
          <w:i/>
        </w:rPr>
        <w:t>CPA</w:t>
      </w:r>
      <w:r>
        <w:t xml:space="preserve"> s 326H.</w:t>
      </w:r>
    </w:p>
  </w:footnote>
  <w:footnote w:id="4">
    <w:p w14:paraId="01682979" w14:textId="77777777" w:rsidR="003D02E5" w:rsidRDefault="003D02E5" w:rsidP="003D02E5">
      <w:pPr>
        <w:pStyle w:val="FootnoteText"/>
      </w:pPr>
      <w:r>
        <w:rPr>
          <w:rStyle w:val="FootnoteReference"/>
        </w:rPr>
        <w:footnoteRef/>
      </w:r>
      <w:r w:rsidR="007B00D4">
        <w:t xml:space="preserve"> Rule 2.05(1)</w:t>
      </w:r>
      <w:r>
        <w:t>.</w:t>
      </w:r>
    </w:p>
  </w:footnote>
  <w:footnote w:id="5">
    <w:p w14:paraId="140BC9A5" w14:textId="77777777" w:rsidR="003D02E5" w:rsidRPr="004C0E83" w:rsidRDefault="003D02E5" w:rsidP="003D02E5">
      <w:pPr>
        <w:pStyle w:val="FootnoteText"/>
        <w:rPr>
          <w:rFonts w:ascii="Book Antiqua" w:hAnsi="Book Antiqua"/>
        </w:rPr>
      </w:pPr>
      <w:r w:rsidRPr="004C0E83">
        <w:rPr>
          <w:rStyle w:val="FootnoteReference"/>
          <w:rFonts w:ascii="Book Antiqua" w:hAnsi="Book Antiqua"/>
        </w:rPr>
        <w:footnoteRef/>
      </w:r>
      <w:r w:rsidRPr="004C0E8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Rule 2.05(4)(b)</w:t>
      </w:r>
      <w:r w:rsidRPr="004C0E83">
        <w:rPr>
          <w:rFonts w:ascii="Book Antiqua" w:hAnsi="Book Antiqu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6282" w14:textId="77777777" w:rsidR="004F2215" w:rsidRDefault="004F2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E45C" w14:textId="77777777" w:rsidR="004F2215" w:rsidRDefault="004F2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7B0E" w14:textId="77777777" w:rsidR="004F2215" w:rsidRDefault="004F2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A8C"/>
    <w:multiLevelType w:val="multilevel"/>
    <w:tmpl w:val="65EA38E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5E422B"/>
    <w:multiLevelType w:val="multilevel"/>
    <w:tmpl w:val="75385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E5"/>
    <w:rsid w:val="00042AEA"/>
    <w:rsid w:val="000D6E16"/>
    <w:rsid w:val="003037CE"/>
    <w:rsid w:val="003C24BC"/>
    <w:rsid w:val="003D02E5"/>
    <w:rsid w:val="004657B7"/>
    <w:rsid w:val="004F2215"/>
    <w:rsid w:val="00511832"/>
    <w:rsid w:val="00547C53"/>
    <w:rsid w:val="005C17A6"/>
    <w:rsid w:val="007232D7"/>
    <w:rsid w:val="00734613"/>
    <w:rsid w:val="007B00D4"/>
    <w:rsid w:val="00A66648"/>
    <w:rsid w:val="00B2402B"/>
    <w:rsid w:val="00B55F68"/>
    <w:rsid w:val="00C7040D"/>
    <w:rsid w:val="00E72370"/>
    <w:rsid w:val="00E76E42"/>
    <w:rsid w:val="00F7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A9C8AC"/>
  <w15:chartTrackingRefBased/>
  <w15:docId w15:val="{02DEF07A-90FD-4190-90B5-33988875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3D02E5"/>
    <w:pPr>
      <w:keepNext/>
      <w:numPr>
        <w:numId w:val="2"/>
      </w:numPr>
      <w:spacing w:before="120" w:after="120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2E5"/>
    <w:rPr>
      <w:rFonts w:ascii="Times New Roman" w:eastAsia="Times New Roman" w:hAnsi="Times New Roman" w:cs="Times New Roman"/>
      <w:b/>
      <w:bCs/>
      <w:kern w:val="32"/>
      <w:sz w:val="24"/>
      <w:szCs w:val="32"/>
      <w:lang w:eastAsia="en-AU"/>
    </w:rPr>
  </w:style>
  <w:style w:type="paragraph" w:styleId="FootnoteText">
    <w:name w:val="footnote text"/>
    <w:basedOn w:val="Normal"/>
    <w:link w:val="FootnoteTextChar"/>
    <w:rsid w:val="003D02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02E5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rsid w:val="003D02E5"/>
    <w:rPr>
      <w:vertAlign w:val="superscript"/>
    </w:rPr>
  </w:style>
  <w:style w:type="paragraph" w:styleId="Footer">
    <w:name w:val="footer"/>
    <w:basedOn w:val="Normal"/>
    <w:link w:val="FooterChar"/>
    <w:uiPriority w:val="99"/>
    <w:rsid w:val="003D0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2E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D02E5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53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F22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15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4ee726a5436f1f05eeae06a3e4908793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38af3f63c1128c57b4ac6d6028bf6b42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ACA3-7C8C-4D05-9A2B-A554B33C7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2F58F-471B-4EEB-BB20-E2AD374E8F5C}">
  <ds:schemaRefs>
    <ds:schemaRef ds:uri="http://schemas.microsoft.com/office/2006/metadata/properties"/>
    <ds:schemaRef ds:uri="http://schemas.microsoft.com/office/infopath/2007/PartnerControls"/>
    <ds:schemaRef ds:uri="263eaefd-0475-4860-b86f-622cd66f4e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bdde84cb-4b1f-4b74-b4a5-14e1a433ee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0B9836-009E-4F05-83FD-AF6E51FC6C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5E951-8B1C-4202-906E-D735E12F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3325</Characters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INTRODUCTION</vt:lpstr>
      <vt:lpstr>COMMENCEMENT</vt:lpstr>
      <vt:lpstr>DEFINITIONS</vt:lpstr>
      <vt:lpstr>APPLICATION OF PRACTICE NOTE SC CA 1: CRIMINAL APPEALS </vt:lpstr>
      <vt:lpstr>LEAVE TO APPEAL</vt:lpstr>
      <vt:lpstr>APPLICATION FOR LEAVE TO BRING A SECOND OR SUBSEQUENT APPEAL</vt:lpstr>
      <vt:lpstr>STAY OF SENTENCE</vt:lpstr>
      <vt:lpstr>At the time of filing an application for a stay of sentence, the applicant must </vt:lpstr>
    </vt:vector>
  </TitlesOfParts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2019-11-19T00:30:00Z</cp:lastPrinted>
  <dcterms:created xsi:type="dcterms:W3CDTF">2019-12-01T22:48:00Z</dcterms:created>
  <dcterms:modified xsi:type="dcterms:W3CDTF">2019-12-02T23:40:00Z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