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FD613" w14:textId="674DF5F1" w:rsidR="003D71A5" w:rsidRDefault="003D71A5" w:rsidP="004A3DA9">
      <w:pPr>
        <w:spacing w:after="0" w:line="360" w:lineRule="auto"/>
        <w:jc w:val="center"/>
        <w:rPr>
          <w:rFonts w:ascii="Times New Roman" w:hAnsi="Times New Roman" w:cs="Times New Roman"/>
          <w:sz w:val="26"/>
          <w:szCs w:val="26"/>
          <w:u w:val="none"/>
        </w:rPr>
      </w:pPr>
      <w:r w:rsidRPr="003D71A5">
        <w:rPr>
          <w:rFonts w:ascii="Times New Roman" w:hAnsi="Times New Roman" w:cs="Times New Roman"/>
          <w:b w:val="0"/>
          <w:noProof/>
          <w:u w:val="none"/>
          <w:lang w:eastAsia="en-AU"/>
        </w:rPr>
        <w:drawing>
          <wp:inline distT="0" distB="0" distL="0" distR="0" wp14:anchorId="34E10893" wp14:editId="7BF1D4F5">
            <wp:extent cx="1123950" cy="1123950"/>
            <wp:effectExtent l="0" t="0" r="0" b="0"/>
            <wp:docPr id="1" name="Picture 1" descr="Supreme Court of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fluence-scv/download/attachments/1082116/SCV_RGB_B.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14:paraId="257EC261" w14:textId="396A924A" w:rsidR="003D71A5" w:rsidRPr="003D71A5" w:rsidRDefault="00BA2510" w:rsidP="004A3DA9">
      <w:pPr>
        <w:pStyle w:val="Heading1"/>
        <w:spacing w:before="0" w:after="240" w:line="360" w:lineRule="auto"/>
      </w:pPr>
      <w:r w:rsidRPr="003D71A5">
        <w:t>C</w:t>
      </w:r>
      <w:r w:rsidR="003D71A5" w:rsidRPr="003D71A5">
        <w:t xml:space="preserve">hampions of the Rule of Law, Learning </w:t>
      </w:r>
      <w:r w:rsidR="003D71A5">
        <w:br/>
      </w:r>
      <w:r w:rsidR="003D71A5" w:rsidRPr="003D71A5">
        <w:t>Through Uncertainty</w:t>
      </w:r>
    </w:p>
    <w:p w14:paraId="1E12F584" w14:textId="28DAA052" w:rsidR="003D71A5" w:rsidRPr="00CD28B7" w:rsidRDefault="001A2898" w:rsidP="004A3DA9">
      <w:pPr>
        <w:pStyle w:val="Heading2"/>
        <w:spacing w:before="0" w:after="240" w:line="360" w:lineRule="auto"/>
        <w:rPr>
          <w:i w:val="0"/>
          <w:sz w:val="28"/>
        </w:rPr>
      </w:pPr>
      <w:r w:rsidRPr="00CD28B7">
        <w:rPr>
          <w:i w:val="0"/>
          <w:sz w:val="28"/>
        </w:rPr>
        <w:t>Address by Justice Chris Maxwell, President, Victorian Court of Appeal</w:t>
      </w:r>
      <w:r w:rsidR="004E0D78" w:rsidRPr="00CD28B7">
        <w:rPr>
          <w:i w:val="0"/>
          <w:sz w:val="28"/>
        </w:rPr>
        <w:t>,</w:t>
      </w:r>
      <w:r w:rsidRPr="00CD28B7">
        <w:rPr>
          <w:i w:val="0"/>
          <w:sz w:val="28"/>
        </w:rPr>
        <w:t xml:space="preserve"> </w:t>
      </w:r>
      <w:r w:rsidR="00CD28B7">
        <w:rPr>
          <w:i w:val="0"/>
          <w:sz w:val="28"/>
        </w:rPr>
        <w:br/>
      </w:r>
      <w:r w:rsidRPr="00CD28B7">
        <w:rPr>
          <w:i w:val="0"/>
          <w:sz w:val="28"/>
        </w:rPr>
        <w:t>at the</w:t>
      </w:r>
      <w:r w:rsidR="004E0D78" w:rsidRPr="00CD28B7">
        <w:rPr>
          <w:i w:val="0"/>
          <w:sz w:val="28"/>
        </w:rPr>
        <w:t xml:space="preserve"> Community</w:t>
      </w:r>
      <w:r w:rsidR="003D71A5" w:rsidRPr="00CD28B7">
        <w:rPr>
          <w:i w:val="0"/>
          <w:sz w:val="28"/>
        </w:rPr>
        <w:t xml:space="preserve"> Opening of the Legal Year</w:t>
      </w:r>
      <w:r w:rsidRPr="00CD28B7">
        <w:rPr>
          <w:i w:val="0"/>
          <w:sz w:val="36"/>
        </w:rPr>
        <w:t xml:space="preserve"> </w:t>
      </w:r>
    </w:p>
    <w:p w14:paraId="6E22F411" w14:textId="59DA12E0" w:rsidR="001A2898" w:rsidRPr="00FA17E4" w:rsidRDefault="001A2898" w:rsidP="004A3DA9">
      <w:pPr>
        <w:spacing w:after="240" w:line="360" w:lineRule="auto"/>
        <w:jc w:val="center"/>
        <w:rPr>
          <w:rFonts w:ascii="Times New Roman" w:hAnsi="Times New Roman" w:cs="Times New Roman"/>
          <w:b w:val="0"/>
          <w:sz w:val="26"/>
          <w:szCs w:val="26"/>
          <w:u w:val="none"/>
        </w:rPr>
      </w:pPr>
      <w:r w:rsidRPr="00FA17E4">
        <w:rPr>
          <w:rFonts w:ascii="Times New Roman" w:hAnsi="Times New Roman" w:cs="Times New Roman"/>
          <w:b w:val="0"/>
          <w:sz w:val="26"/>
          <w:szCs w:val="26"/>
          <w:u w:val="none"/>
        </w:rPr>
        <w:t>3 February 2020</w:t>
      </w:r>
    </w:p>
    <w:p w14:paraId="032D4EC7" w14:textId="5B6305BF" w:rsidR="00CC6754" w:rsidRPr="00CD28B7" w:rsidRDefault="001176FA" w:rsidP="004A3DA9">
      <w:pPr>
        <w:spacing w:after="120" w:line="360" w:lineRule="auto"/>
        <w:jc w:val="both"/>
        <w:rPr>
          <w:rFonts w:ascii="Times New Roman" w:hAnsi="Times New Roman" w:cs="Times New Roman"/>
          <w:b w:val="0"/>
          <w:szCs w:val="26"/>
          <w:u w:val="none"/>
        </w:rPr>
      </w:pPr>
      <w:r w:rsidRPr="00CD28B7">
        <w:rPr>
          <w:rFonts w:ascii="Times New Roman" w:hAnsi="Times New Roman" w:cs="Times New Roman"/>
          <w:b w:val="0"/>
          <w:szCs w:val="26"/>
          <w:u w:val="none"/>
        </w:rPr>
        <w:t>The beginning of a new year is a good time to pause and reflect</w:t>
      </w:r>
      <w:r w:rsidR="00D80A7E" w:rsidRPr="00CD28B7">
        <w:rPr>
          <w:rFonts w:ascii="Times New Roman" w:hAnsi="Times New Roman" w:cs="Times New Roman"/>
          <w:b w:val="0"/>
          <w:szCs w:val="26"/>
          <w:u w:val="none"/>
        </w:rPr>
        <w:t xml:space="preserve"> – and a good time for short speeches!</w:t>
      </w:r>
      <w:r w:rsidR="00BA2510" w:rsidRPr="00CD28B7">
        <w:rPr>
          <w:rFonts w:ascii="Times New Roman" w:hAnsi="Times New Roman" w:cs="Times New Roman"/>
          <w:b w:val="0"/>
          <w:szCs w:val="26"/>
          <w:u w:val="none"/>
        </w:rPr>
        <w:t xml:space="preserve"> It is an opportunity</w:t>
      </w:r>
      <w:r w:rsidR="0095460F" w:rsidRPr="00CD28B7">
        <w:rPr>
          <w:rFonts w:ascii="Times New Roman" w:hAnsi="Times New Roman" w:cs="Times New Roman"/>
          <w:b w:val="0"/>
          <w:szCs w:val="26"/>
          <w:u w:val="none"/>
        </w:rPr>
        <w:t xml:space="preserve"> to</w:t>
      </w:r>
      <w:r w:rsidRPr="00CD28B7">
        <w:rPr>
          <w:rFonts w:ascii="Times New Roman" w:hAnsi="Times New Roman" w:cs="Times New Roman"/>
          <w:b w:val="0"/>
          <w:szCs w:val="26"/>
          <w:u w:val="none"/>
        </w:rPr>
        <w:t xml:space="preserve"> take stock of the work we do as judges and lawyers,</w:t>
      </w:r>
      <w:r w:rsidR="0095460F" w:rsidRPr="00CD28B7">
        <w:rPr>
          <w:rFonts w:ascii="Times New Roman" w:hAnsi="Times New Roman" w:cs="Times New Roman"/>
          <w:b w:val="0"/>
          <w:szCs w:val="26"/>
          <w:u w:val="none"/>
        </w:rPr>
        <w:t xml:space="preserve"> </w:t>
      </w:r>
      <w:r w:rsidR="004C11F5" w:rsidRPr="00CD28B7">
        <w:rPr>
          <w:rFonts w:ascii="Times New Roman" w:hAnsi="Times New Roman" w:cs="Times New Roman"/>
          <w:b w:val="0"/>
          <w:szCs w:val="26"/>
          <w:u w:val="none"/>
        </w:rPr>
        <w:t>to reflect on</w:t>
      </w:r>
      <w:r w:rsidRPr="00CD28B7">
        <w:rPr>
          <w:rFonts w:ascii="Times New Roman" w:hAnsi="Times New Roman" w:cs="Times New Roman"/>
          <w:b w:val="0"/>
          <w:szCs w:val="26"/>
          <w:u w:val="none"/>
        </w:rPr>
        <w:t xml:space="preserve"> what it stands for and how we go about it.</w:t>
      </w:r>
    </w:p>
    <w:p w14:paraId="6C155063" w14:textId="695BCDE3" w:rsidR="001176FA" w:rsidRPr="00CD28B7" w:rsidRDefault="001176FA" w:rsidP="004A3DA9">
      <w:pPr>
        <w:spacing w:after="240" w:line="360" w:lineRule="auto"/>
        <w:jc w:val="both"/>
        <w:rPr>
          <w:rFonts w:ascii="Times New Roman" w:hAnsi="Times New Roman" w:cs="Times New Roman"/>
          <w:b w:val="0"/>
          <w:szCs w:val="26"/>
          <w:u w:val="none"/>
        </w:rPr>
      </w:pPr>
      <w:r w:rsidRPr="00CD28B7">
        <w:rPr>
          <w:rFonts w:ascii="Times New Roman" w:hAnsi="Times New Roman" w:cs="Times New Roman"/>
          <w:b w:val="0"/>
          <w:szCs w:val="26"/>
          <w:u w:val="none"/>
        </w:rPr>
        <w:t>I</w:t>
      </w:r>
      <w:r w:rsidR="004C11F5" w:rsidRPr="00CD28B7">
        <w:rPr>
          <w:rFonts w:ascii="Times New Roman" w:hAnsi="Times New Roman" w:cs="Times New Roman"/>
          <w:b w:val="0"/>
          <w:szCs w:val="26"/>
          <w:u w:val="none"/>
        </w:rPr>
        <w:t>n the spirit of reflection, I</w:t>
      </w:r>
      <w:r w:rsidRPr="00CD28B7">
        <w:rPr>
          <w:rFonts w:ascii="Times New Roman" w:hAnsi="Times New Roman" w:cs="Times New Roman"/>
          <w:b w:val="0"/>
          <w:szCs w:val="26"/>
          <w:u w:val="none"/>
        </w:rPr>
        <w:t xml:space="preserve"> want to raise two distinct but related ideas.</w:t>
      </w:r>
      <w:r w:rsidR="00861F70" w:rsidRPr="00CD28B7">
        <w:rPr>
          <w:rFonts w:ascii="Times New Roman" w:hAnsi="Times New Roman" w:cs="Times New Roman"/>
          <w:b w:val="0"/>
          <w:szCs w:val="26"/>
          <w:u w:val="none"/>
        </w:rPr>
        <w:t xml:space="preserve"> </w:t>
      </w:r>
      <w:r w:rsidRPr="00CD28B7">
        <w:rPr>
          <w:rFonts w:ascii="Times New Roman" w:hAnsi="Times New Roman" w:cs="Times New Roman"/>
          <w:b w:val="0"/>
          <w:szCs w:val="26"/>
          <w:u w:val="none"/>
        </w:rPr>
        <w:t xml:space="preserve">The first is that what we do is an expression, an </w:t>
      </w:r>
      <w:r w:rsidR="00BE4270">
        <w:rPr>
          <w:rFonts w:ascii="Times New Roman" w:hAnsi="Times New Roman" w:cs="Times New Roman"/>
          <w:b w:val="0"/>
          <w:szCs w:val="26"/>
          <w:u w:val="none"/>
        </w:rPr>
        <w:t>embodiment, of the rule of law.</w:t>
      </w:r>
      <w:r w:rsidRPr="00CD28B7">
        <w:rPr>
          <w:rFonts w:ascii="Times New Roman" w:hAnsi="Times New Roman" w:cs="Times New Roman"/>
          <w:b w:val="0"/>
          <w:szCs w:val="26"/>
          <w:u w:val="none"/>
        </w:rPr>
        <w:t xml:space="preserve"> The second is that, in striving for </w:t>
      </w:r>
      <w:r w:rsidR="0095460F" w:rsidRPr="00CD28B7">
        <w:rPr>
          <w:rFonts w:ascii="Times New Roman" w:hAnsi="Times New Roman" w:cs="Times New Roman"/>
          <w:b w:val="0"/>
          <w:szCs w:val="26"/>
          <w:u w:val="none"/>
        </w:rPr>
        <w:t xml:space="preserve">the </w:t>
      </w:r>
      <w:r w:rsidR="00861F70" w:rsidRPr="00CD28B7">
        <w:rPr>
          <w:rFonts w:ascii="Times New Roman" w:hAnsi="Times New Roman" w:cs="Times New Roman"/>
          <w:b w:val="0"/>
          <w:szCs w:val="26"/>
          <w:u w:val="none"/>
        </w:rPr>
        <w:t>clarity and certainty</w:t>
      </w:r>
      <w:r w:rsidR="0095460F" w:rsidRPr="00CD28B7">
        <w:rPr>
          <w:rFonts w:ascii="Times New Roman" w:hAnsi="Times New Roman" w:cs="Times New Roman"/>
          <w:b w:val="0"/>
          <w:szCs w:val="26"/>
          <w:u w:val="none"/>
        </w:rPr>
        <w:t xml:space="preserve"> to which law aspires</w:t>
      </w:r>
      <w:r w:rsidR="00861F70" w:rsidRPr="00CD28B7">
        <w:rPr>
          <w:rFonts w:ascii="Times New Roman" w:hAnsi="Times New Roman" w:cs="Times New Roman"/>
          <w:b w:val="0"/>
          <w:szCs w:val="26"/>
          <w:u w:val="none"/>
        </w:rPr>
        <w:t xml:space="preserve">, </w:t>
      </w:r>
      <w:r w:rsidRPr="00CD28B7">
        <w:rPr>
          <w:rFonts w:ascii="Times New Roman" w:hAnsi="Times New Roman" w:cs="Times New Roman"/>
          <w:b w:val="0"/>
          <w:szCs w:val="26"/>
          <w:u w:val="none"/>
        </w:rPr>
        <w:t xml:space="preserve">we should learn to value </w:t>
      </w:r>
      <w:r w:rsidR="00BE4270">
        <w:rPr>
          <w:rFonts w:ascii="Times New Roman" w:hAnsi="Times New Roman" w:cs="Times New Roman"/>
          <w:b w:val="0"/>
          <w:szCs w:val="26"/>
          <w:u w:val="none"/>
        </w:rPr>
        <w:t>uncertainty.</w:t>
      </w:r>
    </w:p>
    <w:p w14:paraId="61031B13" w14:textId="61003979" w:rsidR="004C11F5" w:rsidRPr="00CD28B7" w:rsidRDefault="004C11F5" w:rsidP="00BE4270">
      <w:pPr>
        <w:pStyle w:val="Heading3"/>
        <w:rPr>
          <w:b w:val="0"/>
        </w:rPr>
      </w:pPr>
      <w:r w:rsidRPr="00CD28B7">
        <w:t>The rule of law</w:t>
      </w:r>
    </w:p>
    <w:p w14:paraId="360D1F94" w14:textId="6DA73D14" w:rsidR="001176FA" w:rsidRPr="00CD28B7" w:rsidRDefault="00861F70" w:rsidP="004A3DA9">
      <w:pPr>
        <w:spacing w:after="0" w:line="360" w:lineRule="auto"/>
        <w:jc w:val="both"/>
        <w:rPr>
          <w:rFonts w:ascii="Times New Roman" w:hAnsi="Times New Roman" w:cs="Times New Roman"/>
          <w:b w:val="0"/>
          <w:szCs w:val="26"/>
          <w:u w:val="none"/>
        </w:rPr>
      </w:pPr>
      <w:r w:rsidRPr="00CD28B7">
        <w:rPr>
          <w:rFonts w:ascii="Times New Roman" w:hAnsi="Times New Roman" w:cs="Times New Roman"/>
          <w:b w:val="0"/>
          <w:szCs w:val="26"/>
          <w:u w:val="none"/>
        </w:rPr>
        <w:t xml:space="preserve">First, the rule of law, which is the foundation stone </w:t>
      </w:r>
      <w:r w:rsidR="000172E4" w:rsidRPr="00CD28B7">
        <w:rPr>
          <w:rFonts w:ascii="Times New Roman" w:hAnsi="Times New Roman" w:cs="Times New Roman"/>
          <w:b w:val="0"/>
          <w:szCs w:val="26"/>
          <w:u w:val="none"/>
        </w:rPr>
        <w:t xml:space="preserve">of </w:t>
      </w:r>
      <w:r w:rsidR="00211F5B" w:rsidRPr="00CD28B7">
        <w:rPr>
          <w:rFonts w:ascii="Times New Roman" w:hAnsi="Times New Roman" w:cs="Times New Roman"/>
          <w:b w:val="0"/>
          <w:szCs w:val="26"/>
          <w:u w:val="none"/>
        </w:rPr>
        <w:t xml:space="preserve">the objectives of </w:t>
      </w:r>
      <w:r w:rsidR="000172E4" w:rsidRPr="00CD28B7">
        <w:rPr>
          <w:rFonts w:ascii="Times New Roman" w:hAnsi="Times New Roman" w:cs="Times New Roman"/>
          <w:b w:val="0"/>
          <w:szCs w:val="26"/>
          <w:u w:val="none"/>
        </w:rPr>
        <w:t>the International Commission of Jurists, the</w:t>
      </w:r>
      <w:r w:rsidR="00BE4270">
        <w:rPr>
          <w:rFonts w:ascii="Times New Roman" w:hAnsi="Times New Roman" w:cs="Times New Roman"/>
          <w:b w:val="0"/>
          <w:szCs w:val="26"/>
          <w:u w:val="none"/>
        </w:rPr>
        <w:t xml:space="preserve"> organiser of today’s function.</w:t>
      </w:r>
      <w:r w:rsidRPr="00CD28B7">
        <w:rPr>
          <w:rFonts w:ascii="Times New Roman" w:hAnsi="Times New Roman" w:cs="Times New Roman"/>
          <w:b w:val="0"/>
          <w:szCs w:val="26"/>
          <w:u w:val="none"/>
        </w:rPr>
        <w:t xml:space="preserve"> T</w:t>
      </w:r>
      <w:r w:rsidR="000172E4" w:rsidRPr="00CD28B7">
        <w:rPr>
          <w:rFonts w:ascii="Times New Roman" w:hAnsi="Times New Roman" w:cs="Times New Roman"/>
          <w:b w:val="0"/>
          <w:szCs w:val="26"/>
          <w:u w:val="none"/>
        </w:rPr>
        <w:t xml:space="preserve">he ICJ </w:t>
      </w:r>
      <w:r w:rsidR="00211F5B" w:rsidRPr="00CD28B7">
        <w:rPr>
          <w:rFonts w:ascii="Times New Roman" w:hAnsi="Times New Roman" w:cs="Times New Roman"/>
          <w:b w:val="0"/>
          <w:szCs w:val="26"/>
          <w:u w:val="none"/>
        </w:rPr>
        <w:t>is committed to achieving</w:t>
      </w:r>
      <w:r w:rsidR="00FA17E4" w:rsidRPr="00CD28B7">
        <w:rPr>
          <w:rFonts w:ascii="Times New Roman" w:hAnsi="Times New Roman" w:cs="Times New Roman"/>
          <w:b w:val="0"/>
          <w:szCs w:val="26"/>
          <w:u w:val="none"/>
        </w:rPr>
        <w:t>:</w:t>
      </w:r>
      <w:r w:rsidR="000172E4" w:rsidRPr="00CD28B7">
        <w:rPr>
          <w:rFonts w:ascii="Times New Roman" w:hAnsi="Times New Roman" w:cs="Times New Roman"/>
          <w:b w:val="0"/>
          <w:szCs w:val="26"/>
          <w:u w:val="none"/>
        </w:rPr>
        <w:t xml:space="preserve"> </w:t>
      </w:r>
    </w:p>
    <w:p w14:paraId="4418BAA8" w14:textId="5BA9A546" w:rsidR="00CC6754" w:rsidRPr="00CD28B7" w:rsidRDefault="00CC6754" w:rsidP="004A3DA9">
      <w:pPr>
        <w:spacing w:after="0" w:line="360" w:lineRule="auto"/>
        <w:ind w:left="810" w:right="746" w:hanging="90"/>
        <w:jc w:val="both"/>
        <w:rPr>
          <w:rFonts w:ascii="Times New Roman" w:hAnsi="Times New Roman" w:cs="Times New Roman"/>
          <w:b w:val="0"/>
          <w:i/>
          <w:szCs w:val="26"/>
          <w:u w:val="none"/>
        </w:rPr>
      </w:pPr>
      <w:r w:rsidRPr="00CD28B7">
        <w:rPr>
          <w:rFonts w:ascii="Times New Roman" w:hAnsi="Times New Roman" w:cs="Times New Roman"/>
          <w:b w:val="0"/>
          <w:i/>
          <w:szCs w:val="26"/>
          <w:u w:val="none"/>
        </w:rPr>
        <w:tab/>
        <w:t>“a world in which, through the rule of law, a just, democratic and peaceful society is achieved, arbitrary exercise of power is prevented, rights and freedoms are expanded and social justice is embraced.”</w:t>
      </w:r>
    </w:p>
    <w:p w14:paraId="16365323" w14:textId="3A8012BF" w:rsidR="00CC6754" w:rsidRPr="00CD28B7" w:rsidRDefault="00861F70" w:rsidP="004A3DA9">
      <w:pPr>
        <w:spacing w:after="0" w:line="360" w:lineRule="auto"/>
        <w:jc w:val="both"/>
        <w:rPr>
          <w:rFonts w:ascii="Times New Roman" w:hAnsi="Times New Roman" w:cs="Times New Roman"/>
          <w:b w:val="0"/>
          <w:szCs w:val="26"/>
          <w:u w:val="none"/>
        </w:rPr>
      </w:pPr>
      <w:r w:rsidRPr="00CD28B7">
        <w:rPr>
          <w:rFonts w:ascii="Times New Roman" w:hAnsi="Times New Roman" w:cs="Times New Roman"/>
          <w:b w:val="0"/>
          <w:szCs w:val="26"/>
          <w:u w:val="none"/>
        </w:rPr>
        <w:t>Its</w:t>
      </w:r>
      <w:r w:rsidR="009A5CE6" w:rsidRPr="00CD28B7">
        <w:rPr>
          <w:rFonts w:ascii="Times New Roman" w:hAnsi="Times New Roman" w:cs="Times New Roman"/>
          <w:b w:val="0"/>
          <w:szCs w:val="26"/>
          <w:u w:val="none"/>
        </w:rPr>
        <w:t xml:space="preserve"> </w:t>
      </w:r>
      <w:r w:rsidR="000172E4" w:rsidRPr="00CD28B7">
        <w:rPr>
          <w:rFonts w:ascii="Times New Roman" w:hAnsi="Times New Roman" w:cs="Times New Roman"/>
          <w:b w:val="0"/>
          <w:szCs w:val="26"/>
          <w:u w:val="none"/>
        </w:rPr>
        <w:t xml:space="preserve">stated </w:t>
      </w:r>
      <w:r w:rsidR="009A5CE6" w:rsidRPr="00CD28B7">
        <w:rPr>
          <w:rFonts w:ascii="Times New Roman" w:hAnsi="Times New Roman" w:cs="Times New Roman"/>
          <w:b w:val="0"/>
          <w:szCs w:val="26"/>
          <w:u w:val="none"/>
        </w:rPr>
        <w:t>mission is</w:t>
      </w:r>
      <w:r w:rsidR="00FA17E4" w:rsidRPr="00CD28B7">
        <w:rPr>
          <w:rFonts w:ascii="Times New Roman" w:hAnsi="Times New Roman" w:cs="Times New Roman"/>
          <w:b w:val="0"/>
          <w:szCs w:val="26"/>
          <w:u w:val="none"/>
        </w:rPr>
        <w:t>:</w:t>
      </w:r>
    </w:p>
    <w:p w14:paraId="40C2A783" w14:textId="5F83DA10" w:rsidR="009A5CE6" w:rsidRPr="00CD28B7" w:rsidRDefault="009A5CE6" w:rsidP="004A3DA9">
      <w:pPr>
        <w:spacing w:after="0" w:line="360" w:lineRule="auto"/>
        <w:ind w:left="810" w:right="746"/>
        <w:jc w:val="both"/>
        <w:rPr>
          <w:rFonts w:ascii="Times New Roman" w:hAnsi="Times New Roman" w:cs="Times New Roman"/>
          <w:b w:val="0"/>
          <w:i/>
          <w:szCs w:val="26"/>
          <w:u w:val="none"/>
        </w:rPr>
      </w:pPr>
      <w:r w:rsidRPr="00CD28B7">
        <w:rPr>
          <w:rFonts w:ascii="Times New Roman" w:hAnsi="Times New Roman" w:cs="Times New Roman"/>
          <w:b w:val="0"/>
          <w:i/>
          <w:szCs w:val="26"/>
          <w:u w:val="none"/>
        </w:rPr>
        <w:t>“to advance the understanding that the rule of law requires that states, under the principle of separation of powers, develop effective executive, judicial and legislative institutions and measures, as checks and balances, to respect and protect the human rights of all.”</w:t>
      </w:r>
    </w:p>
    <w:p w14:paraId="38F34E9E" w14:textId="4DFE1AC5" w:rsidR="0095460F" w:rsidRPr="00CD28B7" w:rsidRDefault="00D41762" w:rsidP="004A3DA9">
      <w:pPr>
        <w:spacing w:after="0" w:line="360" w:lineRule="auto"/>
        <w:jc w:val="both"/>
        <w:rPr>
          <w:rFonts w:ascii="Times New Roman" w:hAnsi="Times New Roman" w:cs="Times New Roman"/>
          <w:b w:val="0"/>
          <w:szCs w:val="26"/>
          <w:u w:val="none"/>
        </w:rPr>
      </w:pPr>
      <w:r w:rsidRPr="00CD28B7">
        <w:rPr>
          <w:rFonts w:ascii="Times New Roman" w:hAnsi="Times New Roman" w:cs="Times New Roman"/>
          <w:b w:val="0"/>
          <w:szCs w:val="26"/>
          <w:u w:val="none"/>
        </w:rPr>
        <w:t>Each year, by coming together for this ICJ event, we reco</w:t>
      </w:r>
      <w:r w:rsidR="000A75FA">
        <w:rPr>
          <w:rFonts w:ascii="Times New Roman" w:hAnsi="Times New Roman" w:cs="Times New Roman"/>
          <w:b w:val="0"/>
          <w:szCs w:val="26"/>
          <w:u w:val="none"/>
        </w:rPr>
        <w:t xml:space="preserve">mmit ourselves to those goals. </w:t>
      </w:r>
      <w:r w:rsidR="004C11F5" w:rsidRPr="00CD28B7">
        <w:rPr>
          <w:rFonts w:ascii="Times New Roman" w:hAnsi="Times New Roman" w:cs="Times New Roman"/>
          <w:b w:val="0"/>
          <w:szCs w:val="26"/>
          <w:u w:val="none"/>
        </w:rPr>
        <w:t>There is no other occasion like this, and no other organisation like the ICJ whi</w:t>
      </w:r>
      <w:r w:rsidR="000A75FA">
        <w:rPr>
          <w:rFonts w:ascii="Times New Roman" w:hAnsi="Times New Roman" w:cs="Times New Roman"/>
          <w:b w:val="0"/>
          <w:szCs w:val="26"/>
          <w:u w:val="none"/>
        </w:rPr>
        <w:t xml:space="preserve">ch fights for the rule of law. </w:t>
      </w:r>
      <w:r w:rsidR="004C11F5" w:rsidRPr="00CD28B7">
        <w:rPr>
          <w:rFonts w:ascii="Times New Roman" w:hAnsi="Times New Roman" w:cs="Times New Roman"/>
          <w:b w:val="0"/>
          <w:szCs w:val="26"/>
          <w:u w:val="none"/>
        </w:rPr>
        <w:t>W</w:t>
      </w:r>
      <w:r w:rsidR="0095460F" w:rsidRPr="00CD28B7">
        <w:rPr>
          <w:rFonts w:ascii="Times New Roman" w:hAnsi="Times New Roman" w:cs="Times New Roman"/>
          <w:b w:val="0"/>
          <w:szCs w:val="26"/>
          <w:u w:val="none"/>
        </w:rPr>
        <w:t>e celebrate the ICJ’</w:t>
      </w:r>
      <w:r w:rsidR="000A75FA">
        <w:rPr>
          <w:rFonts w:ascii="Times New Roman" w:hAnsi="Times New Roman" w:cs="Times New Roman"/>
          <w:b w:val="0"/>
          <w:szCs w:val="26"/>
          <w:u w:val="none"/>
        </w:rPr>
        <w:t>s leadership, here and abroad.</w:t>
      </w:r>
    </w:p>
    <w:p w14:paraId="564816A7" w14:textId="6922F8DB" w:rsidR="00D41762" w:rsidRPr="00CD28B7" w:rsidRDefault="0096560F" w:rsidP="000A75FA">
      <w:pPr>
        <w:spacing w:after="120" w:line="360" w:lineRule="auto"/>
        <w:jc w:val="both"/>
        <w:rPr>
          <w:rFonts w:ascii="Times New Roman" w:hAnsi="Times New Roman" w:cs="Times New Roman"/>
          <w:b w:val="0"/>
          <w:szCs w:val="26"/>
          <w:u w:val="none"/>
        </w:rPr>
      </w:pPr>
      <w:r w:rsidRPr="00CD28B7">
        <w:rPr>
          <w:rFonts w:ascii="Times New Roman" w:hAnsi="Times New Roman" w:cs="Times New Roman"/>
          <w:b w:val="0"/>
          <w:szCs w:val="26"/>
          <w:u w:val="none"/>
        </w:rPr>
        <w:lastRenderedPageBreak/>
        <w:t xml:space="preserve">But what does </w:t>
      </w:r>
      <w:r w:rsidR="0095460F" w:rsidRPr="00CD28B7">
        <w:rPr>
          <w:rFonts w:ascii="Times New Roman" w:hAnsi="Times New Roman" w:cs="Times New Roman"/>
          <w:b w:val="0"/>
          <w:szCs w:val="26"/>
          <w:u w:val="none"/>
        </w:rPr>
        <w:t xml:space="preserve">a commitment to the rule of law </w:t>
      </w:r>
      <w:r w:rsidRPr="00CD28B7">
        <w:rPr>
          <w:rFonts w:ascii="Times New Roman" w:hAnsi="Times New Roman" w:cs="Times New Roman"/>
          <w:b w:val="0"/>
          <w:szCs w:val="26"/>
          <w:u w:val="none"/>
        </w:rPr>
        <w:t>mea</w:t>
      </w:r>
      <w:r w:rsidR="000A75FA">
        <w:rPr>
          <w:rFonts w:ascii="Times New Roman" w:hAnsi="Times New Roman" w:cs="Times New Roman"/>
          <w:b w:val="0"/>
          <w:szCs w:val="26"/>
          <w:u w:val="none"/>
        </w:rPr>
        <w:t>n at a practical level?</w:t>
      </w:r>
      <w:r w:rsidRPr="00CD28B7">
        <w:rPr>
          <w:rFonts w:ascii="Times New Roman" w:hAnsi="Times New Roman" w:cs="Times New Roman"/>
          <w:b w:val="0"/>
          <w:szCs w:val="26"/>
          <w:u w:val="none"/>
        </w:rPr>
        <w:t xml:space="preserve"> </w:t>
      </w:r>
      <w:r w:rsidR="00DA0B88" w:rsidRPr="00CD28B7">
        <w:rPr>
          <w:rFonts w:ascii="Times New Roman" w:hAnsi="Times New Roman" w:cs="Times New Roman"/>
          <w:b w:val="0"/>
          <w:szCs w:val="26"/>
          <w:u w:val="none"/>
        </w:rPr>
        <w:t>W</w:t>
      </w:r>
      <w:r w:rsidR="00D41762" w:rsidRPr="00CD28B7">
        <w:rPr>
          <w:rFonts w:ascii="Times New Roman" w:hAnsi="Times New Roman" w:cs="Times New Roman"/>
          <w:b w:val="0"/>
          <w:szCs w:val="26"/>
          <w:u w:val="none"/>
        </w:rPr>
        <w:t>hat part do we as individual participants in the legal system play in upholding those ideals?</w:t>
      </w:r>
    </w:p>
    <w:p w14:paraId="3DE4C8B3" w14:textId="00ED58F4" w:rsidR="0095460F" w:rsidRPr="00CD28B7" w:rsidRDefault="00D41762" w:rsidP="000A75FA">
      <w:pPr>
        <w:spacing w:after="120" w:line="360" w:lineRule="auto"/>
        <w:jc w:val="both"/>
        <w:rPr>
          <w:rFonts w:ascii="Times New Roman" w:hAnsi="Times New Roman" w:cs="Times New Roman"/>
          <w:b w:val="0"/>
          <w:szCs w:val="26"/>
          <w:u w:val="none"/>
        </w:rPr>
      </w:pPr>
      <w:r w:rsidRPr="00CD28B7">
        <w:rPr>
          <w:rFonts w:ascii="Times New Roman" w:hAnsi="Times New Roman" w:cs="Times New Roman"/>
          <w:b w:val="0"/>
          <w:szCs w:val="26"/>
          <w:u w:val="none"/>
        </w:rPr>
        <w:t>To answer that question, we need to examine more closely the key characteristics of a society governed by the rule of law.</w:t>
      </w:r>
      <w:r w:rsidR="0095460F" w:rsidRPr="00CD28B7">
        <w:rPr>
          <w:rFonts w:ascii="Times New Roman" w:hAnsi="Times New Roman" w:cs="Times New Roman"/>
          <w:b w:val="0"/>
          <w:szCs w:val="26"/>
          <w:u w:val="none"/>
        </w:rPr>
        <w:t xml:space="preserve"> It is a concept often invoked but rarely explained.</w:t>
      </w:r>
      <w:r w:rsidR="0095460F" w:rsidRPr="00CD28B7">
        <w:rPr>
          <w:rStyle w:val="FootnoteReference"/>
          <w:rFonts w:ascii="Times New Roman" w:hAnsi="Times New Roman" w:cs="Times New Roman"/>
          <w:b w:val="0"/>
          <w:szCs w:val="26"/>
          <w:u w:val="none"/>
        </w:rPr>
        <w:footnoteReference w:id="1"/>
      </w:r>
    </w:p>
    <w:p w14:paraId="3A5C2C30" w14:textId="44551F65" w:rsidR="00DA0B88" w:rsidRPr="00CD28B7" w:rsidRDefault="00D41762" w:rsidP="000A75FA">
      <w:pPr>
        <w:spacing w:after="120" w:line="360" w:lineRule="auto"/>
        <w:jc w:val="both"/>
        <w:rPr>
          <w:rFonts w:ascii="Times New Roman" w:hAnsi="Times New Roman" w:cs="Times New Roman"/>
          <w:b w:val="0"/>
          <w:szCs w:val="26"/>
          <w:u w:val="none"/>
        </w:rPr>
      </w:pPr>
      <w:r w:rsidRPr="00CD28B7">
        <w:rPr>
          <w:rFonts w:ascii="Times New Roman" w:hAnsi="Times New Roman" w:cs="Times New Roman"/>
          <w:b w:val="0"/>
          <w:szCs w:val="26"/>
          <w:u w:val="none"/>
        </w:rPr>
        <w:t xml:space="preserve">The most obvious </w:t>
      </w:r>
      <w:r w:rsidR="0095460F" w:rsidRPr="00CD28B7">
        <w:rPr>
          <w:rFonts w:ascii="Times New Roman" w:hAnsi="Times New Roman" w:cs="Times New Roman"/>
          <w:b w:val="0"/>
          <w:szCs w:val="26"/>
          <w:u w:val="none"/>
        </w:rPr>
        <w:t xml:space="preserve">characteristic </w:t>
      </w:r>
      <w:r w:rsidRPr="00CD28B7">
        <w:rPr>
          <w:rFonts w:ascii="Times New Roman" w:hAnsi="Times New Roman" w:cs="Times New Roman"/>
          <w:b w:val="0"/>
          <w:szCs w:val="26"/>
          <w:u w:val="none"/>
        </w:rPr>
        <w:t>for present purposes is the independence of the judiciary, the guarantee to the community that the judicial officer makes her decision uninfluenced by political or commercial pressure</w:t>
      </w:r>
      <w:r w:rsidR="004C11F5" w:rsidRPr="00CD28B7">
        <w:rPr>
          <w:rFonts w:ascii="Times New Roman" w:hAnsi="Times New Roman" w:cs="Times New Roman"/>
          <w:b w:val="0"/>
          <w:szCs w:val="26"/>
          <w:u w:val="none"/>
        </w:rPr>
        <w:t xml:space="preserve"> or personal affiliation</w:t>
      </w:r>
      <w:r w:rsidR="000A75FA">
        <w:rPr>
          <w:rFonts w:ascii="Times New Roman" w:hAnsi="Times New Roman" w:cs="Times New Roman"/>
          <w:b w:val="0"/>
          <w:szCs w:val="26"/>
          <w:u w:val="none"/>
        </w:rPr>
        <w:t>.</w:t>
      </w:r>
    </w:p>
    <w:p w14:paraId="050B1F67" w14:textId="4940023E" w:rsidR="0095460F" w:rsidRPr="00CD28B7" w:rsidRDefault="00D41762" w:rsidP="000A75FA">
      <w:pPr>
        <w:spacing w:after="120" w:line="360" w:lineRule="auto"/>
        <w:jc w:val="both"/>
        <w:rPr>
          <w:rFonts w:ascii="Times New Roman" w:hAnsi="Times New Roman" w:cs="Times New Roman"/>
          <w:b w:val="0"/>
          <w:szCs w:val="26"/>
          <w:u w:val="none"/>
        </w:rPr>
      </w:pPr>
      <w:r w:rsidRPr="00CD28B7">
        <w:rPr>
          <w:rFonts w:ascii="Times New Roman" w:hAnsi="Times New Roman" w:cs="Times New Roman"/>
          <w:b w:val="0"/>
          <w:szCs w:val="26"/>
          <w:u w:val="none"/>
        </w:rPr>
        <w:t xml:space="preserve">What goes on every day, in every Victorian court, is a </w:t>
      </w:r>
      <w:r w:rsidR="00DA0B88" w:rsidRPr="00CD28B7">
        <w:rPr>
          <w:rFonts w:ascii="Times New Roman" w:hAnsi="Times New Roman" w:cs="Times New Roman"/>
          <w:b w:val="0"/>
          <w:szCs w:val="26"/>
          <w:u w:val="none"/>
        </w:rPr>
        <w:t>demonstration</w:t>
      </w:r>
      <w:r w:rsidRPr="00CD28B7">
        <w:rPr>
          <w:rFonts w:ascii="Times New Roman" w:hAnsi="Times New Roman" w:cs="Times New Roman"/>
          <w:b w:val="0"/>
          <w:szCs w:val="26"/>
          <w:u w:val="none"/>
        </w:rPr>
        <w:t xml:space="preserve"> of that </w:t>
      </w:r>
      <w:r w:rsidR="00DA0B88" w:rsidRPr="00CD28B7">
        <w:rPr>
          <w:rFonts w:ascii="Times New Roman" w:hAnsi="Times New Roman" w:cs="Times New Roman"/>
          <w:b w:val="0"/>
          <w:szCs w:val="26"/>
          <w:u w:val="none"/>
        </w:rPr>
        <w:t>independence</w:t>
      </w:r>
      <w:r w:rsidRPr="00CD28B7">
        <w:rPr>
          <w:rFonts w:ascii="Times New Roman" w:hAnsi="Times New Roman" w:cs="Times New Roman"/>
          <w:b w:val="0"/>
          <w:szCs w:val="26"/>
          <w:u w:val="none"/>
        </w:rPr>
        <w:t>.</w:t>
      </w:r>
      <w:r w:rsidR="000A75FA">
        <w:rPr>
          <w:rFonts w:ascii="Times New Roman" w:hAnsi="Times New Roman" w:cs="Times New Roman"/>
          <w:b w:val="0"/>
          <w:szCs w:val="26"/>
          <w:u w:val="none"/>
        </w:rPr>
        <w:t xml:space="preserve"> </w:t>
      </w:r>
      <w:r w:rsidR="0095460F" w:rsidRPr="00CD28B7">
        <w:rPr>
          <w:rFonts w:ascii="Times New Roman" w:hAnsi="Times New Roman" w:cs="Times New Roman"/>
          <w:b w:val="0"/>
          <w:szCs w:val="26"/>
          <w:u w:val="none"/>
        </w:rPr>
        <w:t>The very pr</w:t>
      </w:r>
      <w:r w:rsidR="004C11F5" w:rsidRPr="00CD28B7">
        <w:rPr>
          <w:rFonts w:ascii="Times New Roman" w:hAnsi="Times New Roman" w:cs="Times New Roman"/>
          <w:b w:val="0"/>
          <w:szCs w:val="26"/>
          <w:u w:val="none"/>
        </w:rPr>
        <w:t>e</w:t>
      </w:r>
      <w:r w:rsidR="0095460F" w:rsidRPr="00CD28B7">
        <w:rPr>
          <w:rFonts w:ascii="Times New Roman" w:hAnsi="Times New Roman" w:cs="Times New Roman"/>
          <w:b w:val="0"/>
          <w:szCs w:val="26"/>
          <w:u w:val="none"/>
        </w:rPr>
        <w:t>mise of the engagement between the judge and counsel, of the litigation itself, is that the judge will decide the case on its merits, free from outside influence</w:t>
      </w:r>
      <w:r w:rsidR="000A75FA">
        <w:rPr>
          <w:rFonts w:ascii="Times New Roman" w:hAnsi="Times New Roman" w:cs="Times New Roman"/>
          <w:b w:val="0"/>
          <w:szCs w:val="26"/>
          <w:u w:val="none"/>
        </w:rPr>
        <w:t>.</w:t>
      </w:r>
    </w:p>
    <w:p w14:paraId="3B62E2D8" w14:textId="3B694069" w:rsidR="004C11F5" w:rsidRPr="00CD28B7" w:rsidRDefault="0095460F" w:rsidP="000A75FA">
      <w:pPr>
        <w:spacing w:after="120" w:line="360" w:lineRule="auto"/>
        <w:jc w:val="both"/>
        <w:rPr>
          <w:rFonts w:ascii="Times New Roman" w:hAnsi="Times New Roman" w:cs="Times New Roman"/>
          <w:b w:val="0"/>
          <w:szCs w:val="26"/>
          <w:u w:val="none"/>
        </w:rPr>
      </w:pPr>
      <w:r w:rsidRPr="00CD28B7">
        <w:rPr>
          <w:rFonts w:ascii="Times New Roman" w:hAnsi="Times New Roman" w:cs="Times New Roman"/>
          <w:b w:val="0"/>
          <w:szCs w:val="26"/>
          <w:u w:val="none"/>
        </w:rPr>
        <w:t>A closely related aspect of the rule</w:t>
      </w:r>
      <w:r w:rsidR="000A75FA">
        <w:rPr>
          <w:rFonts w:ascii="Times New Roman" w:hAnsi="Times New Roman" w:cs="Times New Roman"/>
          <w:b w:val="0"/>
          <w:szCs w:val="26"/>
          <w:u w:val="none"/>
        </w:rPr>
        <w:t xml:space="preserve"> of law is access to the courts.</w:t>
      </w:r>
      <w:r w:rsidRPr="00CD28B7">
        <w:rPr>
          <w:rFonts w:ascii="Times New Roman" w:hAnsi="Times New Roman" w:cs="Times New Roman"/>
          <w:b w:val="0"/>
          <w:szCs w:val="26"/>
          <w:u w:val="none"/>
        </w:rPr>
        <w:t xml:space="preserve"> </w:t>
      </w:r>
      <w:r w:rsidR="00144FE3" w:rsidRPr="00CD28B7">
        <w:rPr>
          <w:rFonts w:ascii="Times New Roman" w:hAnsi="Times New Roman" w:cs="Times New Roman"/>
          <w:b w:val="0"/>
          <w:szCs w:val="26"/>
          <w:u w:val="none"/>
        </w:rPr>
        <w:t>In a society governed by law, the courts exist</w:t>
      </w:r>
      <w:r w:rsidR="000A75FA">
        <w:rPr>
          <w:rFonts w:ascii="Times New Roman" w:hAnsi="Times New Roman" w:cs="Times New Roman"/>
          <w:b w:val="0"/>
          <w:szCs w:val="26"/>
          <w:u w:val="none"/>
        </w:rPr>
        <w:t xml:space="preserve"> to apply and enforce the law. </w:t>
      </w:r>
      <w:r w:rsidRPr="00CD28B7">
        <w:rPr>
          <w:rFonts w:ascii="Times New Roman" w:hAnsi="Times New Roman" w:cs="Times New Roman"/>
          <w:b w:val="0"/>
          <w:szCs w:val="26"/>
          <w:u w:val="none"/>
        </w:rPr>
        <w:t>In</w:t>
      </w:r>
      <w:r w:rsidR="004C11F5" w:rsidRPr="00CD28B7">
        <w:rPr>
          <w:rFonts w:ascii="Times New Roman" w:hAnsi="Times New Roman" w:cs="Times New Roman"/>
          <w:b w:val="0"/>
          <w:szCs w:val="26"/>
          <w:u w:val="none"/>
        </w:rPr>
        <w:t xml:space="preserve"> order for courts to perform that</w:t>
      </w:r>
      <w:r w:rsidRPr="00CD28B7">
        <w:rPr>
          <w:rFonts w:ascii="Times New Roman" w:hAnsi="Times New Roman" w:cs="Times New Roman"/>
          <w:b w:val="0"/>
          <w:szCs w:val="26"/>
          <w:u w:val="none"/>
        </w:rPr>
        <w:t xml:space="preserve"> role</w:t>
      </w:r>
      <w:r w:rsidR="004C11F5" w:rsidRPr="00CD28B7">
        <w:rPr>
          <w:rFonts w:ascii="Times New Roman" w:hAnsi="Times New Roman" w:cs="Times New Roman"/>
          <w:b w:val="0"/>
          <w:szCs w:val="26"/>
          <w:u w:val="none"/>
        </w:rPr>
        <w:t>,</w:t>
      </w:r>
      <w:r w:rsidR="009015FA" w:rsidRPr="00CD28B7">
        <w:rPr>
          <w:rFonts w:ascii="Times New Roman" w:hAnsi="Times New Roman" w:cs="Times New Roman"/>
          <w:b w:val="0"/>
          <w:szCs w:val="26"/>
          <w:u w:val="none"/>
        </w:rPr>
        <w:t xml:space="preserve"> </w:t>
      </w:r>
      <w:r w:rsidRPr="00CD28B7">
        <w:rPr>
          <w:rFonts w:ascii="Times New Roman" w:hAnsi="Times New Roman" w:cs="Times New Roman"/>
          <w:b w:val="0"/>
          <w:szCs w:val="26"/>
          <w:u w:val="none"/>
        </w:rPr>
        <w:t>citizens must have access to them.</w:t>
      </w:r>
      <w:r w:rsidRPr="00CD28B7">
        <w:rPr>
          <w:rStyle w:val="FootnoteReference"/>
          <w:rFonts w:ascii="Times New Roman" w:hAnsi="Times New Roman" w:cs="Times New Roman"/>
          <w:b w:val="0"/>
          <w:szCs w:val="26"/>
          <w:u w:val="none"/>
        </w:rPr>
        <w:footnoteReference w:id="2"/>
      </w:r>
      <w:r w:rsidR="000A75FA">
        <w:rPr>
          <w:rFonts w:ascii="Times New Roman" w:hAnsi="Times New Roman" w:cs="Times New Roman"/>
          <w:b w:val="0"/>
          <w:szCs w:val="26"/>
          <w:u w:val="none"/>
        </w:rPr>
        <w:t xml:space="preserve"> </w:t>
      </w:r>
      <w:r w:rsidR="00B7248B" w:rsidRPr="00CD28B7">
        <w:rPr>
          <w:rFonts w:ascii="Times New Roman" w:hAnsi="Times New Roman" w:cs="Times New Roman"/>
          <w:b w:val="0"/>
          <w:szCs w:val="26"/>
          <w:u w:val="none"/>
        </w:rPr>
        <w:t xml:space="preserve">Every lawyer who </w:t>
      </w:r>
      <w:r w:rsidR="004C11F5" w:rsidRPr="00CD28B7">
        <w:rPr>
          <w:rFonts w:ascii="Times New Roman" w:hAnsi="Times New Roman" w:cs="Times New Roman"/>
          <w:b w:val="0"/>
          <w:szCs w:val="26"/>
          <w:u w:val="none"/>
        </w:rPr>
        <w:t>enables</w:t>
      </w:r>
      <w:r w:rsidR="00B7248B" w:rsidRPr="00CD28B7">
        <w:rPr>
          <w:rFonts w:ascii="Times New Roman" w:hAnsi="Times New Roman" w:cs="Times New Roman"/>
          <w:b w:val="0"/>
          <w:szCs w:val="26"/>
          <w:u w:val="none"/>
        </w:rPr>
        <w:t xml:space="preserve"> a client to defend rights or enforce obligations</w:t>
      </w:r>
      <w:r w:rsidR="004C11F5" w:rsidRPr="00CD28B7">
        <w:rPr>
          <w:rFonts w:ascii="Times New Roman" w:hAnsi="Times New Roman" w:cs="Times New Roman"/>
          <w:b w:val="0"/>
          <w:szCs w:val="26"/>
          <w:u w:val="none"/>
        </w:rPr>
        <w:t xml:space="preserve"> in court</w:t>
      </w:r>
      <w:r w:rsidR="00B7248B" w:rsidRPr="00CD28B7">
        <w:rPr>
          <w:rFonts w:ascii="Times New Roman" w:hAnsi="Times New Roman" w:cs="Times New Roman"/>
          <w:b w:val="0"/>
          <w:szCs w:val="26"/>
          <w:u w:val="none"/>
        </w:rPr>
        <w:t xml:space="preserve"> is </w:t>
      </w:r>
      <w:r w:rsidR="004C11F5" w:rsidRPr="00CD28B7">
        <w:rPr>
          <w:rFonts w:ascii="Times New Roman" w:hAnsi="Times New Roman" w:cs="Times New Roman"/>
          <w:b w:val="0"/>
          <w:szCs w:val="26"/>
          <w:u w:val="none"/>
        </w:rPr>
        <w:t xml:space="preserve">thus </w:t>
      </w:r>
      <w:r w:rsidR="000A75FA">
        <w:rPr>
          <w:rFonts w:ascii="Times New Roman" w:hAnsi="Times New Roman" w:cs="Times New Roman"/>
          <w:b w:val="0"/>
          <w:szCs w:val="26"/>
          <w:u w:val="none"/>
        </w:rPr>
        <w:t>affirming the rule of law.</w:t>
      </w:r>
    </w:p>
    <w:p w14:paraId="5522FA4F" w14:textId="58F8AC83" w:rsidR="00B7248B" w:rsidRPr="00CD28B7" w:rsidRDefault="00B7248B" w:rsidP="000A75FA">
      <w:pPr>
        <w:spacing w:after="120" w:line="360" w:lineRule="auto"/>
        <w:jc w:val="both"/>
        <w:rPr>
          <w:rFonts w:ascii="Times New Roman" w:hAnsi="Times New Roman" w:cs="Times New Roman"/>
          <w:b w:val="0"/>
          <w:szCs w:val="26"/>
          <w:u w:val="none"/>
        </w:rPr>
      </w:pPr>
      <w:r w:rsidRPr="00CD28B7">
        <w:rPr>
          <w:rFonts w:ascii="Times New Roman" w:hAnsi="Times New Roman" w:cs="Times New Roman"/>
          <w:b w:val="0"/>
          <w:szCs w:val="26"/>
          <w:u w:val="none"/>
        </w:rPr>
        <w:t>Giving voice to a client vindicates her autonomy, restores her control of her life.</w:t>
      </w:r>
      <w:r w:rsidR="004C11F5" w:rsidRPr="00CD28B7">
        <w:rPr>
          <w:rFonts w:ascii="Times New Roman" w:hAnsi="Times New Roman" w:cs="Times New Roman"/>
          <w:b w:val="0"/>
          <w:szCs w:val="26"/>
          <w:u w:val="none"/>
        </w:rPr>
        <w:t xml:space="preserve"> </w:t>
      </w:r>
      <w:r w:rsidRPr="00CD28B7">
        <w:rPr>
          <w:rFonts w:ascii="Times New Roman" w:hAnsi="Times New Roman" w:cs="Times New Roman"/>
          <w:b w:val="0"/>
          <w:szCs w:val="26"/>
          <w:u w:val="none"/>
        </w:rPr>
        <w:t>I want to make particular mention in this context of the collaborative effort of Victorian lawyers</w:t>
      </w:r>
      <w:r w:rsidR="004C11F5" w:rsidRPr="00CD28B7">
        <w:rPr>
          <w:rFonts w:ascii="Times New Roman" w:hAnsi="Times New Roman" w:cs="Times New Roman"/>
          <w:b w:val="0"/>
          <w:szCs w:val="26"/>
          <w:u w:val="none"/>
        </w:rPr>
        <w:t>,</w:t>
      </w:r>
      <w:r w:rsidRPr="00CD28B7">
        <w:rPr>
          <w:rFonts w:ascii="Times New Roman" w:hAnsi="Times New Roman" w:cs="Times New Roman"/>
          <w:b w:val="0"/>
          <w:szCs w:val="26"/>
          <w:u w:val="none"/>
        </w:rPr>
        <w:t xml:space="preserve"> </w:t>
      </w:r>
      <w:r w:rsidR="004C11F5" w:rsidRPr="00CD28B7">
        <w:rPr>
          <w:rFonts w:ascii="Times New Roman" w:hAnsi="Times New Roman" w:cs="Times New Roman"/>
          <w:b w:val="0"/>
          <w:szCs w:val="26"/>
          <w:u w:val="none"/>
        </w:rPr>
        <w:t>through Disaster Legal Help Victoria</w:t>
      </w:r>
      <w:r w:rsidR="00144FE3" w:rsidRPr="00CD28B7">
        <w:rPr>
          <w:rFonts w:ascii="Times New Roman" w:hAnsi="Times New Roman" w:cs="Times New Roman"/>
          <w:b w:val="0"/>
          <w:szCs w:val="26"/>
          <w:u w:val="none"/>
        </w:rPr>
        <w:t>,</w:t>
      </w:r>
      <w:r w:rsidR="004C11F5" w:rsidRPr="00CD28B7">
        <w:rPr>
          <w:rFonts w:ascii="Times New Roman" w:hAnsi="Times New Roman" w:cs="Times New Roman"/>
          <w:b w:val="0"/>
          <w:szCs w:val="26"/>
          <w:u w:val="none"/>
        </w:rPr>
        <w:t xml:space="preserve"> </w:t>
      </w:r>
      <w:r w:rsidRPr="00CD28B7">
        <w:rPr>
          <w:rFonts w:ascii="Times New Roman" w:hAnsi="Times New Roman" w:cs="Times New Roman"/>
          <w:b w:val="0"/>
          <w:szCs w:val="26"/>
          <w:u w:val="none"/>
        </w:rPr>
        <w:t>to provide access to justice for those affected by the terrible bush</w:t>
      </w:r>
      <w:r w:rsidR="004C11F5" w:rsidRPr="00CD28B7">
        <w:rPr>
          <w:rFonts w:ascii="Times New Roman" w:hAnsi="Times New Roman" w:cs="Times New Roman"/>
          <w:b w:val="0"/>
          <w:szCs w:val="26"/>
          <w:u w:val="none"/>
        </w:rPr>
        <w:t>fires of recent months</w:t>
      </w:r>
      <w:r w:rsidRPr="00CD28B7">
        <w:rPr>
          <w:rFonts w:ascii="Times New Roman" w:hAnsi="Times New Roman" w:cs="Times New Roman"/>
          <w:b w:val="0"/>
          <w:szCs w:val="26"/>
          <w:u w:val="none"/>
        </w:rPr>
        <w:t>.</w:t>
      </w:r>
    </w:p>
    <w:p w14:paraId="0E16BEBF" w14:textId="2FB7C895" w:rsidR="00CE535A" w:rsidRPr="00CD28B7" w:rsidRDefault="00D41762" w:rsidP="000A75FA">
      <w:pPr>
        <w:spacing w:after="120" w:line="360" w:lineRule="auto"/>
        <w:jc w:val="both"/>
        <w:rPr>
          <w:rFonts w:ascii="Times New Roman" w:hAnsi="Times New Roman" w:cs="Times New Roman"/>
          <w:b w:val="0"/>
          <w:szCs w:val="26"/>
          <w:u w:val="none"/>
        </w:rPr>
      </w:pPr>
      <w:r w:rsidRPr="00CD28B7">
        <w:rPr>
          <w:rFonts w:ascii="Times New Roman" w:hAnsi="Times New Roman" w:cs="Times New Roman"/>
          <w:b w:val="0"/>
          <w:szCs w:val="26"/>
          <w:u w:val="none"/>
        </w:rPr>
        <w:t xml:space="preserve">Another critical feature </w:t>
      </w:r>
      <w:r w:rsidR="004C11F5" w:rsidRPr="00CD28B7">
        <w:rPr>
          <w:rFonts w:ascii="Times New Roman" w:hAnsi="Times New Roman" w:cs="Times New Roman"/>
          <w:b w:val="0"/>
          <w:szCs w:val="26"/>
          <w:u w:val="none"/>
        </w:rPr>
        <w:t xml:space="preserve">of the rule of law </w:t>
      </w:r>
      <w:r w:rsidRPr="00CD28B7">
        <w:rPr>
          <w:rFonts w:ascii="Times New Roman" w:hAnsi="Times New Roman" w:cs="Times New Roman"/>
          <w:b w:val="0"/>
          <w:szCs w:val="26"/>
          <w:u w:val="none"/>
        </w:rPr>
        <w:t>is the separation of power</w:t>
      </w:r>
      <w:r w:rsidR="00010334" w:rsidRPr="00CD28B7">
        <w:rPr>
          <w:rFonts w:ascii="Times New Roman" w:hAnsi="Times New Roman" w:cs="Times New Roman"/>
          <w:b w:val="0"/>
          <w:szCs w:val="26"/>
          <w:u w:val="none"/>
        </w:rPr>
        <w:t>s</w:t>
      </w:r>
      <w:r w:rsidRPr="00CD28B7">
        <w:rPr>
          <w:rFonts w:ascii="Times New Roman" w:hAnsi="Times New Roman" w:cs="Times New Roman"/>
          <w:b w:val="0"/>
          <w:szCs w:val="26"/>
          <w:u w:val="none"/>
        </w:rPr>
        <w:t xml:space="preserve">, the independence of the </w:t>
      </w:r>
      <w:r w:rsidR="00B7248B" w:rsidRPr="00CD28B7">
        <w:rPr>
          <w:rFonts w:ascii="Times New Roman" w:hAnsi="Times New Roman" w:cs="Times New Roman"/>
          <w:b w:val="0"/>
          <w:szCs w:val="26"/>
          <w:u w:val="none"/>
        </w:rPr>
        <w:t>judicial arm</w:t>
      </w:r>
      <w:r w:rsidRPr="00CD28B7">
        <w:rPr>
          <w:rFonts w:ascii="Times New Roman" w:hAnsi="Times New Roman" w:cs="Times New Roman"/>
          <w:b w:val="0"/>
          <w:szCs w:val="26"/>
          <w:u w:val="none"/>
        </w:rPr>
        <w:t xml:space="preserve"> from the legislative and executive arms of government and, more particularly, the supervision by the courts of the exercise of executive power.</w:t>
      </w:r>
      <w:r w:rsidR="000A75FA">
        <w:rPr>
          <w:rFonts w:ascii="Times New Roman" w:hAnsi="Times New Roman" w:cs="Times New Roman"/>
          <w:b w:val="0"/>
          <w:szCs w:val="26"/>
          <w:u w:val="none"/>
        </w:rPr>
        <w:t xml:space="preserve"> </w:t>
      </w:r>
      <w:r w:rsidR="00CE535A" w:rsidRPr="00CD28B7">
        <w:rPr>
          <w:rFonts w:ascii="Times New Roman" w:hAnsi="Times New Roman" w:cs="Times New Roman"/>
          <w:b w:val="0"/>
          <w:szCs w:val="26"/>
          <w:u w:val="none"/>
        </w:rPr>
        <w:t xml:space="preserve">As the Court </w:t>
      </w:r>
      <w:r w:rsidR="00647D9E" w:rsidRPr="00CD28B7">
        <w:rPr>
          <w:rFonts w:ascii="Times New Roman" w:hAnsi="Times New Roman" w:cs="Times New Roman"/>
          <w:b w:val="0"/>
          <w:szCs w:val="26"/>
          <w:u w:val="none"/>
        </w:rPr>
        <w:t xml:space="preserve">of Appeal </w:t>
      </w:r>
      <w:r w:rsidR="00CE535A" w:rsidRPr="00CD28B7">
        <w:rPr>
          <w:rFonts w:ascii="Times New Roman" w:hAnsi="Times New Roman" w:cs="Times New Roman"/>
          <w:b w:val="0"/>
          <w:szCs w:val="26"/>
          <w:u w:val="none"/>
        </w:rPr>
        <w:t>said in 2016:</w:t>
      </w:r>
    </w:p>
    <w:p w14:paraId="09BBB4B4" w14:textId="1A4BEB93" w:rsidR="00CE535A" w:rsidRPr="00CD28B7" w:rsidRDefault="00CE535A" w:rsidP="000A75FA">
      <w:pPr>
        <w:spacing w:after="120" w:line="360" w:lineRule="auto"/>
        <w:ind w:left="810" w:right="656"/>
        <w:jc w:val="both"/>
        <w:rPr>
          <w:rFonts w:ascii="Times New Roman" w:hAnsi="Times New Roman" w:cs="Times New Roman"/>
          <w:b w:val="0"/>
          <w:i/>
          <w:szCs w:val="26"/>
          <w:u w:val="none"/>
        </w:rPr>
      </w:pPr>
      <w:r w:rsidRPr="00CD28B7">
        <w:rPr>
          <w:rFonts w:ascii="Times New Roman" w:hAnsi="Times New Roman" w:cs="Times New Roman"/>
          <w:b w:val="0"/>
          <w:i/>
          <w:szCs w:val="26"/>
          <w:u w:val="none"/>
        </w:rPr>
        <w:t xml:space="preserve">“The function of judicial review is to ensure that Government operates according to law, that powers conferred on Ministers and public officials by statute are exercised within the legal limits fixed by Parliament. </w:t>
      </w:r>
    </w:p>
    <w:p w14:paraId="6D992D0F" w14:textId="29946318" w:rsidR="00111EC0" w:rsidRPr="00CD28B7" w:rsidRDefault="00111EC0" w:rsidP="000A75FA">
      <w:pPr>
        <w:spacing w:after="120" w:line="360" w:lineRule="auto"/>
        <w:ind w:left="810" w:right="656"/>
        <w:jc w:val="both"/>
        <w:rPr>
          <w:rFonts w:ascii="Times New Roman" w:hAnsi="Times New Roman" w:cs="Times New Roman"/>
          <w:b w:val="0"/>
          <w:i/>
          <w:szCs w:val="26"/>
          <w:u w:val="none"/>
        </w:rPr>
      </w:pPr>
      <w:r w:rsidRPr="00CD28B7">
        <w:rPr>
          <w:rFonts w:ascii="Times New Roman" w:hAnsi="Times New Roman" w:cs="Times New Roman"/>
          <w:b w:val="0"/>
          <w:i/>
          <w:szCs w:val="26"/>
          <w:u w:val="none"/>
        </w:rPr>
        <w:t>…</w:t>
      </w:r>
    </w:p>
    <w:p w14:paraId="764E2EB7" w14:textId="15032D0B" w:rsidR="00CE535A" w:rsidRPr="00CD28B7" w:rsidRDefault="00CE535A" w:rsidP="000A75FA">
      <w:pPr>
        <w:spacing w:after="120" w:line="360" w:lineRule="auto"/>
        <w:ind w:left="810" w:right="656"/>
        <w:jc w:val="both"/>
        <w:rPr>
          <w:rFonts w:ascii="Times New Roman" w:hAnsi="Times New Roman" w:cs="Times New Roman"/>
          <w:b w:val="0"/>
          <w:szCs w:val="26"/>
          <w:u w:val="none"/>
        </w:rPr>
      </w:pPr>
      <w:r w:rsidRPr="00CD28B7">
        <w:rPr>
          <w:rFonts w:ascii="Times New Roman" w:hAnsi="Times New Roman" w:cs="Times New Roman"/>
          <w:b w:val="0"/>
          <w:i/>
          <w:szCs w:val="26"/>
          <w:u w:val="none"/>
        </w:rPr>
        <w:lastRenderedPageBreak/>
        <w:t xml:space="preserve">It is one of the foundations of our democratic society that the courts perform this supervisory role, and do so independently of Government and </w:t>
      </w:r>
      <w:r w:rsidR="000A75FA">
        <w:rPr>
          <w:rFonts w:ascii="Times New Roman" w:hAnsi="Times New Roman" w:cs="Times New Roman"/>
          <w:b w:val="0"/>
          <w:i/>
          <w:szCs w:val="26"/>
          <w:u w:val="none"/>
        </w:rPr>
        <w:t>immune from political pressure.</w:t>
      </w:r>
      <w:r w:rsidRPr="00CD28B7">
        <w:rPr>
          <w:rFonts w:ascii="Times New Roman" w:hAnsi="Times New Roman" w:cs="Times New Roman"/>
          <w:b w:val="0"/>
          <w:i/>
          <w:szCs w:val="26"/>
          <w:u w:val="none"/>
        </w:rPr>
        <w:t xml:space="preserve"> This is one of the guarantees of the rule of law.”</w:t>
      </w:r>
      <w:r w:rsidR="00744AE5" w:rsidRPr="00CD28B7">
        <w:rPr>
          <w:rStyle w:val="FootnoteReference"/>
          <w:rFonts w:ascii="Times New Roman" w:hAnsi="Times New Roman" w:cs="Times New Roman"/>
          <w:b w:val="0"/>
          <w:szCs w:val="26"/>
          <w:u w:val="none"/>
        </w:rPr>
        <w:footnoteReference w:id="3"/>
      </w:r>
    </w:p>
    <w:p w14:paraId="0FBBEFFD" w14:textId="301ECEF3" w:rsidR="00657720" w:rsidRPr="00CD28B7" w:rsidRDefault="0024010B" w:rsidP="000A75FA">
      <w:pPr>
        <w:spacing w:after="120" w:line="360" w:lineRule="auto"/>
        <w:jc w:val="both"/>
        <w:rPr>
          <w:rFonts w:ascii="Times New Roman" w:hAnsi="Times New Roman" w:cs="Times New Roman"/>
          <w:b w:val="0"/>
          <w:szCs w:val="26"/>
          <w:u w:val="none"/>
        </w:rPr>
      </w:pPr>
      <w:r w:rsidRPr="00CD28B7">
        <w:rPr>
          <w:rFonts w:ascii="Times New Roman" w:hAnsi="Times New Roman" w:cs="Times New Roman"/>
          <w:b w:val="0"/>
          <w:szCs w:val="26"/>
          <w:u w:val="none"/>
        </w:rPr>
        <w:t>T</w:t>
      </w:r>
      <w:r w:rsidR="00657720" w:rsidRPr="00CD28B7">
        <w:rPr>
          <w:rFonts w:ascii="Times New Roman" w:hAnsi="Times New Roman" w:cs="Times New Roman"/>
          <w:b w:val="0"/>
          <w:szCs w:val="26"/>
          <w:u w:val="none"/>
        </w:rPr>
        <w:t xml:space="preserve">he importance of the rule of law needs to be </w:t>
      </w:r>
      <w:r w:rsidRPr="00CD28B7">
        <w:rPr>
          <w:rFonts w:ascii="Times New Roman" w:hAnsi="Times New Roman" w:cs="Times New Roman"/>
          <w:b w:val="0"/>
          <w:szCs w:val="26"/>
          <w:u w:val="none"/>
        </w:rPr>
        <w:t xml:space="preserve">proclaimed as loudly and </w:t>
      </w:r>
      <w:r w:rsidR="00657720" w:rsidRPr="00CD28B7">
        <w:rPr>
          <w:rFonts w:ascii="Times New Roman" w:hAnsi="Times New Roman" w:cs="Times New Roman"/>
          <w:b w:val="0"/>
          <w:szCs w:val="26"/>
          <w:u w:val="none"/>
        </w:rPr>
        <w:t xml:space="preserve">as often as possible. Much of what </w:t>
      </w:r>
      <w:r w:rsidRPr="00CD28B7">
        <w:rPr>
          <w:rFonts w:ascii="Times New Roman" w:hAnsi="Times New Roman" w:cs="Times New Roman"/>
          <w:b w:val="0"/>
          <w:szCs w:val="26"/>
          <w:u w:val="none"/>
        </w:rPr>
        <w:t>defines</w:t>
      </w:r>
      <w:r w:rsidR="00657720" w:rsidRPr="00CD28B7">
        <w:rPr>
          <w:rFonts w:ascii="Times New Roman" w:hAnsi="Times New Roman" w:cs="Times New Roman"/>
          <w:b w:val="0"/>
          <w:szCs w:val="26"/>
          <w:u w:val="none"/>
        </w:rPr>
        <w:t xml:space="preserve"> the rule of law is subtle, even imperceptible, and </w:t>
      </w:r>
      <w:r w:rsidR="00B7248B" w:rsidRPr="00CD28B7">
        <w:rPr>
          <w:rFonts w:ascii="Times New Roman" w:hAnsi="Times New Roman" w:cs="Times New Roman"/>
          <w:b w:val="0"/>
          <w:szCs w:val="26"/>
          <w:u w:val="none"/>
        </w:rPr>
        <w:t>we need to draw attention to it,</w:t>
      </w:r>
      <w:r w:rsidR="000A75FA">
        <w:rPr>
          <w:rFonts w:ascii="Times New Roman" w:hAnsi="Times New Roman" w:cs="Times New Roman"/>
          <w:b w:val="0"/>
          <w:szCs w:val="26"/>
          <w:u w:val="none"/>
        </w:rPr>
        <w:t xml:space="preserve"> celebrate it, advocate for it.</w:t>
      </w:r>
      <w:r w:rsidR="00B7248B" w:rsidRPr="00CD28B7">
        <w:rPr>
          <w:rFonts w:ascii="Times New Roman" w:hAnsi="Times New Roman" w:cs="Times New Roman"/>
          <w:b w:val="0"/>
          <w:szCs w:val="26"/>
          <w:u w:val="none"/>
        </w:rPr>
        <w:t xml:space="preserve"> Each of us </w:t>
      </w:r>
      <w:r w:rsidRPr="00CD28B7">
        <w:rPr>
          <w:rFonts w:ascii="Times New Roman" w:hAnsi="Times New Roman" w:cs="Times New Roman"/>
          <w:b w:val="0"/>
          <w:szCs w:val="26"/>
          <w:u w:val="none"/>
        </w:rPr>
        <w:t>should aim to</w:t>
      </w:r>
      <w:r w:rsidR="00B7248B" w:rsidRPr="00CD28B7">
        <w:rPr>
          <w:rFonts w:ascii="Times New Roman" w:hAnsi="Times New Roman" w:cs="Times New Roman"/>
          <w:b w:val="0"/>
          <w:szCs w:val="26"/>
          <w:u w:val="none"/>
        </w:rPr>
        <w:t xml:space="preserve"> be a champion of the rule of law.</w:t>
      </w:r>
    </w:p>
    <w:p w14:paraId="692A150C" w14:textId="33C4FFA1" w:rsidR="00D14003" w:rsidRPr="00CD28B7" w:rsidRDefault="00D14003" w:rsidP="000A75FA">
      <w:pPr>
        <w:spacing w:after="120" w:line="360" w:lineRule="auto"/>
        <w:jc w:val="both"/>
        <w:rPr>
          <w:rFonts w:ascii="Times New Roman" w:hAnsi="Times New Roman" w:cs="Times New Roman"/>
          <w:b w:val="0"/>
          <w:szCs w:val="26"/>
          <w:u w:val="none"/>
        </w:rPr>
      </w:pPr>
      <w:r w:rsidRPr="00CD28B7">
        <w:rPr>
          <w:rFonts w:ascii="Times New Roman" w:hAnsi="Times New Roman" w:cs="Times New Roman"/>
          <w:b w:val="0"/>
          <w:szCs w:val="26"/>
          <w:u w:val="none"/>
        </w:rPr>
        <w:t>Another rule of law value which</w:t>
      </w:r>
      <w:r w:rsidR="00B7248B" w:rsidRPr="00CD28B7">
        <w:rPr>
          <w:rFonts w:ascii="Times New Roman" w:hAnsi="Times New Roman" w:cs="Times New Roman"/>
          <w:b w:val="0"/>
          <w:szCs w:val="26"/>
          <w:u w:val="none"/>
        </w:rPr>
        <w:t xml:space="preserve"> has featured</w:t>
      </w:r>
      <w:r w:rsidRPr="00CD28B7">
        <w:rPr>
          <w:rFonts w:ascii="Times New Roman" w:hAnsi="Times New Roman" w:cs="Times New Roman"/>
          <w:b w:val="0"/>
          <w:szCs w:val="26"/>
          <w:u w:val="none"/>
        </w:rPr>
        <w:t xml:space="preserve"> recurrently in my judicial thinking is the principle of equ</w:t>
      </w:r>
      <w:r w:rsidR="000A75FA">
        <w:rPr>
          <w:rFonts w:ascii="Times New Roman" w:hAnsi="Times New Roman" w:cs="Times New Roman"/>
          <w:b w:val="0"/>
          <w:szCs w:val="26"/>
          <w:u w:val="none"/>
        </w:rPr>
        <w:t>ality before the law.</w:t>
      </w:r>
      <w:r w:rsidRPr="00CD28B7">
        <w:rPr>
          <w:rFonts w:ascii="Times New Roman" w:hAnsi="Times New Roman" w:cs="Times New Roman"/>
          <w:b w:val="0"/>
          <w:szCs w:val="26"/>
          <w:u w:val="none"/>
        </w:rPr>
        <w:t xml:space="preserve"> In its simplest expression, this principle requires that like cases be treated alike.</w:t>
      </w:r>
      <w:r w:rsidR="00B7248B" w:rsidRPr="00CD28B7">
        <w:rPr>
          <w:rStyle w:val="FootnoteReference"/>
          <w:rFonts w:ascii="Times New Roman" w:hAnsi="Times New Roman" w:cs="Times New Roman"/>
          <w:b w:val="0"/>
          <w:szCs w:val="26"/>
          <w:u w:val="none"/>
        </w:rPr>
        <w:footnoteReference w:id="4"/>
      </w:r>
      <w:r w:rsidRPr="00CD28B7">
        <w:rPr>
          <w:rFonts w:ascii="Times New Roman" w:hAnsi="Times New Roman" w:cs="Times New Roman"/>
          <w:b w:val="0"/>
          <w:szCs w:val="26"/>
          <w:u w:val="none"/>
        </w:rPr>
        <w:t xml:space="preserve"> I have found myself invoking this notion in</w:t>
      </w:r>
      <w:r w:rsidR="00B7248B" w:rsidRPr="00CD28B7">
        <w:rPr>
          <w:rFonts w:ascii="Times New Roman" w:hAnsi="Times New Roman" w:cs="Times New Roman"/>
          <w:b w:val="0"/>
          <w:szCs w:val="26"/>
          <w:u w:val="none"/>
        </w:rPr>
        <w:t xml:space="preserve"> a range of contexts, for example</w:t>
      </w:r>
      <w:r w:rsidRPr="00CD28B7">
        <w:rPr>
          <w:rFonts w:ascii="Times New Roman" w:hAnsi="Times New Roman" w:cs="Times New Roman"/>
          <w:b w:val="0"/>
          <w:szCs w:val="26"/>
          <w:u w:val="none"/>
        </w:rPr>
        <w:t>:</w:t>
      </w:r>
    </w:p>
    <w:p w14:paraId="4CEA9AD4" w14:textId="10F42D42" w:rsidR="00D14003" w:rsidRPr="00CD28B7" w:rsidRDefault="00B7248B" w:rsidP="000A75FA">
      <w:pPr>
        <w:pStyle w:val="ListParagraph"/>
        <w:numPr>
          <w:ilvl w:val="0"/>
          <w:numId w:val="1"/>
        </w:numPr>
        <w:spacing w:after="120" w:line="360" w:lineRule="auto"/>
        <w:jc w:val="both"/>
        <w:rPr>
          <w:rFonts w:ascii="Times New Roman" w:hAnsi="Times New Roman" w:cs="Times New Roman"/>
          <w:b w:val="0"/>
          <w:szCs w:val="26"/>
          <w:u w:val="none"/>
        </w:rPr>
      </w:pPr>
      <w:r w:rsidRPr="00CD28B7">
        <w:rPr>
          <w:rFonts w:ascii="Times New Roman" w:hAnsi="Times New Roman" w:cs="Times New Roman"/>
          <w:b w:val="0"/>
          <w:szCs w:val="26"/>
          <w:u w:val="none"/>
        </w:rPr>
        <w:t xml:space="preserve">in </w:t>
      </w:r>
      <w:r w:rsidR="00D14003" w:rsidRPr="00CD28B7">
        <w:rPr>
          <w:rFonts w:ascii="Times New Roman" w:hAnsi="Times New Roman" w:cs="Times New Roman"/>
          <w:b w:val="0"/>
          <w:szCs w:val="26"/>
          <w:u w:val="none"/>
        </w:rPr>
        <w:t xml:space="preserve">proposing an evidentiary framework </w:t>
      </w:r>
      <w:r w:rsidRPr="00CD28B7">
        <w:rPr>
          <w:rFonts w:ascii="Times New Roman" w:hAnsi="Times New Roman" w:cs="Times New Roman"/>
          <w:b w:val="0"/>
          <w:szCs w:val="26"/>
          <w:u w:val="none"/>
        </w:rPr>
        <w:t xml:space="preserve">to enable comparative evaluation of </w:t>
      </w:r>
      <w:r w:rsidR="00D14003" w:rsidRPr="00CD28B7">
        <w:rPr>
          <w:rFonts w:ascii="Times New Roman" w:hAnsi="Times New Roman" w:cs="Times New Roman"/>
          <w:b w:val="0"/>
          <w:szCs w:val="26"/>
          <w:u w:val="none"/>
        </w:rPr>
        <w:t>pain and suffering in serious injury cases;</w:t>
      </w:r>
      <w:r w:rsidR="00D14003" w:rsidRPr="00CD28B7">
        <w:rPr>
          <w:rStyle w:val="FootnoteReference"/>
          <w:rFonts w:ascii="Times New Roman" w:hAnsi="Times New Roman" w:cs="Times New Roman"/>
          <w:b w:val="0"/>
          <w:szCs w:val="26"/>
          <w:u w:val="none"/>
        </w:rPr>
        <w:footnoteReference w:id="5"/>
      </w:r>
    </w:p>
    <w:p w14:paraId="52C0D7AF" w14:textId="0678C558" w:rsidR="00D14003" w:rsidRPr="00CD28B7" w:rsidRDefault="00B7248B" w:rsidP="000A75FA">
      <w:pPr>
        <w:pStyle w:val="ListParagraph"/>
        <w:numPr>
          <w:ilvl w:val="0"/>
          <w:numId w:val="1"/>
        </w:numPr>
        <w:spacing w:after="120" w:line="360" w:lineRule="auto"/>
        <w:jc w:val="both"/>
        <w:rPr>
          <w:rFonts w:ascii="Times New Roman" w:hAnsi="Times New Roman" w:cs="Times New Roman"/>
          <w:b w:val="0"/>
          <w:szCs w:val="26"/>
          <w:u w:val="none"/>
        </w:rPr>
      </w:pPr>
      <w:r w:rsidRPr="00CD28B7">
        <w:rPr>
          <w:rFonts w:ascii="Times New Roman" w:hAnsi="Times New Roman" w:cs="Times New Roman"/>
          <w:b w:val="0"/>
          <w:szCs w:val="26"/>
          <w:u w:val="none"/>
        </w:rPr>
        <w:t xml:space="preserve">in </w:t>
      </w:r>
      <w:r w:rsidR="001B56FE" w:rsidRPr="00CD28B7">
        <w:rPr>
          <w:rFonts w:ascii="Times New Roman" w:hAnsi="Times New Roman" w:cs="Times New Roman"/>
          <w:b w:val="0"/>
          <w:szCs w:val="26"/>
          <w:u w:val="none"/>
        </w:rPr>
        <w:t>affirming the importance of consistency of outcome in sentencing;</w:t>
      </w:r>
      <w:r w:rsidRPr="00CD28B7">
        <w:rPr>
          <w:rStyle w:val="FootnoteReference"/>
          <w:rFonts w:ascii="Times New Roman" w:hAnsi="Times New Roman" w:cs="Times New Roman"/>
          <w:b w:val="0"/>
          <w:szCs w:val="26"/>
          <w:u w:val="none"/>
        </w:rPr>
        <w:footnoteReference w:id="6"/>
      </w:r>
    </w:p>
    <w:p w14:paraId="333187F8" w14:textId="41EC9D74" w:rsidR="00D14003" w:rsidRPr="00CD28B7" w:rsidRDefault="00B7248B" w:rsidP="000A75FA">
      <w:pPr>
        <w:pStyle w:val="ListParagraph"/>
        <w:numPr>
          <w:ilvl w:val="0"/>
          <w:numId w:val="1"/>
        </w:numPr>
        <w:spacing w:after="120" w:line="360" w:lineRule="auto"/>
        <w:jc w:val="both"/>
        <w:rPr>
          <w:rFonts w:ascii="Times New Roman" w:hAnsi="Times New Roman" w:cs="Times New Roman"/>
          <w:b w:val="0"/>
          <w:szCs w:val="26"/>
          <w:u w:val="none"/>
        </w:rPr>
      </w:pPr>
      <w:r w:rsidRPr="00CD28B7">
        <w:rPr>
          <w:rFonts w:ascii="Times New Roman" w:hAnsi="Times New Roman" w:cs="Times New Roman"/>
          <w:b w:val="0"/>
          <w:szCs w:val="26"/>
          <w:u w:val="none"/>
        </w:rPr>
        <w:t xml:space="preserve">in </w:t>
      </w:r>
      <w:r w:rsidR="001B56FE" w:rsidRPr="00CD28B7">
        <w:rPr>
          <w:rFonts w:ascii="Times New Roman" w:hAnsi="Times New Roman" w:cs="Times New Roman"/>
          <w:b w:val="0"/>
          <w:szCs w:val="26"/>
          <w:u w:val="none"/>
        </w:rPr>
        <w:t xml:space="preserve">developing guidelines to ensure consistency of approach by </w:t>
      </w:r>
      <w:r w:rsidRPr="00CD28B7">
        <w:rPr>
          <w:rFonts w:ascii="Times New Roman" w:hAnsi="Times New Roman" w:cs="Times New Roman"/>
          <w:b w:val="0"/>
          <w:szCs w:val="26"/>
          <w:u w:val="none"/>
        </w:rPr>
        <w:t>sentencing</w:t>
      </w:r>
      <w:r w:rsidR="001B56FE" w:rsidRPr="00CD28B7">
        <w:rPr>
          <w:rFonts w:ascii="Times New Roman" w:hAnsi="Times New Roman" w:cs="Times New Roman"/>
          <w:b w:val="0"/>
          <w:szCs w:val="26"/>
          <w:u w:val="none"/>
        </w:rPr>
        <w:t xml:space="preserve"> judges</w:t>
      </w:r>
      <w:r w:rsidR="0024010B" w:rsidRPr="00CD28B7">
        <w:rPr>
          <w:rFonts w:ascii="Times New Roman" w:hAnsi="Times New Roman" w:cs="Times New Roman"/>
          <w:b w:val="0"/>
          <w:szCs w:val="26"/>
          <w:u w:val="none"/>
        </w:rPr>
        <w:t>, on issues</w:t>
      </w:r>
      <w:r w:rsidRPr="00CD28B7">
        <w:rPr>
          <w:rFonts w:ascii="Times New Roman" w:hAnsi="Times New Roman" w:cs="Times New Roman"/>
          <w:b w:val="0"/>
          <w:szCs w:val="26"/>
          <w:u w:val="none"/>
        </w:rPr>
        <w:t xml:space="preserve"> such as m</w:t>
      </w:r>
      <w:r w:rsidR="0024010B" w:rsidRPr="00CD28B7">
        <w:rPr>
          <w:rFonts w:ascii="Times New Roman" w:hAnsi="Times New Roman" w:cs="Times New Roman"/>
          <w:b w:val="0"/>
          <w:szCs w:val="26"/>
          <w:u w:val="none"/>
        </w:rPr>
        <w:t>ental illness and the imposition</w:t>
      </w:r>
      <w:r w:rsidRPr="00CD28B7">
        <w:rPr>
          <w:rFonts w:ascii="Times New Roman" w:hAnsi="Times New Roman" w:cs="Times New Roman"/>
          <w:b w:val="0"/>
          <w:szCs w:val="26"/>
          <w:u w:val="none"/>
        </w:rPr>
        <w:t xml:space="preserve"> of non-custodial orders</w:t>
      </w:r>
      <w:r w:rsidR="001B56FE" w:rsidRPr="00CD28B7">
        <w:rPr>
          <w:rFonts w:ascii="Times New Roman" w:hAnsi="Times New Roman" w:cs="Times New Roman"/>
          <w:b w:val="0"/>
          <w:szCs w:val="26"/>
          <w:u w:val="none"/>
        </w:rPr>
        <w:t>.</w:t>
      </w:r>
      <w:r w:rsidRPr="00CD28B7">
        <w:rPr>
          <w:rStyle w:val="FootnoteReference"/>
          <w:rFonts w:ascii="Times New Roman" w:hAnsi="Times New Roman" w:cs="Times New Roman"/>
          <w:b w:val="0"/>
          <w:szCs w:val="26"/>
          <w:u w:val="none"/>
        </w:rPr>
        <w:footnoteReference w:id="7"/>
      </w:r>
    </w:p>
    <w:p w14:paraId="4834AF13" w14:textId="5534026B" w:rsidR="001A2898" w:rsidRPr="00CD28B7" w:rsidRDefault="00744AE5" w:rsidP="000A75FA">
      <w:pPr>
        <w:spacing w:after="120" w:line="360" w:lineRule="auto"/>
        <w:jc w:val="both"/>
        <w:rPr>
          <w:rFonts w:ascii="Times New Roman" w:hAnsi="Times New Roman" w:cs="Times New Roman"/>
          <w:b w:val="0"/>
          <w:szCs w:val="26"/>
          <w:u w:val="none"/>
        </w:rPr>
      </w:pPr>
      <w:r w:rsidRPr="00CD28B7">
        <w:rPr>
          <w:rFonts w:ascii="Times New Roman" w:hAnsi="Times New Roman" w:cs="Times New Roman"/>
          <w:b w:val="0"/>
          <w:szCs w:val="26"/>
          <w:u w:val="none"/>
        </w:rPr>
        <w:t xml:space="preserve">And I find myself </w:t>
      </w:r>
      <w:r w:rsidR="00181711" w:rsidRPr="00CD28B7">
        <w:rPr>
          <w:rFonts w:ascii="Times New Roman" w:hAnsi="Times New Roman" w:cs="Times New Roman"/>
          <w:b w:val="0"/>
          <w:szCs w:val="26"/>
          <w:u w:val="none"/>
        </w:rPr>
        <w:t>invoking the rule of law values of</w:t>
      </w:r>
      <w:r w:rsidR="000A75FA">
        <w:rPr>
          <w:rFonts w:ascii="Times New Roman" w:hAnsi="Times New Roman" w:cs="Times New Roman"/>
          <w:b w:val="0"/>
          <w:szCs w:val="26"/>
          <w:u w:val="none"/>
        </w:rPr>
        <w:t xml:space="preserve"> certainty and predictability. </w:t>
      </w:r>
      <w:r w:rsidR="00181711" w:rsidRPr="00CD28B7">
        <w:rPr>
          <w:rFonts w:ascii="Times New Roman" w:hAnsi="Times New Roman" w:cs="Times New Roman"/>
          <w:b w:val="0"/>
          <w:szCs w:val="26"/>
          <w:u w:val="none"/>
        </w:rPr>
        <w:t xml:space="preserve">In statutory interpretation, for example, I have </w:t>
      </w:r>
      <w:r w:rsidR="002065E4" w:rsidRPr="00CD28B7">
        <w:rPr>
          <w:rFonts w:ascii="Times New Roman" w:hAnsi="Times New Roman" w:cs="Times New Roman"/>
          <w:b w:val="0"/>
          <w:szCs w:val="26"/>
          <w:u w:val="none"/>
        </w:rPr>
        <w:t xml:space="preserve">expressed the view in judgments and elsewhere </w:t>
      </w:r>
      <w:r w:rsidR="00181711" w:rsidRPr="00CD28B7">
        <w:rPr>
          <w:rFonts w:ascii="Times New Roman" w:hAnsi="Times New Roman" w:cs="Times New Roman"/>
          <w:b w:val="0"/>
          <w:szCs w:val="26"/>
          <w:u w:val="none"/>
        </w:rPr>
        <w:t>that close adherence to the words actually used in the statutory text promote</w:t>
      </w:r>
      <w:r w:rsidR="002D0BC1" w:rsidRPr="00CD28B7">
        <w:rPr>
          <w:rFonts w:ascii="Times New Roman" w:hAnsi="Times New Roman" w:cs="Times New Roman"/>
          <w:b w:val="0"/>
          <w:szCs w:val="26"/>
          <w:u w:val="none"/>
        </w:rPr>
        <w:t>s</w:t>
      </w:r>
      <w:r w:rsidR="00181711" w:rsidRPr="00CD28B7">
        <w:rPr>
          <w:rFonts w:ascii="Times New Roman" w:hAnsi="Times New Roman" w:cs="Times New Roman"/>
          <w:b w:val="0"/>
          <w:szCs w:val="26"/>
          <w:u w:val="none"/>
        </w:rPr>
        <w:t xml:space="preserve"> certainty and predictability in judicial interpretation.</w:t>
      </w:r>
      <w:r w:rsidR="002065E4" w:rsidRPr="00CD28B7">
        <w:rPr>
          <w:rStyle w:val="FootnoteReference"/>
          <w:rFonts w:ascii="Times New Roman" w:hAnsi="Times New Roman" w:cs="Times New Roman"/>
          <w:b w:val="0"/>
          <w:szCs w:val="26"/>
          <w:u w:val="none"/>
        </w:rPr>
        <w:footnoteReference w:id="8"/>
      </w:r>
      <w:r w:rsidR="000A75FA">
        <w:rPr>
          <w:rFonts w:ascii="Times New Roman" w:hAnsi="Times New Roman" w:cs="Times New Roman"/>
          <w:b w:val="0"/>
          <w:szCs w:val="26"/>
          <w:u w:val="none"/>
        </w:rPr>
        <w:t xml:space="preserve"> </w:t>
      </w:r>
      <w:r w:rsidR="00181711" w:rsidRPr="00CD28B7">
        <w:rPr>
          <w:rFonts w:ascii="Times New Roman" w:hAnsi="Times New Roman" w:cs="Times New Roman"/>
          <w:b w:val="0"/>
          <w:szCs w:val="26"/>
          <w:u w:val="none"/>
        </w:rPr>
        <w:t xml:space="preserve">That </w:t>
      </w:r>
      <w:r w:rsidR="002065E4" w:rsidRPr="00CD28B7">
        <w:rPr>
          <w:rFonts w:ascii="Times New Roman" w:hAnsi="Times New Roman" w:cs="Times New Roman"/>
          <w:b w:val="0"/>
          <w:szCs w:val="26"/>
          <w:u w:val="none"/>
        </w:rPr>
        <w:t xml:space="preserve">in turn </w:t>
      </w:r>
      <w:r w:rsidR="00181711" w:rsidRPr="00CD28B7">
        <w:rPr>
          <w:rFonts w:ascii="Times New Roman" w:hAnsi="Times New Roman" w:cs="Times New Roman"/>
          <w:b w:val="0"/>
          <w:szCs w:val="26"/>
          <w:u w:val="none"/>
        </w:rPr>
        <w:t>reduce</w:t>
      </w:r>
      <w:r w:rsidR="0024010B" w:rsidRPr="00CD28B7">
        <w:rPr>
          <w:rFonts w:ascii="Times New Roman" w:hAnsi="Times New Roman" w:cs="Times New Roman"/>
          <w:b w:val="0"/>
          <w:szCs w:val="26"/>
          <w:u w:val="none"/>
        </w:rPr>
        <w:t>s</w:t>
      </w:r>
      <w:r w:rsidR="00181711" w:rsidRPr="00CD28B7">
        <w:rPr>
          <w:rFonts w:ascii="Times New Roman" w:hAnsi="Times New Roman" w:cs="Times New Roman"/>
          <w:b w:val="0"/>
          <w:szCs w:val="26"/>
          <w:u w:val="none"/>
        </w:rPr>
        <w:t xml:space="preserve"> the scope for disputation and the incentive for a party to keep appealing in the hope of securing a different interpretation.</w:t>
      </w:r>
      <w:r w:rsidR="00181711" w:rsidRPr="00CD28B7">
        <w:rPr>
          <w:rStyle w:val="FootnoteReference"/>
          <w:rFonts w:ascii="Times New Roman" w:hAnsi="Times New Roman" w:cs="Times New Roman"/>
          <w:b w:val="0"/>
          <w:szCs w:val="26"/>
          <w:u w:val="none"/>
        </w:rPr>
        <w:footnoteReference w:id="9"/>
      </w:r>
    </w:p>
    <w:p w14:paraId="282D41FF" w14:textId="155D4A71" w:rsidR="001A2898" w:rsidRPr="00CD28B7" w:rsidRDefault="00BC2041" w:rsidP="000A75FA">
      <w:pPr>
        <w:spacing w:after="120" w:line="360" w:lineRule="auto"/>
        <w:jc w:val="both"/>
        <w:rPr>
          <w:rFonts w:ascii="Times New Roman" w:hAnsi="Times New Roman" w:cs="Times New Roman"/>
          <w:b w:val="0"/>
          <w:szCs w:val="26"/>
          <w:u w:val="none"/>
        </w:rPr>
      </w:pPr>
      <w:r w:rsidRPr="00CD28B7">
        <w:rPr>
          <w:rFonts w:ascii="Times New Roman" w:hAnsi="Times New Roman" w:cs="Times New Roman"/>
          <w:b w:val="0"/>
          <w:szCs w:val="26"/>
          <w:u w:val="none"/>
        </w:rPr>
        <w:t xml:space="preserve">The link </w:t>
      </w:r>
      <w:r w:rsidR="002065E4" w:rsidRPr="00CD28B7">
        <w:rPr>
          <w:rFonts w:ascii="Times New Roman" w:hAnsi="Times New Roman" w:cs="Times New Roman"/>
          <w:b w:val="0"/>
          <w:szCs w:val="26"/>
          <w:u w:val="none"/>
        </w:rPr>
        <w:t xml:space="preserve">between certainty and </w:t>
      </w:r>
      <w:r w:rsidRPr="00CD28B7">
        <w:rPr>
          <w:rFonts w:ascii="Times New Roman" w:hAnsi="Times New Roman" w:cs="Times New Roman"/>
          <w:b w:val="0"/>
          <w:szCs w:val="26"/>
          <w:u w:val="none"/>
        </w:rPr>
        <w:t>the rule of law has been well expressed by the legal philosopher Jeremy Waldron, in these terms:</w:t>
      </w:r>
    </w:p>
    <w:p w14:paraId="6C365B94" w14:textId="30783140" w:rsidR="00BC2041" w:rsidRPr="00CD28B7" w:rsidRDefault="00BC2041" w:rsidP="000A75FA">
      <w:pPr>
        <w:spacing w:after="120" w:line="360" w:lineRule="auto"/>
        <w:ind w:left="720" w:right="656"/>
        <w:jc w:val="both"/>
        <w:rPr>
          <w:rFonts w:ascii="Times New Roman" w:hAnsi="Times New Roman" w:cs="Times New Roman"/>
          <w:b w:val="0"/>
          <w:szCs w:val="26"/>
          <w:u w:val="none"/>
        </w:rPr>
      </w:pPr>
      <w:r w:rsidRPr="00CD28B7">
        <w:rPr>
          <w:rFonts w:ascii="Times New Roman" w:hAnsi="Times New Roman" w:cs="Times New Roman"/>
          <w:b w:val="0"/>
          <w:i/>
          <w:szCs w:val="26"/>
          <w:u w:val="none"/>
        </w:rPr>
        <w:t>“…</w:t>
      </w:r>
      <w:r w:rsidR="00FA17E4" w:rsidRPr="00CD28B7">
        <w:rPr>
          <w:rFonts w:ascii="Times New Roman" w:hAnsi="Times New Roman" w:cs="Times New Roman"/>
          <w:b w:val="0"/>
          <w:i/>
          <w:szCs w:val="26"/>
          <w:u w:val="none"/>
        </w:rPr>
        <w:t xml:space="preserve"> </w:t>
      </w:r>
      <w:r w:rsidRPr="00CD28B7">
        <w:rPr>
          <w:rFonts w:ascii="Times New Roman" w:hAnsi="Times New Roman" w:cs="Times New Roman"/>
          <w:b w:val="0"/>
          <w:i/>
          <w:szCs w:val="26"/>
          <w:u w:val="none"/>
        </w:rPr>
        <w:t>the whole point of the rule of law is to secure individual freedom by providing a predictable environment in which individuals can act freely, plan their af</w:t>
      </w:r>
      <w:r w:rsidR="000A75FA">
        <w:rPr>
          <w:rFonts w:ascii="Times New Roman" w:hAnsi="Times New Roman" w:cs="Times New Roman"/>
          <w:b w:val="0"/>
          <w:i/>
          <w:szCs w:val="26"/>
          <w:u w:val="none"/>
        </w:rPr>
        <w:t>fairs and make their decisions.</w:t>
      </w:r>
      <w:r w:rsidRPr="00CD28B7">
        <w:rPr>
          <w:rFonts w:ascii="Times New Roman" w:hAnsi="Times New Roman" w:cs="Times New Roman"/>
          <w:b w:val="0"/>
          <w:i/>
          <w:szCs w:val="26"/>
          <w:u w:val="none"/>
        </w:rPr>
        <w:t xml:space="preserve"> To eliminate uncertainty in the interests </w:t>
      </w:r>
      <w:r w:rsidRPr="00CD28B7">
        <w:rPr>
          <w:rFonts w:ascii="Times New Roman" w:hAnsi="Times New Roman" w:cs="Times New Roman"/>
          <w:b w:val="0"/>
          <w:i/>
          <w:szCs w:val="26"/>
          <w:u w:val="none"/>
        </w:rPr>
        <w:lastRenderedPageBreak/>
        <w:t>of freedom and to furnish an environment conducive to the exercise of individual autonomy — that is the raison d’etre of the rule of law.”</w:t>
      </w:r>
      <w:r w:rsidRPr="00CD28B7">
        <w:rPr>
          <w:rStyle w:val="FootnoteReference"/>
          <w:rFonts w:ascii="Times New Roman" w:hAnsi="Times New Roman" w:cs="Times New Roman"/>
          <w:b w:val="0"/>
          <w:szCs w:val="26"/>
          <w:u w:val="none"/>
        </w:rPr>
        <w:footnoteReference w:id="10"/>
      </w:r>
    </w:p>
    <w:p w14:paraId="0716CB7F" w14:textId="7C3CD5A6" w:rsidR="002D0BC1" w:rsidRPr="00CD28B7" w:rsidRDefault="002D0BC1" w:rsidP="000A75FA">
      <w:pPr>
        <w:spacing w:after="120" w:line="360" w:lineRule="auto"/>
        <w:jc w:val="both"/>
        <w:rPr>
          <w:rFonts w:ascii="Times New Roman" w:hAnsi="Times New Roman" w:cs="Times New Roman"/>
          <w:b w:val="0"/>
          <w:szCs w:val="26"/>
          <w:u w:val="none"/>
        </w:rPr>
      </w:pPr>
      <w:r w:rsidRPr="00CD28B7">
        <w:rPr>
          <w:rFonts w:ascii="Times New Roman" w:hAnsi="Times New Roman" w:cs="Times New Roman"/>
          <w:b w:val="0"/>
          <w:szCs w:val="26"/>
          <w:u w:val="none"/>
        </w:rPr>
        <w:t>So our goal</w:t>
      </w:r>
      <w:r w:rsidR="002065E4" w:rsidRPr="00CD28B7">
        <w:rPr>
          <w:rFonts w:ascii="Times New Roman" w:hAnsi="Times New Roman" w:cs="Times New Roman"/>
          <w:b w:val="0"/>
          <w:szCs w:val="26"/>
          <w:u w:val="none"/>
        </w:rPr>
        <w:t xml:space="preserve"> as champions of the rule of law</w:t>
      </w:r>
      <w:r w:rsidRPr="00CD28B7">
        <w:rPr>
          <w:rFonts w:ascii="Times New Roman" w:hAnsi="Times New Roman" w:cs="Times New Roman"/>
          <w:b w:val="0"/>
          <w:szCs w:val="26"/>
          <w:u w:val="none"/>
        </w:rPr>
        <w:t xml:space="preserve"> is to eliminate uncertain</w:t>
      </w:r>
      <w:r w:rsidR="000A75FA">
        <w:rPr>
          <w:rFonts w:ascii="Times New Roman" w:hAnsi="Times New Roman" w:cs="Times New Roman"/>
          <w:b w:val="0"/>
          <w:szCs w:val="26"/>
          <w:u w:val="none"/>
        </w:rPr>
        <w:t>ty in the interests of freedom.</w:t>
      </w:r>
      <w:r w:rsidRPr="00CD28B7">
        <w:rPr>
          <w:rFonts w:ascii="Times New Roman" w:hAnsi="Times New Roman" w:cs="Times New Roman"/>
          <w:b w:val="0"/>
          <w:szCs w:val="26"/>
          <w:u w:val="none"/>
        </w:rPr>
        <w:t xml:space="preserve"> Paradoxically, I want to suggest, we need to recognise that uncertainty itself is essential</w:t>
      </w:r>
      <w:r w:rsidR="00FF5947" w:rsidRPr="00CD28B7">
        <w:rPr>
          <w:rFonts w:ascii="Times New Roman" w:hAnsi="Times New Roman" w:cs="Times New Roman"/>
          <w:b w:val="0"/>
          <w:szCs w:val="26"/>
          <w:u w:val="none"/>
        </w:rPr>
        <w:t xml:space="preserve"> if we ourselves are to make the most effective contribution</w:t>
      </w:r>
      <w:r w:rsidRPr="00CD28B7">
        <w:rPr>
          <w:rFonts w:ascii="Times New Roman" w:hAnsi="Times New Roman" w:cs="Times New Roman"/>
          <w:b w:val="0"/>
          <w:szCs w:val="26"/>
          <w:u w:val="none"/>
        </w:rPr>
        <w:t>.</w:t>
      </w:r>
    </w:p>
    <w:p w14:paraId="40816D83" w14:textId="094882C3" w:rsidR="0024010B" w:rsidRPr="00CD28B7" w:rsidRDefault="0024010B" w:rsidP="000A75FA">
      <w:pPr>
        <w:pStyle w:val="Heading3"/>
        <w:rPr>
          <w:b w:val="0"/>
        </w:rPr>
      </w:pPr>
      <w:r w:rsidRPr="00CD28B7">
        <w:t>Learning through uncertainty</w:t>
      </w:r>
    </w:p>
    <w:p w14:paraId="02DEE686" w14:textId="5150A974" w:rsidR="001A2898" w:rsidRPr="00CD28B7" w:rsidRDefault="0002297E" w:rsidP="000A75FA">
      <w:pPr>
        <w:spacing w:after="120" w:line="360" w:lineRule="auto"/>
        <w:jc w:val="both"/>
        <w:rPr>
          <w:rFonts w:ascii="Times New Roman" w:hAnsi="Times New Roman"/>
          <w:b w:val="0"/>
          <w:szCs w:val="26"/>
          <w:u w:val="none"/>
        </w:rPr>
      </w:pPr>
      <w:r w:rsidRPr="00CD28B7">
        <w:rPr>
          <w:rFonts w:ascii="Times New Roman" w:hAnsi="Times New Roman" w:cs="Times New Roman"/>
          <w:b w:val="0"/>
          <w:szCs w:val="26"/>
          <w:u w:val="none"/>
        </w:rPr>
        <w:t xml:space="preserve">The first step, as a wise person said to me many years ago, is to </w:t>
      </w:r>
      <w:r w:rsidR="000A75FA">
        <w:rPr>
          <w:rFonts w:ascii="Times New Roman" w:hAnsi="Times New Roman" w:cs="Times New Roman"/>
          <w:b w:val="0"/>
          <w:szCs w:val="26"/>
          <w:u w:val="none"/>
        </w:rPr>
        <w:t>learn to live with uncertainty.</w:t>
      </w:r>
      <w:r w:rsidRPr="00CD28B7">
        <w:rPr>
          <w:rFonts w:ascii="Times New Roman" w:hAnsi="Times New Roman" w:cs="Times New Roman"/>
          <w:b w:val="0"/>
          <w:szCs w:val="26"/>
          <w:u w:val="none"/>
        </w:rPr>
        <w:t xml:space="preserve"> </w:t>
      </w:r>
      <w:r w:rsidR="000A75FA">
        <w:rPr>
          <w:rFonts w:ascii="Times New Roman" w:hAnsi="Times New Roman"/>
          <w:b w:val="0"/>
          <w:szCs w:val="26"/>
          <w:u w:val="none"/>
        </w:rPr>
        <w:t xml:space="preserve">What exactly does that mean? </w:t>
      </w:r>
      <w:r w:rsidR="001A2898" w:rsidRPr="00CD28B7">
        <w:rPr>
          <w:rFonts w:ascii="Times New Roman" w:hAnsi="Times New Roman"/>
          <w:b w:val="0"/>
          <w:szCs w:val="26"/>
          <w:u w:val="none"/>
        </w:rPr>
        <w:t>Well, you may find yourself waiting for a decision</w:t>
      </w:r>
      <w:r w:rsidR="005D6205" w:rsidRPr="00CD28B7">
        <w:rPr>
          <w:rFonts w:ascii="Times New Roman" w:hAnsi="Times New Roman"/>
          <w:b w:val="0"/>
          <w:szCs w:val="26"/>
          <w:u w:val="none"/>
        </w:rPr>
        <w:t xml:space="preserve"> in a case</w:t>
      </w:r>
      <w:r w:rsidR="001A2898" w:rsidRPr="00CD28B7">
        <w:rPr>
          <w:rFonts w:ascii="Times New Roman" w:hAnsi="Times New Roman"/>
          <w:b w:val="0"/>
          <w:szCs w:val="26"/>
          <w:u w:val="none"/>
        </w:rPr>
        <w:t>, or a response</w:t>
      </w:r>
      <w:r w:rsidR="005D6205" w:rsidRPr="00CD28B7">
        <w:rPr>
          <w:rFonts w:ascii="Times New Roman" w:hAnsi="Times New Roman"/>
          <w:b w:val="0"/>
          <w:szCs w:val="26"/>
          <w:u w:val="none"/>
        </w:rPr>
        <w:t xml:space="preserve"> to a job application</w:t>
      </w:r>
      <w:r w:rsidR="001A2898" w:rsidRPr="00CD28B7">
        <w:rPr>
          <w:rFonts w:ascii="Times New Roman" w:hAnsi="Times New Roman"/>
          <w:b w:val="0"/>
          <w:szCs w:val="26"/>
          <w:u w:val="none"/>
        </w:rPr>
        <w:t>, or something else which is beyond your control, and you are u</w:t>
      </w:r>
      <w:r w:rsidR="000A75FA">
        <w:rPr>
          <w:rFonts w:ascii="Times New Roman" w:hAnsi="Times New Roman"/>
          <w:b w:val="0"/>
          <w:szCs w:val="26"/>
          <w:u w:val="none"/>
        </w:rPr>
        <w:t>nsure what the outcome will be.</w:t>
      </w:r>
      <w:r w:rsidR="001A2898" w:rsidRPr="00CD28B7">
        <w:rPr>
          <w:rFonts w:ascii="Times New Roman" w:hAnsi="Times New Roman"/>
          <w:b w:val="0"/>
          <w:szCs w:val="26"/>
          <w:u w:val="none"/>
        </w:rPr>
        <w:t xml:space="preserve"> The message is:  “Live with the uncertainty;  be comfortable with not knowi</w:t>
      </w:r>
      <w:r w:rsidR="000A75FA">
        <w:rPr>
          <w:rFonts w:ascii="Times New Roman" w:hAnsi="Times New Roman"/>
          <w:b w:val="0"/>
          <w:szCs w:val="26"/>
          <w:u w:val="none"/>
        </w:rPr>
        <w:t>ng, with not being in control. Don’t jump to conclusions.</w:t>
      </w:r>
      <w:r w:rsidR="001A2898" w:rsidRPr="00CD28B7">
        <w:rPr>
          <w:rFonts w:ascii="Times New Roman" w:hAnsi="Times New Roman"/>
          <w:b w:val="0"/>
          <w:szCs w:val="26"/>
          <w:u w:val="none"/>
        </w:rPr>
        <w:t xml:space="preserve"> Above all, don’t assume the worst.”</w:t>
      </w:r>
    </w:p>
    <w:p w14:paraId="3C3E5E40" w14:textId="10837FDE" w:rsidR="001A2898" w:rsidRPr="00CD28B7" w:rsidRDefault="001A2898" w:rsidP="000A75FA">
      <w:pPr>
        <w:pStyle w:val="Normal-Indent"/>
        <w:spacing w:after="120" w:line="360" w:lineRule="auto"/>
        <w:ind w:left="0"/>
        <w:rPr>
          <w:rFonts w:ascii="Times New Roman" w:hAnsi="Times New Roman"/>
          <w:szCs w:val="26"/>
        </w:rPr>
      </w:pPr>
      <w:r w:rsidRPr="00CD28B7">
        <w:rPr>
          <w:rFonts w:ascii="Times New Roman" w:hAnsi="Times New Roman"/>
          <w:szCs w:val="26"/>
        </w:rPr>
        <w:t>Learning to live with uncertainty is vita</w:t>
      </w:r>
      <w:r w:rsidR="000A75FA">
        <w:rPr>
          <w:rFonts w:ascii="Times New Roman" w:hAnsi="Times New Roman"/>
          <w:szCs w:val="26"/>
        </w:rPr>
        <w:t>l for psychological well-being.</w:t>
      </w:r>
      <w:r w:rsidRPr="00CD28B7">
        <w:rPr>
          <w:rFonts w:ascii="Times New Roman" w:hAnsi="Times New Roman"/>
          <w:szCs w:val="26"/>
        </w:rPr>
        <w:t xml:space="preserve"> But my theme this</w:t>
      </w:r>
      <w:r w:rsidR="000A75FA">
        <w:rPr>
          <w:rFonts w:ascii="Times New Roman" w:hAnsi="Times New Roman"/>
          <w:szCs w:val="26"/>
        </w:rPr>
        <w:t xml:space="preserve"> morning is slightly different.</w:t>
      </w:r>
      <w:r w:rsidRPr="00CD28B7">
        <w:rPr>
          <w:rFonts w:ascii="Times New Roman" w:hAnsi="Times New Roman"/>
          <w:szCs w:val="26"/>
        </w:rPr>
        <w:t xml:space="preserve"> I want to talk about learning through uncertainty,</w:t>
      </w:r>
      <w:r w:rsidR="002065E4" w:rsidRPr="00CD28B7">
        <w:rPr>
          <w:rFonts w:ascii="Times New Roman" w:hAnsi="Times New Roman"/>
          <w:szCs w:val="26"/>
        </w:rPr>
        <w:t xml:space="preserve"> about acquiring wisdom through self-doubt</w:t>
      </w:r>
      <w:r w:rsidR="000A75FA">
        <w:rPr>
          <w:rFonts w:ascii="Times New Roman" w:hAnsi="Times New Roman"/>
          <w:szCs w:val="26"/>
        </w:rPr>
        <w:t>.</w:t>
      </w:r>
      <w:r w:rsidRPr="00CD28B7">
        <w:rPr>
          <w:rFonts w:ascii="Times New Roman" w:hAnsi="Times New Roman"/>
          <w:szCs w:val="26"/>
        </w:rPr>
        <w:t xml:space="preserve"> </w:t>
      </w:r>
    </w:p>
    <w:p w14:paraId="3FB2803D" w14:textId="34145B45" w:rsidR="001A2898" w:rsidRPr="00CD28B7" w:rsidRDefault="0024010B" w:rsidP="000A75FA">
      <w:pPr>
        <w:pStyle w:val="Normal-Indent"/>
        <w:spacing w:after="120" w:line="360" w:lineRule="auto"/>
        <w:ind w:left="0"/>
        <w:rPr>
          <w:rFonts w:ascii="Times New Roman" w:hAnsi="Times New Roman"/>
          <w:szCs w:val="26"/>
        </w:rPr>
      </w:pPr>
      <w:r w:rsidRPr="00CD28B7">
        <w:rPr>
          <w:rFonts w:ascii="Times New Roman" w:hAnsi="Times New Roman"/>
          <w:szCs w:val="26"/>
        </w:rPr>
        <w:t xml:space="preserve">Just over </w:t>
      </w:r>
      <w:r w:rsidR="001A2898" w:rsidRPr="00CD28B7">
        <w:rPr>
          <w:rFonts w:ascii="Times New Roman" w:hAnsi="Times New Roman"/>
          <w:szCs w:val="26"/>
        </w:rPr>
        <w:t xml:space="preserve">200 years ago, in December 1818, the poet John Keats wrote to his brothers, George and Tom, in these terms: </w:t>
      </w:r>
    </w:p>
    <w:p w14:paraId="3DEE7D7A" w14:textId="5347D97C" w:rsidR="001A2898" w:rsidRPr="00CD28B7" w:rsidRDefault="001A2898" w:rsidP="000A75FA">
      <w:pPr>
        <w:pStyle w:val="Quote1"/>
        <w:spacing w:before="0" w:after="120" w:line="360" w:lineRule="auto"/>
        <w:ind w:left="720"/>
        <w:rPr>
          <w:rFonts w:ascii="Times New Roman" w:hAnsi="Times New Roman"/>
          <w:sz w:val="24"/>
          <w:szCs w:val="26"/>
        </w:rPr>
      </w:pPr>
      <w:r w:rsidRPr="00CD28B7">
        <w:rPr>
          <w:rFonts w:ascii="Times New Roman" w:hAnsi="Times New Roman"/>
          <w:sz w:val="24"/>
          <w:szCs w:val="26"/>
        </w:rPr>
        <w:t>“</w:t>
      </w:r>
      <w:r w:rsidRPr="00CD28B7">
        <w:rPr>
          <w:rFonts w:ascii="Times New Roman" w:hAnsi="Times New Roman"/>
          <w:i/>
          <w:sz w:val="24"/>
          <w:szCs w:val="26"/>
        </w:rPr>
        <w:t>at once it struck me, what quality went to form a Man of Achievement … I mean Negative Capability, that is, when a man is capable of being in uncertainties, Mysteries, doubts, without any irritable reaching after fact and reason.</w:t>
      </w:r>
      <w:r w:rsidRPr="00CD28B7">
        <w:rPr>
          <w:rFonts w:ascii="Times New Roman" w:hAnsi="Times New Roman"/>
          <w:sz w:val="24"/>
          <w:szCs w:val="26"/>
        </w:rPr>
        <w:t>”</w:t>
      </w:r>
    </w:p>
    <w:p w14:paraId="01507895" w14:textId="060348AC" w:rsidR="001A2898" w:rsidRPr="00CD28B7" w:rsidRDefault="00C61C63" w:rsidP="000A75FA">
      <w:pPr>
        <w:pStyle w:val="Normal-Indent"/>
        <w:spacing w:after="120" w:line="360" w:lineRule="auto"/>
        <w:ind w:left="0"/>
        <w:rPr>
          <w:rFonts w:ascii="Times New Roman" w:hAnsi="Times New Roman"/>
          <w:szCs w:val="26"/>
        </w:rPr>
      </w:pPr>
      <w:r>
        <w:rPr>
          <w:rFonts w:ascii="Times New Roman" w:hAnsi="Times New Roman"/>
          <w:szCs w:val="26"/>
        </w:rPr>
        <w:t>What a remarkable idea:</w:t>
      </w:r>
      <w:r w:rsidR="001A2898" w:rsidRPr="00CD28B7">
        <w:rPr>
          <w:rFonts w:ascii="Times New Roman" w:hAnsi="Times New Roman"/>
          <w:szCs w:val="26"/>
        </w:rPr>
        <w:t xml:space="preserve"> the capability</w:t>
      </w:r>
      <w:r w:rsidR="0024010B" w:rsidRPr="00CD28B7">
        <w:rPr>
          <w:rFonts w:ascii="Times New Roman" w:hAnsi="Times New Roman"/>
          <w:szCs w:val="26"/>
        </w:rPr>
        <w:t xml:space="preserve"> </w:t>
      </w:r>
      <w:r w:rsidR="00EB27ED" w:rsidRPr="00CD28B7">
        <w:rPr>
          <w:rFonts w:ascii="Times New Roman" w:hAnsi="Times New Roman"/>
          <w:szCs w:val="26"/>
        </w:rPr>
        <w:t>“</w:t>
      </w:r>
      <w:r>
        <w:rPr>
          <w:rFonts w:ascii="Times New Roman" w:hAnsi="Times New Roman"/>
          <w:szCs w:val="26"/>
        </w:rPr>
        <w:t>of being in uncertainties”.</w:t>
      </w:r>
      <w:r w:rsidR="001A2898" w:rsidRPr="00CD28B7">
        <w:rPr>
          <w:rFonts w:ascii="Times New Roman" w:hAnsi="Times New Roman"/>
          <w:szCs w:val="26"/>
        </w:rPr>
        <w:t xml:space="preserve"> Of course, our instinct is t</w:t>
      </w:r>
      <w:r>
        <w:rPr>
          <w:rFonts w:ascii="Times New Roman" w:hAnsi="Times New Roman"/>
          <w:szCs w:val="26"/>
        </w:rPr>
        <w:t xml:space="preserve">o reach after fact and reason. </w:t>
      </w:r>
      <w:r w:rsidR="001A2898" w:rsidRPr="00CD28B7">
        <w:rPr>
          <w:rFonts w:ascii="Times New Roman" w:hAnsi="Times New Roman"/>
          <w:szCs w:val="26"/>
        </w:rPr>
        <w:t xml:space="preserve">Every day, in </w:t>
      </w:r>
      <w:r w:rsidR="00CD6545" w:rsidRPr="00CD28B7">
        <w:rPr>
          <w:rFonts w:ascii="Times New Roman" w:hAnsi="Times New Roman"/>
          <w:szCs w:val="26"/>
        </w:rPr>
        <w:t>our work as lawyers, we</w:t>
      </w:r>
      <w:r w:rsidR="001A2898" w:rsidRPr="00CD28B7">
        <w:rPr>
          <w:rFonts w:ascii="Times New Roman" w:hAnsi="Times New Roman"/>
          <w:szCs w:val="26"/>
        </w:rPr>
        <w:t xml:space="preserve"> try to be practitioner</w:t>
      </w:r>
      <w:r w:rsidR="00CD6545" w:rsidRPr="00CD28B7">
        <w:rPr>
          <w:rFonts w:ascii="Times New Roman" w:hAnsi="Times New Roman"/>
          <w:szCs w:val="26"/>
        </w:rPr>
        <w:t>s</w:t>
      </w:r>
      <w:r w:rsidR="00A43251">
        <w:rPr>
          <w:rFonts w:ascii="Times New Roman" w:hAnsi="Times New Roman"/>
          <w:szCs w:val="26"/>
        </w:rPr>
        <w:t xml:space="preserve"> of rational analysis. </w:t>
      </w:r>
      <w:r w:rsidR="001A2898" w:rsidRPr="00CD28B7">
        <w:rPr>
          <w:rFonts w:ascii="Times New Roman" w:hAnsi="Times New Roman"/>
          <w:szCs w:val="26"/>
        </w:rPr>
        <w:t xml:space="preserve">It is the pathway to truth </w:t>
      </w:r>
      <w:r w:rsidR="00A43251">
        <w:rPr>
          <w:rFonts w:ascii="Times New Roman" w:hAnsi="Times New Roman"/>
          <w:szCs w:val="26"/>
        </w:rPr>
        <w:t xml:space="preserve">and the foundation of justice. </w:t>
      </w:r>
      <w:r w:rsidR="001A2898" w:rsidRPr="00CD28B7">
        <w:rPr>
          <w:rFonts w:ascii="Times New Roman" w:hAnsi="Times New Roman"/>
          <w:szCs w:val="26"/>
        </w:rPr>
        <w:t>And we live in an age where adherence to fact and reaso</w:t>
      </w:r>
      <w:r w:rsidR="00A43251">
        <w:rPr>
          <w:rFonts w:ascii="Times New Roman" w:hAnsi="Times New Roman"/>
          <w:szCs w:val="26"/>
        </w:rPr>
        <w:t>n is more important than ever.</w:t>
      </w:r>
    </w:p>
    <w:p w14:paraId="588810CF" w14:textId="70ED694E" w:rsidR="002065E4" w:rsidRPr="00CD28B7" w:rsidRDefault="001A2898" w:rsidP="000A75FA">
      <w:pPr>
        <w:pStyle w:val="Normal-Indent"/>
        <w:spacing w:after="120" w:line="360" w:lineRule="auto"/>
        <w:ind w:left="0"/>
        <w:rPr>
          <w:rFonts w:ascii="Times New Roman" w:hAnsi="Times New Roman"/>
          <w:szCs w:val="26"/>
        </w:rPr>
      </w:pPr>
      <w:r w:rsidRPr="00CD28B7">
        <w:rPr>
          <w:rFonts w:ascii="Times New Roman" w:hAnsi="Times New Roman"/>
          <w:szCs w:val="26"/>
        </w:rPr>
        <w:t>But the getting of wisdom</w:t>
      </w:r>
      <w:r w:rsidR="00CD6545" w:rsidRPr="00CD28B7">
        <w:rPr>
          <w:rFonts w:ascii="Times New Roman" w:hAnsi="Times New Roman"/>
          <w:szCs w:val="26"/>
        </w:rPr>
        <w:t>, I believe,</w:t>
      </w:r>
      <w:r w:rsidRPr="00CD28B7">
        <w:rPr>
          <w:rFonts w:ascii="Times New Roman" w:hAnsi="Times New Roman"/>
          <w:szCs w:val="26"/>
        </w:rPr>
        <w:t xml:space="preserve"> depends on learning to “be in” uncertainty, </w:t>
      </w:r>
      <w:r w:rsidR="0024010B" w:rsidRPr="00CD28B7">
        <w:rPr>
          <w:rFonts w:ascii="Times New Roman" w:hAnsi="Times New Roman"/>
          <w:szCs w:val="26"/>
        </w:rPr>
        <w:t>to allow</w:t>
      </w:r>
      <w:r w:rsidR="00A43251">
        <w:rPr>
          <w:rFonts w:ascii="Times New Roman" w:hAnsi="Times New Roman"/>
          <w:szCs w:val="26"/>
        </w:rPr>
        <w:t xml:space="preserve"> room for doubt. </w:t>
      </w:r>
      <w:r w:rsidR="002065E4" w:rsidRPr="00CD28B7">
        <w:rPr>
          <w:rFonts w:ascii="Times New Roman" w:hAnsi="Times New Roman"/>
          <w:szCs w:val="26"/>
        </w:rPr>
        <w:t>Think how much more productive a discussion is when the participants are open to new ideas and possibilities, rather than dogmatically certain of their positions.</w:t>
      </w:r>
    </w:p>
    <w:p w14:paraId="072E95A5" w14:textId="6BCDFDA2" w:rsidR="001A2898" w:rsidRPr="00CD28B7" w:rsidRDefault="001A2898" w:rsidP="000A75FA">
      <w:pPr>
        <w:pStyle w:val="Normal-Indent"/>
        <w:spacing w:after="120" w:line="360" w:lineRule="auto"/>
        <w:ind w:left="0"/>
        <w:rPr>
          <w:rFonts w:ascii="Times New Roman" w:hAnsi="Times New Roman"/>
          <w:szCs w:val="26"/>
        </w:rPr>
      </w:pPr>
      <w:r w:rsidRPr="00CD28B7">
        <w:rPr>
          <w:rFonts w:ascii="Times New Roman" w:hAnsi="Times New Roman"/>
          <w:szCs w:val="26"/>
        </w:rPr>
        <w:t xml:space="preserve">The point was made with great clarity by the philosopher, Pierre Abelard, who lived between </w:t>
      </w:r>
      <w:r w:rsidRPr="00CD28B7">
        <w:rPr>
          <w:rFonts w:ascii="Times New Roman" w:hAnsi="Times New Roman"/>
          <w:szCs w:val="26"/>
        </w:rPr>
        <w:lastRenderedPageBreak/>
        <w:t>1079 and 1142.  He said:</w:t>
      </w:r>
    </w:p>
    <w:p w14:paraId="212F802F" w14:textId="137CA3D5" w:rsidR="001A2898" w:rsidRPr="00CD28B7" w:rsidRDefault="001A2898" w:rsidP="000A75FA">
      <w:pPr>
        <w:pStyle w:val="Quote1"/>
        <w:spacing w:before="0" w:after="120" w:line="360" w:lineRule="auto"/>
        <w:ind w:left="720"/>
        <w:rPr>
          <w:rFonts w:ascii="Times New Roman" w:hAnsi="Times New Roman"/>
          <w:sz w:val="24"/>
          <w:szCs w:val="26"/>
        </w:rPr>
      </w:pPr>
      <w:r w:rsidRPr="00CD28B7">
        <w:rPr>
          <w:rFonts w:ascii="Times New Roman" w:hAnsi="Times New Roman"/>
          <w:sz w:val="24"/>
          <w:szCs w:val="26"/>
        </w:rPr>
        <w:t>“</w:t>
      </w:r>
      <w:r w:rsidRPr="00CD28B7">
        <w:rPr>
          <w:rFonts w:ascii="Times New Roman" w:hAnsi="Times New Roman"/>
          <w:i/>
          <w:sz w:val="24"/>
          <w:szCs w:val="26"/>
        </w:rPr>
        <w:t xml:space="preserve">The beginning </w:t>
      </w:r>
      <w:r w:rsidR="00A43251">
        <w:rPr>
          <w:rFonts w:ascii="Times New Roman" w:hAnsi="Times New Roman"/>
          <w:i/>
          <w:sz w:val="24"/>
          <w:szCs w:val="26"/>
        </w:rPr>
        <w:t>of wisdom is found in doubting:</w:t>
      </w:r>
      <w:r w:rsidRPr="00CD28B7">
        <w:rPr>
          <w:rFonts w:ascii="Times New Roman" w:hAnsi="Times New Roman"/>
          <w:i/>
          <w:sz w:val="24"/>
          <w:szCs w:val="26"/>
        </w:rPr>
        <w:t xml:space="preserve"> by doubting, we come to the question, and by seeking we may come upon the truth.</w:t>
      </w:r>
      <w:r w:rsidRPr="00CD28B7">
        <w:rPr>
          <w:rFonts w:ascii="Times New Roman" w:hAnsi="Times New Roman"/>
          <w:sz w:val="24"/>
          <w:szCs w:val="26"/>
        </w:rPr>
        <w:t>”</w:t>
      </w:r>
    </w:p>
    <w:p w14:paraId="3655549E" w14:textId="4DAF9BCC" w:rsidR="001A2898" w:rsidRPr="00CD28B7" w:rsidRDefault="002065E4" w:rsidP="000A75FA">
      <w:pPr>
        <w:pStyle w:val="Normal-Indent"/>
        <w:spacing w:after="120" w:line="360" w:lineRule="auto"/>
        <w:ind w:left="0"/>
        <w:rPr>
          <w:rFonts w:ascii="Times New Roman" w:hAnsi="Times New Roman"/>
          <w:szCs w:val="26"/>
        </w:rPr>
      </w:pPr>
      <w:r w:rsidRPr="00CD28B7">
        <w:rPr>
          <w:rFonts w:ascii="Times New Roman" w:hAnsi="Times New Roman"/>
          <w:szCs w:val="26"/>
        </w:rPr>
        <w:t>The c</w:t>
      </w:r>
      <w:r w:rsidR="001A2898" w:rsidRPr="00CD28B7">
        <w:rPr>
          <w:rFonts w:ascii="Times New Roman" w:hAnsi="Times New Roman"/>
          <w:szCs w:val="26"/>
        </w:rPr>
        <w:t>onverse, as the Scottish Enlightenment philosopher David Hume said</w:t>
      </w:r>
      <w:r w:rsidRPr="00CD28B7">
        <w:rPr>
          <w:rFonts w:ascii="Times New Roman" w:hAnsi="Times New Roman"/>
          <w:szCs w:val="26"/>
        </w:rPr>
        <w:t>, is that</w:t>
      </w:r>
      <w:r w:rsidR="001A2898" w:rsidRPr="00CD28B7">
        <w:rPr>
          <w:rFonts w:ascii="Times New Roman" w:hAnsi="Times New Roman"/>
          <w:szCs w:val="26"/>
        </w:rPr>
        <w:t>:</w:t>
      </w:r>
    </w:p>
    <w:p w14:paraId="029C02D0" w14:textId="77777777" w:rsidR="001A2898" w:rsidRPr="00CD28B7" w:rsidRDefault="001A2898" w:rsidP="000A75FA">
      <w:pPr>
        <w:pStyle w:val="Quote1"/>
        <w:spacing w:before="0" w:after="120" w:line="360" w:lineRule="auto"/>
        <w:ind w:left="720"/>
        <w:rPr>
          <w:rFonts w:ascii="Times New Roman" w:hAnsi="Times New Roman"/>
          <w:sz w:val="24"/>
          <w:szCs w:val="26"/>
        </w:rPr>
      </w:pPr>
      <w:r w:rsidRPr="00CD28B7">
        <w:rPr>
          <w:rFonts w:ascii="Times New Roman" w:hAnsi="Times New Roman"/>
          <w:sz w:val="24"/>
          <w:szCs w:val="26"/>
        </w:rPr>
        <w:t>“</w:t>
      </w:r>
      <w:r w:rsidRPr="00CD28B7">
        <w:rPr>
          <w:rFonts w:ascii="Times New Roman" w:hAnsi="Times New Roman"/>
          <w:i/>
          <w:sz w:val="24"/>
          <w:szCs w:val="26"/>
        </w:rPr>
        <w:t>When men are most sure and arrogant, they are most commonly mistaken …</w:t>
      </w:r>
      <w:r w:rsidRPr="00CD28B7">
        <w:rPr>
          <w:rFonts w:ascii="Times New Roman" w:hAnsi="Times New Roman"/>
          <w:sz w:val="24"/>
          <w:szCs w:val="26"/>
        </w:rPr>
        <w:t>”</w:t>
      </w:r>
    </w:p>
    <w:p w14:paraId="5E6A9DD2" w14:textId="261C4F85" w:rsidR="0024010B" w:rsidRPr="00CD28B7" w:rsidRDefault="001A2898" w:rsidP="000A75FA">
      <w:pPr>
        <w:pStyle w:val="Normal-Indent"/>
        <w:spacing w:after="120" w:line="360" w:lineRule="auto"/>
        <w:ind w:left="0"/>
        <w:rPr>
          <w:rFonts w:ascii="Times New Roman" w:hAnsi="Times New Roman"/>
          <w:szCs w:val="26"/>
        </w:rPr>
      </w:pPr>
      <w:r w:rsidRPr="00CD28B7">
        <w:rPr>
          <w:rFonts w:ascii="Times New Roman" w:hAnsi="Times New Roman"/>
          <w:szCs w:val="26"/>
        </w:rPr>
        <w:t>My experience as a judge has highlighted the impor</w:t>
      </w:r>
      <w:r w:rsidR="00A43251">
        <w:rPr>
          <w:rFonts w:ascii="Times New Roman" w:hAnsi="Times New Roman"/>
          <w:szCs w:val="26"/>
        </w:rPr>
        <w:t>tance of embracing uncertainty.</w:t>
      </w:r>
      <w:r w:rsidRPr="00CD28B7">
        <w:rPr>
          <w:rFonts w:ascii="Times New Roman" w:hAnsi="Times New Roman"/>
          <w:szCs w:val="26"/>
        </w:rPr>
        <w:t xml:space="preserve"> </w:t>
      </w:r>
      <w:r w:rsidR="0024010B" w:rsidRPr="00CD28B7">
        <w:rPr>
          <w:rFonts w:ascii="Times New Roman" w:hAnsi="Times New Roman"/>
          <w:szCs w:val="26"/>
        </w:rPr>
        <w:t>T</w:t>
      </w:r>
      <w:r w:rsidRPr="00CD28B7">
        <w:rPr>
          <w:rFonts w:ascii="Times New Roman" w:hAnsi="Times New Roman"/>
          <w:szCs w:val="26"/>
        </w:rPr>
        <w:t>he professional responsibility o</w:t>
      </w:r>
      <w:r w:rsidR="0024010B" w:rsidRPr="00CD28B7">
        <w:rPr>
          <w:rFonts w:ascii="Times New Roman" w:hAnsi="Times New Roman"/>
          <w:szCs w:val="26"/>
        </w:rPr>
        <w:t xml:space="preserve">f a lawyer, and of a judge, is </w:t>
      </w:r>
      <w:r w:rsidRPr="00CD28B7">
        <w:rPr>
          <w:rFonts w:ascii="Times New Roman" w:hAnsi="Times New Roman"/>
          <w:szCs w:val="26"/>
        </w:rPr>
        <w:t>o</w:t>
      </w:r>
      <w:r w:rsidR="0024010B" w:rsidRPr="00CD28B7">
        <w:rPr>
          <w:rFonts w:ascii="Times New Roman" w:hAnsi="Times New Roman"/>
          <w:szCs w:val="26"/>
        </w:rPr>
        <w:t>f course to</w:t>
      </w:r>
      <w:r w:rsidRPr="00CD28B7">
        <w:rPr>
          <w:rFonts w:ascii="Times New Roman" w:hAnsi="Times New Roman"/>
          <w:szCs w:val="26"/>
        </w:rPr>
        <w:t xml:space="preserve"> provide ans</w:t>
      </w:r>
      <w:r w:rsidR="00A43251">
        <w:rPr>
          <w:rFonts w:ascii="Times New Roman" w:hAnsi="Times New Roman"/>
          <w:szCs w:val="26"/>
        </w:rPr>
        <w:t>wers.</w:t>
      </w:r>
      <w:r w:rsidRPr="00CD28B7">
        <w:rPr>
          <w:rFonts w:ascii="Times New Roman" w:hAnsi="Times New Roman"/>
          <w:szCs w:val="26"/>
        </w:rPr>
        <w:t xml:space="preserve"> </w:t>
      </w:r>
      <w:r w:rsidR="0024010B" w:rsidRPr="00CD28B7">
        <w:rPr>
          <w:rFonts w:ascii="Times New Roman" w:hAnsi="Times New Roman"/>
          <w:szCs w:val="26"/>
        </w:rPr>
        <w:t xml:space="preserve">But </w:t>
      </w:r>
      <w:r w:rsidRPr="00CD28B7">
        <w:rPr>
          <w:rFonts w:ascii="Times New Roman" w:hAnsi="Times New Roman"/>
          <w:szCs w:val="26"/>
        </w:rPr>
        <w:t>I have discovered</w:t>
      </w:r>
      <w:r w:rsidR="0024010B" w:rsidRPr="00CD28B7">
        <w:rPr>
          <w:rFonts w:ascii="Times New Roman" w:hAnsi="Times New Roman"/>
          <w:szCs w:val="26"/>
        </w:rPr>
        <w:t xml:space="preserve"> </w:t>
      </w:r>
      <w:r w:rsidRPr="00CD28B7">
        <w:rPr>
          <w:rFonts w:ascii="Times New Roman" w:hAnsi="Times New Roman"/>
          <w:szCs w:val="26"/>
        </w:rPr>
        <w:t>that the most productive place to</w:t>
      </w:r>
      <w:r w:rsidR="00A43251">
        <w:rPr>
          <w:rFonts w:ascii="Times New Roman" w:hAnsi="Times New Roman"/>
          <w:szCs w:val="26"/>
        </w:rPr>
        <w:t xml:space="preserve"> start is by asking questions.</w:t>
      </w:r>
    </w:p>
    <w:p w14:paraId="34385002" w14:textId="2394E8D1" w:rsidR="001A2898" w:rsidRPr="00CD28B7" w:rsidRDefault="001A2898" w:rsidP="000A75FA">
      <w:pPr>
        <w:pStyle w:val="Normal-Indent"/>
        <w:spacing w:after="120" w:line="360" w:lineRule="auto"/>
        <w:ind w:left="0"/>
        <w:rPr>
          <w:rFonts w:ascii="Times New Roman" w:hAnsi="Times New Roman"/>
          <w:b/>
          <w:szCs w:val="26"/>
        </w:rPr>
      </w:pPr>
      <w:r w:rsidRPr="00CD28B7">
        <w:rPr>
          <w:rFonts w:ascii="Times New Roman" w:hAnsi="Times New Roman"/>
          <w:szCs w:val="26"/>
        </w:rPr>
        <w:t>The judge needs to be curious, sceptical of conventional wisdom, and open ab</w:t>
      </w:r>
      <w:r w:rsidR="00A43251">
        <w:rPr>
          <w:rFonts w:ascii="Times New Roman" w:hAnsi="Times New Roman"/>
          <w:szCs w:val="26"/>
        </w:rPr>
        <w:t xml:space="preserve">out what he/she does not know. </w:t>
      </w:r>
      <w:r w:rsidRPr="00CD28B7">
        <w:rPr>
          <w:rFonts w:ascii="Times New Roman" w:hAnsi="Times New Roman"/>
          <w:szCs w:val="26"/>
        </w:rPr>
        <w:t>Often enough, a question directed at the rationale underpinning a particular proposition or opinion will reveal assumptions which need t</w:t>
      </w:r>
      <w:r w:rsidR="00A43251">
        <w:rPr>
          <w:rFonts w:ascii="Times New Roman" w:hAnsi="Times New Roman"/>
          <w:szCs w:val="26"/>
        </w:rPr>
        <w:t xml:space="preserve">o be examined and challenged. </w:t>
      </w:r>
      <w:r w:rsidRPr="00CD28B7">
        <w:rPr>
          <w:rFonts w:ascii="Times New Roman" w:hAnsi="Times New Roman"/>
          <w:szCs w:val="26"/>
        </w:rPr>
        <w:t>I find myself asking counsel, “Why would that be so?”  Understood in this way, the experience of being a judge means learning how much you st</w:t>
      </w:r>
      <w:r w:rsidR="00A43251">
        <w:rPr>
          <w:rFonts w:ascii="Times New Roman" w:hAnsi="Times New Roman"/>
          <w:szCs w:val="26"/>
        </w:rPr>
        <w:t>ill have to learn.</w:t>
      </w:r>
    </w:p>
    <w:p w14:paraId="6F6228ED" w14:textId="306F8E13" w:rsidR="001A2898" w:rsidRPr="00CD28B7" w:rsidRDefault="001A2898" w:rsidP="000A75FA">
      <w:pPr>
        <w:pStyle w:val="Normal-Indent"/>
        <w:spacing w:after="120" w:line="360" w:lineRule="auto"/>
        <w:ind w:left="0"/>
        <w:rPr>
          <w:rFonts w:ascii="Times New Roman" w:hAnsi="Times New Roman"/>
          <w:szCs w:val="26"/>
        </w:rPr>
      </w:pPr>
      <w:r w:rsidRPr="00CD28B7">
        <w:rPr>
          <w:rFonts w:ascii="Times New Roman" w:hAnsi="Times New Roman"/>
          <w:szCs w:val="26"/>
        </w:rPr>
        <w:t>The scientific method epitomises how we reason</w:t>
      </w:r>
      <w:r w:rsidR="00A43251">
        <w:rPr>
          <w:rFonts w:ascii="Times New Roman" w:hAnsi="Times New Roman"/>
          <w:szCs w:val="26"/>
        </w:rPr>
        <w:t xml:space="preserve"> from uncertainty to knowledge.</w:t>
      </w:r>
      <w:r w:rsidRPr="00CD28B7">
        <w:rPr>
          <w:rFonts w:ascii="Times New Roman" w:hAnsi="Times New Roman"/>
          <w:szCs w:val="26"/>
        </w:rPr>
        <w:t xml:space="preserve"> Investigating the unknown or the uncertain, the scientist gathers empirical evidence from which a</w:t>
      </w:r>
      <w:r w:rsidR="00A43251">
        <w:rPr>
          <w:rFonts w:ascii="Times New Roman" w:hAnsi="Times New Roman"/>
          <w:szCs w:val="26"/>
        </w:rPr>
        <w:t xml:space="preserve"> hypothesis is then developed. </w:t>
      </w:r>
      <w:r w:rsidRPr="00CD28B7">
        <w:rPr>
          <w:rFonts w:ascii="Times New Roman" w:hAnsi="Times New Roman"/>
          <w:szCs w:val="26"/>
        </w:rPr>
        <w:t xml:space="preserve">The hypothesis is then tested and retested until either it is falsified </w:t>
      </w:r>
      <w:r w:rsidR="00A43251">
        <w:rPr>
          <w:rFonts w:ascii="Times New Roman" w:hAnsi="Times New Roman"/>
          <w:szCs w:val="26"/>
        </w:rPr>
        <w:t>or its accuracy is established.</w:t>
      </w:r>
      <w:r w:rsidRPr="00CD28B7">
        <w:rPr>
          <w:rFonts w:ascii="Times New Roman" w:hAnsi="Times New Roman"/>
          <w:szCs w:val="26"/>
        </w:rPr>
        <w:t xml:space="preserve"> Only then can the conclusion be stated with confidence.</w:t>
      </w:r>
    </w:p>
    <w:p w14:paraId="23C901E3" w14:textId="751C5BC6" w:rsidR="001A2898" w:rsidRPr="00CD28B7" w:rsidRDefault="001A2898" w:rsidP="000A75FA">
      <w:pPr>
        <w:pStyle w:val="Normal-Indent"/>
        <w:spacing w:after="120" w:line="360" w:lineRule="auto"/>
        <w:ind w:left="0"/>
        <w:rPr>
          <w:rFonts w:ascii="Times New Roman" w:hAnsi="Times New Roman"/>
          <w:szCs w:val="26"/>
        </w:rPr>
      </w:pPr>
      <w:r w:rsidRPr="00CD28B7">
        <w:rPr>
          <w:rFonts w:ascii="Times New Roman" w:hAnsi="Times New Roman"/>
          <w:szCs w:val="26"/>
        </w:rPr>
        <w:t>There is, of course, a distinction between healthy doubt and u</w:t>
      </w:r>
      <w:r w:rsidR="00A43251">
        <w:rPr>
          <w:rFonts w:ascii="Times New Roman" w:hAnsi="Times New Roman"/>
          <w:szCs w:val="26"/>
        </w:rPr>
        <w:t>nhealthy anxiety or indecision.</w:t>
      </w:r>
      <w:r w:rsidRPr="00CD28B7">
        <w:rPr>
          <w:rFonts w:ascii="Times New Roman" w:hAnsi="Times New Roman"/>
          <w:szCs w:val="26"/>
        </w:rPr>
        <w:t xml:space="preserve"> Learning from uncertainty does not mean being unable to make a </w:t>
      </w:r>
      <w:r w:rsidR="00A43251">
        <w:rPr>
          <w:rFonts w:ascii="Times New Roman" w:hAnsi="Times New Roman"/>
          <w:szCs w:val="26"/>
        </w:rPr>
        <w:t>decision or reach a conclusion.</w:t>
      </w:r>
      <w:r w:rsidRPr="00CD28B7">
        <w:rPr>
          <w:rFonts w:ascii="Times New Roman" w:hAnsi="Times New Roman"/>
          <w:szCs w:val="26"/>
        </w:rPr>
        <w:t xml:space="preserve"> On the contrary, a healthy personal and professional life requires that you be able to make decisions – on the basis of fact and reason – and carry them through.</w:t>
      </w:r>
    </w:p>
    <w:p w14:paraId="715A299E" w14:textId="44CBC5CC" w:rsidR="001A2898" w:rsidRPr="00CD28B7" w:rsidRDefault="001A2898" w:rsidP="000A75FA">
      <w:pPr>
        <w:pStyle w:val="Normal-Indent"/>
        <w:spacing w:after="120" w:line="360" w:lineRule="auto"/>
        <w:ind w:left="0"/>
        <w:rPr>
          <w:rFonts w:ascii="Times New Roman" w:hAnsi="Times New Roman"/>
          <w:szCs w:val="26"/>
        </w:rPr>
      </w:pPr>
      <w:r w:rsidRPr="00CD28B7">
        <w:rPr>
          <w:rFonts w:ascii="Times New Roman" w:hAnsi="Times New Roman"/>
          <w:szCs w:val="26"/>
        </w:rPr>
        <w:t xml:space="preserve">Nor does it mean questioning </w:t>
      </w:r>
      <w:r w:rsidR="00A43251">
        <w:rPr>
          <w:rFonts w:ascii="Times New Roman" w:hAnsi="Times New Roman"/>
          <w:szCs w:val="26"/>
        </w:rPr>
        <w:t xml:space="preserve">the expert opinions of others. </w:t>
      </w:r>
      <w:r w:rsidRPr="00CD28B7">
        <w:rPr>
          <w:rFonts w:ascii="Times New Roman" w:hAnsi="Times New Roman"/>
          <w:szCs w:val="26"/>
        </w:rPr>
        <w:t>For a non-scientist to doubt an evidence-based scientific conclusion – whether on the effects of cigarette smoking or on the causes of climate change – is the height of presumption, the very opposite of the intellectual openness I am advocating.</w:t>
      </w:r>
    </w:p>
    <w:p w14:paraId="2AFB8F88" w14:textId="42194FCE" w:rsidR="001A2898" w:rsidRPr="00CD28B7" w:rsidRDefault="001A2898" w:rsidP="000A75FA">
      <w:pPr>
        <w:spacing w:after="120" w:line="360" w:lineRule="auto"/>
        <w:jc w:val="both"/>
        <w:rPr>
          <w:rFonts w:ascii="Times New Roman" w:hAnsi="Times New Roman"/>
          <w:b w:val="0"/>
          <w:szCs w:val="26"/>
          <w:u w:val="none"/>
        </w:rPr>
      </w:pPr>
      <w:r w:rsidRPr="00CD28B7">
        <w:rPr>
          <w:rFonts w:ascii="Times New Roman" w:hAnsi="Times New Roman"/>
          <w:b w:val="0"/>
          <w:szCs w:val="26"/>
          <w:u w:val="none"/>
        </w:rPr>
        <w:t xml:space="preserve">My point </w:t>
      </w:r>
      <w:r w:rsidR="00EB27ED" w:rsidRPr="00CD28B7">
        <w:rPr>
          <w:rFonts w:ascii="Times New Roman" w:hAnsi="Times New Roman"/>
          <w:b w:val="0"/>
          <w:szCs w:val="26"/>
          <w:u w:val="none"/>
        </w:rPr>
        <w:t xml:space="preserve">is </w:t>
      </w:r>
      <w:r w:rsidR="00A43251">
        <w:rPr>
          <w:rFonts w:ascii="Times New Roman" w:hAnsi="Times New Roman"/>
          <w:b w:val="0"/>
          <w:szCs w:val="26"/>
          <w:u w:val="none"/>
        </w:rPr>
        <w:t>essentially this:</w:t>
      </w:r>
      <w:r w:rsidRPr="00CD28B7">
        <w:rPr>
          <w:rFonts w:ascii="Times New Roman" w:hAnsi="Times New Roman"/>
          <w:b w:val="0"/>
          <w:szCs w:val="26"/>
          <w:u w:val="none"/>
        </w:rPr>
        <w:t xml:space="preserve"> be conscious of your limita</w:t>
      </w:r>
      <w:r w:rsidR="00A43251">
        <w:rPr>
          <w:rFonts w:ascii="Times New Roman" w:hAnsi="Times New Roman"/>
          <w:b w:val="0"/>
          <w:szCs w:val="26"/>
          <w:u w:val="none"/>
        </w:rPr>
        <w:t>tions, be open to self-doubt.</w:t>
      </w:r>
      <w:r w:rsidR="0024010B" w:rsidRPr="00CD28B7">
        <w:rPr>
          <w:rFonts w:ascii="Times New Roman" w:hAnsi="Times New Roman"/>
          <w:b w:val="0"/>
          <w:szCs w:val="26"/>
          <w:u w:val="none"/>
        </w:rPr>
        <w:t xml:space="preserve"> </w:t>
      </w:r>
      <w:r w:rsidR="00A43251">
        <w:rPr>
          <w:rFonts w:ascii="Times New Roman" w:hAnsi="Times New Roman"/>
          <w:b w:val="0"/>
          <w:szCs w:val="26"/>
          <w:u w:val="none"/>
        </w:rPr>
        <w:t xml:space="preserve"> </w:t>
      </w:r>
      <w:r w:rsidR="0024010B" w:rsidRPr="00CD28B7">
        <w:rPr>
          <w:rFonts w:ascii="Times New Roman" w:hAnsi="Times New Roman"/>
          <w:b w:val="0"/>
          <w:szCs w:val="26"/>
          <w:u w:val="none"/>
        </w:rPr>
        <w:t xml:space="preserve">Acknowledging </w:t>
      </w:r>
      <w:r w:rsidRPr="00CD28B7">
        <w:rPr>
          <w:rFonts w:ascii="Times New Roman" w:hAnsi="Times New Roman"/>
          <w:b w:val="0"/>
          <w:szCs w:val="26"/>
          <w:u w:val="none"/>
        </w:rPr>
        <w:t xml:space="preserve">the possibility that you might be wrong promotes reflection, and enquiry, </w:t>
      </w:r>
      <w:r w:rsidR="00A43251">
        <w:rPr>
          <w:rFonts w:ascii="Times New Roman" w:hAnsi="Times New Roman"/>
          <w:b w:val="0"/>
          <w:szCs w:val="26"/>
          <w:u w:val="none"/>
        </w:rPr>
        <w:t xml:space="preserve">and debate with others. </w:t>
      </w:r>
      <w:r w:rsidR="002065E4" w:rsidRPr="00CD28B7">
        <w:rPr>
          <w:rFonts w:ascii="Times New Roman" w:hAnsi="Times New Roman"/>
          <w:b w:val="0"/>
          <w:szCs w:val="26"/>
          <w:u w:val="none"/>
        </w:rPr>
        <w:t>And that</w:t>
      </w:r>
      <w:r w:rsidRPr="00CD28B7">
        <w:rPr>
          <w:rFonts w:ascii="Times New Roman" w:hAnsi="Times New Roman"/>
          <w:b w:val="0"/>
          <w:szCs w:val="26"/>
          <w:u w:val="none"/>
        </w:rPr>
        <w:t xml:space="preserve"> process of self-questioning makes it more likely that the conclusion you finally reach will be correct</w:t>
      </w:r>
      <w:r w:rsidR="002065E4" w:rsidRPr="00CD28B7">
        <w:rPr>
          <w:rFonts w:ascii="Times New Roman" w:hAnsi="Times New Roman"/>
          <w:b w:val="0"/>
          <w:szCs w:val="26"/>
          <w:u w:val="none"/>
        </w:rPr>
        <w:t>, more likely that you can with confidence give a firm, clear answer to the question</w:t>
      </w:r>
      <w:r w:rsidR="0024010B" w:rsidRPr="00CD28B7">
        <w:rPr>
          <w:rFonts w:ascii="Times New Roman" w:hAnsi="Times New Roman"/>
          <w:b w:val="0"/>
          <w:szCs w:val="26"/>
          <w:u w:val="none"/>
        </w:rPr>
        <w:t xml:space="preserve"> you are addressing</w:t>
      </w:r>
      <w:r w:rsidR="002065E4" w:rsidRPr="00CD28B7">
        <w:rPr>
          <w:rFonts w:ascii="Times New Roman" w:hAnsi="Times New Roman"/>
          <w:b w:val="0"/>
          <w:szCs w:val="26"/>
          <w:u w:val="none"/>
        </w:rPr>
        <w:t>.</w:t>
      </w:r>
      <w:r w:rsidR="00331138" w:rsidRPr="00CD28B7">
        <w:rPr>
          <w:rFonts w:ascii="Times New Roman" w:hAnsi="Times New Roman"/>
          <w:b w:val="0"/>
          <w:szCs w:val="26"/>
          <w:u w:val="none"/>
        </w:rPr>
        <w:t xml:space="preserve"> </w:t>
      </w:r>
    </w:p>
    <w:p w14:paraId="6B95A1DA" w14:textId="476D4603" w:rsidR="001B56FE" w:rsidRPr="00CD28B7" w:rsidRDefault="00245448" w:rsidP="000A75FA">
      <w:pPr>
        <w:spacing w:after="120" w:line="360" w:lineRule="auto"/>
        <w:jc w:val="both"/>
        <w:rPr>
          <w:rFonts w:ascii="Times New Roman" w:hAnsi="Times New Roman" w:cs="Times New Roman"/>
          <w:b w:val="0"/>
          <w:szCs w:val="26"/>
          <w:u w:val="none"/>
        </w:rPr>
      </w:pPr>
      <w:r w:rsidRPr="00CD28B7">
        <w:rPr>
          <w:rFonts w:ascii="Times New Roman" w:hAnsi="Times New Roman" w:cs="Times New Roman"/>
          <w:b w:val="0"/>
          <w:szCs w:val="26"/>
          <w:u w:val="none"/>
        </w:rPr>
        <w:lastRenderedPageBreak/>
        <w:t>To conclude, we feel certain that the maintenance of the rule of law is essential for the</w:t>
      </w:r>
      <w:r w:rsidR="006F7BC1">
        <w:rPr>
          <w:rFonts w:ascii="Times New Roman" w:hAnsi="Times New Roman" w:cs="Times New Roman"/>
          <w:b w:val="0"/>
          <w:szCs w:val="26"/>
          <w:u w:val="none"/>
        </w:rPr>
        <w:t xml:space="preserve"> kind of society we believe in.</w:t>
      </w:r>
      <w:bookmarkStart w:id="0" w:name="_GoBack"/>
      <w:bookmarkEnd w:id="0"/>
      <w:r w:rsidRPr="00CD28B7">
        <w:rPr>
          <w:rFonts w:ascii="Times New Roman" w:hAnsi="Times New Roman" w:cs="Times New Roman"/>
          <w:b w:val="0"/>
          <w:szCs w:val="26"/>
          <w:u w:val="none"/>
        </w:rPr>
        <w:t xml:space="preserve"> </w:t>
      </w:r>
      <w:r w:rsidR="0024010B" w:rsidRPr="00CD28B7">
        <w:rPr>
          <w:rFonts w:ascii="Times New Roman" w:hAnsi="Times New Roman" w:cs="Times New Roman"/>
          <w:b w:val="0"/>
          <w:szCs w:val="26"/>
          <w:u w:val="none"/>
        </w:rPr>
        <w:t>U</w:t>
      </w:r>
      <w:r w:rsidR="0036436A" w:rsidRPr="00CD28B7">
        <w:rPr>
          <w:rFonts w:ascii="Times New Roman" w:hAnsi="Times New Roman" w:cs="Times New Roman"/>
          <w:b w:val="0"/>
          <w:szCs w:val="26"/>
          <w:u w:val="none"/>
        </w:rPr>
        <w:t>ncertainty</w:t>
      </w:r>
      <w:r w:rsidRPr="00CD28B7">
        <w:rPr>
          <w:rFonts w:ascii="Times New Roman" w:hAnsi="Times New Roman" w:cs="Times New Roman"/>
          <w:b w:val="0"/>
          <w:szCs w:val="26"/>
          <w:u w:val="none"/>
        </w:rPr>
        <w:t xml:space="preserve"> ab</w:t>
      </w:r>
      <w:r w:rsidR="0024010B" w:rsidRPr="00CD28B7">
        <w:rPr>
          <w:rFonts w:ascii="Times New Roman" w:hAnsi="Times New Roman" w:cs="Times New Roman"/>
          <w:b w:val="0"/>
          <w:szCs w:val="26"/>
          <w:u w:val="none"/>
        </w:rPr>
        <w:t>out how best we can contribute provide</w:t>
      </w:r>
      <w:r w:rsidRPr="00CD28B7">
        <w:rPr>
          <w:rFonts w:ascii="Times New Roman" w:hAnsi="Times New Roman" w:cs="Times New Roman"/>
          <w:b w:val="0"/>
          <w:szCs w:val="26"/>
          <w:u w:val="none"/>
        </w:rPr>
        <w:t>s an opportunity for reflection, and discussion, and</w:t>
      </w:r>
      <w:r w:rsidR="0024010B" w:rsidRPr="00CD28B7">
        <w:rPr>
          <w:rFonts w:ascii="Times New Roman" w:hAnsi="Times New Roman" w:cs="Times New Roman"/>
          <w:b w:val="0"/>
          <w:szCs w:val="26"/>
          <w:u w:val="none"/>
        </w:rPr>
        <w:t xml:space="preserve"> leads</w:t>
      </w:r>
      <w:r w:rsidRPr="00CD28B7">
        <w:rPr>
          <w:rFonts w:ascii="Times New Roman" w:hAnsi="Times New Roman" w:cs="Times New Roman"/>
          <w:b w:val="0"/>
          <w:szCs w:val="26"/>
          <w:u w:val="none"/>
        </w:rPr>
        <w:t xml:space="preserve"> ultimately </w:t>
      </w:r>
      <w:r w:rsidR="0024010B" w:rsidRPr="00CD28B7">
        <w:rPr>
          <w:rFonts w:ascii="Times New Roman" w:hAnsi="Times New Roman" w:cs="Times New Roman"/>
          <w:b w:val="0"/>
          <w:szCs w:val="26"/>
          <w:u w:val="none"/>
        </w:rPr>
        <w:t xml:space="preserve">to </w:t>
      </w:r>
      <w:r w:rsidRPr="00CD28B7">
        <w:rPr>
          <w:rFonts w:ascii="Times New Roman" w:hAnsi="Times New Roman" w:cs="Times New Roman"/>
          <w:b w:val="0"/>
          <w:szCs w:val="26"/>
          <w:u w:val="none"/>
        </w:rPr>
        <w:t>the identification of the way forward.</w:t>
      </w:r>
    </w:p>
    <w:sectPr w:rsidR="001B56FE" w:rsidRPr="00CD28B7" w:rsidSect="00317939">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F4FDB" w14:textId="77777777" w:rsidR="00744AE5" w:rsidRDefault="00744AE5" w:rsidP="00744AE5">
      <w:pPr>
        <w:spacing w:after="0" w:line="240" w:lineRule="auto"/>
      </w:pPr>
      <w:r>
        <w:separator/>
      </w:r>
    </w:p>
  </w:endnote>
  <w:endnote w:type="continuationSeparator" w:id="0">
    <w:p w14:paraId="110C76A3" w14:textId="77777777" w:rsidR="00744AE5" w:rsidRDefault="00744AE5" w:rsidP="0074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48791" w14:textId="77777777" w:rsidR="00744AE5" w:rsidRPr="004D59A0" w:rsidRDefault="00744AE5" w:rsidP="00744AE5">
      <w:pPr>
        <w:spacing w:after="0" w:line="240" w:lineRule="auto"/>
        <w:rPr>
          <w:u w:val="none"/>
        </w:rPr>
      </w:pPr>
      <w:r w:rsidRPr="004D59A0">
        <w:rPr>
          <w:u w:val="none"/>
        </w:rPr>
        <w:separator/>
      </w:r>
    </w:p>
  </w:footnote>
  <w:footnote w:type="continuationSeparator" w:id="0">
    <w:p w14:paraId="7AA09C28" w14:textId="77777777" w:rsidR="00744AE5" w:rsidRDefault="00744AE5" w:rsidP="00744AE5">
      <w:pPr>
        <w:spacing w:after="0" w:line="240" w:lineRule="auto"/>
      </w:pPr>
      <w:r>
        <w:continuationSeparator/>
      </w:r>
    </w:p>
  </w:footnote>
  <w:footnote w:id="1">
    <w:p w14:paraId="27E4D279" w14:textId="487BDD07" w:rsidR="0095460F" w:rsidRPr="0095460F" w:rsidRDefault="0095460F">
      <w:pPr>
        <w:pStyle w:val="FootnoteText"/>
        <w:rPr>
          <w:rFonts w:ascii="Times New Roman" w:hAnsi="Times New Roman" w:cs="Times New Roman"/>
          <w:b w:val="0"/>
          <w:u w:val="none"/>
        </w:rPr>
      </w:pPr>
      <w:r w:rsidRPr="0095460F">
        <w:rPr>
          <w:rStyle w:val="FootnoteReference"/>
          <w:b w:val="0"/>
          <w:u w:val="none"/>
        </w:rPr>
        <w:footnoteRef/>
      </w:r>
      <w:r w:rsidRPr="0095460F">
        <w:rPr>
          <w:b w:val="0"/>
          <w:u w:val="none"/>
        </w:rPr>
        <w:t xml:space="preserve"> </w:t>
      </w:r>
      <w:r>
        <w:rPr>
          <w:b w:val="0"/>
          <w:u w:val="none"/>
        </w:rPr>
        <w:tab/>
      </w:r>
      <w:r w:rsidR="00FA7D7D">
        <w:rPr>
          <w:rFonts w:ascii="Times New Roman" w:hAnsi="Times New Roman" w:cs="Times New Roman"/>
          <w:b w:val="0"/>
          <w:u w:val="none"/>
        </w:rPr>
        <w:t>See, eg</w:t>
      </w:r>
      <w:r>
        <w:rPr>
          <w:rFonts w:ascii="Times New Roman" w:hAnsi="Times New Roman" w:cs="Times New Roman"/>
          <w:b w:val="0"/>
          <w:u w:val="none"/>
        </w:rPr>
        <w:t xml:space="preserve">, T Bingham, </w:t>
      </w:r>
      <w:r>
        <w:rPr>
          <w:rFonts w:ascii="Times New Roman" w:hAnsi="Times New Roman" w:cs="Times New Roman"/>
          <w:b w:val="0"/>
          <w:i/>
          <w:u w:val="none"/>
        </w:rPr>
        <w:t>The Rule of Law</w:t>
      </w:r>
      <w:r>
        <w:rPr>
          <w:rFonts w:ascii="Times New Roman" w:hAnsi="Times New Roman" w:cs="Times New Roman"/>
          <w:b w:val="0"/>
          <w:u w:val="none"/>
        </w:rPr>
        <w:t xml:space="preserve"> (2010).</w:t>
      </w:r>
    </w:p>
  </w:footnote>
  <w:footnote w:id="2">
    <w:p w14:paraId="34A834FB" w14:textId="6AA2A433" w:rsidR="0095460F" w:rsidRPr="002065E4" w:rsidRDefault="0095460F" w:rsidP="002065E4">
      <w:pPr>
        <w:pStyle w:val="FootnoteText"/>
        <w:ind w:left="720" w:hanging="720"/>
        <w:rPr>
          <w:rFonts w:ascii="Times New Roman" w:hAnsi="Times New Roman" w:cs="Times New Roman"/>
          <w:b w:val="0"/>
          <w:u w:val="none"/>
        </w:rPr>
      </w:pPr>
      <w:r w:rsidRPr="003D59A2">
        <w:rPr>
          <w:rStyle w:val="FootnoteReference"/>
          <w:rFonts w:ascii="Times New Roman" w:hAnsi="Times New Roman" w:cs="Times New Roman"/>
          <w:b w:val="0"/>
          <w:u w:val="none"/>
        </w:rPr>
        <w:footnoteRef/>
      </w:r>
      <w:r w:rsidRPr="003D59A2">
        <w:rPr>
          <w:rFonts w:ascii="Times New Roman" w:hAnsi="Times New Roman" w:cs="Times New Roman"/>
          <w:b w:val="0"/>
          <w:u w:val="none"/>
        </w:rPr>
        <w:t xml:space="preserve"> </w:t>
      </w:r>
      <w:r w:rsidR="003D59A2">
        <w:rPr>
          <w:rFonts w:ascii="Times New Roman" w:hAnsi="Times New Roman" w:cs="Times New Roman"/>
          <w:b w:val="0"/>
          <w:u w:val="none"/>
        </w:rPr>
        <w:tab/>
      </w:r>
      <w:r w:rsidR="003D59A2" w:rsidRPr="002065E4">
        <w:rPr>
          <w:rFonts w:ascii="Times New Roman" w:hAnsi="Times New Roman" w:cs="Times New Roman"/>
          <w:b w:val="0"/>
          <w:i/>
          <w:u w:val="none"/>
        </w:rPr>
        <w:t>R (on the application of UNISON</w:t>
      </w:r>
      <w:r w:rsidR="003D59A2" w:rsidRPr="002065E4">
        <w:rPr>
          <w:rFonts w:ascii="Times New Roman" w:hAnsi="Times New Roman" w:cs="Times New Roman"/>
          <w:b w:val="0"/>
          <w:u w:val="none"/>
        </w:rPr>
        <w:t xml:space="preserve">) </w:t>
      </w:r>
      <w:r w:rsidR="003D59A2" w:rsidRPr="002065E4">
        <w:rPr>
          <w:rFonts w:ascii="Times New Roman" w:hAnsi="Times New Roman" w:cs="Times New Roman"/>
          <w:b w:val="0"/>
          <w:i/>
          <w:u w:val="none"/>
        </w:rPr>
        <w:t>v Lord Chancellor</w:t>
      </w:r>
      <w:r w:rsidR="003D59A2" w:rsidRPr="002065E4">
        <w:rPr>
          <w:rFonts w:ascii="Times New Roman" w:hAnsi="Times New Roman" w:cs="Times New Roman"/>
          <w:b w:val="0"/>
          <w:u w:val="none"/>
        </w:rPr>
        <w:t xml:space="preserve"> [2017] UKSC 51, [68].</w:t>
      </w:r>
    </w:p>
  </w:footnote>
  <w:footnote w:id="3">
    <w:p w14:paraId="29A36286" w14:textId="369F2DD1" w:rsidR="00744AE5" w:rsidRPr="002065E4" w:rsidRDefault="00744AE5" w:rsidP="002065E4">
      <w:pPr>
        <w:pStyle w:val="FootnoteText"/>
        <w:ind w:left="720" w:hanging="720"/>
        <w:rPr>
          <w:rFonts w:ascii="Times New Roman" w:hAnsi="Times New Roman" w:cs="Times New Roman"/>
          <w:b w:val="0"/>
          <w:u w:val="none"/>
        </w:rPr>
      </w:pPr>
      <w:r w:rsidRPr="002065E4">
        <w:rPr>
          <w:rStyle w:val="FootnoteReference"/>
          <w:rFonts w:ascii="Times New Roman" w:hAnsi="Times New Roman" w:cs="Times New Roman"/>
          <w:b w:val="0"/>
          <w:u w:val="none"/>
        </w:rPr>
        <w:footnoteRef/>
      </w:r>
      <w:r w:rsidRPr="002065E4">
        <w:rPr>
          <w:rFonts w:ascii="Times New Roman" w:hAnsi="Times New Roman" w:cs="Times New Roman"/>
          <w:b w:val="0"/>
          <w:u w:val="none"/>
        </w:rPr>
        <w:t xml:space="preserve"> </w:t>
      </w:r>
      <w:r w:rsidR="003D59A2" w:rsidRPr="002065E4">
        <w:rPr>
          <w:rFonts w:ascii="Times New Roman" w:hAnsi="Times New Roman" w:cs="Times New Roman"/>
          <w:b w:val="0"/>
          <w:u w:val="none"/>
        </w:rPr>
        <w:tab/>
      </w:r>
      <w:r w:rsidRPr="002065E4">
        <w:rPr>
          <w:rFonts w:ascii="Times New Roman" w:hAnsi="Times New Roman" w:cs="Times New Roman"/>
          <w:b w:val="0"/>
          <w:i/>
          <w:u w:val="none"/>
        </w:rPr>
        <w:t xml:space="preserve">Minister For Families and Children v Certain Children (by their litigation guardian </w:t>
      </w:r>
      <w:r w:rsidR="003E7FD2" w:rsidRPr="002065E4">
        <w:rPr>
          <w:rFonts w:ascii="Times New Roman" w:hAnsi="Times New Roman" w:cs="Times New Roman"/>
          <w:b w:val="0"/>
          <w:i/>
          <w:u w:val="none"/>
        </w:rPr>
        <w:t>Sister Marie Brigid Arthur</w:t>
      </w:r>
      <w:r w:rsidRPr="002065E4">
        <w:rPr>
          <w:rFonts w:ascii="Times New Roman" w:hAnsi="Times New Roman" w:cs="Times New Roman"/>
          <w:b w:val="0"/>
          <w:i/>
          <w:u w:val="none"/>
        </w:rPr>
        <w:t>)</w:t>
      </w:r>
      <w:r w:rsidR="003E7FD2" w:rsidRPr="002065E4">
        <w:rPr>
          <w:rFonts w:ascii="Times New Roman" w:hAnsi="Times New Roman" w:cs="Times New Roman"/>
          <w:b w:val="0"/>
          <w:u w:val="none"/>
        </w:rPr>
        <w:t xml:space="preserve"> (2016) 51 VR 597 [11]–[12].</w:t>
      </w:r>
    </w:p>
  </w:footnote>
  <w:footnote w:id="4">
    <w:p w14:paraId="6832EA45" w14:textId="6AF6DDAF" w:rsidR="00B7248B" w:rsidRPr="002065E4" w:rsidRDefault="00B7248B" w:rsidP="002065E4">
      <w:pPr>
        <w:pStyle w:val="FootnoteText"/>
        <w:ind w:left="720" w:hanging="720"/>
        <w:rPr>
          <w:rFonts w:ascii="Times New Roman" w:hAnsi="Times New Roman" w:cs="Times New Roman"/>
          <w:b w:val="0"/>
          <w:u w:val="none"/>
        </w:rPr>
      </w:pPr>
      <w:r w:rsidRPr="002065E4">
        <w:rPr>
          <w:rStyle w:val="FootnoteReference"/>
          <w:rFonts w:ascii="Times New Roman" w:hAnsi="Times New Roman" w:cs="Times New Roman"/>
          <w:b w:val="0"/>
          <w:u w:val="none"/>
        </w:rPr>
        <w:footnoteRef/>
      </w:r>
      <w:r w:rsidRPr="002065E4">
        <w:rPr>
          <w:rFonts w:ascii="Times New Roman" w:hAnsi="Times New Roman" w:cs="Times New Roman"/>
          <w:b w:val="0"/>
          <w:u w:val="none"/>
        </w:rPr>
        <w:t xml:space="preserve"> </w:t>
      </w:r>
      <w:r w:rsidRPr="002065E4">
        <w:rPr>
          <w:rFonts w:ascii="Times New Roman" w:hAnsi="Times New Roman" w:cs="Times New Roman"/>
          <w:b w:val="0"/>
          <w:u w:val="none"/>
        </w:rPr>
        <w:tab/>
      </w:r>
      <w:r w:rsidRPr="002065E4">
        <w:rPr>
          <w:rFonts w:ascii="Times New Roman" w:hAnsi="Times New Roman" w:cs="Times New Roman"/>
          <w:b w:val="0"/>
          <w:i/>
          <w:u w:val="none"/>
        </w:rPr>
        <w:t>Green v The Queen</w:t>
      </w:r>
      <w:r w:rsidRPr="002065E4">
        <w:rPr>
          <w:rFonts w:ascii="Times New Roman" w:hAnsi="Times New Roman" w:cs="Times New Roman"/>
          <w:b w:val="0"/>
          <w:u w:val="none"/>
        </w:rPr>
        <w:t xml:space="preserve"> (2011) 244 CLR 462, 472 [28].</w:t>
      </w:r>
    </w:p>
  </w:footnote>
  <w:footnote w:id="5">
    <w:p w14:paraId="4B2F95D2" w14:textId="7E82B165" w:rsidR="00D14003" w:rsidRPr="002065E4" w:rsidRDefault="00D14003" w:rsidP="002065E4">
      <w:pPr>
        <w:pStyle w:val="FootnoteText"/>
        <w:ind w:left="720" w:hanging="720"/>
        <w:rPr>
          <w:rFonts w:ascii="Times New Roman" w:hAnsi="Times New Roman" w:cs="Times New Roman"/>
          <w:b w:val="0"/>
          <w:u w:val="none"/>
        </w:rPr>
      </w:pPr>
      <w:r w:rsidRPr="002065E4">
        <w:rPr>
          <w:rStyle w:val="FootnoteReference"/>
          <w:rFonts w:ascii="Times New Roman" w:hAnsi="Times New Roman" w:cs="Times New Roman"/>
          <w:b w:val="0"/>
          <w:u w:val="none"/>
        </w:rPr>
        <w:footnoteRef/>
      </w:r>
      <w:r w:rsidRPr="002065E4">
        <w:rPr>
          <w:rFonts w:ascii="Times New Roman" w:hAnsi="Times New Roman" w:cs="Times New Roman"/>
          <w:b w:val="0"/>
          <w:u w:val="none"/>
        </w:rPr>
        <w:t xml:space="preserve"> </w:t>
      </w:r>
      <w:r w:rsidR="003D59A2" w:rsidRPr="002065E4">
        <w:rPr>
          <w:rFonts w:ascii="Times New Roman" w:hAnsi="Times New Roman" w:cs="Times New Roman"/>
          <w:b w:val="0"/>
          <w:u w:val="none"/>
        </w:rPr>
        <w:tab/>
      </w:r>
      <w:r w:rsidRPr="002065E4">
        <w:rPr>
          <w:rFonts w:ascii="Times New Roman" w:hAnsi="Times New Roman" w:cs="Times New Roman"/>
          <w:b w:val="0"/>
          <w:i/>
          <w:u w:val="none"/>
        </w:rPr>
        <w:t>Haden Engineering</w:t>
      </w:r>
      <w:r w:rsidR="000F25F9" w:rsidRPr="002065E4">
        <w:rPr>
          <w:rFonts w:ascii="Times New Roman" w:hAnsi="Times New Roman" w:cs="Times New Roman"/>
          <w:b w:val="0"/>
          <w:i/>
          <w:u w:val="none"/>
        </w:rPr>
        <w:t xml:space="preserve"> Pty Ltd v McKinnon</w:t>
      </w:r>
      <w:r w:rsidR="000F25F9" w:rsidRPr="002065E4">
        <w:rPr>
          <w:rFonts w:ascii="Times New Roman" w:hAnsi="Times New Roman" w:cs="Times New Roman"/>
          <w:b w:val="0"/>
          <w:u w:val="none"/>
        </w:rPr>
        <w:t xml:space="preserve"> (2010) 31 VR 1, 3 [3].</w:t>
      </w:r>
    </w:p>
  </w:footnote>
  <w:footnote w:id="6">
    <w:p w14:paraId="62378095" w14:textId="55AED9B4" w:rsidR="00B7248B" w:rsidRPr="002065E4" w:rsidRDefault="00B7248B" w:rsidP="002065E4">
      <w:pPr>
        <w:pStyle w:val="FootnoteText"/>
        <w:ind w:left="720" w:hanging="720"/>
        <w:rPr>
          <w:rFonts w:ascii="Times New Roman" w:hAnsi="Times New Roman" w:cs="Times New Roman"/>
          <w:b w:val="0"/>
          <w:u w:val="none"/>
        </w:rPr>
      </w:pPr>
      <w:r w:rsidRPr="002065E4">
        <w:rPr>
          <w:rStyle w:val="FootnoteReference"/>
          <w:rFonts w:ascii="Times New Roman" w:hAnsi="Times New Roman" w:cs="Times New Roman"/>
          <w:b w:val="0"/>
          <w:u w:val="none"/>
        </w:rPr>
        <w:footnoteRef/>
      </w:r>
      <w:r w:rsidRPr="002065E4">
        <w:rPr>
          <w:rFonts w:ascii="Times New Roman" w:hAnsi="Times New Roman" w:cs="Times New Roman"/>
          <w:b w:val="0"/>
          <w:u w:val="none"/>
        </w:rPr>
        <w:t xml:space="preserve"> </w:t>
      </w:r>
      <w:r w:rsidRPr="002065E4">
        <w:rPr>
          <w:rFonts w:ascii="Times New Roman" w:hAnsi="Times New Roman" w:cs="Times New Roman"/>
          <w:b w:val="0"/>
          <w:u w:val="none"/>
        </w:rPr>
        <w:tab/>
        <w:t xml:space="preserve">See, eg, </w:t>
      </w:r>
      <w:r w:rsidRPr="002065E4">
        <w:rPr>
          <w:rFonts w:ascii="Times New Roman" w:hAnsi="Times New Roman" w:cs="Times New Roman"/>
          <w:b w:val="0"/>
          <w:i/>
          <w:u w:val="none"/>
        </w:rPr>
        <w:t>Hasan v R</w:t>
      </w:r>
      <w:r w:rsidRPr="002065E4">
        <w:rPr>
          <w:rFonts w:ascii="Times New Roman" w:hAnsi="Times New Roman" w:cs="Times New Roman"/>
          <w:b w:val="0"/>
          <w:u w:val="none"/>
        </w:rPr>
        <w:t xml:space="preserve"> (2010) 31 VR 28, 39 [48]–[49].</w:t>
      </w:r>
    </w:p>
  </w:footnote>
  <w:footnote w:id="7">
    <w:p w14:paraId="2F334283" w14:textId="375DA0C8" w:rsidR="00B7248B" w:rsidRPr="001E0CCB" w:rsidRDefault="00B7248B" w:rsidP="002065E4">
      <w:pPr>
        <w:pStyle w:val="FootnoteText"/>
        <w:ind w:left="720" w:hanging="720"/>
        <w:rPr>
          <w:rFonts w:ascii="Times New Roman" w:hAnsi="Times New Roman" w:cs="Times New Roman"/>
          <w:b w:val="0"/>
          <w:u w:val="none"/>
        </w:rPr>
      </w:pPr>
      <w:r w:rsidRPr="002065E4">
        <w:rPr>
          <w:rStyle w:val="FootnoteReference"/>
          <w:rFonts w:ascii="Times New Roman" w:hAnsi="Times New Roman" w:cs="Times New Roman"/>
          <w:b w:val="0"/>
          <w:u w:val="none"/>
        </w:rPr>
        <w:footnoteRef/>
      </w:r>
      <w:r w:rsidRPr="002065E4">
        <w:rPr>
          <w:rFonts w:ascii="Times New Roman" w:hAnsi="Times New Roman" w:cs="Times New Roman"/>
          <w:b w:val="0"/>
          <w:u w:val="none"/>
        </w:rPr>
        <w:t xml:space="preserve"> </w:t>
      </w:r>
      <w:r w:rsidRPr="002065E4">
        <w:rPr>
          <w:rFonts w:ascii="Times New Roman" w:hAnsi="Times New Roman" w:cs="Times New Roman"/>
          <w:b w:val="0"/>
          <w:u w:val="none"/>
        </w:rPr>
        <w:tab/>
      </w:r>
      <w:r w:rsidR="002065E4" w:rsidRPr="002065E4">
        <w:rPr>
          <w:rFonts w:ascii="Times New Roman" w:hAnsi="Times New Roman" w:cs="Times New Roman"/>
          <w:b w:val="0"/>
          <w:i/>
          <w:u w:val="none"/>
        </w:rPr>
        <w:t>R</w:t>
      </w:r>
      <w:r w:rsidR="001E0CCB">
        <w:rPr>
          <w:rFonts w:ascii="Times New Roman" w:hAnsi="Times New Roman" w:cs="Times New Roman"/>
          <w:b w:val="0"/>
          <w:i/>
          <w:u w:val="none"/>
        </w:rPr>
        <w:t xml:space="preserve"> v Verdins</w:t>
      </w:r>
      <w:r w:rsidR="001E0CCB">
        <w:rPr>
          <w:rFonts w:ascii="Times New Roman" w:hAnsi="Times New Roman" w:cs="Times New Roman"/>
          <w:b w:val="0"/>
          <w:u w:val="none"/>
        </w:rPr>
        <w:t xml:space="preserve"> (2007) 16 VR 269</w:t>
      </w:r>
      <w:r w:rsidR="002065E4" w:rsidRPr="002065E4">
        <w:rPr>
          <w:rFonts w:ascii="Times New Roman" w:hAnsi="Times New Roman" w:cs="Times New Roman"/>
          <w:b w:val="0"/>
          <w:u w:val="none"/>
        </w:rPr>
        <w:t xml:space="preserve">;  </w:t>
      </w:r>
      <w:r w:rsidR="002065E4" w:rsidRPr="002065E4">
        <w:rPr>
          <w:rFonts w:ascii="Times New Roman" w:hAnsi="Times New Roman" w:cs="Times New Roman"/>
          <w:b w:val="0"/>
          <w:i/>
          <w:u w:val="none"/>
        </w:rPr>
        <w:t xml:space="preserve">Boulton v R </w:t>
      </w:r>
      <w:r w:rsidR="001E0CCB">
        <w:rPr>
          <w:rFonts w:ascii="Times New Roman" w:hAnsi="Times New Roman" w:cs="Times New Roman"/>
          <w:b w:val="0"/>
          <w:u w:val="none"/>
        </w:rPr>
        <w:t>(2014)</w:t>
      </w:r>
      <w:r w:rsidR="002065E4" w:rsidRPr="002065E4">
        <w:rPr>
          <w:rFonts w:ascii="Times New Roman" w:hAnsi="Times New Roman" w:cs="Times New Roman"/>
          <w:b w:val="0"/>
          <w:i/>
          <w:u w:val="none"/>
        </w:rPr>
        <w:t xml:space="preserve"> </w:t>
      </w:r>
      <w:r w:rsidR="001E0CCB">
        <w:rPr>
          <w:rFonts w:ascii="Times New Roman" w:hAnsi="Times New Roman" w:cs="Times New Roman"/>
          <w:b w:val="0"/>
          <w:u w:val="none"/>
        </w:rPr>
        <w:t>46 VR 308.</w:t>
      </w:r>
    </w:p>
  </w:footnote>
  <w:footnote w:id="8">
    <w:p w14:paraId="06EDCF89" w14:textId="550B8193" w:rsidR="002065E4" w:rsidRPr="002065E4" w:rsidRDefault="002065E4" w:rsidP="002065E4">
      <w:pPr>
        <w:pStyle w:val="FootnoteText"/>
        <w:ind w:left="720" w:hanging="720"/>
        <w:rPr>
          <w:rFonts w:ascii="Times New Roman" w:hAnsi="Times New Roman" w:cs="Times New Roman"/>
          <w:b w:val="0"/>
          <w:u w:val="none"/>
        </w:rPr>
      </w:pPr>
      <w:r w:rsidRPr="002065E4">
        <w:rPr>
          <w:rStyle w:val="FootnoteReference"/>
          <w:rFonts w:ascii="Times New Roman" w:hAnsi="Times New Roman" w:cs="Times New Roman"/>
          <w:b w:val="0"/>
          <w:u w:val="none"/>
        </w:rPr>
        <w:footnoteRef/>
      </w:r>
      <w:r w:rsidRPr="002065E4">
        <w:rPr>
          <w:rFonts w:ascii="Times New Roman" w:hAnsi="Times New Roman" w:cs="Times New Roman"/>
          <w:b w:val="0"/>
          <w:u w:val="none"/>
        </w:rPr>
        <w:t xml:space="preserve"> </w:t>
      </w:r>
      <w:r w:rsidRPr="002065E4">
        <w:rPr>
          <w:rFonts w:ascii="Times New Roman" w:hAnsi="Times New Roman" w:cs="Times New Roman"/>
          <w:b w:val="0"/>
          <w:u w:val="none"/>
        </w:rPr>
        <w:tab/>
      </w:r>
      <w:r w:rsidRPr="002065E4">
        <w:rPr>
          <w:rFonts w:ascii="Times New Roman" w:hAnsi="Times New Roman" w:cs="Times New Roman"/>
          <w:b w:val="0"/>
          <w:i/>
          <w:u w:val="none"/>
        </w:rPr>
        <w:t>Treasurer of Victoria v Tabcorp Holdings Ltd</w:t>
      </w:r>
      <w:r w:rsidRPr="002065E4">
        <w:rPr>
          <w:rFonts w:ascii="Times New Roman" w:hAnsi="Times New Roman" w:cs="Times New Roman"/>
          <w:b w:val="0"/>
          <w:u w:val="none"/>
        </w:rPr>
        <w:t xml:space="preserve"> [2014] VSCA 143 [101]–[102];  </w:t>
      </w:r>
      <w:r w:rsidRPr="002065E4">
        <w:rPr>
          <w:rFonts w:ascii="Times New Roman" w:hAnsi="Times New Roman" w:cs="Times New Roman"/>
          <w:b w:val="0"/>
          <w:i/>
          <w:u w:val="none"/>
        </w:rPr>
        <w:t>Waterfro</w:t>
      </w:r>
      <w:r w:rsidR="00144FE3">
        <w:rPr>
          <w:rFonts w:ascii="Times New Roman" w:hAnsi="Times New Roman" w:cs="Times New Roman"/>
          <w:b w:val="0"/>
          <w:i/>
          <w:u w:val="none"/>
        </w:rPr>
        <w:t>nt</w:t>
      </w:r>
      <w:r w:rsidRPr="002065E4">
        <w:rPr>
          <w:rFonts w:ascii="Times New Roman" w:hAnsi="Times New Roman" w:cs="Times New Roman"/>
          <w:b w:val="0"/>
          <w:i/>
          <w:u w:val="none"/>
        </w:rPr>
        <w:t xml:space="preserve"> Place Pty Ltd v Minister for Planning</w:t>
      </w:r>
      <w:r w:rsidRPr="002065E4">
        <w:rPr>
          <w:rFonts w:ascii="Times New Roman" w:hAnsi="Times New Roman" w:cs="Times New Roman"/>
          <w:b w:val="0"/>
          <w:u w:val="none"/>
        </w:rPr>
        <w:t xml:space="preserve"> [2019] VSCA 156, [13].</w:t>
      </w:r>
    </w:p>
  </w:footnote>
  <w:footnote w:id="9">
    <w:p w14:paraId="6A186B3F" w14:textId="2495EEC0" w:rsidR="00181711" w:rsidRPr="002065E4" w:rsidRDefault="00181711" w:rsidP="002065E4">
      <w:pPr>
        <w:pStyle w:val="FootnoteText"/>
        <w:ind w:left="720" w:hanging="720"/>
        <w:rPr>
          <w:rFonts w:ascii="Times New Roman" w:hAnsi="Times New Roman" w:cs="Times New Roman"/>
          <w:b w:val="0"/>
          <w:u w:val="none"/>
        </w:rPr>
      </w:pPr>
      <w:r w:rsidRPr="002065E4">
        <w:rPr>
          <w:rStyle w:val="FootnoteReference"/>
          <w:rFonts w:ascii="Times New Roman" w:hAnsi="Times New Roman" w:cs="Times New Roman"/>
          <w:b w:val="0"/>
          <w:u w:val="none"/>
        </w:rPr>
        <w:footnoteRef/>
      </w:r>
      <w:r w:rsidRPr="002065E4">
        <w:rPr>
          <w:rFonts w:ascii="Times New Roman" w:hAnsi="Times New Roman" w:cs="Times New Roman"/>
          <w:b w:val="0"/>
          <w:u w:val="none"/>
        </w:rPr>
        <w:t xml:space="preserve"> </w:t>
      </w:r>
      <w:r w:rsidR="002065E4">
        <w:rPr>
          <w:rFonts w:ascii="Times New Roman" w:hAnsi="Times New Roman" w:cs="Times New Roman"/>
          <w:b w:val="0"/>
          <w:u w:val="none"/>
        </w:rPr>
        <w:tab/>
      </w:r>
      <w:r w:rsidR="000F25F9" w:rsidRPr="002065E4">
        <w:rPr>
          <w:rFonts w:ascii="Times New Roman" w:hAnsi="Times New Roman" w:cs="Times New Roman"/>
          <w:b w:val="0"/>
          <w:u w:val="none"/>
        </w:rPr>
        <w:t>C</w:t>
      </w:r>
      <w:r w:rsidRPr="002065E4">
        <w:rPr>
          <w:rFonts w:ascii="Times New Roman" w:hAnsi="Times New Roman" w:cs="Times New Roman"/>
          <w:b w:val="0"/>
          <w:u w:val="none"/>
        </w:rPr>
        <w:t xml:space="preserve"> Maxwell </w:t>
      </w:r>
      <w:r w:rsidR="00E1506C" w:rsidRPr="002065E4">
        <w:rPr>
          <w:rFonts w:ascii="Times New Roman" w:hAnsi="Times New Roman" w:cs="Times New Roman"/>
          <w:b w:val="0"/>
          <w:u w:val="none"/>
        </w:rPr>
        <w:t>“</w:t>
      </w:r>
      <w:r w:rsidRPr="002065E4">
        <w:rPr>
          <w:rFonts w:ascii="Times New Roman" w:hAnsi="Times New Roman" w:cs="Times New Roman"/>
          <w:b w:val="0"/>
          <w:u w:val="none"/>
        </w:rPr>
        <w:t>The Quest for Certainty and the Limits of the Judicial Role</w:t>
      </w:r>
      <w:r w:rsidR="00E1506C" w:rsidRPr="002065E4">
        <w:rPr>
          <w:rFonts w:ascii="Times New Roman" w:hAnsi="Times New Roman" w:cs="Times New Roman"/>
          <w:b w:val="0"/>
          <w:u w:val="none"/>
        </w:rPr>
        <w:t>”</w:t>
      </w:r>
      <w:r w:rsidRPr="002065E4">
        <w:rPr>
          <w:rFonts w:ascii="Times New Roman" w:hAnsi="Times New Roman" w:cs="Times New Roman"/>
          <w:b w:val="0"/>
          <w:u w:val="none"/>
        </w:rPr>
        <w:t xml:space="preserve"> in J Barnes (ed) </w:t>
      </w:r>
      <w:r w:rsidRPr="002065E4">
        <w:rPr>
          <w:rFonts w:ascii="Times New Roman" w:hAnsi="Times New Roman" w:cs="Times New Roman"/>
          <w:b w:val="0"/>
          <w:i/>
          <w:u w:val="none"/>
        </w:rPr>
        <w:t>The Coherence of Statutory Interpretation</w:t>
      </w:r>
      <w:r w:rsidR="00BC2041" w:rsidRPr="002065E4">
        <w:rPr>
          <w:rFonts w:ascii="Times New Roman" w:hAnsi="Times New Roman" w:cs="Times New Roman"/>
          <w:b w:val="0"/>
          <w:u w:val="none"/>
        </w:rPr>
        <w:t xml:space="preserve"> (2019) p</w:t>
      </w:r>
      <w:r w:rsidR="00FA7D7D">
        <w:rPr>
          <w:rFonts w:ascii="Times New Roman" w:hAnsi="Times New Roman" w:cs="Times New Roman"/>
          <w:b w:val="0"/>
          <w:u w:val="none"/>
        </w:rPr>
        <w:t xml:space="preserve"> </w:t>
      </w:r>
      <w:r w:rsidR="00BC2041" w:rsidRPr="002065E4">
        <w:rPr>
          <w:rFonts w:ascii="Times New Roman" w:hAnsi="Times New Roman" w:cs="Times New Roman"/>
          <w:b w:val="0"/>
          <w:u w:val="none"/>
        </w:rPr>
        <w:t xml:space="preserve">114;  see also </w:t>
      </w:r>
      <w:r w:rsidR="00BC2041" w:rsidRPr="002065E4">
        <w:rPr>
          <w:rFonts w:ascii="Times New Roman" w:hAnsi="Times New Roman" w:cs="Times New Roman"/>
          <w:b w:val="0"/>
          <w:i/>
          <w:u w:val="none"/>
        </w:rPr>
        <w:t>Waterfront Place Pty Ltd v Minister for Planning</w:t>
      </w:r>
      <w:r w:rsidR="00BC2041" w:rsidRPr="002065E4">
        <w:rPr>
          <w:rFonts w:ascii="Times New Roman" w:hAnsi="Times New Roman" w:cs="Times New Roman"/>
          <w:b w:val="0"/>
          <w:u w:val="none"/>
        </w:rPr>
        <w:t xml:space="preserve"> [2019] VSCA 156 [13].</w:t>
      </w:r>
    </w:p>
  </w:footnote>
  <w:footnote w:id="10">
    <w:p w14:paraId="03C301CE" w14:textId="1691C592" w:rsidR="00BC2041" w:rsidRPr="002065E4" w:rsidRDefault="00BC2041" w:rsidP="002065E4">
      <w:pPr>
        <w:pStyle w:val="FootnoteText"/>
        <w:ind w:left="720" w:hanging="720"/>
        <w:rPr>
          <w:rFonts w:ascii="Times New Roman" w:hAnsi="Times New Roman" w:cs="Times New Roman"/>
          <w:b w:val="0"/>
          <w:u w:val="none"/>
        </w:rPr>
      </w:pPr>
      <w:r w:rsidRPr="002065E4">
        <w:rPr>
          <w:rStyle w:val="FootnoteReference"/>
          <w:rFonts w:ascii="Times New Roman" w:hAnsi="Times New Roman" w:cs="Times New Roman"/>
          <w:b w:val="0"/>
          <w:u w:val="none"/>
        </w:rPr>
        <w:footnoteRef/>
      </w:r>
      <w:r w:rsidRPr="002065E4">
        <w:rPr>
          <w:rFonts w:ascii="Times New Roman" w:hAnsi="Times New Roman" w:cs="Times New Roman"/>
          <w:b w:val="0"/>
          <w:u w:val="none"/>
        </w:rPr>
        <w:t xml:space="preserve"> </w:t>
      </w:r>
      <w:r w:rsidR="002065E4">
        <w:rPr>
          <w:rFonts w:ascii="Times New Roman" w:hAnsi="Times New Roman" w:cs="Times New Roman"/>
          <w:b w:val="0"/>
          <w:u w:val="none"/>
        </w:rPr>
        <w:tab/>
      </w:r>
      <w:r w:rsidRPr="002065E4">
        <w:rPr>
          <w:rFonts w:ascii="Times New Roman" w:hAnsi="Times New Roman" w:cs="Times New Roman"/>
          <w:b w:val="0"/>
          <w:u w:val="none"/>
        </w:rPr>
        <w:t xml:space="preserve">J Waldron, </w:t>
      </w:r>
      <w:r w:rsidR="00E1506C" w:rsidRPr="002065E4">
        <w:rPr>
          <w:rFonts w:ascii="Times New Roman" w:hAnsi="Times New Roman" w:cs="Times New Roman"/>
          <w:b w:val="0"/>
          <w:u w:val="none"/>
        </w:rPr>
        <w:t>“</w:t>
      </w:r>
      <w:r w:rsidRPr="002065E4">
        <w:rPr>
          <w:rFonts w:ascii="Times New Roman" w:hAnsi="Times New Roman" w:cs="Times New Roman"/>
          <w:b w:val="0"/>
          <w:u w:val="none"/>
        </w:rPr>
        <w:t>Are Sovereigns Entitled to the Benefit of the International Rule of Law</w:t>
      </w:r>
      <w:r w:rsidR="00E1506C" w:rsidRPr="002065E4">
        <w:rPr>
          <w:rFonts w:ascii="Times New Roman" w:hAnsi="Times New Roman" w:cs="Times New Roman"/>
          <w:b w:val="0"/>
          <w:u w:val="none"/>
        </w:rPr>
        <w:t>”</w:t>
      </w:r>
      <w:r w:rsidRPr="002065E4">
        <w:rPr>
          <w:rFonts w:ascii="Times New Roman" w:hAnsi="Times New Roman" w:cs="Times New Roman"/>
          <w:b w:val="0"/>
          <w:u w:val="none"/>
        </w:rPr>
        <w:t xml:space="preserve"> (2011) 22 </w:t>
      </w:r>
      <w:r w:rsidRPr="002065E4">
        <w:rPr>
          <w:rFonts w:ascii="Times New Roman" w:hAnsi="Times New Roman" w:cs="Times New Roman"/>
          <w:b w:val="0"/>
          <w:i/>
          <w:u w:val="none"/>
        </w:rPr>
        <w:t>The European Journal of European Law</w:t>
      </w:r>
      <w:r w:rsidRPr="002065E4">
        <w:rPr>
          <w:rFonts w:ascii="Times New Roman" w:hAnsi="Times New Roman" w:cs="Times New Roman"/>
          <w:b w:val="0"/>
          <w:u w:val="none"/>
        </w:rPr>
        <w:t xml:space="preserve"> 31543, 31553, cited in C May and A Winchester (eds) </w:t>
      </w:r>
      <w:r w:rsidRPr="002065E4">
        <w:rPr>
          <w:rFonts w:ascii="Times New Roman" w:hAnsi="Times New Roman" w:cs="Times New Roman"/>
          <w:b w:val="0"/>
          <w:i/>
          <w:u w:val="none"/>
        </w:rPr>
        <w:t>Handbook on the Rule of Law</w:t>
      </w:r>
      <w:r w:rsidR="00FA7D7D">
        <w:rPr>
          <w:rFonts w:ascii="Times New Roman" w:hAnsi="Times New Roman" w:cs="Times New Roman"/>
          <w:b w:val="0"/>
          <w:u w:val="none"/>
        </w:rPr>
        <w:t xml:space="preserve"> (2018) p </w:t>
      </w:r>
      <w:r w:rsidRPr="002065E4">
        <w:rPr>
          <w:rFonts w:ascii="Times New Roman" w:hAnsi="Times New Roman" w:cs="Times New Roman"/>
          <w:b w:val="0"/>
          <w:u w:val="none"/>
        </w:rPr>
        <w:t>101.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9200"/>
      <w:docPartObj>
        <w:docPartGallery w:val="Page Numbers (Top of Page)"/>
        <w:docPartUnique/>
      </w:docPartObj>
    </w:sdtPr>
    <w:sdtEndPr>
      <w:rPr>
        <w:noProof/>
      </w:rPr>
    </w:sdtEndPr>
    <w:sdtContent>
      <w:p w14:paraId="159E3A70" w14:textId="75EA1F49" w:rsidR="00317939" w:rsidRDefault="00317939">
        <w:pPr>
          <w:pStyle w:val="Header"/>
          <w:jc w:val="center"/>
        </w:pPr>
        <w:r w:rsidRPr="00317939">
          <w:rPr>
            <w:b w:val="0"/>
            <w:u w:val="none"/>
          </w:rPr>
          <w:fldChar w:fldCharType="begin"/>
        </w:r>
        <w:r w:rsidRPr="00317939">
          <w:rPr>
            <w:b w:val="0"/>
            <w:u w:val="none"/>
          </w:rPr>
          <w:instrText xml:space="preserve"> PAGE   \* MERGEFORMAT </w:instrText>
        </w:r>
        <w:r w:rsidRPr="00317939">
          <w:rPr>
            <w:b w:val="0"/>
            <w:u w:val="none"/>
          </w:rPr>
          <w:fldChar w:fldCharType="separate"/>
        </w:r>
        <w:r w:rsidR="006F7BC1">
          <w:rPr>
            <w:b w:val="0"/>
            <w:noProof/>
            <w:u w:val="none"/>
          </w:rPr>
          <w:t>6</w:t>
        </w:r>
        <w:r w:rsidRPr="00317939">
          <w:rPr>
            <w:b w:val="0"/>
            <w:noProof/>
            <w:u w:val="none"/>
          </w:rPr>
          <w:fldChar w:fldCharType="end"/>
        </w:r>
      </w:p>
    </w:sdtContent>
  </w:sdt>
  <w:p w14:paraId="6042E9E4" w14:textId="77777777" w:rsidR="00317939" w:rsidRDefault="00317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033BB4"/>
    <w:multiLevelType w:val="hybridMultilevel"/>
    <w:tmpl w:val="3530C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898"/>
    <w:rsid w:val="00010334"/>
    <w:rsid w:val="000172E4"/>
    <w:rsid w:val="0002297E"/>
    <w:rsid w:val="000A3CF9"/>
    <w:rsid w:val="000A75FA"/>
    <w:rsid w:val="000F25F9"/>
    <w:rsid w:val="00111EC0"/>
    <w:rsid w:val="001152DE"/>
    <w:rsid w:val="001176FA"/>
    <w:rsid w:val="00144FE3"/>
    <w:rsid w:val="00150311"/>
    <w:rsid w:val="00181711"/>
    <w:rsid w:val="001A2898"/>
    <w:rsid w:val="001B56FE"/>
    <w:rsid w:val="001E0CCB"/>
    <w:rsid w:val="002065E4"/>
    <w:rsid w:val="00211F5B"/>
    <w:rsid w:val="002135E2"/>
    <w:rsid w:val="0024010B"/>
    <w:rsid w:val="00245448"/>
    <w:rsid w:val="00273D75"/>
    <w:rsid w:val="002C45B2"/>
    <w:rsid w:val="002D0BC1"/>
    <w:rsid w:val="003139C7"/>
    <w:rsid w:val="00317939"/>
    <w:rsid w:val="00331138"/>
    <w:rsid w:val="0036436A"/>
    <w:rsid w:val="003A6D73"/>
    <w:rsid w:val="003D59A2"/>
    <w:rsid w:val="003D71A5"/>
    <w:rsid w:val="003E7FD2"/>
    <w:rsid w:val="004A3DA9"/>
    <w:rsid w:val="004C11F5"/>
    <w:rsid w:val="004D59A0"/>
    <w:rsid w:val="004E0D78"/>
    <w:rsid w:val="00560406"/>
    <w:rsid w:val="005A17C0"/>
    <w:rsid w:val="005D6205"/>
    <w:rsid w:val="00647D9E"/>
    <w:rsid w:val="00657720"/>
    <w:rsid w:val="006A7E6F"/>
    <w:rsid w:val="006B1448"/>
    <w:rsid w:val="006F7BC1"/>
    <w:rsid w:val="00744AE5"/>
    <w:rsid w:val="00795806"/>
    <w:rsid w:val="00861F70"/>
    <w:rsid w:val="009015FA"/>
    <w:rsid w:val="0095460F"/>
    <w:rsid w:val="0096560F"/>
    <w:rsid w:val="009A5CE6"/>
    <w:rsid w:val="00A43251"/>
    <w:rsid w:val="00B705D8"/>
    <w:rsid w:val="00B7248B"/>
    <w:rsid w:val="00BA2510"/>
    <w:rsid w:val="00BC2041"/>
    <w:rsid w:val="00BE4270"/>
    <w:rsid w:val="00BF0D4E"/>
    <w:rsid w:val="00C61C63"/>
    <w:rsid w:val="00C63848"/>
    <w:rsid w:val="00C774AF"/>
    <w:rsid w:val="00CC6754"/>
    <w:rsid w:val="00CD28B7"/>
    <w:rsid w:val="00CD6545"/>
    <w:rsid w:val="00CE535A"/>
    <w:rsid w:val="00CE77B7"/>
    <w:rsid w:val="00D14003"/>
    <w:rsid w:val="00D41762"/>
    <w:rsid w:val="00D712F8"/>
    <w:rsid w:val="00D80A7E"/>
    <w:rsid w:val="00DA0B88"/>
    <w:rsid w:val="00DB7114"/>
    <w:rsid w:val="00DC1CB0"/>
    <w:rsid w:val="00E1506C"/>
    <w:rsid w:val="00EA5B32"/>
    <w:rsid w:val="00EB27ED"/>
    <w:rsid w:val="00FA17E4"/>
    <w:rsid w:val="00FA7D7D"/>
    <w:rsid w:val="00FF59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E650"/>
  <w15:chartTrackingRefBased/>
  <w15:docId w15:val="{CAFC3DB5-218A-4F9C-BE5D-E70B8BAC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b/>
        <w:sz w:val="24"/>
        <w:szCs w:val="24"/>
        <w:u w:val="single"/>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270"/>
  </w:style>
  <w:style w:type="paragraph" w:styleId="Heading1">
    <w:name w:val="heading 1"/>
    <w:basedOn w:val="Normal"/>
    <w:next w:val="Normal"/>
    <w:link w:val="Heading1Char"/>
    <w:uiPriority w:val="9"/>
    <w:qFormat/>
    <w:rsid w:val="00CD28B7"/>
    <w:pPr>
      <w:keepNext/>
      <w:keepLines/>
      <w:spacing w:before="240" w:after="0"/>
      <w:jc w:val="center"/>
      <w:outlineLvl w:val="0"/>
    </w:pPr>
    <w:rPr>
      <w:rFonts w:ascii="Times New Roman" w:eastAsiaTheme="majorEastAsia" w:hAnsi="Times New Roman" w:cstheme="majorBidi"/>
      <w:sz w:val="36"/>
      <w:szCs w:val="32"/>
      <w:u w:val="none"/>
    </w:rPr>
  </w:style>
  <w:style w:type="paragraph" w:styleId="Heading2">
    <w:name w:val="heading 2"/>
    <w:basedOn w:val="Normal"/>
    <w:next w:val="Normal"/>
    <w:link w:val="Heading2Char"/>
    <w:uiPriority w:val="9"/>
    <w:unhideWhenUsed/>
    <w:qFormat/>
    <w:rsid w:val="00CD28B7"/>
    <w:pPr>
      <w:keepNext/>
      <w:keepLines/>
      <w:spacing w:before="160" w:after="120"/>
      <w:jc w:val="center"/>
      <w:outlineLvl w:val="1"/>
    </w:pPr>
    <w:rPr>
      <w:rFonts w:ascii="Times New Roman" w:eastAsiaTheme="majorEastAsia" w:hAnsi="Times New Roman" w:cstheme="majorBidi"/>
      <w:i/>
      <w:sz w:val="20"/>
      <w:szCs w:val="26"/>
      <w:u w:val="none"/>
    </w:rPr>
  </w:style>
  <w:style w:type="paragraph" w:styleId="Heading3">
    <w:name w:val="heading 3"/>
    <w:basedOn w:val="Normal"/>
    <w:next w:val="Normal"/>
    <w:link w:val="Heading3Char"/>
    <w:uiPriority w:val="9"/>
    <w:unhideWhenUsed/>
    <w:qFormat/>
    <w:rsid w:val="00BE4270"/>
    <w:pPr>
      <w:keepNext/>
      <w:keepLines/>
      <w:spacing w:before="160" w:after="120"/>
      <w:outlineLvl w:val="2"/>
    </w:pPr>
    <w:rPr>
      <w:rFonts w:ascii="Times New Roman" w:eastAsiaTheme="majorEastAsia" w:hAnsi="Times New Roman" w:cstheme="majorBidi"/>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rsid w:val="001A2898"/>
    <w:pPr>
      <w:widowControl w:val="0"/>
      <w:spacing w:before="240" w:after="0" w:line="240" w:lineRule="auto"/>
      <w:ind w:left="1440" w:right="720"/>
      <w:jc w:val="both"/>
    </w:pPr>
    <w:rPr>
      <w:rFonts w:eastAsia="Times New Roman" w:cs="Times New Roman"/>
      <w:b w:val="0"/>
      <w:sz w:val="22"/>
      <w:szCs w:val="20"/>
      <w:u w:val="none"/>
    </w:rPr>
  </w:style>
  <w:style w:type="paragraph" w:customStyle="1" w:styleId="Normal-Indent">
    <w:name w:val="Normal - Indent"/>
    <w:basedOn w:val="Normal"/>
    <w:rsid w:val="001A2898"/>
    <w:pPr>
      <w:widowControl w:val="0"/>
      <w:spacing w:after="0" w:line="480" w:lineRule="atLeast"/>
      <w:ind w:left="720"/>
      <w:jc w:val="both"/>
    </w:pPr>
    <w:rPr>
      <w:rFonts w:eastAsia="Times New Roman" w:cs="Times New Roman"/>
      <w:b w:val="0"/>
      <w:szCs w:val="20"/>
      <w:u w:val="none"/>
    </w:rPr>
  </w:style>
  <w:style w:type="paragraph" w:styleId="FootnoteText">
    <w:name w:val="footnote text"/>
    <w:basedOn w:val="Normal"/>
    <w:link w:val="FootnoteTextChar"/>
    <w:uiPriority w:val="99"/>
    <w:semiHidden/>
    <w:unhideWhenUsed/>
    <w:rsid w:val="00744A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4AE5"/>
    <w:rPr>
      <w:sz w:val="20"/>
      <w:szCs w:val="20"/>
    </w:rPr>
  </w:style>
  <w:style w:type="character" w:styleId="FootnoteReference">
    <w:name w:val="footnote reference"/>
    <w:basedOn w:val="DefaultParagraphFont"/>
    <w:uiPriority w:val="99"/>
    <w:semiHidden/>
    <w:unhideWhenUsed/>
    <w:rsid w:val="00744AE5"/>
    <w:rPr>
      <w:vertAlign w:val="superscript"/>
    </w:rPr>
  </w:style>
  <w:style w:type="paragraph" w:styleId="ListParagraph">
    <w:name w:val="List Paragraph"/>
    <w:basedOn w:val="Normal"/>
    <w:uiPriority w:val="34"/>
    <w:qFormat/>
    <w:rsid w:val="00D14003"/>
    <w:pPr>
      <w:ind w:left="720"/>
      <w:contextualSpacing/>
    </w:pPr>
  </w:style>
  <w:style w:type="paragraph" w:styleId="Header">
    <w:name w:val="header"/>
    <w:basedOn w:val="Normal"/>
    <w:link w:val="HeaderChar"/>
    <w:uiPriority w:val="99"/>
    <w:unhideWhenUsed/>
    <w:rsid w:val="003179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939"/>
  </w:style>
  <w:style w:type="paragraph" w:styleId="Footer">
    <w:name w:val="footer"/>
    <w:basedOn w:val="Normal"/>
    <w:link w:val="FooterChar"/>
    <w:uiPriority w:val="99"/>
    <w:unhideWhenUsed/>
    <w:rsid w:val="00317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939"/>
  </w:style>
  <w:style w:type="paragraph" w:styleId="BalloonText">
    <w:name w:val="Balloon Text"/>
    <w:basedOn w:val="Normal"/>
    <w:link w:val="BalloonTextChar"/>
    <w:uiPriority w:val="99"/>
    <w:semiHidden/>
    <w:unhideWhenUsed/>
    <w:rsid w:val="003139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9C7"/>
    <w:rPr>
      <w:rFonts w:ascii="Segoe UI" w:hAnsi="Segoe UI" w:cs="Segoe UI"/>
      <w:sz w:val="18"/>
      <w:szCs w:val="18"/>
    </w:rPr>
  </w:style>
  <w:style w:type="character" w:customStyle="1" w:styleId="Heading1Char">
    <w:name w:val="Heading 1 Char"/>
    <w:basedOn w:val="DefaultParagraphFont"/>
    <w:link w:val="Heading1"/>
    <w:uiPriority w:val="9"/>
    <w:rsid w:val="00CD28B7"/>
    <w:rPr>
      <w:rFonts w:ascii="Times New Roman" w:eastAsiaTheme="majorEastAsia" w:hAnsi="Times New Roman" w:cstheme="majorBidi"/>
      <w:sz w:val="36"/>
      <w:szCs w:val="32"/>
      <w:u w:val="none"/>
    </w:rPr>
  </w:style>
  <w:style w:type="character" w:customStyle="1" w:styleId="Heading2Char">
    <w:name w:val="Heading 2 Char"/>
    <w:basedOn w:val="DefaultParagraphFont"/>
    <w:link w:val="Heading2"/>
    <w:uiPriority w:val="9"/>
    <w:rsid w:val="00CD28B7"/>
    <w:rPr>
      <w:rFonts w:ascii="Times New Roman" w:eastAsiaTheme="majorEastAsia" w:hAnsi="Times New Roman" w:cstheme="majorBidi"/>
      <w:i/>
      <w:sz w:val="20"/>
      <w:szCs w:val="26"/>
      <w:u w:val="none"/>
    </w:rPr>
  </w:style>
  <w:style w:type="character" w:customStyle="1" w:styleId="Heading3Char">
    <w:name w:val="Heading 3 Char"/>
    <w:basedOn w:val="DefaultParagraphFont"/>
    <w:link w:val="Heading3"/>
    <w:uiPriority w:val="9"/>
    <w:rsid w:val="00BE4270"/>
    <w:rPr>
      <w:rFonts w:ascii="Times New Roman" w:eastAsiaTheme="majorEastAsia" w:hAnsi="Times New Roman" w:cstheme="majorBidi"/>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confluence-scv/download/attachments/1082116/SCV_RGB_B.jp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4" ma:contentTypeDescription="Create a new document." ma:contentTypeScope="" ma:versionID="501e2f47fc7d5c60ff671e5e238a349e">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61da04e1536227bdf086d249c95be2b"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B419F-7C8D-4FE5-84CA-2689D7AAB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41545E-CD54-45F9-8D8C-E5978E09B25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63eaefd-0475-4860-b86f-622cd66f4e0c"/>
    <ds:schemaRef ds:uri="http://purl.org/dc/terms/"/>
    <ds:schemaRef ds:uri="http://schemas.openxmlformats.org/package/2006/metadata/core-properties"/>
    <ds:schemaRef ds:uri="bdde84cb-4b1f-4b74-b4a5-14e1a433eee1"/>
    <ds:schemaRef ds:uri="http://www.w3.org/XML/1998/namespace"/>
  </ds:schemaRefs>
</ds:datastoreItem>
</file>

<file path=customXml/itemProps3.xml><?xml version="1.0" encoding="utf-8"?>
<ds:datastoreItem xmlns:ds="http://schemas.openxmlformats.org/officeDocument/2006/customXml" ds:itemID="{88B6A30D-7A03-4C9C-9C26-EC1A8D032131}">
  <ds:schemaRefs>
    <ds:schemaRef ds:uri="http://schemas.microsoft.com/sharepoint/v3/contenttype/forms"/>
  </ds:schemaRefs>
</ds:datastoreItem>
</file>

<file path=customXml/itemProps4.xml><?xml version="1.0" encoding="utf-8"?>
<ds:datastoreItem xmlns:ds="http://schemas.openxmlformats.org/officeDocument/2006/customXml" ds:itemID="{CF4E244D-93AC-4F69-89B7-F1039CD9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6</Pages>
  <Words>1579</Words>
  <Characters>9006</Characters>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2020-02-12T00:23:00Z</cp:lastPrinted>
  <dcterms:created xsi:type="dcterms:W3CDTF">2020-01-30T21:45:00Z</dcterms:created>
  <dcterms:modified xsi:type="dcterms:W3CDTF">2020-02-12T00:27:00Z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