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F4A67" w14:textId="77777777" w:rsidR="00D85336" w:rsidRPr="00771C95" w:rsidRDefault="00CD0331" w:rsidP="00CD033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  <w:r w:rsidRPr="00771C95">
        <w:rPr>
          <w:b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57728" behindDoc="0" locked="0" layoutInCell="1" allowOverlap="0" wp14:anchorId="7A1D3744" wp14:editId="0D89D6D8">
            <wp:simplePos x="0" y="0"/>
            <wp:positionH relativeFrom="column">
              <wp:posOffset>2236470</wp:posOffset>
            </wp:positionH>
            <wp:positionV relativeFrom="paragraph">
              <wp:posOffset>635</wp:posOffset>
            </wp:positionV>
            <wp:extent cx="1228725" cy="1104265"/>
            <wp:effectExtent l="0" t="0" r="0" b="635"/>
            <wp:wrapSquare wrapText="bothSides"/>
            <wp:docPr id="3" name="Picture 3" descr="Supreme Court of Vic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V_Red_CMY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63838" w14:textId="77777777" w:rsidR="00D85336" w:rsidRPr="00771C95" w:rsidRDefault="00D85336" w:rsidP="00CD033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</w:p>
    <w:p w14:paraId="78979E46" w14:textId="77777777" w:rsidR="00D85336" w:rsidRPr="00771C95" w:rsidRDefault="00D85336" w:rsidP="00CD033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</w:p>
    <w:p w14:paraId="6B9FCCC7" w14:textId="77777777" w:rsidR="003817CD" w:rsidRDefault="003817CD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bCs/>
          <w:color w:val="000000"/>
          <w:sz w:val="44"/>
          <w:szCs w:val="44"/>
        </w:rPr>
      </w:pPr>
    </w:p>
    <w:p w14:paraId="6C7FD71E" w14:textId="77777777" w:rsidR="00271B59" w:rsidRPr="004A4CFB" w:rsidRDefault="003817CD" w:rsidP="004A4CFB">
      <w:pPr>
        <w:pStyle w:val="Heading1"/>
      </w:pPr>
      <w:r w:rsidRPr="004A4CFB">
        <w:t>Supreme C</w:t>
      </w:r>
      <w:r w:rsidR="00271B59" w:rsidRPr="004A4CFB">
        <w:t>ourt of Victoria</w:t>
      </w:r>
    </w:p>
    <w:p w14:paraId="7F6C783B" w14:textId="77777777" w:rsidR="00271B59" w:rsidRPr="007917BE" w:rsidRDefault="00271B59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color w:val="000000"/>
          <w:sz w:val="28"/>
        </w:rPr>
      </w:pPr>
      <w:r w:rsidRPr="007917BE">
        <w:rPr>
          <w:rFonts w:ascii="Book Antiqua" w:hAnsi="Book Antiqua"/>
          <w:b/>
          <w:color w:val="000000"/>
          <w:sz w:val="28"/>
        </w:rPr>
        <w:t xml:space="preserve">Practice Note </w:t>
      </w:r>
      <w:r w:rsidR="003817CD">
        <w:rPr>
          <w:rFonts w:ascii="Book Antiqua" w:hAnsi="Book Antiqua"/>
          <w:b/>
          <w:color w:val="000000"/>
          <w:sz w:val="28"/>
        </w:rPr>
        <w:t xml:space="preserve">SC </w:t>
      </w:r>
      <w:r w:rsidR="000117C7">
        <w:rPr>
          <w:rFonts w:ascii="Book Antiqua" w:hAnsi="Book Antiqua"/>
          <w:b/>
          <w:color w:val="000000"/>
          <w:sz w:val="28"/>
        </w:rPr>
        <w:t xml:space="preserve">CL </w:t>
      </w:r>
      <w:r w:rsidR="004126C2">
        <w:rPr>
          <w:rFonts w:ascii="Book Antiqua" w:hAnsi="Book Antiqua"/>
          <w:b/>
          <w:color w:val="000000"/>
          <w:sz w:val="28"/>
        </w:rPr>
        <w:t>7</w:t>
      </w:r>
    </w:p>
    <w:p w14:paraId="7F4D63A5" w14:textId="77777777" w:rsidR="00271B59" w:rsidRDefault="004126C2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color w:val="000000"/>
          <w:sz w:val="28"/>
        </w:rPr>
      </w:pPr>
      <w:r>
        <w:rPr>
          <w:rFonts w:ascii="Book Antiqua" w:hAnsi="Book Antiqua"/>
          <w:b/>
          <w:color w:val="000000"/>
          <w:sz w:val="28"/>
        </w:rPr>
        <w:t>Testators Family Maintenance</w:t>
      </w:r>
      <w:r w:rsidR="00594C2A">
        <w:rPr>
          <w:rFonts w:ascii="Book Antiqua" w:hAnsi="Book Antiqua"/>
          <w:b/>
          <w:color w:val="000000"/>
          <w:sz w:val="28"/>
        </w:rPr>
        <w:t xml:space="preserve"> </w:t>
      </w:r>
      <w:r w:rsidR="000117C7">
        <w:rPr>
          <w:rFonts w:ascii="Book Antiqua" w:hAnsi="Book Antiqua"/>
          <w:b/>
          <w:color w:val="000000"/>
          <w:sz w:val="28"/>
        </w:rPr>
        <w:t>List</w:t>
      </w:r>
    </w:p>
    <w:p w14:paraId="56F4A6A7" w14:textId="77777777" w:rsidR="00CD0331" w:rsidRDefault="00CD0331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color w:val="000000"/>
          <w:sz w:val="28"/>
        </w:rPr>
      </w:pPr>
    </w:p>
    <w:p w14:paraId="02AA3C4C" w14:textId="77777777" w:rsidR="00A50A22" w:rsidRPr="002244C2" w:rsidRDefault="00A50A22" w:rsidP="002244C2">
      <w:pPr>
        <w:pStyle w:val="ListParagraph"/>
        <w:keepNext/>
        <w:numPr>
          <w:ilvl w:val="0"/>
          <w:numId w:val="2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/>
          <w:b/>
          <w:color w:val="000000"/>
          <w:sz w:val="24"/>
          <w:szCs w:val="24"/>
        </w:rPr>
      </w:pPr>
      <w:r w:rsidRPr="00781EED">
        <w:rPr>
          <w:rFonts w:ascii="Book Antiqua" w:hAnsi="Book Antiqua"/>
          <w:b/>
          <w:sz w:val="24"/>
          <w:szCs w:val="24"/>
        </w:rPr>
        <w:t>INTRODUCTION</w:t>
      </w:r>
    </w:p>
    <w:p w14:paraId="57D7EB1A" w14:textId="77777777" w:rsidR="00A50A22" w:rsidRPr="00781EED" w:rsidRDefault="00A50A22" w:rsidP="002244C2">
      <w:pPr>
        <w:pStyle w:val="ListParagraph"/>
        <w:numPr>
          <w:ilvl w:val="1"/>
          <w:numId w:val="2"/>
        </w:numPr>
        <w:contextualSpacing w:val="0"/>
        <w:jc w:val="both"/>
        <w:rPr>
          <w:rFonts w:ascii="Book Antiqua" w:hAnsi="Book Antiqua"/>
          <w:sz w:val="24"/>
          <w:szCs w:val="24"/>
        </w:rPr>
      </w:pPr>
      <w:r w:rsidRPr="00781EED">
        <w:rPr>
          <w:rFonts w:ascii="Book Antiqua" w:hAnsi="Book Antiqua"/>
          <w:sz w:val="24"/>
          <w:szCs w:val="24"/>
        </w:rPr>
        <w:t>The Chief Justice has authorised the issue of the following Practice Note.</w:t>
      </w:r>
    </w:p>
    <w:p w14:paraId="116326D5" w14:textId="77777777" w:rsidR="00A50A22" w:rsidRPr="00781EED" w:rsidRDefault="00A50A22" w:rsidP="002244C2">
      <w:pPr>
        <w:pStyle w:val="ListParagraph"/>
        <w:numPr>
          <w:ilvl w:val="1"/>
          <w:numId w:val="2"/>
        </w:numPr>
        <w:contextualSpacing w:val="0"/>
        <w:jc w:val="both"/>
        <w:rPr>
          <w:rFonts w:ascii="Book Antiqua" w:hAnsi="Book Antiqua"/>
          <w:sz w:val="24"/>
          <w:szCs w:val="24"/>
        </w:rPr>
      </w:pPr>
      <w:r w:rsidRPr="00781EED">
        <w:rPr>
          <w:rFonts w:ascii="Book Antiqua" w:hAnsi="Book Antiqua"/>
          <w:sz w:val="24"/>
          <w:szCs w:val="24"/>
        </w:rPr>
        <w:t>Th</w:t>
      </w:r>
      <w:bookmarkStart w:id="0" w:name="_GoBack"/>
      <w:bookmarkEnd w:id="0"/>
      <w:r w:rsidRPr="00781EED">
        <w:rPr>
          <w:rFonts w:ascii="Book Antiqua" w:hAnsi="Book Antiqua"/>
          <w:sz w:val="24"/>
          <w:szCs w:val="24"/>
        </w:rPr>
        <w:t>e purpose of this Practice Note is to describe the procedures to be followed in</w:t>
      </w:r>
      <w:r w:rsidR="00641C0A" w:rsidRPr="00781EED">
        <w:rPr>
          <w:rFonts w:ascii="Book Antiqua" w:hAnsi="Book Antiqua"/>
          <w:sz w:val="24"/>
          <w:szCs w:val="24"/>
        </w:rPr>
        <w:t xml:space="preserve"> the</w:t>
      </w:r>
      <w:r w:rsidRPr="00781EED">
        <w:rPr>
          <w:rFonts w:ascii="Book Antiqua" w:hAnsi="Book Antiqua"/>
          <w:sz w:val="24"/>
          <w:szCs w:val="24"/>
        </w:rPr>
        <w:t xml:space="preserve"> </w:t>
      </w:r>
      <w:r w:rsidR="004126C2" w:rsidRPr="00781EED">
        <w:rPr>
          <w:rFonts w:ascii="Book Antiqua" w:hAnsi="Book Antiqua"/>
          <w:sz w:val="24"/>
          <w:szCs w:val="24"/>
        </w:rPr>
        <w:t>Testators Family Maintenance List</w:t>
      </w:r>
      <w:r w:rsidRPr="00781EED">
        <w:rPr>
          <w:rFonts w:ascii="Book Antiqua" w:hAnsi="Book Antiqua"/>
          <w:sz w:val="24"/>
          <w:szCs w:val="24"/>
        </w:rPr>
        <w:t>. The List is a case management list within the Common Law Division of the Court.</w:t>
      </w:r>
    </w:p>
    <w:p w14:paraId="23D57074" w14:textId="77777777" w:rsidR="004126C2" w:rsidRPr="00781EED" w:rsidRDefault="004126C2" w:rsidP="002244C2">
      <w:pPr>
        <w:jc w:val="both"/>
        <w:rPr>
          <w:rFonts w:ascii="Book Antiqua" w:hAnsi="Book Antiqua"/>
        </w:rPr>
      </w:pPr>
    </w:p>
    <w:p w14:paraId="4E47D906" w14:textId="77777777" w:rsidR="00A50A22" w:rsidRPr="00781EED" w:rsidRDefault="00A50A22" w:rsidP="002244C2">
      <w:pPr>
        <w:pStyle w:val="ListParagraph"/>
        <w:keepNext/>
        <w:numPr>
          <w:ilvl w:val="0"/>
          <w:numId w:val="2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/>
          <w:sz w:val="24"/>
          <w:szCs w:val="24"/>
        </w:rPr>
      </w:pPr>
      <w:r w:rsidRPr="00781EED">
        <w:rPr>
          <w:rFonts w:ascii="Book Antiqua" w:hAnsi="Book Antiqua"/>
          <w:b/>
          <w:sz w:val="24"/>
          <w:szCs w:val="24"/>
        </w:rPr>
        <w:t>DEFINITIONS</w:t>
      </w:r>
    </w:p>
    <w:p w14:paraId="355D8E93" w14:textId="77777777" w:rsidR="00A50A22" w:rsidRPr="00781EED" w:rsidRDefault="00A50A22" w:rsidP="002244C2">
      <w:pPr>
        <w:pStyle w:val="ListParagraph"/>
        <w:numPr>
          <w:ilvl w:val="1"/>
          <w:numId w:val="2"/>
        </w:numPr>
        <w:contextualSpacing w:val="0"/>
        <w:jc w:val="both"/>
        <w:rPr>
          <w:rFonts w:ascii="Book Antiqua" w:hAnsi="Book Antiqua"/>
          <w:sz w:val="24"/>
          <w:szCs w:val="24"/>
        </w:rPr>
      </w:pPr>
      <w:r w:rsidRPr="00781EED">
        <w:rPr>
          <w:rFonts w:ascii="Book Antiqua" w:hAnsi="Book Antiqua"/>
          <w:sz w:val="24"/>
          <w:szCs w:val="24"/>
        </w:rPr>
        <w:t>In this Practice Note:</w:t>
      </w:r>
    </w:p>
    <w:p w14:paraId="61337D9C" w14:textId="77777777" w:rsidR="00956EC0" w:rsidRPr="00781EED" w:rsidRDefault="00956EC0" w:rsidP="002244C2">
      <w:pPr>
        <w:pStyle w:val="ListParagraph"/>
        <w:ind w:left="360" w:firstLine="360"/>
        <w:contextualSpacing w:val="0"/>
        <w:jc w:val="both"/>
        <w:rPr>
          <w:rFonts w:ascii="Book Antiqua" w:hAnsi="Book Antiqua"/>
          <w:b/>
          <w:i/>
          <w:sz w:val="24"/>
          <w:szCs w:val="24"/>
        </w:rPr>
      </w:pPr>
      <w:r w:rsidRPr="00781EED">
        <w:rPr>
          <w:rFonts w:ascii="Book Antiqua" w:hAnsi="Book Antiqua"/>
          <w:b/>
          <w:i/>
          <w:sz w:val="24"/>
          <w:szCs w:val="24"/>
        </w:rPr>
        <w:t>Act</w:t>
      </w:r>
      <w:r w:rsidRPr="00781EED">
        <w:rPr>
          <w:rFonts w:ascii="Book Antiqua" w:hAnsi="Book Antiqua"/>
          <w:sz w:val="24"/>
          <w:szCs w:val="24"/>
        </w:rPr>
        <w:t xml:space="preserve"> means the </w:t>
      </w:r>
      <w:r w:rsidRPr="00781EED">
        <w:rPr>
          <w:rFonts w:ascii="Book Antiqua" w:hAnsi="Book Antiqua"/>
          <w:i/>
          <w:sz w:val="24"/>
          <w:szCs w:val="24"/>
        </w:rPr>
        <w:t>Administration and Probate Act 1958</w:t>
      </w:r>
      <w:r w:rsidRPr="00781EED">
        <w:rPr>
          <w:rFonts w:ascii="Book Antiqua" w:hAnsi="Book Antiqua"/>
          <w:sz w:val="24"/>
          <w:szCs w:val="24"/>
        </w:rPr>
        <w:t xml:space="preserve">; </w:t>
      </w:r>
    </w:p>
    <w:p w14:paraId="0F66AC35" w14:textId="77777777" w:rsidR="00F02AA0" w:rsidRPr="00AF75F6" w:rsidRDefault="00DB3ACA" w:rsidP="00AF75F6">
      <w:pPr>
        <w:pStyle w:val="ListParagraph"/>
        <w:ind w:left="709"/>
        <w:contextualSpacing w:val="0"/>
        <w:jc w:val="both"/>
        <w:rPr>
          <w:rFonts w:ascii="Book Antiqua" w:hAnsi="Book Antiqua"/>
          <w:b/>
          <w:i/>
          <w:sz w:val="24"/>
          <w:szCs w:val="24"/>
        </w:rPr>
      </w:pPr>
      <w:r w:rsidRPr="00781EED">
        <w:rPr>
          <w:rFonts w:ascii="Book Antiqua" w:hAnsi="Book Antiqua"/>
          <w:b/>
          <w:i/>
          <w:sz w:val="24"/>
          <w:szCs w:val="24"/>
        </w:rPr>
        <w:t xml:space="preserve">TFM Application </w:t>
      </w:r>
      <w:r w:rsidRPr="00781EED">
        <w:rPr>
          <w:rFonts w:ascii="Book Antiqua" w:hAnsi="Book Antiqua"/>
          <w:sz w:val="24"/>
          <w:szCs w:val="24"/>
        </w:rPr>
        <w:t xml:space="preserve">means an application for </w:t>
      </w:r>
      <w:r w:rsidR="003807EE" w:rsidRPr="00781EED">
        <w:rPr>
          <w:rFonts w:ascii="Book Antiqua" w:hAnsi="Book Antiqua"/>
          <w:sz w:val="24"/>
          <w:szCs w:val="24"/>
        </w:rPr>
        <w:t xml:space="preserve">provision or </w:t>
      </w:r>
      <w:r w:rsidRPr="00781EED">
        <w:rPr>
          <w:rFonts w:ascii="Book Antiqua" w:hAnsi="Book Antiqua"/>
          <w:sz w:val="24"/>
          <w:szCs w:val="24"/>
        </w:rPr>
        <w:t xml:space="preserve">further provision out of a deceased </w:t>
      </w:r>
      <w:r w:rsidR="00AF75F6">
        <w:rPr>
          <w:rFonts w:ascii="Book Antiqua" w:hAnsi="Book Antiqua"/>
          <w:sz w:val="24"/>
          <w:szCs w:val="24"/>
        </w:rPr>
        <w:t>estate under Part IV of the Act</w:t>
      </w:r>
      <w:r w:rsidR="0041026E" w:rsidRPr="00AF75F6">
        <w:rPr>
          <w:rFonts w:ascii="Book Antiqua" w:hAnsi="Book Antiqua"/>
          <w:sz w:val="24"/>
          <w:szCs w:val="24"/>
        </w:rPr>
        <w:t>.</w:t>
      </w:r>
    </w:p>
    <w:p w14:paraId="70E91B42" w14:textId="77777777" w:rsidR="00FD4B3F" w:rsidRPr="00781EED" w:rsidRDefault="00FD4B3F" w:rsidP="002244C2">
      <w:pPr>
        <w:autoSpaceDE w:val="0"/>
        <w:autoSpaceDN w:val="0"/>
        <w:adjustRightInd w:val="0"/>
        <w:ind w:left="720"/>
        <w:jc w:val="both"/>
        <w:rPr>
          <w:rFonts w:ascii="Book Antiqua" w:hAnsi="Book Antiqua"/>
        </w:rPr>
      </w:pPr>
    </w:p>
    <w:p w14:paraId="39C7A10C" w14:textId="77777777" w:rsidR="00FD4B3F" w:rsidRPr="00781EED" w:rsidRDefault="00FD4B3F" w:rsidP="002244C2">
      <w:pPr>
        <w:pStyle w:val="ListParagraph"/>
        <w:keepNext/>
        <w:numPr>
          <w:ilvl w:val="0"/>
          <w:numId w:val="2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/>
          <w:b/>
          <w:sz w:val="24"/>
          <w:szCs w:val="24"/>
        </w:rPr>
      </w:pPr>
      <w:r w:rsidRPr="00781EED">
        <w:rPr>
          <w:rFonts w:ascii="Book Antiqua" w:hAnsi="Book Antiqua"/>
          <w:b/>
          <w:sz w:val="24"/>
          <w:szCs w:val="24"/>
        </w:rPr>
        <w:t>COMMENCEMENT</w:t>
      </w:r>
    </w:p>
    <w:p w14:paraId="3A7A1CC1" w14:textId="77777777" w:rsidR="00FD4B3F" w:rsidRPr="002244C2" w:rsidRDefault="00FD4B3F" w:rsidP="002244C2">
      <w:pPr>
        <w:pStyle w:val="ListParagraph"/>
        <w:numPr>
          <w:ilvl w:val="1"/>
          <w:numId w:val="2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/>
          <w:sz w:val="24"/>
          <w:szCs w:val="24"/>
        </w:rPr>
      </w:pPr>
      <w:r w:rsidRPr="00781EED">
        <w:rPr>
          <w:rFonts w:ascii="Book Antiqua" w:hAnsi="Book Antiqua"/>
          <w:sz w:val="24"/>
          <w:szCs w:val="24"/>
        </w:rPr>
        <w:t>This Practice No</w:t>
      </w:r>
      <w:r w:rsidR="00DC2BE1" w:rsidRPr="00781EED">
        <w:rPr>
          <w:rFonts w:ascii="Book Antiqua" w:hAnsi="Book Antiqua"/>
          <w:sz w:val="24"/>
          <w:szCs w:val="24"/>
        </w:rPr>
        <w:t xml:space="preserve">te was issued and commences on </w:t>
      </w:r>
      <w:r w:rsidR="00EF088B">
        <w:rPr>
          <w:rFonts w:ascii="Book Antiqua" w:hAnsi="Book Antiqua"/>
          <w:sz w:val="24"/>
          <w:szCs w:val="24"/>
        </w:rPr>
        <w:t>1 April 2020</w:t>
      </w:r>
      <w:r w:rsidR="008E1F68" w:rsidRPr="00781EED">
        <w:rPr>
          <w:rFonts w:ascii="Book Antiqua" w:hAnsi="Book Antiqua"/>
          <w:sz w:val="24"/>
          <w:szCs w:val="24"/>
        </w:rPr>
        <w:t>, as revised,</w:t>
      </w:r>
      <w:r w:rsidRPr="00781EED">
        <w:rPr>
          <w:rFonts w:ascii="Book Antiqua" w:hAnsi="Book Antiqua"/>
          <w:sz w:val="24"/>
          <w:szCs w:val="24"/>
        </w:rPr>
        <w:t xml:space="preserve"> and will apply to all proceedings in the List whenever commenced.</w:t>
      </w:r>
    </w:p>
    <w:p w14:paraId="79ADF851" w14:textId="77777777" w:rsidR="00C5118C" w:rsidRPr="002244C2" w:rsidRDefault="00C5118C" w:rsidP="002244C2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221C4452" w14:textId="77777777" w:rsidR="006E7E0B" w:rsidRPr="00781EED" w:rsidRDefault="00C5118C" w:rsidP="002244C2">
      <w:pPr>
        <w:pStyle w:val="ListParagraph"/>
        <w:keepNext/>
        <w:numPr>
          <w:ilvl w:val="0"/>
          <w:numId w:val="2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/>
          <w:b/>
          <w:sz w:val="24"/>
          <w:szCs w:val="24"/>
        </w:rPr>
      </w:pPr>
      <w:r w:rsidRPr="00781EED">
        <w:rPr>
          <w:rFonts w:ascii="Book Antiqua" w:hAnsi="Book Antiqua"/>
          <w:b/>
          <w:sz w:val="24"/>
          <w:szCs w:val="24"/>
        </w:rPr>
        <w:t>PROCEEDINGS SUITABLE FOR INCLUSION IN THE LIST</w:t>
      </w:r>
    </w:p>
    <w:p w14:paraId="3175D23C" w14:textId="77777777" w:rsidR="00344A8C" w:rsidRPr="00781EED" w:rsidRDefault="00344A8C" w:rsidP="002244C2">
      <w:pPr>
        <w:pStyle w:val="ListParagraph"/>
        <w:numPr>
          <w:ilvl w:val="1"/>
          <w:numId w:val="2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/>
          <w:b/>
          <w:sz w:val="24"/>
          <w:szCs w:val="24"/>
        </w:rPr>
      </w:pPr>
      <w:r w:rsidRPr="00781EED">
        <w:rPr>
          <w:rFonts w:ascii="Book Antiqua" w:hAnsi="Book Antiqua"/>
          <w:sz w:val="24"/>
          <w:szCs w:val="24"/>
        </w:rPr>
        <w:t xml:space="preserve">All </w:t>
      </w:r>
      <w:r w:rsidR="00DB3ACA" w:rsidRPr="006219AF">
        <w:rPr>
          <w:rFonts w:ascii="Book Antiqua" w:hAnsi="Book Antiqua"/>
          <w:sz w:val="24"/>
          <w:szCs w:val="24"/>
        </w:rPr>
        <w:t xml:space="preserve">TFM </w:t>
      </w:r>
      <w:r w:rsidR="00DB3ACA" w:rsidRPr="00781EED">
        <w:rPr>
          <w:rFonts w:ascii="Book Antiqua" w:hAnsi="Book Antiqua"/>
          <w:sz w:val="24"/>
          <w:szCs w:val="24"/>
        </w:rPr>
        <w:t>Applications should be initiated in the List</w:t>
      </w:r>
      <w:r w:rsidRPr="00781EED">
        <w:rPr>
          <w:rFonts w:ascii="Book Antiqua" w:hAnsi="Book Antiqua"/>
          <w:sz w:val="24"/>
          <w:szCs w:val="24"/>
        </w:rPr>
        <w:t>.</w:t>
      </w:r>
    </w:p>
    <w:p w14:paraId="100F167A" w14:textId="77777777" w:rsidR="00344A8C" w:rsidRPr="00781EED" w:rsidRDefault="003807EE" w:rsidP="002244C2">
      <w:pPr>
        <w:pStyle w:val="ListParagraph"/>
        <w:numPr>
          <w:ilvl w:val="1"/>
          <w:numId w:val="2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/>
          <w:b/>
          <w:sz w:val="24"/>
          <w:szCs w:val="24"/>
        </w:rPr>
      </w:pPr>
      <w:r w:rsidRPr="00781EED">
        <w:rPr>
          <w:rFonts w:ascii="Book Antiqua" w:hAnsi="Book Antiqua"/>
          <w:sz w:val="24"/>
          <w:szCs w:val="24"/>
        </w:rPr>
        <w:t>Where</w:t>
      </w:r>
      <w:r w:rsidR="00344A8C" w:rsidRPr="00781EED">
        <w:rPr>
          <w:rFonts w:ascii="Book Antiqua" w:hAnsi="Book Antiqua"/>
          <w:sz w:val="24"/>
          <w:szCs w:val="24"/>
        </w:rPr>
        <w:t xml:space="preserve"> the majority of witnesses or parties reside in regional Victoria, the </w:t>
      </w:r>
      <w:r w:rsidR="00E57C75" w:rsidRPr="00781EED">
        <w:rPr>
          <w:rFonts w:ascii="Book Antiqua" w:hAnsi="Book Antiqua"/>
          <w:sz w:val="24"/>
          <w:szCs w:val="24"/>
        </w:rPr>
        <w:t xml:space="preserve">TFM Application </w:t>
      </w:r>
      <w:r w:rsidR="00344A8C" w:rsidRPr="00781EED">
        <w:rPr>
          <w:rFonts w:ascii="Book Antiqua" w:hAnsi="Book Antiqua"/>
          <w:sz w:val="24"/>
          <w:szCs w:val="24"/>
        </w:rPr>
        <w:t>should be initiated in the Civil Circuit List (see Practice Note SC CL 1).</w:t>
      </w:r>
    </w:p>
    <w:p w14:paraId="2DDDEF28" w14:textId="77777777" w:rsidR="00344A8C" w:rsidRPr="00781EED" w:rsidRDefault="00344A8C" w:rsidP="002244C2">
      <w:pPr>
        <w:autoSpaceDE w:val="0"/>
        <w:autoSpaceDN w:val="0"/>
        <w:adjustRightInd w:val="0"/>
        <w:jc w:val="both"/>
        <w:rPr>
          <w:rFonts w:ascii="Book Antiqua" w:hAnsi="Book Antiqua"/>
          <w:b/>
        </w:rPr>
      </w:pPr>
    </w:p>
    <w:p w14:paraId="362CAB25" w14:textId="77777777" w:rsidR="00182C1F" w:rsidRPr="00781EED" w:rsidRDefault="00182C1F" w:rsidP="002244C2">
      <w:pPr>
        <w:pStyle w:val="ListParagraph"/>
        <w:keepNext/>
        <w:numPr>
          <w:ilvl w:val="0"/>
          <w:numId w:val="2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/>
          <w:b/>
          <w:sz w:val="24"/>
          <w:szCs w:val="24"/>
        </w:rPr>
      </w:pPr>
      <w:r w:rsidRPr="00781EED">
        <w:rPr>
          <w:rFonts w:ascii="Book Antiqua" w:hAnsi="Book Antiqua"/>
          <w:b/>
          <w:sz w:val="24"/>
          <w:szCs w:val="24"/>
        </w:rPr>
        <w:t>PROCEDURE FOR ENTRY INTO THE LIST</w:t>
      </w:r>
    </w:p>
    <w:p w14:paraId="6AAE8D92" w14:textId="77777777" w:rsidR="00182C1F" w:rsidRPr="00781EED" w:rsidRDefault="003807EE" w:rsidP="002244C2">
      <w:pPr>
        <w:pStyle w:val="ListParagraph"/>
        <w:numPr>
          <w:ilvl w:val="1"/>
          <w:numId w:val="2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/>
          <w:b/>
          <w:sz w:val="24"/>
          <w:szCs w:val="24"/>
        </w:rPr>
      </w:pPr>
      <w:r w:rsidRPr="00781EED">
        <w:rPr>
          <w:rFonts w:ascii="Book Antiqua" w:hAnsi="Book Antiqua"/>
          <w:sz w:val="24"/>
          <w:szCs w:val="24"/>
        </w:rPr>
        <w:t>TFM Applications</w:t>
      </w:r>
      <w:r w:rsidR="007C66C1" w:rsidRPr="00781EED">
        <w:rPr>
          <w:rFonts w:ascii="Book Antiqua" w:hAnsi="Book Antiqua"/>
          <w:sz w:val="24"/>
          <w:szCs w:val="24"/>
        </w:rPr>
        <w:t xml:space="preserve"> should be initiated in the List by endorsing the heading of the originating </w:t>
      </w:r>
      <w:r w:rsidR="005319F6" w:rsidRPr="00781EED">
        <w:rPr>
          <w:rFonts w:ascii="Book Antiqua" w:hAnsi="Book Antiqua"/>
          <w:sz w:val="24"/>
          <w:szCs w:val="24"/>
        </w:rPr>
        <w:t xml:space="preserve">motion </w:t>
      </w:r>
      <w:r w:rsidRPr="00781EED">
        <w:rPr>
          <w:rFonts w:ascii="Book Antiqua" w:hAnsi="Book Antiqua"/>
          <w:sz w:val="24"/>
          <w:szCs w:val="24"/>
        </w:rPr>
        <w:t xml:space="preserve">with </w:t>
      </w:r>
      <w:r w:rsidR="007C66C1" w:rsidRPr="00781EED">
        <w:rPr>
          <w:rFonts w:ascii="Book Antiqua" w:hAnsi="Book Antiqua"/>
          <w:sz w:val="24"/>
          <w:szCs w:val="24"/>
        </w:rPr>
        <w:t>“</w:t>
      </w:r>
      <w:r w:rsidR="005319F6" w:rsidRPr="00781EED">
        <w:rPr>
          <w:rFonts w:ascii="Book Antiqua" w:hAnsi="Book Antiqua"/>
          <w:sz w:val="24"/>
          <w:szCs w:val="24"/>
        </w:rPr>
        <w:t xml:space="preserve">Testators Family Maintenance </w:t>
      </w:r>
      <w:r w:rsidR="007C66C1" w:rsidRPr="00781EED">
        <w:rPr>
          <w:rFonts w:ascii="Book Antiqua" w:hAnsi="Book Antiqua"/>
          <w:sz w:val="24"/>
          <w:szCs w:val="24"/>
        </w:rPr>
        <w:t xml:space="preserve">List”. </w:t>
      </w:r>
      <w:r w:rsidR="00AC6D18" w:rsidRPr="00781EED">
        <w:rPr>
          <w:rFonts w:ascii="Book Antiqua" w:hAnsi="Book Antiqua"/>
          <w:sz w:val="24"/>
          <w:szCs w:val="24"/>
        </w:rPr>
        <w:t xml:space="preserve"> </w:t>
      </w:r>
      <w:r w:rsidR="007C66C1" w:rsidRPr="00781EED">
        <w:rPr>
          <w:rFonts w:ascii="Book Antiqua" w:hAnsi="Book Antiqua"/>
          <w:sz w:val="24"/>
          <w:szCs w:val="24"/>
        </w:rPr>
        <w:t xml:space="preserve">The heading of all subsequent documents filed in the proceeding should </w:t>
      </w:r>
      <w:r w:rsidRPr="00781EED">
        <w:rPr>
          <w:rFonts w:ascii="Book Antiqua" w:hAnsi="Book Antiqua"/>
          <w:sz w:val="24"/>
          <w:szCs w:val="24"/>
        </w:rPr>
        <w:t>include this</w:t>
      </w:r>
      <w:r w:rsidR="007C66C1" w:rsidRPr="00781EED">
        <w:rPr>
          <w:rFonts w:ascii="Book Antiqua" w:hAnsi="Book Antiqua"/>
          <w:sz w:val="24"/>
          <w:szCs w:val="24"/>
        </w:rPr>
        <w:t xml:space="preserve"> endors</w:t>
      </w:r>
      <w:r w:rsidRPr="00781EED">
        <w:rPr>
          <w:rFonts w:ascii="Book Antiqua" w:hAnsi="Book Antiqua"/>
          <w:sz w:val="24"/>
          <w:szCs w:val="24"/>
        </w:rPr>
        <w:t>ement.</w:t>
      </w:r>
    </w:p>
    <w:p w14:paraId="4579FFCB" w14:textId="77777777" w:rsidR="00182C1F" w:rsidRPr="00781EED" w:rsidRDefault="00F81C87" w:rsidP="002244C2">
      <w:pPr>
        <w:pStyle w:val="ListParagraph"/>
        <w:numPr>
          <w:ilvl w:val="1"/>
          <w:numId w:val="2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/>
          <w:b/>
          <w:sz w:val="24"/>
          <w:szCs w:val="24"/>
        </w:rPr>
      </w:pPr>
      <w:r w:rsidRPr="00781EED">
        <w:rPr>
          <w:rFonts w:ascii="Book Antiqua" w:hAnsi="Book Antiqua"/>
          <w:sz w:val="24"/>
          <w:szCs w:val="24"/>
        </w:rPr>
        <w:t>P</w:t>
      </w:r>
      <w:r w:rsidR="00182C1F" w:rsidRPr="00781EED">
        <w:rPr>
          <w:rFonts w:ascii="Book Antiqua" w:hAnsi="Book Antiqua"/>
          <w:sz w:val="24"/>
          <w:szCs w:val="24"/>
        </w:rPr>
        <w:t>roceeding</w:t>
      </w:r>
      <w:r w:rsidRPr="00781EED">
        <w:rPr>
          <w:rFonts w:ascii="Book Antiqua" w:hAnsi="Book Antiqua"/>
          <w:sz w:val="24"/>
          <w:szCs w:val="24"/>
        </w:rPr>
        <w:t>s</w:t>
      </w:r>
      <w:r w:rsidR="00182C1F" w:rsidRPr="00781EED">
        <w:rPr>
          <w:rFonts w:ascii="Book Antiqua" w:hAnsi="Book Antiqua"/>
          <w:sz w:val="24"/>
          <w:szCs w:val="24"/>
        </w:rPr>
        <w:t xml:space="preserve"> may be transferred into</w:t>
      </w:r>
      <w:r w:rsidRPr="00781EED">
        <w:rPr>
          <w:rFonts w:ascii="Book Antiqua" w:hAnsi="Book Antiqua"/>
          <w:sz w:val="24"/>
          <w:szCs w:val="24"/>
        </w:rPr>
        <w:t xml:space="preserve"> or out of</w:t>
      </w:r>
      <w:r w:rsidR="00182C1F" w:rsidRPr="00781EED">
        <w:rPr>
          <w:rFonts w:ascii="Book Antiqua" w:hAnsi="Book Antiqua"/>
          <w:sz w:val="24"/>
          <w:szCs w:val="24"/>
        </w:rPr>
        <w:t xml:space="preserve"> the List on the Court’s own motion</w:t>
      </w:r>
      <w:r w:rsidR="00984EF6" w:rsidRPr="00781EED">
        <w:rPr>
          <w:rFonts w:ascii="Book Antiqua" w:hAnsi="Book Antiqua"/>
          <w:sz w:val="24"/>
          <w:szCs w:val="24"/>
        </w:rPr>
        <w:t>.</w:t>
      </w:r>
    </w:p>
    <w:p w14:paraId="7456DBD8" w14:textId="77777777" w:rsidR="00182C1F" w:rsidRPr="00781EED" w:rsidRDefault="00182C1F" w:rsidP="002244C2">
      <w:pPr>
        <w:pStyle w:val="ListParagraph"/>
        <w:numPr>
          <w:ilvl w:val="1"/>
          <w:numId w:val="2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/>
          <w:b/>
          <w:sz w:val="24"/>
          <w:szCs w:val="24"/>
        </w:rPr>
      </w:pPr>
      <w:r w:rsidRPr="00781EED">
        <w:rPr>
          <w:rFonts w:ascii="Book Antiqua" w:hAnsi="Book Antiqua"/>
          <w:sz w:val="24"/>
          <w:szCs w:val="24"/>
        </w:rPr>
        <w:t>No additional fees will be payable for the inclusion of a proceeding in the List</w:t>
      </w:r>
      <w:r w:rsidR="00984EF6" w:rsidRPr="00781EED">
        <w:rPr>
          <w:rFonts w:ascii="Book Antiqua" w:hAnsi="Book Antiqua"/>
          <w:sz w:val="24"/>
          <w:szCs w:val="24"/>
        </w:rPr>
        <w:t>.</w:t>
      </w:r>
    </w:p>
    <w:p w14:paraId="433CEA26" w14:textId="77777777" w:rsidR="00182C1F" w:rsidRPr="00781EED" w:rsidRDefault="00182C1F" w:rsidP="002244C2">
      <w:pPr>
        <w:autoSpaceDE w:val="0"/>
        <w:autoSpaceDN w:val="0"/>
        <w:adjustRightInd w:val="0"/>
        <w:jc w:val="both"/>
        <w:rPr>
          <w:rFonts w:ascii="Book Antiqua" w:hAnsi="Book Antiqua"/>
          <w:b/>
        </w:rPr>
      </w:pPr>
    </w:p>
    <w:p w14:paraId="12EF973D" w14:textId="77777777" w:rsidR="00182C1F" w:rsidRPr="00781EED" w:rsidRDefault="0011421F" w:rsidP="002244C2">
      <w:pPr>
        <w:pStyle w:val="ListParagraph"/>
        <w:keepNext/>
        <w:numPr>
          <w:ilvl w:val="0"/>
          <w:numId w:val="2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/>
          <w:b/>
          <w:sz w:val="24"/>
          <w:szCs w:val="24"/>
        </w:rPr>
      </w:pPr>
      <w:r w:rsidRPr="00781EED">
        <w:rPr>
          <w:rFonts w:ascii="Book Antiqua" w:hAnsi="Book Antiqua"/>
          <w:b/>
          <w:sz w:val="24"/>
          <w:szCs w:val="24"/>
        </w:rPr>
        <w:lastRenderedPageBreak/>
        <w:t>INITIATING DOCUMENTS</w:t>
      </w:r>
    </w:p>
    <w:p w14:paraId="0C89B410" w14:textId="77777777" w:rsidR="0011421F" w:rsidRPr="00781EED" w:rsidRDefault="0011421F" w:rsidP="002244C2">
      <w:pPr>
        <w:pStyle w:val="ListParagraph"/>
        <w:numPr>
          <w:ilvl w:val="1"/>
          <w:numId w:val="2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/>
          <w:b/>
          <w:sz w:val="24"/>
          <w:szCs w:val="24"/>
        </w:rPr>
      </w:pPr>
      <w:r w:rsidRPr="00781EED">
        <w:rPr>
          <w:rFonts w:ascii="Book Antiqua" w:hAnsi="Book Antiqua"/>
          <w:sz w:val="24"/>
          <w:szCs w:val="24"/>
        </w:rPr>
        <w:t xml:space="preserve">The originating motion initiating </w:t>
      </w:r>
      <w:r w:rsidR="003807EE" w:rsidRPr="00781EED">
        <w:rPr>
          <w:rFonts w:ascii="Book Antiqua" w:hAnsi="Book Antiqua"/>
          <w:sz w:val="24"/>
          <w:szCs w:val="24"/>
        </w:rPr>
        <w:t xml:space="preserve">a </w:t>
      </w:r>
      <w:r w:rsidRPr="00781EED">
        <w:rPr>
          <w:rFonts w:ascii="Book Antiqua" w:hAnsi="Book Antiqua"/>
          <w:sz w:val="24"/>
          <w:szCs w:val="24"/>
        </w:rPr>
        <w:t xml:space="preserve">TFM Application </w:t>
      </w:r>
      <w:r w:rsidR="000E2CAA">
        <w:rPr>
          <w:rFonts w:ascii="Book Antiqua" w:hAnsi="Book Antiqua"/>
          <w:sz w:val="24"/>
          <w:szCs w:val="24"/>
        </w:rPr>
        <w:t>must</w:t>
      </w:r>
      <w:r w:rsidR="000E2CAA" w:rsidRPr="00781EED">
        <w:rPr>
          <w:rFonts w:ascii="Book Antiqua" w:hAnsi="Book Antiqua"/>
          <w:sz w:val="24"/>
          <w:szCs w:val="24"/>
        </w:rPr>
        <w:t xml:space="preserve"> </w:t>
      </w:r>
      <w:r w:rsidRPr="00781EED">
        <w:rPr>
          <w:rFonts w:ascii="Book Antiqua" w:hAnsi="Book Antiqua"/>
          <w:sz w:val="24"/>
          <w:szCs w:val="24"/>
        </w:rPr>
        <w:t>include the following information:</w:t>
      </w:r>
    </w:p>
    <w:p w14:paraId="19CD866F" w14:textId="77777777" w:rsidR="0011421F" w:rsidRPr="00781EED" w:rsidRDefault="003807EE" w:rsidP="002244C2">
      <w:pPr>
        <w:numPr>
          <w:ilvl w:val="0"/>
          <w:numId w:val="3"/>
        </w:numPr>
        <w:jc w:val="both"/>
        <w:rPr>
          <w:rFonts w:ascii="Book Antiqua" w:hAnsi="Book Antiqua"/>
        </w:rPr>
      </w:pPr>
      <w:r w:rsidRPr="00781EED">
        <w:rPr>
          <w:rFonts w:ascii="Book Antiqua" w:hAnsi="Book Antiqua"/>
        </w:rPr>
        <w:t>t</w:t>
      </w:r>
      <w:r w:rsidR="0011421F" w:rsidRPr="00781EED">
        <w:rPr>
          <w:rFonts w:ascii="Book Antiqua" w:hAnsi="Book Antiqua"/>
        </w:rPr>
        <w:t>he date of the death of the deceased in respect of whose estate the application is made;</w:t>
      </w:r>
    </w:p>
    <w:p w14:paraId="7CAB01C6" w14:textId="77777777" w:rsidR="0011421F" w:rsidRPr="00781EED" w:rsidRDefault="003807EE" w:rsidP="002244C2">
      <w:pPr>
        <w:numPr>
          <w:ilvl w:val="0"/>
          <w:numId w:val="3"/>
        </w:numPr>
        <w:jc w:val="both"/>
        <w:rPr>
          <w:rFonts w:ascii="Book Antiqua" w:hAnsi="Book Antiqua"/>
        </w:rPr>
      </w:pPr>
      <w:r w:rsidRPr="00781EED">
        <w:rPr>
          <w:rFonts w:ascii="Book Antiqua" w:hAnsi="Book Antiqua"/>
        </w:rPr>
        <w:t>t</w:t>
      </w:r>
      <w:r w:rsidR="0011421F" w:rsidRPr="00781EED">
        <w:rPr>
          <w:rFonts w:ascii="Book Antiqua" w:hAnsi="Book Antiqua"/>
        </w:rPr>
        <w:t xml:space="preserve">he date of the will (if any); </w:t>
      </w:r>
    </w:p>
    <w:p w14:paraId="477004A3" w14:textId="77777777" w:rsidR="0011421F" w:rsidRPr="00781EED" w:rsidRDefault="003807EE" w:rsidP="002244C2">
      <w:pPr>
        <w:numPr>
          <w:ilvl w:val="0"/>
          <w:numId w:val="3"/>
        </w:numPr>
        <w:jc w:val="both"/>
        <w:rPr>
          <w:rFonts w:ascii="Book Antiqua" w:hAnsi="Book Antiqua"/>
        </w:rPr>
      </w:pPr>
      <w:r w:rsidRPr="00781EED">
        <w:rPr>
          <w:rFonts w:ascii="Book Antiqua" w:hAnsi="Book Antiqua"/>
        </w:rPr>
        <w:t>t</w:t>
      </w:r>
      <w:r w:rsidR="0011421F" w:rsidRPr="00781EED">
        <w:rPr>
          <w:rFonts w:ascii="Book Antiqua" w:hAnsi="Book Antiqua"/>
        </w:rPr>
        <w:t>he date of grant of probate of the will, or of letters of administration of the estate, of the deceased;</w:t>
      </w:r>
    </w:p>
    <w:p w14:paraId="2F6EB6DC" w14:textId="77777777" w:rsidR="0011421F" w:rsidRPr="00781EED" w:rsidRDefault="003807EE" w:rsidP="002244C2">
      <w:pPr>
        <w:numPr>
          <w:ilvl w:val="0"/>
          <w:numId w:val="3"/>
        </w:numPr>
        <w:jc w:val="both"/>
        <w:rPr>
          <w:rFonts w:ascii="Book Antiqua" w:hAnsi="Book Antiqua"/>
        </w:rPr>
      </w:pPr>
      <w:r w:rsidRPr="00781EED">
        <w:rPr>
          <w:rFonts w:ascii="Book Antiqua" w:hAnsi="Book Antiqua"/>
        </w:rPr>
        <w:t>t</w:t>
      </w:r>
      <w:r w:rsidR="0011421F" w:rsidRPr="00781EED">
        <w:rPr>
          <w:rFonts w:ascii="Book Antiqua" w:hAnsi="Book Antiqua"/>
        </w:rPr>
        <w:t>he relationship of the plaintiff to the deceased; and</w:t>
      </w:r>
    </w:p>
    <w:p w14:paraId="4569E100" w14:textId="77777777" w:rsidR="0011421F" w:rsidRPr="00781EED" w:rsidRDefault="003807EE" w:rsidP="002244C2">
      <w:pPr>
        <w:numPr>
          <w:ilvl w:val="0"/>
          <w:numId w:val="3"/>
        </w:numPr>
        <w:jc w:val="both"/>
        <w:rPr>
          <w:rFonts w:ascii="Book Antiqua" w:hAnsi="Book Antiqua"/>
        </w:rPr>
      </w:pPr>
      <w:r w:rsidRPr="00781EED">
        <w:rPr>
          <w:rFonts w:ascii="Book Antiqua" w:hAnsi="Book Antiqua"/>
        </w:rPr>
        <w:t>t</w:t>
      </w:r>
      <w:r w:rsidR="0011421F" w:rsidRPr="00781EED">
        <w:rPr>
          <w:rFonts w:ascii="Book Antiqua" w:hAnsi="Book Antiqua"/>
        </w:rPr>
        <w:t>he value of the estate as set out in the inventory of assets.</w:t>
      </w:r>
    </w:p>
    <w:p w14:paraId="09E996FE" w14:textId="77777777" w:rsidR="0011421F" w:rsidRPr="00781EED" w:rsidRDefault="0011421F" w:rsidP="002244C2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61524784" w14:textId="77777777" w:rsidR="00182C1F" w:rsidRPr="00781EED" w:rsidRDefault="0011421F" w:rsidP="002244C2">
      <w:pPr>
        <w:pStyle w:val="ListParagraph"/>
        <w:keepNext/>
        <w:numPr>
          <w:ilvl w:val="0"/>
          <w:numId w:val="2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/>
          <w:b/>
          <w:sz w:val="24"/>
          <w:szCs w:val="24"/>
        </w:rPr>
      </w:pPr>
      <w:r w:rsidRPr="00781EED">
        <w:rPr>
          <w:rFonts w:ascii="Book Antiqua" w:hAnsi="Book Antiqua"/>
          <w:b/>
          <w:sz w:val="24"/>
          <w:szCs w:val="24"/>
        </w:rPr>
        <w:t>FIRST DIRECTIONS HEARING</w:t>
      </w:r>
    </w:p>
    <w:p w14:paraId="2C8E8A77" w14:textId="77777777" w:rsidR="00023C72" w:rsidRPr="00994E07" w:rsidRDefault="00023C72" w:rsidP="00023C72">
      <w:pPr>
        <w:pStyle w:val="ListParagraph"/>
        <w:numPr>
          <w:ilvl w:val="1"/>
          <w:numId w:val="2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/>
          <w:b/>
          <w:sz w:val="24"/>
          <w:szCs w:val="24"/>
        </w:rPr>
      </w:pPr>
      <w:r w:rsidRPr="00781EED">
        <w:rPr>
          <w:rFonts w:ascii="Book Antiqua" w:hAnsi="Book Antiqua"/>
          <w:sz w:val="24"/>
          <w:szCs w:val="24"/>
        </w:rPr>
        <w:t xml:space="preserve">A summons for directions is to be filed in accordance with r 16.06 of the </w:t>
      </w:r>
      <w:r w:rsidRPr="00781EED">
        <w:rPr>
          <w:rFonts w:ascii="Book Antiqua" w:hAnsi="Book Antiqua"/>
          <w:i/>
          <w:sz w:val="24"/>
          <w:szCs w:val="24"/>
        </w:rPr>
        <w:t>Supreme Court (Miscellaneous Civil Proceedings) Rules 2018</w:t>
      </w:r>
      <w:r w:rsidR="00B45CE8">
        <w:rPr>
          <w:rFonts w:ascii="Book Antiqua" w:hAnsi="Book Antiqua"/>
          <w:sz w:val="24"/>
          <w:szCs w:val="24"/>
        </w:rPr>
        <w:t xml:space="preserve">, </w:t>
      </w:r>
      <w:r w:rsidR="0003723C">
        <w:rPr>
          <w:rFonts w:ascii="Book Antiqua" w:hAnsi="Book Antiqua"/>
          <w:sz w:val="24"/>
          <w:szCs w:val="24"/>
        </w:rPr>
        <w:t xml:space="preserve">with </w:t>
      </w:r>
      <w:r w:rsidRPr="00781EED">
        <w:rPr>
          <w:rFonts w:ascii="Book Antiqua" w:hAnsi="Book Antiqua"/>
          <w:sz w:val="24"/>
          <w:szCs w:val="24"/>
        </w:rPr>
        <w:t xml:space="preserve">a return date no less than 14 days from the date of filing.  </w:t>
      </w:r>
    </w:p>
    <w:p w14:paraId="7362C634" w14:textId="77777777" w:rsidR="00F615AB" w:rsidRPr="000E2CAA" w:rsidRDefault="004A4FD3" w:rsidP="0068396D">
      <w:pPr>
        <w:pStyle w:val="ListParagraph"/>
        <w:numPr>
          <w:ilvl w:val="1"/>
          <w:numId w:val="2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/>
          <w:b/>
          <w:sz w:val="24"/>
          <w:szCs w:val="24"/>
        </w:rPr>
      </w:pPr>
      <w:r w:rsidRPr="00781EED">
        <w:rPr>
          <w:rFonts w:ascii="Book Antiqua" w:hAnsi="Book Antiqua"/>
          <w:sz w:val="24"/>
          <w:szCs w:val="24"/>
        </w:rPr>
        <w:t>Directions hearings are generally heard every second Tuesday during the Court sitting terms (</w:t>
      </w:r>
      <w:r w:rsidRPr="00781EED">
        <w:rPr>
          <w:rFonts w:ascii="Book Antiqua" w:hAnsi="Book Antiqua"/>
          <w:b/>
          <w:i/>
          <w:sz w:val="24"/>
          <w:szCs w:val="24"/>
        </w:rPr>
        <w:t>List directions day</w:t>
      </w:r>
      <w:r w:rsidRPr="00781EED">
        <w:rPr>
          <w:rFonts w:ascii="Book Antiqua" w:hAnsi="Book Antiqua"/>
          <w:sz w:val="24"/>
          <w:szCs w:val="24"/>
        </w:rPr>
        <w:t>).  List directions days are available on the Court’s website.</w:t>
      </w:r>
      <w:r w:rsidR="007A2A11">
        <w:rPr>
          <w:rFonts w:ascii="Book Antiqua" w:hAnsi="Book Antiqua"/>
          <w:sz w:val="24"/>
          <w:szCs w:val="24"/>
        </w:rPr>
        <w:t xml:space="preserve"> </w:t>
      </w:r>
      <w:r w:rsidR="00F615AB">
        <w:rPr>
          <w:rFonts w:ascii="Book Antiqua" w:hAnsi="Book Antiqua"/>
          <w:sz w:val="24"/>
          <w:szCs w:val="24"/>
        </w:rPr>
        <w:t xml:space="preserve"> </w:t>
      </w:r>
    </w:p>
    <w:p w14:paraId="2F5AA3F7" w14:textId="77777777" w:rsidR="004A4FD3" w:rsidRPr="000E2CAA" w:rsidRDefault="007A2A11" w:rsidP="0068396D">
      <w:pPr>
        <w:pStyle w:val="ListParagraph"/>
        <w:numPr>
          <w:ilvl w:val="1"/>
          <w:numId w:val="2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Appearances</w:t>
      </w:r>
      <w:r w:rsidRPr="00781EED">
        <w:rPr>
          <w:rFonts w:ascii="Book Antiqua" w:hAnsi="Book Antiqua"/>
          <w:sz w:val="24"/>
          <w:szCs w:val="24"/>
        </w:rPr>
        <w:t xml:space="preserve"> at a first directions hearing is required </w:t>
      </w:r>
      <w:r w:rsidR="0003723C">
        <w:rPr>
          <w:rFonts w:ascii="Book Antiqua" w:hAnsi="Book Antiqua"/>
          <w:sz w:val="24"/>
          <w:szCs w:val="24"/>
        </w:rPr>
        <w:t>for</w:t>
      </w:r>
      <w:r w:rsidRPr="00781EED">
        <w:rPr>
          <w:rFonts w:ascii="Book Antiqua" w:hAnsi="Book Antiqua"/>
          <w:sz w:val="24"/>
          <w:szCs w:val="24"/>
        </w:rPr>
        <w:t xml:space="preserve"> all parties.  Orders will not be made on the papers in advance of the hearing.</w:t>
      </w:r>
      <w:r w:rsidR="00F615AB">
        <w:rPr>
          <w:rFonts w:ascii="Book Antiqua" w:hAnsi="Book Antiqua"/>
          <w:sz w:val="24"/>
          <w:szCs w:val="24"/>
        </w:rPr>
        <w:t xml:space="preserve">  However, </w:t>
      </w:r>
      <w:r w:rsidR="00363064">
        <w:rPr>
          <w:rFonts w:ascii="Book Antiqua" w:hAnsi="Book Antiqua"/>
          <w:sz w:val="24"/>
          <w:szCs w:val="24"/>
        </w:rPr>
        <w:t xml:space="preserve">the </w:t>
      </w:r>
      <w:r w:rsidR="00F615AB" w:rsidRPr="0068396D">
        <w:rPr>
          <w:rFonts w:ascii="Book Antiqua" w:hAnsi="Book Antiqua"/>
          <w:sz w:val="24"/>
          <w:szCs w:val="24"/>
        </w:rPr>
        <w:t>p</w:t>
      </w:r>
      <w:r w:rsidR="00F615AB" w:rsidRPr="000E2CAA">
        <w:rPr>
          <w:rFonts w:ascii="Book Antiqua" w:hAnsi="Book Antiqua"/>
          <w:sz w:val="24"/>
          <w:szCs w:val="24"/>
        </w:rPr>
        <w:t xml:space="preserve">arties are expected to confer </w:t>
      </w:r>
      <w:r w:rsidR="00363064">
        <w:rPr>
          <w:rFonts w:ascii="Book Antiqua" w:hAnsi="Book Antiqua"/>
          <w:sz w:val="24"/>
          <w:szCs w:val="24"/>
        </w:rPr>
        <w:t>and submit proposed consent orders prior to the hearing.  P</w:t>
      </w:r>
      <w:r w:rsidR="00363064" w:rsidRPr="00781EED">
        <w:rPr>
          <w:rFonts w:ascii="Book Antiqua" w:hAnsi="Book Antiqua"/>
          <w:sz w:val="24"/>
          <w:szCs w:val="24"/>
        </w:rPr>
        <w:t>ro-</w:t>
      </w:r>
      <w:r w:rsidR="00363064" w:rsidRPr="006219AF">
        <w:rPr>
          <w:rFonts w:ascii="Book Antiqua" w:hAnsi="Book Antiqua"/>
          <w:sz w:val="24"/>
          <w:szCs w:val="24"/>
        </w:rPr>
        <w:t xml:space="preserve">forma </w:t>
      </w:r>
      <w:r w:rsidR="00F23476">
        <w:rPr>
          <w:rFonts w:ascii="Book Antiqua" w:hAnsi="Book Antiqua"/>
          <w:sz w:val="24"/>
          <w:szCs w:val="24"/>
        </w:rPr>
        <w:t xml:space="preserve">first </w:t>
      </w:r>
      <w:r w:rsidR="00363064" w:rsidRPr="00781EED">
        <w:rPr>
          <w:rFonts w:ascii="Book Antiqua" w:hAnsi="Book Antiqua"/>
          <w:sz w:val="24"/>
          <w:szCs w:val="24"/>
        </w:rPr>
        <w:t>directions Order</w:t>
      </w:r>
      <w:r w:rsidR="00363064">
        <w:rPr>
          <w:rFonts w:ascii="Book Antiqua" w:hAnsi="Book Antiqua"/>
          <w:sz w:val="24"/>
          <w:szCs w:val="24"/>
        </w:rPr>
        <w:t>s</w:t>
      </w:r>
      <w:r w:rsidR="00363064" w:rsidRPr="00781EED">
        <w:rPr>
          <w:rFonts w:ascii="Book Antiqua" w:hAnsi="Book Antiqua"/>
          <w:sz w:val="24"/>
          <w:szCs w:val="24"/>
        </w:rPr>
        <w:t xml:space="preserve"> </w:t>
      </w:r>
      <w:r w:rsidR="00363064">
        <w:rPr>
          <w:rFonts w:ascii="Book Antiqua" w:hAnsi="Book Antiqua"/>
          <w:sz w:val="24"/>
          <w:szCs w:val="24"/>
        </w:rPr>
        <w:t>are</w:t>
      </w:r>
      <w:r w:rsidR="00363064" w:rsidRPr="00781EED">
        <w:rPr>
          <w:rFonts w:ascii="Book Antiqua" w:hAnsi="Book Antiqua"/>
          <w:sz w:val="24"/>
          <w:szCs w:val="24"/>
        </w:rPr>
        <w:t xml:space="preserve"> available on the Court’s website.</w:t>
      </w:r>
    </w:p>
    <w:p w14:paraId="435103EF" w14:textId="77777777" w:rsidR="0011421F" w:rsidRPr="00781EED" w:rsidRDefault="0014410E" w:rsidP="002244C2">
      <w:pPr>
        <w:pStyle w:val="ListParagraph"/>
        <w:numPr>
          <w:ilvl w:val="1"/>
          <w:numId w:val="2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/>
          <w:sz w:val="24"/>
          <w:szCs w:val="24"/>
        </w:rPr>
      </w:pPr>
      <w:r w:rsidRPr="00781EED">
        <w:rPr>
          <w:rFonts w:ascii="Book Antiqua" w:hAnsi="Book Antiqua"/>
          <w:sz w:val="24"/>
          <w:szCs w:val="24"/>
        </w:rPr>
        <w:t>By 2.00 pm on the Friday p</w:t>
      </w:r>
      <w:r w:rsidR="0011421F" w:rsidRPr="00781EED">
        <w:rPr>
          <w:rFonts w:ascii="Book Antiqua" w:hAnsi="Book Antiqua"/>
          <w:sz w:val="24"/>
          <w:szCs w:val="24"/>
        </w:rPr>
        <w:t>rior to the</w:t>
      </w:r>
      <w:r w:rsidR="004A4FD3" w:rsidRPr="00781EED">
        <w:rPr>
          <w:rFonts w:ascii="Book Antiqua" w:hAnsi="Book Antiqua"/>
          <w:sz w:val="24"/>
          <w:szCs w:val="24"/>
        </w:rPr>
        <w:t xml:space="preserve"> </w:t>
      </w:r>
      <w:r w:rsidR="002B16D2">
        <w:rPr>
          <w:rFonts w:ascii="Book Antiqua" w:hAnsi="Book Antiqua"/>
          <w:sz w:val="24"/>
          <w:szCs w:val="24"/>
        </w:rPr>
        <w:t xml:space="preserve">first </w:t>
      </w:r>
      <w:r w:rsidR="004A4FD3" w:rsidRPr="00781EED">
        <w:rPr>
          <w:rFonts w:ascii="Book Antiqua" w:hAnsi="Book Antiqua"/>
          <w:sz w:val="24"/>
          <w:szCs w:val="24"/>
        </w:rPr>
        <w:t>return of the summons for directions,</w:t>
      </w:r>
      <w:r w:rsidR="0011421F" w:rsidRPr="00781EED">
        <w:rPr>
          <w:rFonts w:ascii="Book Antiqua" w:hAnsi="Book Antiqua"/>
          <w:sz w:val="24"/>
          <w:szCs w:val="24"/>
        </w:rPr>
        <w:t xml:space="preserve"> the plaintiff must file and serve:</w:t>
      </w:r>
    </w:p>
    <w:p w14:paraId="1610D36D" w14:textId="77777777" w:rsidR="0011421F" w:rsidRPr="002244C2" w:rsidRDefault="00CD78A1" w:rsidP="002244C2">
      <w:pPr>
        <w:pStyle w:val="ListParagraph"/>
        <w:numPr>
          <w:ilvl w:val="0"/>
          <w:numId w:val="17"/>
        </w:numPr>
        <w:ind w:left="1418" w:hanging="709"/>
        <w:contextualSpacing w:val="0"/>
        <w:jc w:val="both"/>
        <w:rPr>
          <w:rFonts w:ascii="Book Antiqua" w:hAnsi="Book Antiqua"/>
        </w:rPr>
      </w:pPr>
      <w:r w:rsidRPr="00781EED">
        <w:rPr>
          <w:rFonts w:ascii="Book Antiqua" w:hAnsi="Book Antiqua"/>
          <w:sz w:val="24"/>
          <w:szCs w:val="24"/>
        </w:rPr>
        <w:t>e</w:t>
      </w:r>
      <w:r w:rsidR="0011421F" w:rsidRPr="002244C2">
        <w:rPr>
          <w:rFonts w:ascii="Book Antiqua" w:hAnsi="Book Antiqua"/>
          <w:sz w:val="24"/>
          <w:szCs w:val="24"/>
        </w:rPr>
        <w:t>ither:</w:t>
      </w:r>
    </w:p>
    <w:p w14:paraId="1E8BA9C8" w14:textId="77777777" w:rsidR="00CB5C59" w:rsidRPr="006219AF" w:rsidRDefault="00F81C87" w:rsidP="002244C2">
      <w:pPr>
        <w:numPr>
          <w:ilvl w:val="1"/>
          <w:numId w:val="5"/>
        </w:numPr>
        <w:ind w:hanging="742"/>
        <w:jc w:val="both"/>
        <w:rPr>
          <w:rFonts w:ascii="Book Antiqua" w:hAnsi="Book Antiqua"/>
        </w:rPr>
      </w:pPr>
      <w:r w:rsidRPr="00781EED">
        <w:rPr>
          <w:rFonts w:ascii="Book Antiqua" w:hAnsi="Book Antiqua"/>
        </w:rPr>
        <w:t xml:space="preserve">a </w:t>
      </w:r>
      <w:r w:rsidR="004A4FD3" w:rsidRPr="00781EED">
        <w:rPr>
          <w:rFonts w:ascii="Book Antiqua" w:hAnsi="Book Antiqua"/>
        </w:rPr>
        <w:t>p</w:t>
      </w:r>
      <w:r w:rsidR="00CB5C59" w:rsidRPr="00781EED">
        <w:rPr>
          <w:rFonts w:ascii="Book Antiqua" w:hAnsi="Book Antiqua"/>
        </w:rPr>
        <w:t>osition statement where the value of the estate is $</w:t>
      </w:r>
      <w:r w:rsidR="00B45CE8">
        <w:rPr>
          <w:rFonts w:ascii="Book Antiqua" w:hAnsi="Book Antiqua"/>
        </w:rPr>
        <w:t>75</w:t>
      </w:r>
      <w:r w:rsidR="00CB5C59" w:rsidRPr="00781EED">
        <w:rPr>
          <w:rFonts w:ascii="Book Antiqua" w:hAnsi="Book Antiqua"/>
        </w:rPr>
        <w:t>0,000 or less; or</w:t>
      </w:r>
    </w:p>
    <w:p w14:paraId="6EFD256F" w14:textId="77777777" w:rsidR="0011421F" w:rsidRPr="00781EED" w:rsidRDefault="00F81C87" w:rsidP="002244C2">
      <w:pPr>
        <w:numPr>
          <w:ilvl w:val="1"/>
          <w:numId w:val="5"/>
        </w:numPr>
        <w:ind w:hanging="742"/>
        <w:jc w:val="both"/>
        <w:rPr>
          <w:rFonts w:ascii="Book Antiqua" w:hAnsi="Book Antiqua"/>
        </w:rPr>
      </w:pPr>
      <w:r w:rsidRPr="006219AF">
        <w:rPr>
          <w:rFonts w:ascii="Book Antiqua" w:hAnsi="Book Antiqua"/>
        </w:rPr>
        <w:t xml:space="preserve">an </w:t>
      </w:r>
      <w:r w:rsidR="004A4FD3" w:rsidRPr="00781EED">
        <w:rPr>
          <w:rFonts w:ascii="Book Antiqua" w:hAnsi="Book Antiqua"/>
        </w:rPr>
        <w:t>a</w:t>
      </w:r>
      <w:r w:rsidR="00CB5C59" w:rsidRPr="00781EED">
        <w:rPr>
          <w:rFonts w:ascii="Book Antiqua" w:hAnsi="Book Antiqua"/>
        </w:rPr>
        <w:t>ffidavit w</w:t>
      </w:r>
      <w:r w:rsidR="0011421F" w:rsidRPr="00781EED">
        <w:rPr>
          <w:rFonts w:ascii="Book Antiqua" w:hAnsi="Book Antiqua"/>
        </w:rPr>
        <w:t>here the value of the estate exceeds $</w:t>
      </w:r>
      <w:r w:rsidR="00B45CE8">
        <w:rPr>
          <w:rFonts w:ascii="Book Antiqua" w:hAnsi="Book Antiqua"/>
        </w:rPr>
        <w:t>75</w:t>
      </w:r>
      <w:r w:rsidR="0011421F" w:rsidRPr="00781EED">
        <w:rPr>
          <w:rFonts w:ascii="Book Antiqua" w:hAnsi="Book Antiqua"/>
        </w:rPr>
        <w:t>0,000</w:t>
      </w:r>
      <w:r w:rsidR="0034312D">
        <w:rPr>
          <w:rFonts w:ascii="Book Antiqua" w:hAnsi="Book Antiqua"/>
        </w:rPr>
        <w:t>,</w:t>
      </w:r>
    </w:p>
    <w:p w14:paraId="009213FB" w14:textId="77777777" w:rsidR="00F81C87" w:rsidRPr="0034312D" w:rsidRDefault="0034312D" w:rsidP="0034312D">
      <w:pPr>
        <w:pStyle w:val="ListParagraph"/>
        <w:ind w:left="1418"/>
        <w:contextualSpacing w:val="0"/>
        <w:jc w:val="both"/>
        <w:rPr>
          <w:rFonts w:ascii="Book Antiqua" w:hAnsi="Book Antiqua"/>
        </w:rPr>
      </w:pPr>
      <w:r>
        <w:rPr>
          <w:rFonts w:ascii="Book Antiqua" w:hAnsi="Book Antiqua"/>
          <w:sz w:val="24"/>
          <w:szCs w:val="24"/>
        </w:rPr>
        <w:t xml:space="preserve">which shall </w:t>
      </w:r>
      <w:r w:rsidR="00F81C87" w:rsidRPr="0034312D">
        <w:rPr>
          <w:rFonts w:ascii="Book Antiqua" w:hAnsi="Book Antiqua"/>
          <w:sz w:val="24"/>
          <w:szCs w:val="24"/>
        </w:rPr>
        <w:t xml:space="preserve">state the </w:t>
      </w:r>
      <w:r w:rsidR="00B91774" w:rsidRPr="0034312D">
        <w:rPr>
          <w:rFonts w:ascii="Book Antiqua" w:hAnsi="Book Antiqua"/>
          <w:sz w:val="24"/>
          <w:szCs w:val="24"/>
        </w:rPr>
        <w:t>facts</w:t>
      </w:r>
      <w:r w:rsidR="00F81C87" w:rsidRPr="0034312D">
        <w:rPr>
          <w:rFonts w:ascii="Book Antiqua" w:hAnsi="Book Antiqua"/>
          <w:sz w:val="24"/>
          <w:szCs w:val="24"/>
        </w:rPr>
        <w:t xml:space="preserve"> relied upon by the plaintiff to establish each of the matters set out in r 16.03 of the </w:t>
      </w:r>
      <w:r w:rsidR="00F81C87" w:rsidRPr="0034312D">
        <w:rPr>
          <w:rFonts w:ascii="Book Antiqua" w:hAnsi="Book Antiqua"/>
          <w:i/>
          <w:sz w:val="24"/>
          <w:szCs w:val="24"/>
        </w:rPr>
        <w:t xml:space="preserve">Supreme Court (Miscellaneous Civil Proceedings) Rules 2018 </w:t>
      </w:r>
      <w:r w:rsidR="00F81C87" w:rsidRPr="0034312D">
        <w:rPr>
          <w:rFonts w:ascii="Book Antiqua" w:hAnsi="Book Antiqua"/>
          <w:sz w:val="24"/>
          <w:szCs w:val="24"/>
        </w:rPr>
        <w:t>and annex</w:t>
      </w:r>
      <w:r w:rsidR="00B91774" w:rsidRPr="0034312D">
        <w:rPr>
          <w:rFonts w:ascii="Book Antiqua" w:hAnsi="Book Antiqua"/>
          <w:sz w:val="24"/>
          <w:szCs w:val="24"/>
        </w:rPr>
        <w:t xml:space="preserve"> or exhibit copies of the last W</w:t>
      </w:r>
      <w:r w:rsidR="00F81C87" w:rsidRPr="0034312D">
        <w:rPr>
          <w:rFonts w:ascii="Book Antiqua" w:hAnsi="Book Antiqua"/>
          <w:sz w:val="24"/>
          <w:szCs w:val="24"/>
        </w:rPr>
        <w:t>ill, Grant of Probate or Letters of Administration and the Inventory of Assets and Liabilities</w:t>
      </w:r>
      <w:r>
        <w:rPr>
          <w:rFonts w:ascii="Book Antiqua" w:hAnsi="Book Antiqua"/>
          <w:sz w:val="24"/>
          <w:szCs w:val="24"/>
        </w:rPr>
        <w:t xml:space="preserve">; and </w:t>
      </w:r>
    </w:p>
    <w:p w14:paraId="7F153303" w14:textId="77777777" w:rsidR="002B16D2" w:rsidRPr="000E2CAA" w:rsidRDefault="00CD78A1" w:rsidP="002244C2">
      <w:pPr>
        <w:pStyle w:val="ListParagraph"/>
        <w:numPr>
          <w:ilvl w:val="0"/>
          <w:numId w:val="17"/>
        </w:numPr>
        <w:ind w:left="1418" w:hanging="709"/>
        <w:contextualSpacing w:val="0"/>
        <w:jc w:val="both"/>
        <w:rPr>
          <w:rFonts w:ascii="Book Antiqua" w:hAnsi="Book Antiqua"/>
        </w:rPr>
      </w:pPr>
      <w:r w:rsidRPr="00781EED">
        <w:rPr>
          <w:rFonts w:ascii="Book Antiqua" w:hAnsi="Book Antiqua"/>
          <w:sz w:val="24"/>
          <w:szCs w:val="24"/>
        </w:rPr>
        <w:t>a</w:t>
      </w:r>
      <w:r w:rsidR="0011421F" w:rsidRPr="002244C2">
        <w:rPr>
          <w:rFonts w:ascii="Book Antiqua" w:hAnsi="Book Antiqua"/>
          <w:sz w:val="24"/>
          <w:szCs w:val="24"/>
        </w:rPr>
        <w:t xml:space="preserve">n affidavit of the plaintiff’s solicitor </w:t>
      </w:r>
      <w:r w:rsidR="002B16D2">
        <w:rPr>
          <w:rFonts w:ascii="Book Antiqua" w:hAnsi="Book Antiqua"/>
          <w:sz w:val="24"/>
          <w:szCs w:val="24"/>
        </w:rPr>
        <w:t>stating:</w:t>
      </w:r>
    </w:p>
    <w:p w14:paraId="6B52E815" w14:textId="77777777" w:rsidR="004F55C4" w:rsidRDefault="002B16D2" w:rsidP="000E2CAA">
      <w:pPr>
        <w:pStyle w:val="ListParagraph"/>
        <w:numPr>
          <w:ilvl w:val="2"/>
          <w:numId w:val="5"/>
        </w:numPr>
        <w:contextualSpacing w:val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solicitor’s</w:t>
      </w:r>
      <w:r w:rsidR="00EC131B">
        <w:rPr>
          <w:rFonts w:ascii="Book Antiqua" w:hAnsi="Book Antiqua"/>
          <w:sz w:val="24"/>
          <w:szCs w:val="24"/>
        </w:rPr>
        <w:t xml:space="preserve"> estimate of</w:t>
      </w:r>
      <w:r w:rsidR="00EC131B" w:rsidRPr="002244C2">
        <w:rPr>
          <w:rFonts w:ascii="Book Antiqua" w:hAnsi="Book Antiqua"/>
          <w:sz w:val="24"/>
          <w:szCs w:val="24"/>
        </w:rPr>
        <w:t xml:space="preserve"> </w:t>
      </w:r>
      <w:r w:rsidR="0011421F" w:rsidRPr="002244C2">
        <w:rPr>
          <w:rFonts w:ascii="Book Antiqua" w:hAnsi="Book Antiqua"/>
          <w:sz w:val="24"/>
          <w:szCs w:val="24"/>
        </w:rPr>
        <w:t>the</w:t>
      </w:r>
      <w:r w:rsidR="00023C72">
        <w:rPr>
          <w:rFonts w:ascii="Book Antiqua" w:hAnsi="Book Antiqua"/>
          <w:sz w:val="24"/>
          <w:szCs w:val="24"/>
        </w:rPr>
        <w:t xml:space="preserve"> plaintiff’s</w:t>
      </w:r>
      <w:r w:rsidR="0011421F" w:rsidRPr="002244C2">
        <w:rPr>
          <w:rFonts w:ascii="Book Antiqua" w:hAnsi="Book Antiqua"/>
          <w:sz w:val="24"/>
          <w:szCs w:val="24"/>
        </w:rPr>
        <w:t xml:space="preserve"> costs</w:t>
      </w:r>
      <w:r w:rsidR="004504A4">
        <w:rPr>
          <w:rFonts w:ascii="Book Antiqua" w:hAnsi="Book Antiqua"/>
          <w:sz w:val="24"/>
          <w:szCs w:val="24"/>
        </w:rPr>
        <w:t>, including</w:t>
      </w:r>
      <w:r w:rsidR="0011421F" w:rsidRPr="002244C2">
        <w:rPr>
          <w:rFonts w:ascii="Book Antiqua" w:hAnsi="Book Antiqua"/>
          <w:sz w:val="24"/>
          <w:szCs w:val="24"/>
        </w:rPr>
        <w:t xml:space="preserve"> disbursements</w:t>
      </w:r>
      <w:r w:rsidR="004504A4">
        <w:rPr>
          <w:rFonts w:ascii="Book Antiqua" w:hAnsi="Book Antiqua"/>
          <w:sz w:val="24"/>
          <w:szCs w:val="24"/>
        </w:rPr>
        <w:t xml:space="preserve">, </w:t>
      </w:r>
      <w:r w:rsidR="0011421F" w:rsidRPr="002244C2">
        <w:rPr>
          <w:rFonts w:ascii="Book Antiqua" w:hAnsi="Book Antiqua"/>
          <w:sz w:val="24"/>
          <w:szCs w:val="24"/>
        </w:rPr>
        <w:t xml:space="preserve">calculated on the standard basis up to </w:t>
      </w:r>
      <w:r w:rsidR="00EC131B">
        <w:rPr>
          <w:rFonts w:ascii="Book Antiqua" w:hAnsi="Book Antiqua"/>
          <w:sz w:val="24"/>
          <w:szCs w:val="24"/>
        </w:rPr>
        <w:t>the end</w:t>
      </w:r>
      <w:r w:rsidR="0011421F" w:rsidRPr="002244C2">
        <w:rPr>
          <w:rFonts w:ascii="Book Antiqua" w:hAnsi="Book Antiqua"/>
          <w:sz w:val="24"/>
          <w:szCs w:val="24"/>
        </w:rPr>
        <w:t xml:space="preserve"> of mediation</w:t>
      </w:r>
      <w:r>
        <w:rPr>
          <w:rFonts w:ascii="Book Antiqua" w:hAnsi="Book Antiqua"/>
          <w:sz w:val="24"/>
          <w:szCs w:val="24"/>
        </w:rPr>
        <w:t>;</w:t>
      </w:r>
      <w:r w:rsidR="00023C72">
        <w:rPr>
          <w:rFonts w:ascii="Book Antiqua" w:hAnsi="Book Antiqua"/>
          <w:sz w:val="24"/>
          <w:szCs w:val="24"/>
        </w:rPr>
        <w:t xml:space="preserve"> and </w:t>
      </w:r>
    </w:p>
    <w:p w14:paraId="669E6BE2" w14:textId="77777777" w:rsidR="00182C1F" w:rsidRPr="000E2CAA" w:rsidRDefault="00023C72" w:rsidP="000E2CAA">
      <w:pPr>
        <w:pStyle w:val="ListParagraph"/>
        <w:numPr>
          <w:ilvl w:val="2"/>
          <w:numId w:val="5"/>
        </w:numPr>
        <w:contextualSpacing w:val="0"/>
        <w:jc w:val="both"/>
        <w:rPr>
          <w:rFonts w:ascii="Book Antiqua" w:hAnsi="Book Antiqua"/>
        </w:rPr>
      </w:pPr>
      <w:r w:rsidRPr="000E2CAA">
        <w:rPr>
          <w:rFonts w:ascii="Book Antiqua" w:hAnsi="Book Antiqua"/>
          <w:sz w:val="24"/>
          <w:szCs w:val="24"/>
        </w:rPr>
        <w:t xml:space="preserve">whether or not a conditional cost agreement </w:t>
      </w:r>
      <w:r w:rsidR="00363064" w:rsidRPr="000E2CAA">
        <w:rPr>
          <w:rFonts w:ascii="Book Antiqua" w:hAnsi="Book Antiqua"/>
          <w:sz w:val="24"/>
          <w:szCs w:val="24"/>
        </w:rPr>
        <w:t xml:space="preserve">has been entered </w:t>
      </w:r>
      <w:r w:rsidRPr="000E2CAA">
        <w:rPr>
          <w:rFonts w:ascii="Book Antiqua" w:hAnsi="Book Antiqua"/>
          <w:sz w:val="24"/>
          <w:szCs w:val="24"/>
        </w:rPr>
        <w:t>and</w:t>
      </w:r>
      <w:r w:rsidR="00EC131B" w:rsidRPr="000E2CAA">
        <w:rPr>
          <w:rFonts w:ascii="Book Antiqua" w:hAnsi="Book Antiqua"/>
          <w:sz w:val="24"/>
          <w:szCs w:val="24"/>
        </w:rPr>
        <w:t>, if so,</w:t>
      </w:r>
      <w:r w:rsidR="00E31E27" w:rsidRPr="000E2CAA">
        <w:rPr>
          <w:rFonts w:ascii="Book Antiqua" w:hAnsi="Book Antiqua"/>
          <w:sz w:val="24"/>
          <w:szCs w:val="24"/>
        </w:rPr>
        <w:t xml:space="preserve"> </w:t>
      </w:r>
      <w:r w:rsidRPr="000E2CAA">
        <w:rPr>
          <w:rFonts w:ascii="Book Antiqua" w:hAnsi="Book Antiqua"/>
          <w:sz w:val="24"/>
          <w:szCs w:val="24"/>
        </w:rPr>
        <w:t>the estimated amount of any uplift fee.</w:t>
      </w:r>
    </w:p>
    <w:p w14:paraId="669D997C" w14:textId="77777777" w:rsidR="00CB5C59" w:rsidRPr="002244C2" w:rsidRDefault="00CB5C59" w:rsidP="002244C2">
      <w:pPr>
        <w:pStyle w:val="ListParagraph"/>
        <w:numPr>
          <w:ilvl w:val="1"/>
          <w:numId w:val="2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/>
          <w:b/>
          <w:sz w:val="24"/>
          <w:szCs w:val="24"/>
        </w:rPr>
      </w:pPr>
      <w:r w:rsidRPr="00781EED">
        <w:rPr>
          <w:rFonts w:ascii="Book Antiqua" w:hAnsi="Book Antiqua"/>
          <w:sz w:val="24"/>
          <w:szCs w:val="24"/>
        </w:rPr>
        <w:t>Should there be non-complianc</w:t>
      </w:r>
      <w:r w:rsidR="004A4FD3" w:rsidRPr="00781EED">
        <w:rPr>
          <w:rFonts w:ascii="Book Antiqua" w:hAnsi="Book Antiqua"/>
          <w:sz w:val="24"/>
          <w:szCs w:val="24"/>
        </w:rPr>
        <w:t xml:space="preserve">e with </w:t>
      </w:r>
      <w:r w:rsidR="00E15CF4">
        <w:rPr>
          <w:rFonts w:ascii="Book Antiqua" w:hAnsi="Book Antiqua"/>
          <w:sz w:val="24"/>
          <w:szCs w:val="24"/>
        </w:rPr>
        <w:t xml:space="preserve">preceding </w:t>
      </w:r>
      <w:r w:rsidR="004A4FD3" w:rsidRPr="00781EED">
        <w:rPr>
          <w:rFonts w:ascii="Book Antiqua" w:hAnsi="Book Antiqua"/>
          <w:sz w:val="24"/>
          <w:szCs w:val="24"/>
        </w:rPr>
        <w:t>paragraph</w:t>
      </w:r>
      <w:r w:rsidRPr="00781EED">
        <w:rPr>
          <w:rFonts w:ascii="Book Antiqua" w:hAnsi="Book Antiqua"/>
          <w:sz w:val="24"/>
          <w:szCs w:val="24"/>
        </w:rPr>
        <w:t xml:space="preserve">, </w:t>
      </w:r>
      <w:r w:rsidR="002E17D5" w:rsidRPr="00781EED">
        <w:rPr>
          <w:rFonts w:ascii="Book Antiqua" w:hAnsi="Book Antiqua"/>
          <w:sz w:val="24"/>
          <w:szCs w:val="24"/>
        </w:rPr>
        <w:t xml:space="preserve">in the absence of special circumstances, </w:t>
      </w:r>
      <w:r w:rsidRPr="00781EED">
        <w:rPr>
          <w:rFonts w:ascii="Book Antiqua" w:hAnsi="Book Antiqua"/>
          <w:sz w:val="24"/>
          <w:szCs w:val="24"/>
        </w:rPr>
        <w:t xml:space="preserve">the Court may of its own motion vacate </w:t>
      </w:r>
      <w:r w:rsidR="004A4FD3" w:rsidRPr="00781EED">
        <w:rPr>
          <w:rFonts w:ascii="Book Antiqua" w:hAnsi="Book Antiqua"/>
          <w:sz w:val="24"/>
          <w:szCs w:val="24"/>
        </w:rPr>
        <w:t>the first directions hearing</w:t>
      </w:r>
      <w:r w:rsidRPr="006219AF">
        <w:rPr>
          <w:rFonts w:ascii="Book Antiqua" w:hAnsi="Book Antiqua"/>
          <w:sz w:val="24"/>
          <w:szCs w:val="24"/>
        </w:rPr>
        <w:t xml:space="preserve"> and relist </w:t>
      </w:r>
      <w:r w:rsidR="004A4FD3" w:rsidRPr="006219AF">
        <w:rPr>
          <w:rFonts w:ascii="Book Antiqua" w:hAnsi="Book Antiqua"/>
          <w:sz w:val="24"/>
          <w:szCs w:val="24"/>
        </w:rPr>
        <w:t>it</w:t>
      </w:r>
      <w:r w:rsidRPr="00781EED">
        <w:rPr>
          <w:rFonts w:ascii="Book Antiqua" w:hAnsi="Book Antiqua"/>
          <w:sz w:val="24"/>
          <w:szCs w:val="24"/>
        </w:rPr>
        <w:t xml:space="preserve"> on the next</w:t>
      </w:r>
      <w:r w:rsidR="004A4FD3" w:rsidRPr="00781EED">
        <w:rPr>
          <w:rFonts w:ascii="Book Antiqua" w:hAnsi="Book Antiqua"/>
          <w:sz w:val="24"/>
          <w:szCs w:val="24"/>
        </w:rPr>
        <w:t xml:space="preserve"> available</w:t>
      </w:r>
      <w:r w:rsidRPr="00781EED">
        <w:rPr>
          <w:rFonts w:ascii="Book Antiqua" w:hAnsi="Book Antiqua"/>
          <w:sz w:val="24"/>
          <w:szCs w:val="24"/>
        </w:rPr>
        <w:t xml:space="preserve"> List direction</w:t>
      </w:r>
      <w:r w:rsidR="004A4FD3" w:rsidRPr="00781EED">
        <w:rPr>
          <w:rFonts w:ascii="Book Antiqua" w:hAnsi="Book Antiqua"/>
          <w:sz w:val="24"/>
          <w:szCs w:val="24"/>
        </w:rPr>
        <w:t>s</w:t>
      </w:r>
      <w:r w:rsidRPr="00781EED">
        <w:rPr>
          <w:rFonts w:ascii="Book Antiqua" w:hAnsi="Book Antiqua"/>
          <w:sz w:val="24"/>
          <w:szCs w:val="24"/>
        </w:rPr>
        <w:t xml:space="preserve"> day</w:t>
      </w:r>
      <w:r w:rsidR="00C65EBC">
        <w:rPr>
          <w:rFonts w:ascii="Book Antiqua" w:hAnsi="Book Antiqua"/>
          <w:sz w:val="24"/>
          <w:szCs w:val="24"/>
        </w:rPr>
        <w:t>, or as convenient to the Court</w:t>
      </w:r>
      <w:r w:rsidR="00961A5D">
        <w:rPr>
          <w:rFonts w:ascii="Book Antiqua" w:hAnsi="Book Antiqua"/>
          <w:sz w:val="24"/>
          <w:szCs w:val="24"/>
        </w:rPr>
        <w:t>,</w:t>
      </w:r>
      <w:r w:rsidR="000E2CAA">
        <w:rPr>
          <w:rFonts w:ascii="Book Antiqua" w:hAnsi="Book Antiqua"/>
          <w:sz w:val="24"/>
          <w:szCs w:val="24"/>
        </w:rPr>
        <w:t xml:space="preserve"> at which point compliance is expected</w:t>
      </w:r>
      <w:r w:rsidRPr="00781EED">
        <w:rPr>
          <w:rFonts w:ascii="Book Antiqua" w:hAnsi="Book Antiqua"/>
          <w:sz w:val="24"/>
          <w:szCs w:val="24"/>
        </w:rPr>
        <w:t>.</w:t>
      </w:r>
      <w:r w:rsidR="00B1424B">
        <w:rPr>
          <w:rFonts w:ascii="Book Antiqua" w:hAnsi="Book Antiqua"/>
          <w:sz w:val="24"/>
          <w:szCs w:val="24"/>
        </w:rPr>
        <w:t xml:space="preserve"> </w:t>
      </w:r>
      <w:r w:rsidR="00C65EBC">
        <w:rPr>
          <w:rFonts w:ascii="Book Antiqua" w:hAnsi="Book Antiqua"/>
          <w:sz w:val="24"/>
          <w:szCs w:val="24"/>
        </w:rPr>
        <w:t>If</w:t>
      </w:r>
      <w:r w:rsidR="005333D5">
        <w:rPr>
          <w:rFonts w:ascii="Book Antiqua" w:hAnsi="Book Antiqua"/>
          <w:sz w:val="24"/>
          <w:szCs w:val="24"/>
        </w:rPr>
        <w:t xml:space="preserve"> </w:t>
      </w:r>
      <w:r w:rsidR="00C65EBC">
        <w:rPr>
          <w:rFonts w:ascii="Book Antiqua" w:hAnsi="Book Antiqua"/>
          <w:sz w:val="24"/>
          <w:szCs w:val="24"/>
        </w:rPr>
        <w:t xml:space="preserve">the plaintiff has not filed the required material by the relisted date, in the absence of special circumstances, </w:t>
      </w:r>
      <w:r w:rsidR="00E75F7D">
        <w:rPr>
          <w:rFonts w:ascii="Book Antiqua" w:hAnsi="Book Antiqua"/>
          <w:sz w:val="24"/>
          <w:szCs w:val="24"/>
        </w:rPr>
        <w:t xml:space="preserve">appearances by all parties will be required, </w:t>
      </w:r>
      <w:r w:rsidR="00C65EBC">
        <w:rPr>
          <w:rFonts w:ascii="Book Antiqua" w:hAnsi="Book Antiqua"/>
          <w:sz w:val="24"/>
          <w:szCs w:val="24"/>
        </w:rPr>
        <w:t xml:space="preserve">the summons for directions will be further adjourned for compliance with this Practice Note </w:t>
      </w:r>
      <w:r w:rsidR="00924839">
        <w:rPr>
          <w:rFonts w:ascii="Book Antiqua" w:hAnsi="Book Antiqua"/>
          <w:sz w:val="24"/>
          <w:szCs w:val="24"/>
        </w:rPr>
        <w:t xml:space="preserve">by the </w:t>
      </w:r>
      <w:r w:rsidR="004F55C4">
        <w:rPr>
          <w:rFonts w:ascii="Book Antiqua" w:hAnsi="Book Antiqua"/>
          <w:sz w:val="24"/>
          <w:szCs w:val="24"/>
        </w:rPr>
        <w:t>plaintiff</w:t>
      </w:r>
      <w:r w:rsidR="00C65EBC">
        <w:rPr>
          <w:rFonts w:ascii="Book Antiqua" w:hAnsi="Book Antiqua"/>
          <w:sz w:val="24"/>
          <w:szCs w:val="24"/>
        </w:rPr>
        <w:t xml:space="preserve">, and the Court will </w:t>
      </w:r>
      <w:r w:rsidR="0051553D">
        <w:rPr>
          <w:rFonts w:ascii="Book Antiqua" w:hAnsi="Book Antiqua"/>
          <w:sz w:val="24"/>
          <w:szCs w:val="24"/>
        </w:rPr>
        <w:t>require the parties to address</w:t>
      </w:r>
      <w:r w:rsidR="00C65EBC">
        <w:rPr>
          <w:rFonts w:ascii="Book Antiqua" w:hAnsi="Book Antiqua"/>
          <w:sz w:val="24"/>
          <w:szCs w:val="24"/>
        </w:rPr>
        <w:t xml:space="preserve"> the question of the costs of that </w:t>
      </w:r>
      <w:r w:rsidR="00E75F7D">
        <w:rPr>
          <w:rFonts w:ascii="Book Antiqua" w:hAnsi="Book Antiqua"/>
          <w:sz w:val="24"/>
          <w:szCs w:val="24"/>
        </w:rPr>
        <w:t>day</w:t>
      </w:r>
      <w:r w:rsidR="00C65EBC">
        <w:rPr>
          <w:rFonts w:ascii="Book Antiqua" w:hAnsi="Book Antiqua"/>
          <w:sz w:val="24"/>
          <w:szCs w:val="24"/>
        </w:rPr>
        <w:t xml:space="preserve">.  </w:t>
      </w:r>
    </w:p>
    <w:p w14:paraId="471628D3" w14:textId="77777777" w:rsidR="004A4FD3" w:rsidRPr="002244C2" w:rsidRDefault="0011421F" w:rsidP="002244C2">
      <w:pPr>
        <w:pStyle w:val="ListParagraph"/>
        <w:numPr>
          <w:ilvl w:val="1"/>
          <w:numId w:val="2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/>
          <w:b/>
          <w:sz w:val="24"/>
          <w:szCs w:val="24"/>
        </w:rPr>
      </w:pPr>
      <w:r w:rsidRPr="00781EED">
        <w:rPr>
          <w:rFonts w:ascii="Book Antiqua" w:hAnsi="Book Antiqua"/>
          <w:sz w:val="24"/>
          <w:szCs w:val="24"/>
        </w:rPr>
        <w:t>At the</w:t>
      </w:r>
      <w:r w:rsidR="00AC6D18" w:rsidRPr="00781EED">
        <w:rPr>
          <w:rFonts w:ascii="Book Antiqua" w:hAnsi="Book Antiqua"/>
          <w:sz w:val="24"/>
          <w:szCs w:val="24"/>
        </w:rPr>
        <w:t xml:space="preserve"> first directions hearing</w:t>
      </w:r>
      <w:r w:rsidR="004A4FD3" w:rsidRPr="00781EED">
        <w:rPr>
          <w:rFonts w:ascii="Book Antiqua" w:hAnsi="Book Antiqua"/>
          <w:sz w:val="24"/>
          <w:szCs w:val="24"/>
        </w:rPr>
        <w:t>:</w:t>
      </w:r>
      <w:r w:rsidR="00AC6D18" w:rsidRPr="00781EED">
        <w:rPr>
          <w:rFonts w:ascii="Book Antiqua" w:hAnsi="Book Antiqua"/>
          <w:sz w:val="24"/>
          <w:szCs w:val="24"/>
        </w:rPr>
        <w:t xml:space="preserve"> </w:t>
      </w:r>
    </w:p>
    <w:p w14:paraId="38290D61" w14:textId="77777777" w:rsidR="00023C72" w:rsidRPr="000E2CAA" w:rsidRDefault="00AC6D18" w:rsidP="002244C2">
      <w:pPr>
        <w:pStyle w:val="ListParagraph"/>
        <w:numPr>
          <w:ilvl w:val="1"/>
          <w:numId w:val="17"/>
        </w:numPr>
        <w:autoSpaceDE w:val="0"/>
        <w:autoSpaceDN w:val="0"/>
        <w:adjustRightInd w:val="0"/>
        <w:ind w:left="1418" w:hanging="709"/>
        <w:contextualSpacing w:val="0"/>
        <w:jc w:val="both"/>
        <w:rPr>
          <w:rFonts w:ascii="Book Antiqua" w:hAnsi="Book Antiqua"/>
          <w:b/>
          <w:sz w:val="24"/>
          <w:szCs w:val="24"/>
        </w:rPr>
      </w:pPr>
      <w:r w:rsidRPr="00781EED">
        <w:rPr>
          <w:rFonts w:ascii="Book Antiqua" w:hAnsi="Book Antiqua"/>
          <w:sz w:val="24"/>
          <w:szCs w:val="24"/>
        </w:rPr>
        <w:t xml:space="preserve">the </w:t>
      </w:r>
      <w:r w:rsidR="00B91774" w:rsidRPr="000E2CAA">
        <w:rPr>
          <w:rFonts w:ascii="Book Antiqua" w:hAnsi="Book Antiqua"/>
          <w:sz w:val="24"/>
          <w:szCs w:val="24"/>
        </w:rPr>
        <w:t>p</w:t>
      </w:r>
      <w:r w:rsidR="0011421F" w:rsidRPr="000E2CAA">
        <w:rPr>
          <w:rFonts w:ascii="Book Antiqua" w:hAnsi="Book Antiqua"/>
          <w:sz w:val="24"/>
          <w:szCs w:val="24"/>
        </w:rPr>
        <w:t xml:space="preserve">laintiff is expected to specify the extent of </w:t>
      </w:r>
      <w:r w:rsidR="002B2246" w:rsidRPr="000E2CAA">
        <w:rPr>
          <w:rFonts w:ascii="Book Antiqua" w:hAnsi="Book Antiqua"/>
          <w:sz w:val="24"/>
          <w:szCs w:val="24"/>
        </w:rPr>
        <w:t>the provision</w:t>
      </w:r>
      <w:r w:rsidR="002B08CB" w:rsidRPr="000E2CAA">
        <w:rPr>
          <w:rFonts w:ascii="Book Antiqua" w:hAnsi="Book Antiqua"/>
          <w:sz w:val="24"/>
          <w:szCs w:val="24"/>
        </w:rPr>
        <w:t xml:space="preserve"> or </w:t>
      </w:r>
      <w:r w:rsidR="0011421F" w:rsidRPr="000E2CAA">
        <w:rPr>
          <w:rFonts w:ascii="Book Antiqua" w:hAnsi="Book Antiqua"/>
          <w:sz w:val="24"/>
          <w:szCs w:val="24"/>
        </w:rPr>
        <w:t>further provision sought from the estate</w:t>
      </w:r>
      <w:r w:rsidR="00A14E64" w:rsidRPr="000E2CAA">
        <w:rPr>
          <w:rFonts w:ascii="Book Antiqua" w:hAnsi="Book Antiqua"/>
          <w:sz w:val="24"/>
          <w:szCs w:val="24"/>
        </w:rPr>
        <w:t xml:space="preserve">, or explain why </w:t>
      </w:r>
      <w:r w:rsidR="00924839" w:rsidRPr="000E2CAA">
        <w:rPr>
          <w:rFonts w:ascii="Book Antiqua" w:hAnsi="Book Antiqua"/>
          <w:sz w:val="24"/>
          <w:szCs w:val="24"/>
        </w:rPr>
        <w:t>they can</w:t>
      </w:r>
      <w:r w:rsidR="00A14E64" w:rsidRPr="000E2CAA">
        <w:rPr>
          <w:rFonts w:ascii="Book Antiqua" w:hAnsi="Book Antiqua"/>
          <w:sz w:val="24"/>
          <w:szCs w:val="24"/>
        </w:rPr>
        <w:t>not</w:t>
      </w:r>
      <w:r w:rsidR="00023C72" w:rsidRPr="000E2CAA">
        <w:rPr>
          <w:rFonts w:ascii="Book Antiqua" w:hAnsi="Book Antiqua"/>
          <w:sz w:val="24"/>
          <w:szCs w:val="24"/>
        </w:rPr>
        <w:t>;</w:t>
      </w:r>
    </w:p>
    <w:p w14:paraId="19F31D34" w14:textId="77777777" w:rsidR="004F55C4" w:rsidRPr="000E2CAA" w:rsidRDefault="00BE08C4" w:rsidP="002244C2">
      <w:pPr>
        <w:pStyle w:val="ListParagraph"/>
        <w:numPr>
          <w:ilvl w:val="1"/>
          <w:numId w:val="17"/>
        </w:numPr>
        <w:autoSpaceDE w:val="0"/>
        <w:autoSpaceDN w:val="0"/>
        <w:adjustRightInd w:val="0"/>
        <w:ind w:left="1418" w:hanging="709"/>
        <w:contextualSpacing w:val="0"/>
        <w:jc w:val="both"/>
        <w:rPr>
          <w:rFonts w:ascii="Book Antiqua" w:hAnsi="Book Antiqua"/>
          <w:sz w:val="24"/>
          <w:szCs w:val="24"/>
        </w:rPr>
      </w:pPr>
      <w:r w:rsidRPr="000E2CAA">
        <w:rPr>
          <w:rFonts w:ascii="Book Antiqua" w:hAnsi="Book Antiqua"/>
          <w:sz w:val="24"/>
          <w:szCs w:val="24"/>
        </w:rPr>
        <w:t>the defendant</w:t>
      </w:r>
      <w:r w:rsidR="00961840">
        <w:rPr>
          <w:rFonts w:ascii="Book Antiqua" w:hAnsi="Book Antiqua"/>
          <w:sz w:val="24"/>
          <w:szCs w:val="24"/>
        </w:rPr>
        <w:t xml:space="preserve"> </w:t>
      </w:r>
      <w:r w:rsidRPr="000E2CAA">
        <w:rPr>
          <w:rFonts w:ascii="Book Antiqua" w:hAnsi="Book Antiqua"/>
          <w:sz w:val="24"/>
          <w:szCs w:val="24"/>
        </w:rPr>
        <w:t>may seek orders granting</w:t>
      </w:r>
      <w:r w:rsidR="00023C72" w:rsidRPr="000E2CAA">
        <w:rPr>
          <w:rFonts w:ascii="Book Antiqua" w:hAnsi="Book Antiqua"/>
          <w:sz w:val="24"/>
          <w:szCs w:val="24"/>
        </w:rPr>
        <w:t xml:space="preserve"> </w:t>
      </w:r>
      <w:r w:rsidR="00924839" w:rsidRPr="000E2CAA">
        <w:rPr>
          <w:rFonts w:ascii="Book Antiqua" w:hAnsi="Book Antiqua"/>
          <w:sz w:val="24"/>
          <w:szCs w:val="24"/>
        </w:rPr>
        <w:t xml:space="preserve">leave </w:t>
      </w:r>
      <w:r w:rsidRPr="000E2CAA">
        <w:rPr>
          <w:rFonts w:ascii="Book Antiqua" w:hAnsi="Book Antiqua"/>
          <w:sz w:val="24"/>
          <w:szCs w:val="24"/>
        </w:rPr>
        <w:t xml:space="preserve">to </w:t>
      </w:r>
      <w:r w:rsidR="00924839" w:rsidRPr="000E2CAA">
        <w:rPr>
          <w:rFonts w:ascii="Book Antiqua" w:hAnsi="Book Antiqua"/>
          <w:sz w:val="24"/>
          <w:szCs w:val="24"/>
        </w:rPr>
        <w:t>a beneficiary to join as a defendant</w:t>
      </w:r>
      <w:r w:rsidRPr="000E2CAA">
        <w:rPr>
          <w:rFonts w:ascii="Book Antiqua" w:hAnsi="Book Antiqua"/>
          <w:sz w:val="24"/>
          <w:szCs w:val="24"/>
        </w:rPr>
        <w:t xml:space="preserve"> and to be provided with notice of the orders</w:t>
      </w:r>
      <w:r w:rsidR="00981236">
        <w:rPr>
          <w:rFonts w:ascii="Book Antiqua" w:hAnsi="Book Antiqua"/>
          <w:sz w:val="24"/>
          <w:szCs w:val="24"/>
        </w:rPr>
        <w:t xml:space="preserve">, with a clear explanation as to why </w:t>
      </w:r>
      <w:r w:rsidRPr="000E2CAA">
        <w:rPr>
          <w:rFonts w:ascii="Book Antiqua" w:hAnsi="Book Antiqua"/>
          <w:sz w:val="24"/>
          <w:szCs w:val="24"/>
        </w:rPr>
        <w:t>the defendant is unable to represent the</w:t>
      </w:r>
      <w:r w:rsidR="00961840">
        <w:rPr>
          <w:rFonts w:ascii="Book Antiqua" w:hAnsi="Book Antiqua"/>
          <w:sz w:val="24"/>
          <w:szCs w:val="24"/>
        </w:rPr>
        <w:t>ir</w:t>
      </w:r>
      <w:r w:rsidRPr="000E2CAA">
        <w:rPr>
          <w:rFonts w:ascii="Book Antiqua" w:hAnsi="Book Antiqua"/>
          <w:sz w:val="24"/>
          <w:szCs w:val="24"/>
        </w:rPr>
        <w:t xml:space="preserve"> interests in the proceeding; </w:t>
      </w:r>
      <w:r w:rsidR="00023C72" w:rsidRPr="000E2CAA">
        <w:rPr>
          <w:rFonts w:ascii="Book Antiqua" w:hAnsi="Book Antiqua"/>
          <w:sz w:val="24"/>
          <w:szCs w:val="24"/>
        </w:rPr>
        <w:t xml:space="preserve">and </w:t>
      </w:r>
    </w:p>
    <w:p w14:paraId="1EB41B00" w14:textId="77777777" w:rsidR="004F55C4" w:rsidRPr="00927130" w:rsidRDefault="00023C72" w:rsidP="00BB6A4A">
      <w:pPr>
        <w:pStyle w:val="ListParagraph"/>
        <w:numPr>
          <w:ilvl w:val="1"/>
          <w:numId w:val="17"/>
        </w:numPr>
        <w:autoSpaceDE w:val="0"/>
        <w:autoSpaceDN w:val="0"/>
        <w:adjustRightInd w:val="0"/>
        <w:ind w:left="1418" w:hanging="709"/>
        <w:contextualSpacing w:val="0"/>
        <w:jc w:val="both"/>
        <w:rPr>
          <w:rFonts w:ascii="Book Antiqua" w:hAnsi="Book Antiqua"/>
          <w:sz w:val="24"/>
          <w:szCs w:val="24"/>
        </w:rPr>
      </w:pPr>
      <w:r w:rsidRPr="00927130">
        <w:rPr>
          <w:rFonts w:ascii="Book Antiqua" w:hAnsi="Book Antiqua"/>
          <w:sz w:val="24"/>
          <w:szCs w:val="24"/>
        </w:rPr>
        <w:t>the parties should inform the Court of</w:t>
      </w:r>
      <w:r w:rsidR="00A14E64" w:rsidRPr="00927130">
        <w:rPr>
          <w:rFonts w:ascii="Book Antiqua" w:hAnsi="Book Antiqua"/>
          <w:sz w:val="24"/>
          <w:szCs w:val="24"/>
        </w:rPr>
        <w:t xml:space="preserve"> </w:t>
      </w:r>
      <w:r w:rsidR="004F55C4" w:rsidRPr="00927130">
        <w:rPr>
          <w:rFonts w:ascii="Book Antiqua" w:hAnsi="Book Antiqua"/>
          <w:sz w:val="24"/>
          <w:szCs w:val="24"/>
        </w:rPr>
        <w:t>any child under the age of 18 years or an adult person under disability who may be affected by the proceeding.</w:t>
      </w:r>
    </w:p>
    <w:p w14:paraId="7E7C90EF" w14:textId="77777777" w:rsidR="00C603C2" w:rsidRPr="000E2CAA" w:rsidRDefault="0003723C" w:rsidP="00BB6A4A">
      <w:pPr>
        <w:pStyle w:val="ListParagraph"/>
        <w:numPr>
          <w:ilvl w:val="1"/>
          <w:numId w:val="2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/>
          <w:b/>
        </w:rPr>
      </w:pPr>
      <w:r w:rsidRPr="000E2CAA">
        <w:rPr>
          <w:rFonts w:ascii="Book Antiqua" w:hAnsi="Book Antiqua"/>
          <w:sz w:val="24"/>
          <w:szCs w:val="24"/>
        </w:rPr>
        <w:t xml:space="preserve">Any position paper filed in a TFM application </w:t>
      </w:r>
      <w:r w:rsidR="002E0EA4" w:rsidRPr="00927130">
        <w:rPr>
          <w:rFonts w:ascii="Book Antiqua" w:hAnsi="Book Antiqua"/>
          <w:sz w:val="24"/>
          <w:szCs w:val="24"/>
        </w:rPr>
        <w:t>is</w:t>
      </w:r>
      <w:r w:rsidR="00C603C2" w:rsidRPr="00927130">
        <w:rPr>
          <w:rFonts w:ascii="Book Antiqua" w:hAnsi="Book Antiqua"/>
          <w:sz w:val="24"/>
          <w:szCs w:val="24"/>
        </w:rPr>
        <w:t xml:space="preserve"> to contain representations of relevant facts, which, to the best of the knowledge and belief of the person making them, are true and correct.  Each position </w:t>
      </w:r>
      <w:r w:rsidR="009A38C8">
        <w:rPr>
          <w:rFonts w:ascii="Book Antiqua" w:hAnsi="Book Antiqua"/>
          <w:sz w:val="24"/>
          <w:szCs w:val="24"/>
        </w:rPr>
        <w:t>paper</w:t>
      </w:r>
      <w:r w:rsidR="009A38C8" w:rsidRPr="00927130">
        <w:rPr>
          <w:rFonts w:ascii="Book Antiqua" w:hAnsi="Book Antiqua"/>
          <w:sz w:val="24"/>
          <w:szCs w:val="24"/>
        </w:rPr>
        <w:t xml:space="preserve"> </w:t>
      </w:r>
      <w:r w:rsidR="00C603C2" w:rsidRPr="00927130">
        <w:rPr>
          <w:rFonts w:ascii="Book Antiqua" w:hAnsi="Book Antiqua"/>
          <w:sz w:val="24"/>
          <w:szCs w:val="24"/>
        </w:rPr>
        <w:t>is to be provided with the objective that:</w:t>
      </w:r>
    </w:p>
    <w:p w14:paraId="0BD11B09" w14:textId="77777777" w:rsidR="00C603C2" w:rsidRPr="002B1381" w:rsidRDefault="00C603C2" w:rsidP="00BB6A4A">
      <w:pPr>
        <w:pStyle w:val="ListParagraph"/>
        <w:numPr>
          <w:ilvl w:val="3"/>
          <w:numId w:val="5"/>
        </w:numPr>
        <w:spacing w:before="120" w:after="120"/>
        <w:ind w:left="1418" w:hanging="708"/>
        <w:jc w:val="both"/>
        <w:rPr>
          <w:rFonts w:ascii="Book Antiqua" w:hAnsi="Book Antiqua"/>
        </w:rPr>
      </w:pPr>
      <w:r w:rsidRPr="00927130">
        <w:rPr>
          <w:rFonts w:ascii="Book Antiqua" w:hAnsi="Book Antiqua"/>
          <w:sz w:val="24"/>
          <w:szCs w:val="24"/>
        </w:rPr>
        <w:t>it may be relied upon by the opposing parties in entering to negotiations to explore the possibility of compromising the proceeding; and</w:t>
      </w:r>
    </w:p>
    <w:p w14:paraId="7006E5A2" w14:textId="77777777" w:rsidR="00C603C2" w:rsidRDefault="00C603C2" w:rsidP="00BB6A4A">
      <w:pPr>
        <w:pStyle w:val="ListParagraph"/>
        <w:numPr>
          <w:ilvl w:val="3"/>
          <w:numId w:val="5"/>
        </w:numPr>
        <w:spacing w:before="120" w:after="120"/>
        <w:ind w:left="1418" w:hanging="708"/>
        <w:jc w:val="both"/>
        <w:rPr>
          <w:rFonts w:ascii="Book Antiqua" w:hAnsi="Book Antiqua"/>
          <w:sz w:val="24"/>
          <w:szCs w:val="24"/>
        </w:rPr>
      </w:pPr>
      <w:r w:rsidRPr="002B1381">
        <w:rPr>
          <w:rFonts w:ascii="Book Antiqua" w:hAnsi="Book Antiqua"/>
          <w:sz w:val="24"/>
          <w:szCs w:val="24"/>
        </w:rPr>
        <w:t>it is an outline of the anticipated evidence at trial of the person making the statement</w:t>
      </w:r>
      <w:r w:rsidRPr="00BB6A4A">
        <w:rPr>
          <w:rFonts w:ascii="Book Antiqua" w:hAnsi="Book Antiqua"/>
          <w:sz w:val="24"/>
          <w:szCs w:val="24"/>
        </w:rPr>
        <w:t>.</w:t>
      </w:r>
    </w:p>
    <w:p w14:paraId="53A46EFD" w14:textId="77777777" w:rsidR="00BB6A4A" w:rsidRPr="00BB6A4A" w:rsidRDefault="0078715E" w:rsidP="00BB6A4A">
      <w:pPr>
        <w:pStyle w:val="PlainText"/>
        <w:numPr>
          <w:ilvl w:val="1"/>
          <w:numId w:val="2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absence of response to </w:t>
      </w:r>
      <w:r w:rsidR="003813D2">
        <w:rPr>
          <w:rFonts w:ascii="Book Antiqua" w:hAnsi="Book Antiqua"/>
          <w:sz w:val="24"/>
          <w:szCs w:val="24"/>
        </w:rPr>
        <w:t>a</w:t>
      </w:r>
      <w:r w:rsidR="00B432DA">
        <w:rPr>
          <w:rFonts w:ascii="Book Antiqua" w:hAnsi="Book Antiqua"/>
          <w:sz w:val="24"/>
          <w:szCs w:val="24"/>
        </w:rPr>
        <w:t xml:space="preserve"> plaintiff’s solicitors costs estimate </w:t>
      </w:r>
      <w:r w:rsidR="00B97565">
        <w:rPr>
          <w:rFonts w:ascii="Book Antiqua" w:hAnsi="Book Antiqua"/>
          <w:sz w:val="24"/>
          <w:szCs w:val="24"/>
        </w:rPr>
        <w:t xml:space="preserve">at </w:t>
      </w:r>
      <w:r w:rsidR="00686D39">
        <w:rPr>
          <w:rFonts w:ascii="Book Antiqua" w:hAnsi="Book Antiqua"/>
          <w:sz w:val="24"/>
          <w:szCs w:val="24"/>
        </w:rPr>
        <w:t>a</w:t>
      </w:r>
      <w:r w:rsidR="00B97565">
        <w:rPr>
          <w:rFonts w:ascii="Book Antiqua" w:hAnsi="Book Antiqua"/>
          <w:sz w:val="24"/>
          <w:szCs w:val="24"/>
        </w:rPr>
        <w:t xml:space="preserve"> first directions hearing does not in</w:t>
      </w:r>
      <w:r w:rsidR="00686D39">
        <w:rPr>
          <w:rFonts w:ascii="Book Antiqua" w:hAnsi="Book Antiqua"/>
          <w:sz w:val="24"/>
          <w:szCs w:val="24"/>
        </w:rPr>
        <w:t xml:space="preserve">dicate that the estimate has been accepted by </w:t>
      </w:r>
      <w:r w:rsidR="003813D2">
        <w:rPr>
          <w:rFonts w:ascii="Book Antiqua" w:hAnsi="Book Antiqua"/>
          <w:sz w:val="24"/>
          <w:szCs w:val="24"/>
        </w:rPr>
        <w:t>the defendant</w:t>
      </w:r>
      <w:r w:rsidR="00686D39">
        <w:rPr>
          <w:rFonts w:ascii="Book Antiqua" w:hAnsi="Book Antiqua"/>
          <w:sz w:val="24"/>
          <w:szCs w:val="24"/>
        </w:rPr>
        <w:t xml:space="preserve"> or the Court.  Costs remain in the discretion of the Court</w:t>
      </w:r>
      <w:r w:rsidR="00BB6A4A" w:rsidRPr="00BB6A4A">
        <w:rPr>
          <w:rFonts w:ascii="Book Antiqua" w:hAnsi="Book Antiqua"/>
          <w:sz w:val="24"/>
          <w:szCs w:val="24"/>
        </w:rPr>
        <w:t>.</w:t>
      </w:r>
    </w:p>
    <w:p w14:paraId="6642B28E" w14:textId="77777777" w:rsidR="00D40CA2" w:rsidRPr="002244C2" w:rsidRDefault="00D40CA2" w:rsidP="00BB6A4A">
      <w:pPr>
        <w:pStyle w:val="ListParagraph"/>
        <w:autoSpaceDE w:val="0"/>
        <w:autoSpaceDN w:val="0"/>
        <w:adjustRightInd w:val="0"/>
        <w:ind w:left="1418"/>
        <w:contextualSpacing w:val="0"/>
        <w:jc w:val="both"/>
      </w:pPr>
    </w:p>
    <w:p w14:paraId="27C8D8D7" w14:textId="77777777" w:rsidR="00F23476" w:rsidRPr="00781EED" w:rsidRDefault="00F23476" w:rsidP="00BB6A4A">
      <w:pPr>
        <w:pStyle w:val="ListParagraph"/>
        <w:keepNext/>
        <w:numPr>
          <w:ilvl w:val="0"/>
          <w:numId w:val="2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/>
          <w:b/>
          <w:sz w:val="24"/>
          <w:szCs w:val="24"/>
        </w:rPr>
      </w:pPr>
      <w:r w:rsidRPr="00781EED">
        <w:rPr>
          <w:rFonts w:ascii="Book Antiqua" w:hAnsi="Book Antiqua"/>
          <w:b/>
          <w:sz w:val="24"/>
          <w:szCs w:val="24"/>
        </w:rPr>
        <w:t>INTERLOCUTORY APPLICATIONS</w:t>
      </w:r>
    </w:p>
    <w:p w14:paraId="5F336F1E" w14:textId="77777777" w:rsidR="00F23476" w:rsidRPr="002244C2" w:rsidRDefault="00F23476" w:rsidP="00BB6A4A">
      <w:pPr>
        <w:pStyle w:val="ListParagraph"/>
        <w:numPr>
          <w:ilvl w:val="1"/>
          <w:numId w:val="2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/>
          <w:b/>
          <w:sz w:val="24"/>
          <w:szCs w:val="24"/>
        </w:rPr>
      </w:pPr>
      <w:r w:rsidRPr="00781EED">
        <w:rPr>
          <w:rFonts w:ascii="Book Antiqua" w:hAnsi="Book Antiqua"/>
          <w:sz w:val="24"/>
          <w:szCs w:val="24"/>
        </w:rPr>
        <w:t xml:space="preserve">Requests for a return date for all interlocutory applications should be made, at first instance, to the TFM Coordinator at </w:t>
      </w:r>
      <w:hyperlink r:id="rId14" w:history="1">
        <w:r w:rsidRPr="00781EED">
          <w:rPr>
            <w:rStyle w:val="Hyperlink"/>
            <w:rFonts w:ascii="Book Antiqua" w:hAnsi="Book Antiqua"/>
            <w:sz w:val="24"/>
            <w:szCs w:val="24"/>
          </w:rPr>
          <w:t>tfm@supcourt.vic.gov.au</w:t>
        </w:r>
      </w:hyperlink>
      <w:r>
        <w:rPr>
          <w:rFonts w:ascii="Book Antiqua" w:hAnsi="Book Antiqua"/>
          <w:sz w:val="24"/>
          <w:szCs w:val="24"/>
        </w:rPr>
        <w:t xml:space="preserve">, accompanied </w:t>
      </w:r>
      <w:r w:rsidR="005901C7">
        <w:rPr>
          <w:rFonts w:ascii="Book Antiqua" w:hAnsi="Book Antiqua"/>
          <w:sz w:val="24"/>
          <w:szCs w:val="24"/>
        </w:rPr>
        <w:t xml:space="preserve">by </w:t>
      </w:r>
      <w:r w:rsidRPr="00781EED">
        <w:rPr>
          <w:rFonts w:ascii="Book Antiqua" w:hAnsi="Book Antiqua"/>
          <w:sz w:val="24"/>
          <w:szCs w:val="24"/>
        </w:rPr>
        <w:t xml:space="preserve">a completed </w:t>
      </w:r>
      <w:r>
        <w:rPr>
          <w:rFonts w:ascii="Book Antiqua" w:hAnsi="Book Antiqua"/>
          <w:sz w:val="24"/>
          <w:szCs w:val="24"/>
        </w:rPr>
        <w:t>“</w:t>
      </w:r>
      <w:r w:rsidRPr="00781EED">
        <w:rPr>
          <w:rFonts w:ascii="Book Antiqua" w:hAnsi="Book Antiqua"/>
          <w:sz w:val="24"/>
          <w:szCs w:val="24"/>
        </w:rPr>
        <w:t xml:space="preserve">Associate Judges’ Practice </w:t>
      </w:r>
      <w:r w:rsidRPr="006219AF">
        <w:rPr>
          <w:rFonts w:ascii="Book Antiqua" w:hAnsi="Book Antiqua"/>
          <w:sz w:val="24"/>
          <w:szCs w:val="24"/>
        </w:rPr>
        <w:t>Court 2 Application form</w:t>
      </w:r>
      <w:r>
        <w:rPr>
          <w:rFonts w:ascii="Book Antiqua" w:hAnsi="Book Antiqua"/>
          <w:sz w:val="24"/>
          <w:szCs w:val="24"/>
        </w:rPr>
        <w:t>”, which is</w:t>
      </w:r>
      <w:r w:rsidRPr="006219AF">
        <w:rPr>
          <w:rFonts w:ascii="Book Antiqua" w:hAnsi="Book Antiqua"/>
          <w:sz w:val="24"/>
          <w:szCs w:val="24"/>
        </w:rPr>
        <w:t xml:space="preserve"> available on the Court</w:t>
      </w:r>
      <w:r w:rsidRPr="00781EED">
        <w:rPr>
          <w:rFonts w:ascii="Book Antiqua" w:hAnsi="Book Antiqua"/>
          <w:sz w:val="24"/>
          <w:szCs w:val="24"/>
        </w:rPr>
        <w:t xml:space="preserve">’s website. </w:t>
      </w:r>
    </w:p>
    <w:p w14:paraId="533AC8E2" w14:textId="77777777" w:rsidR="00F23476" w:rsidRPr="00781EED" w:rsidRDefault="00F23476" w:rsidP="00BB6A4A">
      <w:pPr>
        <w:pStyle w:val="ListParagraph"/>
        <w:numPr>
          <w:ilvl w:val="1"/>
          <w:numId w:val="2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/>
          <w:b/>
          <w:sz w:val="24"/>
          <w:szCs w:val="24"/>
        </w:rPr>
      </w:pPr>
      <w:r w:rsidRPr="00781EED">
        <w:rPr>
          <w:rFonts w:ascii="Book Antiqua" w:hAnsi="Book Antiqua"/>
          <w:sz w:val="24"/>
          <w:szCs w:val="24"/>
        </w:rPr>
        <w:t>An interlocutory application may be heard by a</w:t>
      </w:r>
      <w:r>
        <w:rPr>
          <w:rFonts w:ascii="Book Antiqua" w:hAnsi="Book Antiqua"/>
          <w:sz w:val="24"/>
          <w:szCs w:val="24"/>
        </w:rPr>
        <w:t xml:space="preserve"> Judge, an </w:t>
      </w:r>
      <w:r w:rsidRPr="00781EED">
        <w:rPr>
          <w:rFonts w:ascii="Book Antiqua" w:hAnsi="Book Antiqua"/>
          <w:sz w:val="24"/>
          <w:szCs w:val="24"/>
        </w:rPr>
        <w:t>Associate Judge or on referral, a Judicial Registrar</w:t>
      </w:r>
      <w:r w:rsidR="005901C7">
        <w:rPr>
          <w:rFonts w:ascii="Book Antiqua" w:hAnsi="Book Antiqua"/>
          <w:sz w:val="24"/>
          <w:szCs w:val="24"/>
        </w:rPr>
        <w:t xml:space="preserve">.  </w:t>
      </w:r>
      <w:r w:rsidR="00363BC0">
        <w:rPr>
          <w:rFonts w:ascii="Book Antiqua" w:hAnsi="Book Antiqua"/>
          <w:sz w:val="24"/>
          <w:szCs w:val="24"/>
        </w:rPr>
        <w:t xml:space="preserve">If necessary, directions </w:t>
      </w:r>
      <w:r w:rsidR="008F0EEC">
        <w:rPr>
          <w:rFonts w:ascii="Book Antiqua" w:hAnsi="Book Antiqua"/>
          <w:sz w:val="24"/>
          <w:szCs w:val="24"/>
        </w:rPr>
        <w:t xml:space="preserve">orders may be made </w:t>
      </w:r>
      <w:r w:rsidR="00363BC0">
        <w:rPr>
          <w:rFonts w:ascii="Book Antiqua" w:hAnsi="Book Antiqua"/>
          <w:sz w:val="24"/>
          <w:szCs w:val="24"/>
        </w:rPr>
        <w:t xml:space="preserve">for the preparation or </w:t>
      </w:r>
      <w:r w:rsidR="008F0EEC">
        <w:rPr>
          <w:rFonts w:ascii="Book Antiqua" w:hAnsi="Book Antiqua"/>
          <w:sz w:val="24"/>
          <w:szCs w:val="24"/>
        </w:rPr>
        <w:t xml:space="preserve">the </w:t>
      </w:r>
      <w:r w:rsidR="00363BC0">
        <w:rPr>
          <w:rFonts w:ascii="Book Antiqua" w:hAnsi="Book Antiqua"/>
          <w:sz w:val="24"/>
          <w:szCs w:val="24"/>
        </w:rPr>
        <w:t>hearing an interlocutory</w:t>
      </w:r>
      <w:r w:rsidR="005901C7">
        <w:rPr>
          <w:rFonts w:ascii="Book Antiqua" w:hAnsi="Book Antiqua"/>
          <w:sz w:val="24"/>
          <w:szCs w:val="24"/>
        </w:rPr>
        <w:t xml:space="preserve"> application</w:t>
      </w:r>
      <w:r w:rsidR="00363BC0">
        <w:rPr>
          <w:rFonts w:ascii="Book Antiqua" w:hAnsi="Book Antiqua"/>
          <w:sz w:val="24"/>
          <w:szCs w:val="24"/>
        </w:rPr>
        <w:t>.</w:t>
      </w:r>
    </w:p>
    <w:p w14:paraId="11397107" w14:textId="77777777" w:rsidR="00400B2E" w:rsidRPr="00781EED" w:rsidRDefault="00400B2E" w:rsidP="002244C2">
      <w:pPr>
        <w:pStyle w:val="ListParagraph"/>
        <w:autoSpaceDE w:val="0"/>
        <w:autoSpaceDN w:val="0"/>
        <w:adjustRightInd w:val="0"/>
        <w:ind w:left="1418"/>
        <w:contextualSpacing w:val="0"/>
        <w:jc w:val="both"/>
        <w:rPr>
          <w:rFonts w:ascii="Book Antiqua" w:hAnsi="Book Antiqua"/>
          <w:b/>
        </w:rPr>
      </w:pPr>
    </w:p>
    <w:p w14:paraId="63B1D4BC" w14:textId="77777777" w:rsidR="00EE2F32" w:rsidRPr="00781EED" w:rsidRDefault="00EE2F32" w:rsidP="00EE2F32">
      <w:pPr>
        <w:pStyle w:val="ListParagraph"/>
        <w:keepNext/>
        <w:numPr>
          <w:ilvl w:val="0"/>
          <w:numId w:val="2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/>
          <w:b/>
          <w:sz w:val="24"/>
          <w:szCs w:val="24"/>
        </w:rPr>
      </w:pPr>
      <w:r w:rsidRPr="00781EED">
        <w:rPr>
          <w:rFonts w:ascii="Book Antiqua" w:hAnsi="Book Antiqua"/>
          <w:b/>
          <w:sz w:val="24"/>
          <w:szCs w:val="24"/>
        </w:rPr>
        <w:t>MEDIATION</w:t>
      </w:r>
    </w:p>
    <w:p w14:paraId="383B1D2B" w14:textId="77777777" w:rsidR="00EE2F32" w:rsidRPr="00781EED" w:rsidRDefault="00221FCB" w:rsidP="00EE2F32">
      <w:pPr>
        <w:pStyle w:val="ListParagraph"/>
        <w:numPr>
          <w:ilvl w:val="1"/>
          <w:numId w:val="2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Generally,</w:t>
      </w:r>
      <w:r w:rsidR="00EE2F32" w:rsidRPr="00781EED">
        <w:rPr>
          <w:rFonts w:ascii="Book Antiqua" w:hAnsi="Book Antiqua"/>
          <w:sz w:val="24"/>
          <w:szCs w:val="24"/>
        </w:rPr>
        <w:t xml:space="preserve"> all TFM Applications </w:t>
      </w:r>
      <w:r>
        <w:rPr>
          <w:rFonts w:ascii="Book Antiqua" w:hAnsi="Book Antiqua"/>
          <w:sz w:val="24"/>
          <w:szCs w:val="24"/>
        </w:rPr>
        <w:t>are</w:t>
      </w:r>
      <w:r w:rsidR="00EE2F32" w:rsidRPr="00781EED">
        <w:rPr>
          <w:rFonts w:ascii="Book Antiqua" w:hAnsi="Book Antiqua"/>
          <w:sz w:val="24"/>
          <w:szCs w:val="24"/>
        </w:rPr>
        <w:t xml:space="preserve"> referred to mediation.</w:t>
      </w:r>
    </w:p>
    <w:p w14:paraId="4EDAD18A" w14:textId="77777777" w:rsidR="00EE2F32" w:rsidRPr="002244C2" w:rsidRDefault="00EE2F32" w:rsidP="00EE2F3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Book Antiqua" w:hAnsi="Book Antiqua"/>
          <w:b/>
          <w:sz w:val="24"/>
          <w:szCs w:val="24"/>
        </w:rPr>
      </w:pPr>
      <w:r w:rsidRPr="00781EED">
        <w:rPr>
          <w:rFonts w:ascii="Book Antiqua" w:hAnsi="Book Antiqua"/>
          <w:sz w:val="24"/>
          <w:szCs w:val="24"/>
        </w:rPr>
        <w:t>Where the value of the estate is $</w:t>
      </w:r>
      <w:r w:rsidR="00B1424B">
        <w:rPr>
          <w:rFonts w:ascii="Book Antiqua" w:hAnsi="Book Antiqua"/>
          <w:sz w:val="24"/>
          <w:szCs w:val="24"/>
        </w:rPr>
        <w:t>75</w:t>
      </w:r>
      <w:r w:rsidRPr="00781EED">
        <w:rPr>
          <w:rFonts w:ascii="Book Antiqua" w:hAnsi="Book Antiqua"/>
          <w:sz w:val="24"/>
          <w:szCs w:val="24"/>
        </w:rPr>
        <w:t>0,000 or less, and in special circumstances, the Court may</w:t>
      </w:r>
      <w:r w:rsidR="00B91774" w:rsidRPr="00781EED">
        <w:rPr>
          <w:rFonts w:ascii="Book Antiqua" w:hAnsi="Book Antiqua"/>
          <w:sz w:val="24"/>
          <w:szCs w:val="24"/>
        </w:rPr>
        <w:t xml:space="preserve"> refer the proceeding to judicial mediation</w:t>
      </w:r>
      <w:r w:rsidR="00280EDF">
        <w:rPr>
          <w:rFonts w:ascii="Book Antiqua" w:hAnsi="Book Antiqua"/>
          <w:sz w:val="24"/>
          <w:szCs w:val="24"/>
        </w:rPr>
        <w:t xml:space="preserve"> to be conducted in accordance with PN SC GEN 6 </w:t>
      </w:r>
      <w:r w:rsidR="00280EDF">
        <w:rPr>
          <w:rFonts w:ascii="Book Antiqua" w:hAnsi="Book Antiqua"/>
          <w:i/>
          <w:sz w:val="24"/>
          <w:szCs w:val="24"/>
        </w:rPr>
        <w:t>Judicial Mediation Guidelines</w:t>
      </w:r>
      <w:r w:rsidR="00280EDF">
        <w:rPr>
          <w:rFonts w:ascii="Book Antiqua" w:hAnsi="Book Antiqua"/>
          <w:sz w:val="24"/>
          <w:szCs w:val="24"/>
        </w:rPr>
        <w:t>, accessible on the Court’s website</w:t>
      </w:r>
      <w:r w:rsidRPr="00781EED">
        <w:rPr>
          <w:rFonts w:ascii="Book Antiqua" w:hAnsi="Book Antiqua"/>
          <w:sz w:val="24"/>
          <w:szCs w:val="24"/>
        </w:rPr>
        <w:t>.</w:t>
      </w:r>
    </w:p>
    <w:p w14:paraId="3BA56995" w14:textId="77777777" w:rsidR="00182C1F" w:rsidRPr="00781EED" w:rsidRDefault="00182C1F" w:rsidP="002244C2">
      <w:pPr>
        <w:autoSpaceDE w:val="0"/>
        <w:autoSpaceDN w:val="0"/>
        <w:adjustRightInd w:val="0"/>
        <w:jc w:val="both"/>
        <w:rPr>
          <w:rFonts w:ascii="Book Antiqua" w:hAnsi="Book Antiqua"/>
          <w:b/>
        </w:rPr>
      </w:pPr>
    </w:p>
    <w:p w14:paraId="53D059C9" w14:textId="77777777" w:rsidR="00EE2F32" w:rsidRPr="00781EED" w:rsidRDefault="00EE2F32" w:rsidP="002244C2">
      <w:pPr>
        <w:pStyle w:val="ListParagraph"/>
        <w:keepNext/>
        <w:numPr>
          <w:ilvl w:val="0"/>
          <w:numId w:val="2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/>
          <w:b/>
          <w:sz w:val="24"/>
          <w:szCs w:val="24"/>
        </w:rPr>
      </w:pPr>
      <w:r w:rsidRPr="00781EED">
        <w:rPr>
          <w:rFonts w:ascii="Book Antiqua" w:hAnsi="Book Antiqua"/>
          <w:b/>
          <w:sz w:val="24"/>
          <w:szCs w:val="24"/>
        </w:rPr>
        <w:t>PRE-TRIAL DIRECTIONS</w:t>
      </w:r>
    </w:p>
    <w:p w14:paraId="7B1159FE" w14:textId="77777777" w:rsidR="00EE2F32" w:rsidRPr="00781EED" w:rsidRDefault="00EE2F32" w:rsidP="002244C2">
      <w:pPr>
        <w:pStyle w:val="ListParagraph"/>
        <w:keepNext/>
        <w:numPr>
          <w:ilvl w:val="1"/>
          <w:numId w:val="2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/>
          <w:b/>
          <w:sz w:val="24"/>
          <w:szCs w:val="24"/>
        </w:rPr>
      </w:pPr>
      <w:r w:rsidRPr="00781EED">
        <w:rPr>
          <w:rFonts w:ascii="Book Antiqua" w:hAnsi="Book Antiqua"/>
          <w:sz w:val="24"/>
          <w:szCs w:val="24"/>
        </w:rPr>
        <w:t xml:space="preserve">Any TFM Application that has not resolved at mediation, may be referred to </w:t>
      </w:r>
      <w:r w:rsidR="00F23476">
        <w:rPr>
          <w:rFonts w:ascii="Book Antiqua" w:hAnsi="Book Antiqua"/>
          <w:sz w:val="24"/>
          <w:szCs w:val="24"/>
        </w:rPr>
        <w:t>a</w:t>
      </w:r>
      <w:r w:rsidR="00F23476" w:rsidRPr="00781EED">
        <w:rPr>
          <w:rFonts w:ascii="Book Antiqua" w:hAnsi="Book Antiqua"/>
          <w:sz w:val="24"/>
          <w:szCs w:val="24"/>
        </w:rPr>
        <w:t xml:space="preserve"> </w:t>
      </w:r>
      <w:r w:rsidR="00E57C75" w:rsidRPr="00781EED">
        <w:rPr>
          <w:rFonts w:ascii="Book Antiqua" w:hAnsi="Book Antiqua"/>
          <w:sz w:val="24"/>
          <w:szCs w:val="24"/>
        </w:rPr>
        <w:t>Jud</w:t>
      </w:r>
      <w:r w:rsidR="00016787">
        <w:rPr>
          <w:rFonts w:ascii="Book Antiqua" w:hAnsi="Book Antiqua"/>
          <w:sz w:val="24"/>
          <w:szCs w:val="24"/>
        </w:rPr>
        <w:t>icial Officer</w:t>
      </w:r>
      <w:r w:rsidR="00E57C75" w:rsidRPr="00781EED">
        <w:rPr>
          <w:rFonts w:ascii="Book Antiqua" w:hAnsi="Book Antiqua"/>
          <w:sz w:val="24"/>
          <w:szCs w:val="24"/>
        </w:rPr>
        <w:t xml:space="preserve"> for </w:t>
      </w:r>
      <w:r w:rsidRPr="00781EED">
        <w:rPr>
          <w:rFonts w:ascii="Book Antiqua" w:hAnsi="Book Antiqua"/>
          <w:sz w:val="24"/>
          <w:szCs w:val="24"/>
        </w:rPr>
        <w:t>pre-trial directions and lis</w:t>
      </w:r>
      <w:r w:rsidR="00E57C75" w:rsidRPr="00781EED">
        <w:rPr>
          <w:rFonts w:ascii="Book Antiqua" w:hAnsi="Book Antiqua"/>
          <w:sz w:val="24"/>
          <w:szCs w:val="24"/>
        </w:rPr>
        <w:t>ting</w:t>
      </w:r>
      <w:r w:rsidR="00515B05">
        <w:rPr>
          <w:rFonts w:ascii="Book Antiqua" w:hAnsi="Book Antiqua"/>
          <w:sz w:val="24"/>
          <w:szCs w:val="24"/>
        </w:rPr>
        <w:t xml:space="preserve"> for trial</w:t>
      </w:r>
      <w:r w:rsidR="00E57C75" w:rsidRPr="00781EED">
        <w:rPr>
          <w:rFonts w:ascii="Book Antiqua" w:hAnsi="Book Antiqua"/>
          <w:sz w:val="24"/>
          <w:szCs w:val="24"/>
        </w:rPr>
        <w:t>. A pro-forma referral Order</w:t>
      </w:r>
      <w:r w:rsidRPr="00781EED">
        <w:rPr>
          <w:rFonts w:ascii="Book Antiqua" w:hAnsi="Book Antiqua"/>
          <w:sz w:val="24"/>
          <w:szCs w:val="24"/>
        </w:rPr>
        <w:t xml:space="preserve"> is available on the Court’s website. </w:t>
      </w:r>
    </w:p>
    <w:p w14:paraId="63B66DA4" w14:textId="77777777" w:rsidR="000C474A" w:rsidRDefault="000C474A" w:rsidP="002244C2">
      <w:pPr>
        <w:ind w:left="1440"/>
        <w:jc w:val="both"/>
        <w:rPr>
          <w:rFonts w:ascii="Book Antiqua" w:hAnsi="Book Antiqua"/>
        </w:rPr>
      </w:pPr>
    </w:p>
    <w:p w14:paraId="68991CE5" w14:textId="77777777" w:rsidR="001155BE" w:rsidRPr="00781EED" w:rsidRDefault="001155BE" w:rsidP="002244C2">
      <w:pPr>
        <w:ind w:left="1440"/>
        <w:jc w:val="both"/>
        <w:rPr>
          <w:rFonts w:ascii="Book Antiqua" w:hAnsi="Book Antiqua"/>
        </w:rPr>
      </w:pPr>
    </w:p>
    <w:p w14:paraId="54F661BF" w14:textId="77777777" w:rsidR="00BE4A33" w:rsidRPr="00781EED" w:rsidRDefault="00BE4A33" w:rsidP="00BE4A3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b/>
          <w:sz w:val="24"/>
          <w:szCs w:val="24"/>
        </w:rPr>
      </w:pPr>
      <w:r w:rsidRPr="00781EED">
        <w:rPr>
          <w:rFonts w:ascii="Book Antiqua" w:hAnsi="Book Antiqua"/>
          <w:b/>
          <w:sz w:val="24"/>
          <w:szCs w:val="24"/>
        </w:rPr>
        <w:t xml:space="preserve">FINALISATION OF </w:t>
      </w:r>
      <w:r w:rsidR="00F23476">
        <w:rPr>
          <w:rFonts w:ascii="Book Antiqua" w:hAnsi="Book Antiqua"/>
          <w:b/>
          <w:sz w:val="24"/>
          <w:szCs w:val="24"/>
        </w:rPr>
        <w:t xml:space="preserve">RESOLVED </w:t>
      </w:r>
      <w:r w:rsidRPr="00781EED">
        <w:rPr>
          <w:rFonts w:ascii="Book Antiqua" w:hAnsi="Book Antiqua"/>
          <w:b/>
          <w:sz w:val="24"/>
          <w:szCs w:val="24"/>
        </w:rPr>
        <w:t xml:space="preserve">PROCEEDINGS </w:t>
      </w:r>
    </w:p>
    <w:p w14:paraId="0B10AD17" w14:textId="77777777" w:rsidR="00AE27B9" w:rsidRPr="00781EED" w:rsidRDefault="00084F29" w:rsidP="00AE27B9">
      <w:pPr>
        <w:pStyle w:val="ListParagraph"/>
        <w:keepNext/>
        <w:numPr>
          <w:ilvl w:val="1"/>
          <w:numId w:val="2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Where a TFM application </w:t>
      </w:r>
      <w:r w:rsidR="00F23476">
        <w:rPr>
          <w:rFonts w:ascii="Book Antiqua" w:hAnsi="Book Antiqua"/>
          <w:sz w:val="24"/>
          <w:szCs w:val="24"/>
        </w:rPr>
        <w:t>has</w:t>
      </w:r>
      <w:r>
        <w:rPr>
          <w:rFonts w:ascii="Book Antiqua" w:hAnsi="Book Antiqua"/>
          <w:sz w:val="24"/>
          <w:szCs w:val="24"/>
        </w:rPr>
        <w:t xml:space="preserve"> settled and all persons affected by the settlement are </w:t>
      </w:r>
      <w:r>
        <w:rPr>
          <w:rFonts w:ascii="Book Antiqua" w:hAnsi="Book Antiqua"/>
          <w:i/>
          <w:sz w:val="24"/>
          <w:szCs w:val="24"/>
        </w:rPr>
        <w:t>sui juris</w:t>
      </w:r>
      <w:r>
        <w:rPr>
          <w:rStyle w:val="FootnoteReference"/>
          <w:rFonts w:ascii="Book Antiqua" w:hAnsi="Book Antiqua"/>
          <w:i/>
          <w:sz w:val="24"/>
          <w:szCs w:val="24"/>
        </w:rPr>
        <w:footnoteReference w:id="2"/>
      </w:r>
      <w:r>
        <w:rPr>
          <w:rFonts w:ascii="Book Antiqua" w:hAnsi="Book Antiqua"/>
          <w:i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and consent, </w:t>
      </w:r>
      <w:r w:rsidR="00731681">
        <w:rPr>
          <w:rFonts w:ascii="Book Antiqua" w:hAnsi="Book Antiqua"/>
          <w:sz w:val="24"/>
          <w:szCs w:val="24"/>
        </w:rPr>
        <w:t xml:space="preserve">parties can apply for </w:t>
      </w:r>
      <w:r>
        <w:rPr>
          <w:rFonts w:ascii="Book Antiqua" w:hAnsi="Book Antiqua"/>
          <w:sz w:val="24"/>
          <w:szCs w:val="24"/>
        </w:rPr>
        <w:t>orders</w:t>
      </w:r>
      <w:r w:rsidR="003C65BA">
        <w:rPr>
          <w:rFonts w:ascii="Book Antiqua" w:hAnsi="Book Antiqua"/>
          <w:sz w:val="24"/>
          <w:szCs w:val="24"/>
        </w:rPr>
        <w:t xml:space="preserve"> </w:t>
      </w:r>
      <w:r w:rsidR="00D749B3">
        <w:rPr>
          <w:rFonts w:ascii="Book Antiqua" w:hAnsi="Book Antiqua"/>
          <w:sz w:val="24"/>
          <w:szCs w:val="24"/>
        </w:rPr>
        <w:t>finalising</w:t>
      </w:r>
      <w:r w:rsidR="008F0EEC">
        <w:rPr>
          <w:rFonts w:ascii="Book Antiqua" w:hAnsi="Book Antiqua"/>
          <w:sz w:val="24"/>
          <w:szCs w:val="24"/>
        </w:rPr>
        <w:t xml:space="preserve"> the proceeding on the papers</w:t>
      </w:r>
      <w:r w:rsidR="003C65BA">
        <w:rPr>
          <w:rFonts w:ascii="Book Antiqua" w:hAnsi="Book Antiqua"/>
          <w:sz w:val="24"/>
          <w:szCs w:val="24"/>
        </w:rPr>
        <w:t xml:space="preserve">. </w:t>
      </w:r>
      <w:r w:rsidR="00731681">
        <w:rPr>
          <w:rFonts w:ascii="Book Antiqua" w:hAnsi="Book Antiqua"/>
          <w:sz w:val="24"/>
          <w:szCs w:val="24"/>
        </w:rPr>
        <w:t xml:space="preserve"> </w:t>
      </w:r>
      <w:r w:rsidR="004A36FB">
        <w:rPr>
          <w:rFonts w:ascii="Book Antiqua" w:hAnsi="Book Antiqua"/>
          <w:sz w:val="24"/>
          <w:szCs w:val="24"/>
        </w:rPr>
        <w:t>In such cases, t</w:t>
      </w:r>
      <w:r w:rsidR="00731681">
        <w:rPr>
          <w:rFonts w:ascii="Book Antiqua" w:hAnsi="Book Antiqua"/>
          <w:sz w:val="24"/>
          <w:szCs w:val="24"/>
        </w:rPr>
        <w:t xml:space="preserve">he parties’ legal representatives must confirm to the Court that no person under legal disability is affected by </w:t>
      </w:r>
      <w:r w:rsidR="00115AFC">
        <w:rPr>
          <w:rFonts w:ascii="Book Antiqua" w:hAnsi="Book Antiqua"/>
          <w:sz w:val="24"/>
          <w:szCs w:val="24"/>
        </w:rPr>
        <w:t>the settlement.</w:t>
      </w:r>
      <w:r w:rsidR="00AE27B9">
        <w:rPr>
          <w:rFonts w:ascii="Book Antiqua" w:hAnsi="Book Antiqua"/>
          <w:sz w:val="24"/>
          <w:szCs w:val="24"/>
        </w:rPr>
        <w:t xml:space="preserve"> </w:t>
      </w:r>
      <w:r w:rsidR="00AE27B9" w:rsidRPr="00781EED">
        <w:rPr>
          <w:rFonts w:ascii="Book Antiqua" w:hAnsi="Book Antiqua"/>
          <w:sz w:val="24"/>
          <w:szCs w:val="24"/>
        </w:rPr>
        <w:t xml:space="preserve">A pro-forma Order is available on the Court’s website. </w:t>
      </w:r>
    </w:p>
    <w:p w14:paraId="19CCF086" w14:textId="77777777" w:rsidR="004504A4" w:rsidRPr="001059B5" w:rsidRDefault="003C65BA" w:rsidP="004504A4">
      <w:pPr>
        <w:pStyle w:val="ListParagraph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If </w:t>
      </w:r>
      <w:r w:rsidR="00FD1E98">
        <w:rPr>
          <w:rFonts w:ascii="Book Antiqua" w:hAnsi="Book Antiqua"/>
          <w:sz w:val="24"/>
          <w:szCs w:val="24"/>
        </w:rPr>
        <w:t xml:space="preserve">a </w:t>
      </w:r>
      <w:r w:rsidR="00115AFC">
        <w:rPr>
          <w:rFonts w:ascii="Book Antiqua" w:hAnsi="Book Antiqua"/>
          <w:sz w:val="24"/>
          <w:szCs w:val="24"/>
        </w:rPr>
        <w:t xml:space="preserve">proposed </w:t>
      </w:r>
      <w:r w:rsidR="00FD1E98">
        <w:rPr>
          <w:rFonts w:ascii="Book Antiqua" w:hAnsi="Book Antiqua"/>
          <w:sz w:val="24"/>
          <w:szCs w:val="24"/>
        </w:rPr>
        <w:t xml:space="preserve">settlement </w:t>
      </w:r>
      <w:r w:rsidR="00115AFC">
        <w:rPr>
          <w:rFonts w:ascii="Book Antiqua" w:hAnsi="Book Antiqua"/>
          <w:sz w:val="24"/>
          <w:szCs w:val="24"/>
        </w:rPr>
        <w:t xml:space="preserve">affects </w:t>
      </w:r>
      <w:r>
        <w:rPr>
          <w:rFonts w:ascii="Book Antiqua" w:hAnsi="Book Antiqua"/>
          <w:sz w:val="24"/>
          <w:szCs w:val="24"/>
        </w:rPr>
        <w:t xml:space="preserve">a child under the age of 18 years, or an adult person under disability or </w:t>
      </w:r>
      <w:r w:rsidR="004A36FB">
        <w:rPr>
          <w:rFonts w:ascii="Book Antiqua" w:hAnsi="Book Antiqua"/>
          <w:sz w:val="24"/>
          <w:szCs w:val="24"/>
        </w:rPr>
        <w:t xml:space="preserve">if </w:t>
      </w:r>
      <w:r>
        <w:rPr>
          <w:rFonts w:ascii="Book Antiqua" w:hAnsi="Book Antiqua"/>
          <w:sz w:val="24"/>
          <w:szCs w:val="24"/>
        </w:rPr>
        <w:t>for an</w:t>
      </w:r>
      <w:r w:rsidR="00E4033E">
        <w:rPr>
          <w:rFonts w:ascii="Book Antiqua" w:hAnsi="Book Antiqua"/>
          <w:sz w:val="24"/>
          <w:szCs w:val="24"/>
        </w:rPr>
        <w:t xml:space="preserve">y </w:t>
      </w:r>
      <w:r>
        <w:rPr>
          <w:rFonts w:ascii="Book Antiqua" w:hAnsi="Book Antiqua"/>
          <w:sz w:val="24"/>
          <w:szCs w:val="24"/>
        </w:rPr>
        <w:t>other reason</w:t>
      </w:r>
      <w:r w:rsidR="00E31E27">
        <w:rPr>
          <w:rFonts w:ascii="Book Antiqua" w:hAnsi="Book Antiqua"/>
          <w:sz w:val="24"/>
          <w:szCs w:val="24"/>
        </w:rPr>
        <w:t xml:space="preserve"> there are</w:t>
      </w:r>
      <w:r>
        <w:rPr>
          <w:rFonts w:ascii="Book Antiqua" w:hAnsi="Book Antiqua"/>
          <w:sz w:val="24"/>
          <w:szCs w:val="24"/>
        </w:rPr>
        <w:t xml:space="preserve"> affected parties</w:t>
      </w:r>
      <w:r w:rsidR="00B91774" w:rsidRPr="00781EED">
        <w:rPr>
          <w:rFonts w:ascii="Book Antiqua" w:hAnsi="Book Antiqua"/>
          <w:sz w:val="24"/>
          <w:szCs w:val="24"/>
        </w:rPr>
        <w:t xml:space="preserve"> </w:t>
      </w:r>
      <w:r w:rsidR="00FD1E98">
        <w:rPr>
          <w:rFonts w:ascii="Book Antiqua" w:hAnsi="Book Antiqua"/>
          <w:sz w:val="24"/>
          <w:szCs w:val="24"/>
        </w:rPr>
        <w:t xml:space="preserve">who are unable to consent, </w:t>
      </w:r>
      <w:r w:rsidR="00B91774" w:rsidRPr="00781EED">
        <w:rPr>
          <w:rFonts w:ascii="Book Antiqua" w:hAnsi="Book Antiqua"/>
          <w:sz w:val="24"/>
          <w:szCs w:val="24"/>
        </w:rPr>
        <w:t xml:space="preserve">an approval of compromise </w:t>
      </w:r>
      <w:r w:rsidR="00BB6A4A">
        <w:rPr>
          <w:rFonts w:ascii="Book Antiqua" w:hAnsi="Book Antiqua"/>
          <w:sz w:val="24"/>
          <w:szCs w:val="24"/>
        </w:rPr>
        <w:t>must</w:t>
      </w:r>
      <w:r>
        <w:rPr>
          <w:rFonts w:ascii="Book Antiqua" w:hAnsi="Book Antiqua"/>
          <w:sz w:val="24"/>
          <w:szCs w:val="24"/>
        </w:rPr>
        <w:t xml:space="preserve"> be sought.  Parties </w:t>
      </w:r>
      <w:r w:rsidR="00B91774" w:rsidRPr="00781EED">
        <w:rPr>
          <w:rFonts w:ascii="Book Antiqua" w:hAnsi="Book Antiqua"/>
          <w:sz w:val="24"/>
          <w:szCs w:val="24"/>
        </w:rPr>
        <w:t xml:space="preserve">are referred </w:t>
      </w:r>
      <w:r w:rsidR="004A36FB">
        <w:rPr>
          <w:rFonts w:ascii="Book Antiqua" w:hAnsi="Book Antiqua"/>
          <w:sz w:val="24"/>
          <w:szCs w:val="24"/>
        </w:rPr>
        <w:t xml:space="preserve">for further assistance </w:t>
      </w:r>
      <w:r w:rsidR="00B91774" w:rsidRPr="00781EED">
        <w:rPr>
          <w:rFonts w:ascii="Book Antiqua" w:hAnsi="Book Antiqua"/>
          <w:sz w:val="24"/>
          <w:szCs w:val="24"/>
        </w:rPr>
        <w:t xml:space="preserve">to ‘A Guide to Practitioners – Applications for </w:t>
      </w:r>
      <w:r w:rsidR="00B91774" w:rsidRPr="004504A4">
        <w:rPr>
          <w:rFonts w:ascii="Book Antiqua" w:hAnsi="Book Antiqua"/>
          <w:sz w:val="24"/>
          <w:szCs w:val="24"/>
        </w:rPr>
        <w:t xml:space="preserve">Approval of Compromises in Testators Family Maintenance (TFM) Cases’ </w:t>
      </w:r>
      <w:r w:rsidR="00B91774" w:rsidRPr="001059B5">
        <w:rPr>
          <w:rFonts w:ascii="Book Antiqua" w:hAnsi="Book Antiqua"/>
          <w:sz w:val="24"/>
          <w:szCs w:val="24"/>
        </w:rPr>
        <w:t xml:space="preserve">available on the Court’s website. </w:t>
      </w:r>
    </w:p>
    <w:p w14:paraId="6633FBC0" w14:textId="77777777" w:rsidR="004504A4" w:rsidRPr="001059B5" w:rsidRDefault="004504A4" w:rsidP="004504A4">
      <w:pPr>
        <w:pStyle w:val="ListParagraph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4"/>
          <w:szCs w:val="24"/>
        </w:rPr>
      </w:pPr>
      <w:r w:rsidRPr="001059B5">
        <w:rPr>
          <w:rFonts w:ascii="Book Antiqua" w:hAnsi="Book Antiqua"/>
          <w:sz w:val="24"/>
          <w:szCs w:val="24"/>
        </w:rPr>
        <w:t>Parties applying for orders finalising the proceeding must inform the Court of the costs</w:t>
      </w:r>
      <w:r w:rsidR="00D7151E" w:rsidRPr="001059B5">
        <w:rPr>
          <w:rFonts w:ascii="Book Antiqua" w:hAnsi="Book Antiqua"/>
          <w:sz w:val="24"/>
          <w:szCs w:val="24"/>
        </w:rPr>
        <w:t xml:space="preserve">, including </w:t>
      </w:r>
      <w:r w:rsidRPr="001059B5">
        <w:rPr>
          <w:rFonts w:ascii="Book Antiqua" w:hAnsi="Book Antiqua"/>
          <w:sz w:val="24"/>
          <w:szCs w:val="24"/>
        </w:rPr>
        <w:t>disbursements</w:t>
      </w:r>
      <w:r w:rsidR="00D7151E" w:rsidRPr="001059B5">
        <w:rPr>
          <w:rFonts w:ascii="Book Antiqua" w:hAnsi="Book Antiqua"/>
          <w:sz w:val="24"/>
          <w:szCs w:val="24"/>
        </w:rPr>
        <w:t>,</w:t>
      </w:r>
      <w:r w:rsidRPr="001059B5">
        <w:rPr>
          <w:rFonts w:ascii="Book Antiqua" w:hAnsi="Book Antiqua"/>
          <w:sz w:val="24"/>
          <w:szCs w:val="24"/>
        </w:rPr>
        <w:t xml:space="preserve"> payable by each of the parties to the proceeding</w:t>
      </w:r>
      <w:r w:rsidR="00AE27B9" w:rsidRPr="001059B5">
        <w:rPr>
          <w:rFonts w:ascii="Book Antiqua" w:hAnsi="Book Antiqua"/>
          <w:sz w:val="24"/>
          <w:szCs w:val="24"/>
        </w:rPr>
        <w:t>.</w:t>
      </w:r>
      <w:r w:rsidRPr="001059B5">
        <w:rPr>
          <w:rFonts w:ascii="Book Antiqua" w:hAnsi="Book Antiqua"/>
          <w:sz w:val="24"/>
          <w:szCs w:val="24"/>
        </w:rPr>
        <w:t xml:space="preserve"> </w:t>
      </w:r>
    </w:p>
    <w:p w14:paraId="734DE1FE" w14:textId="77777777" w:rsidR="004504A4" w:rsidRPr="001059B5" w:rsidRDefault="00AE27B9" w:rsidP="001059B5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1418" w:hanging="709"/>
        <w:jc w:val="both"/>
        <w:rPr>
          <w:rFonts w:ascii="Book Antiqua" w:hAnsi="Book Antiqua"/>
          <w:sz w:val="24"/>
          <w:szCs w:val="24"/>
        </w:rPr>
      </w:pPr>
      <w:r w:rsidRPr="001059B5">
        <w:rPr>
          <w:rFonts w:ascii="Book Antiqua" w:hAnsi="Book Antiqua"/>
          <w:sz w:val="24"/>
          <w:szCs w:val="24"/>
        </w:rPr>
        <w:t>I</w:t>
      </w:r>
      <w:r w:rsidR="004504A4" w:rsidRPr="001059B5">
        <w:rPr>
          <w:rFonts w:ascii="Book Antiqua" w:hAnsi="Book Antiqua"/>
          <w:sz w:val="24"/>
          <w:szCs w:val="24"/>
        </w:rPr>
        <w:t>f the costs</w:t>
      </w:r>
      <w:r w:rsidR="00D7151E" w:rsidRPr="001059B5">
        <w:rPr>
          <w:rFonts w:ascii="Book Antiqua" w:hAnsi="Book Antiqua"/>
          <w:sz w:val="24"/>
          <w:szCs w:val="24"/>
        </w:rPr>
        <w:t xml:space="preserve">, including </w:t>
      </w:r>
      <w:r w:rsidR="004504A4" w:rsidRPr="001059B5">
        <w:rPr>
          <w:rFonts w:ascii="Book Antiqua" w:hAnsi="Book Antiqua"/>
          <w:sz w:val="24"/>
          <w:szCs w:val="24"/>
        </w:rPr>
        <w:t>disbursements</w:t>
      </w:r>
      <w:r w:rsidR="00D7151E" w:rsidRPr="001059B5">
        <w:rPr>
          <w:rFonts w:ascii="Book Antiqua" w:hAnsi="Book Antiqua"/>
          <w:sz w:val="24"/>
          <w:szCs w:val="24"/>
        </w:rPr>
        <w:t>,</w:t>
      </w:r>
      <w:r w:rsidR="004504A4" w:rsidRPr="001059B5">
        <w:rPr>
          <w:rFonts w:ascii="Book Antiqua" w:hAnsi="Book Antiqua"/>
          <w:sz w:val="24"/>
          <w:szCs w:val="24"/>
        </w:rPr>
        <w:t xml:space="preserve"> payable by </w:t>
      </w:r>
      <w:r w:rsidR="00D7151E" w:rsidRPr="001059B5">
        <w:rPr>
          <w:rFonts w:ascii="Book Antiqua" w:hAnsi="Book Antiqua"/>
          <w:sz w:val="24"/>
          <w:szCs w:val="24"/>
        </w:rPr>
        <w:t>a party</w:t>
      </w:r>
      <w:r w:rsidR="004504A4" w:rsidRPr="001059B5">
        <w:rPr>
          <w:rFonts w:ascii="Book Antiqua" w:hAnsi="Book Antiqua"/>
          <w:sz w:val="24"/>
          <w:szCs w:val="24"/>
        </w:rPr>
        <w:t xml:space="preserve"> exceed by more than 20% the</w:t>
      </w:r>
      <w:r w:rsidR="00D7151E" w:rsidRPr="001059B5">
        <w:rPr>
          <w:rFonts w:ascii="Book Antiqua" w:hAnsi="Book Antiqua"/>
          <w:sz w:val="24"/>
          <w:szCs w:val="24"/>
        </w:rPr>
        <w:t xml:space="preserve"> total amount disclosed</w:t>
      </w:r>
      <w:r w:rsidR="0008076E">
        <w:rPr>
          <w:rFonts w:ascii="Book Antiqua" w:hAnsi="Book Antiqua"/>
          <w:sz w:val="24"/>
          <w:szCs w:val="24"/>
        </w:rPr>
        <w:t xml:space="preserve"> in the affidavit</w:t>
      </w:r>
      <w:r w:rsidR="00D7151E" w:rsidRPr="001059B5">
        <w:rPr>
          <w:rFonts w:ascii="Book Antiqua" w:hAnsi="Book Antiqua"/>
          <w:sz w:val="24"/>
          <w:szCs w:val="24"/>
        </w:rPr>
        <w:t xml:space="preserve"> </w:t>
      </w:r>
      <w:r w:rsidR="004504A4" w:rsidRPr="001059B5">
        <w:rPr>
          <w:rFonts w:ascii="Book Antiqua" w:hAnsi="Book Antiqua"/>
          <w:sz w:val="24"/>
          <w:szCs w:val="24"/>
        </w:rPr>
        <w:t>filed pursuant to paragraph 7.4</w:t>
      </w:r>
      <w:r w:rsidR="00D7151E" w:rsidRPr="001059B5">
        <w:rPr>
          <w:rFonts w:ascii="Book Antiqua" w:hAnsi="Book Antiqua"/>
          <w:sz w:val="24"/>
          <w:szCs w:val="24"/>
        </w:rPr>
        <w:t>(b)</w:t>
      </w:r>
      <w:r w:rsidR="004504A4" w:rsidRPr="001059B5">
        <w:rPr>
          <w:rFonts w:ascii="Book Antiqua" w:hAnsi="Book Antiqua"/>
          <w:sz w:val="24"/>
          <w:szCs w:val="24"/>
        </w:rPr>
        <w:t>,</w:t>
      </w:r>
      <w:r w:rsidR="00D7151E" w:rsidRPr="001059B5">
        <w:rPr>
          <w:rFonts w:ascii="Book Antiqua" w:hAnsi="Book Antiqua"/>
          <w:sz w:val="24"/>
          <w:szCs w:val="24"/>
        </w:rPr>
        <w:t xml:space="preserve"> that </w:t>
      </w:r>
      <w:r w:rsidR="004504A4" w:rsidRPr="001059B5">
        <w:rPr>
          <w:rFonts w:ascii="Book Antiqua" w:hAnsi="Book Antiqua"/>
          <w:sz w:val="24"/>
          <w:szCs w:val="24"/>
        </w:rPr>
        <w:t>party’s solicitor must file an affidavit showing how that party’s costs</w:t>
      </w:r>
      <w:r w:rsidR="00D7151E" w:rsidRPr="001059B5">
        <w:rPr>
          <w:rFonts w:ascii="Book Antiqua" w:hAnsi="Book Antiqua"/>
          <w:sz w:val="24"/>
          <w:szCs w:val="24"/>
        </w:rPr>
        <w:t xml:space="preserve">, including </w:t>
      </w:r>
      <w:r w:rsidR="004504A4" w:rsidRPr="001059B5">
        <w:rPr>
          <w:rFonts w:ascii="Book Antiqua" w:hAnsi="Book Antiqua"/>
          <w:sz w:val="24"/>
          <w:szCs w:val="24"/>
        </w:rPr>
        <w:t>disbursements</w:t>
      </w:r>
      <w:r w:rsidR="00D7151E" w:rsidRPr="001059B5">
        <w:rPr>
          <w:rFonts w:ascii="Book Antiqua" w:hAnsi="Book Antiqua"/>
          <w:sz w:val="24"/>
          <w:szCs w:val="24"/>
        </w:rPr>
        <w:t>,</w:t>
      </w:r>
      <w:r w:rsidR="004504A4" w:rsidRPr="001059B5">
        <w:rPr>
          <w:rFonts w:ascii="Book Antiqua" w:hAnsi="Book Antiqua"/>
          <w:sz w:val="24"/>
          <w:szCs w:val="24"/>
        </w:rPr>
        <w:t xml:space="preserve"> have been calculated</w:t>
      </w:r>
      <w:r w:rsidRPr="001059B5">
        <w:rPr>
          <w:rFonts w:ascii="Book Antiqua" w:hAnsi="Book Antiqua"/>
          <w:sz w:val="24"/>
          <w:szCs w:val="24"/>
        </w:rPr>
        <w:t>.</w:t>
      </w:r>
    </w:p>
    <w:p w14:paraId="0DE3C709" w14:textId="77777777" w:rsidR="004504A4" w:rsidRPr="001059B5" w:rsidRDefault="00AE27B9" w:rsidP="001059B5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1418" w:hanging="698"/>
        <w:jc w:val="both"/>
        <w:rPr>
          <w:rFonts w:ascii="Book Antiqua" w:hAnsi="Book Antiqua"/>
          <w:sz w:val="24"/>
          <w:szCs w:val="24"/>
        </w:rPr>
      </w:pPr>
      <w:r w:rsidRPr="001059B5">
        <w:rPr>
          <w:rFonts w:ascii="Book Antiqua" w:hAnsi="Book Antiqua"/>
          <w:sz w:val="24"/>
          <w:szCs w:val="24"/>
        </w:rPr>
        <w:t>A</w:t>
      </w:r>
      <w:r w:rsidR="00D7151E" w:rsidRPr="001059B5">
        <w:rPr>
          <w:rFonts w:ascii="Book Antiqua" w:hAnsi="Book Antiqua"/>
          <w:sz w:val="24"/>
          <w:szCs w:val="24"/>
        </w:rPr>
        <w:t xml:space="preserve">lternatively, if </w:t>
      </w:r>
      <w:r w:rsidR="004504A4" w:rsidRPr="001059B5">
        <w:rPr>
          <w:rFonts w:ascii="Book Antiqua" w:hAnsi="Book Antiqua"/>
          <w:sz w:val="24"/>
          <w:szCs w:val="24"/>
        </w:rPr>
        <w:t xml:space="preserve">it </w:t>
      </w:r>
      <w:r w:rsidR="0008076E">
        <w:rPr>
          <w:rFonts w:ascii="Book Antiqua" w:hAnsi="Book Antiqua"/>
          <w:sz w:val="24"/>
          <w:szCs w:val="24"/>
        </w:rPr>
        <w:t xml:space="preserve">otherwise </w:t>
      </w:r>
      <w:r w:rsidR="004504A4" w:rsidRPr="001059B5">
        <w:rPr>
          <w:rFonts w:ascii="Book Antiqua" w:hAnsi="Book Antiqua"/>
          <w:sz w:val="24"/>
          <w:szCs w:val="24"/>
        </w:rPr>
        <w:t>appears to the Court that a party’s costs</w:t>
      </w:r>
      <w:r w:rsidR="00D7151E" w:rsidRPr="001059B5">
        <w:rPr>
          <w:rFonts w:ascii="Book Antiqua" w:hAnsi="Book Antiqua"/>
          <w:sz w:val="24"/>
          <w:szCs w:val="24"/>
        </w:rPr>
        <w:t xml:space="preserve">, including </w:t>
      </w:r>
      <w:r w:rsidR="004504A4" w:rsidRPr="001059B5">
        <w:rPr>
          <w:rFonts w:ascii="Book Antiqua" w:hAnsi="Book Antiqua"/>
          <w:sz w:val="24"/>
          <w:szCs w:val="24"/>
        </w:rPr>
        <w:t>disbursements</w:t>
      </w:r>
      <w:r w:rsidR="00D7151E" w:rsidRPr="001059B5">
        <w:rPr>
          <w:rFonts w:ascii="Book Antiqua" w:hAnsi="Book Antiqua"/>
          <w:sz w:val="24"/>
          <w:szCs w:val="24"/>
        </w:rPr>
        <w:t>,</w:t>
      </w:r>
      <w:r w:rsidR="004504A4" w:rsidRPr="001059B5">
        <w:rPr>
          <w:rFonts w:ascii="Book Antiqua" w:hAnsi="Book Antiqua"/>
          <w:sz w:val="24"/>
          <w:szCs w:val="24"/>
        </w:rPr>
        <w:t xml:space="preserve"> may not be reasonable or proportionate, then the Court may require </w:t>
      </w:r>
      <w:r w:rsidR="00D7151E" w:rsidRPr="001059B5">
        <w:rPr>
          <w:rFonts w:ascii="Book Antiqua" w:hAnsi="Book Antiqua"/>
          <w:sz w:val="24"/>
          <w:szCs w:val="24"/>
        </w:rPr>
        <w:t xml:space="preserve">that </w:t>
      </w:r>
      <w:r w:rsidR="004504A4" w:rsidRPr="001059B5">
        <w:rPr>
          <w:rFonts w:ascii="Book Antiqua" w:hAnsi="Book Antiqua"/>
          <w:sz w:val="24"/>
          <w:szCs w:val="24"/>
        </w:rPr>
        <w:t xml:space="preserve">party’s solicitor to file an affidavit showing how </w:t>
      </w:r>
      <w:r w:rsidR="00D7151E" w:rsidRPr="001059B5">
        <w:rPr>
          <w:rFonts w:ascii="Book Antiqua" w:hAnsi="Book Antiqua"/>
          <w:sz w:val="24"/>
          <w:szCs w:val="24"/>
        </w:rPr>
        <w:t>that party’s</w:t>
      </w:r>
      <w:r w:rsidR="006373F2" w:rsidRPr="001059B5">
        <w:rPr>
          <w:rFonts w:ascii="Book Antiqua" w:hAnsi="Book Antiqua"/>
          <w:sz w:val="24"/>
          <w:szCs w:val="24"/>
        </w:rPr>
        <w:t xml:space="preserve"> </w:t>
      </w:r>
      <w:r w:rsidR="004504A4" w:rsidRPr="001059B5">
        <w:rPr>
          <w:rFonts w:ascii="Book Antiqua" w:hAnsi="Book Antiqua"/>
          <w:sz w:val="24"/>
          <w:szCs w:val="24"/>
        </w:rPr>
        <w:t>costs</w:t>
      </w:r>
      <w:r w:rsidR="00D7151E" w:rsidRPr="001059B5">
        <w:rPr>
          <w:rFonts w:ascii="Book Antiqua" w:hAnsi="Book Antiqua"/>
          <w:sz w:val="24"/>
          <w:szCs w:val="24"/>
        </w:rPr>
        <w:t xml:space="preserve">, including </w:t>
      </w:r>
      <w:r w:rsidR="004504A4" w:rsidRPr="001059B5">
        <w:rPr>
          <w:rFonts w:ascii="Book Antiqua" w:hAnsi="Book Antiqua"/>
          <w:sz w:val="24"/>
          <w:szCs w:val="24"/>
        </w:rPr>
        <w:t>disbursements</w:t>
      </w:r>
      <w:r w:rsidR="00D7151E" w:rsidRPr="001059B5">
        <w:rPr>
          <w:rFonts w:ascii="Book Antiqua" w:hAnsi="Book Antiqua"/>
          <w:sz w:val="24"/>
          <w:szCs w:val="24"/>
        </w:rPr>
        <w:t>,</w:t>
      </w:r>
      <w:r w:rsidR="004504A4" w:rsidRPr="001059B5">
        <w:rPr>
          <w:rFonts w:ascii="Book Antiqua" w:hAnsi="Book Antiqua"/>
          <w:sz w:val="24"/>
          <w:szCs w:val="24"/>
        </w:rPr>
        <w:t xml:space="preserve"> have been calculated.</w:t>
      </w:r>
    </w:p>
    <w:p w14:paraId="76575E30" w14:textId="77777777" w:rsidR="002E0EA4" w:rsidRPr="004504A4" w:rsidRDefault="002E0EA4" w:rsidP="00BB6A4A">
      <w:pPr>
        <w:pStyle w:val="ListParagraph"/>
        <w:autoSpaceDE w:val="0"/>
        <w:autoSpaceDN w:val="0"/>
        <w:adjustRightInd w:val="0"/>
        <w:jc w:val="both"/>
        <w:rPr>
          <w:rFonts w:ascii="Book Antiqua" w:hAnsi="Book Antiqua"/>
          <w:sz w:val="24"/>
          <w:szCs w:val="24"/>
        </w:rPr>
      </w:pPr>
    </w:p>
    <w:p w14:paraId="10C540F1" w14:textId="77777777" w:rsidR="00476A16" w:rsidRPr="004504A4" w:rsidRDefault="00476A16" w:rsidP="00476A16">
      <w:pPr>
        <w:pStyle w:val="ListParagraph"/>
        <w:keepNext/>
        <w:numPr>
          <w:ilvl w:val="0"/>
          <w:numId w:val="2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/>
          <w:b/>
          <w:sz w:val="24"/>
          <w:szCs w:val="24"/>
        </w:rPr>
      </w:pPr>
      <w:r w:rsidRPr="004504A4">
        <w:rPr>
          <w:rFonts w:ascii="Book Antiqua" w:hAnsi="Book Antiqua"/>
          <w:b/>
          <w:sz w:val="24"/>
          <w:szCs w:val="24"/>
        </w:rPr>
        <w:t>PROPOSED CONSENT ORDERS</w:t>
      </w:r>
    </w:p>
    <w:p w14:paraId="7A59076F" w14:textId="77777777" w:rsidR="00476A16" w:rsidRPr="006219AF" w:rsidRDefault="00476A16" w:rsidP="00476A16">
      <w:pPr>
        <w:pStyle w:val="ListParagraph"/>
        <w:numPr>
          <w:ilvl w:val="1"/>
          <w:numId w:val="2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/>
          <w:b/>
          <w:sz w:val="24"/>
          <w:szCs w:val="24"/>
        </w:rPr>
      </w:pPr>
      <w:r w:rsidRPr="00781EED">
        <w:rPr>
          <w:rFonts w:ascii="Book Antiqua" w:hAnsi="Book Antiqua"/>
          <w:sz w:val="24"/>
          <w:szCs w:val="24"/>
        </w:rPr>
        <w:t xml:space="preserve">Orders will be made on the papers where appropriate, however </w:t>
      </w:r>
      <w:r>
        <w:rPr>
          <w:rFonts w:ascii="Book Antiqua" w:hAnsi="Book Antiqua"/>
          <w:sz w:val="24"/>
          <w:szCs w:val="24"/>
        </w:rPr>
        <w:t xml:space="preserve">proposed </w:t>
      </w:r>
      <w:r w:rsidRPr="00781EED">
        <w:rPr>
          <w:rFonts w:ascii="Book Antiqua" w:hAnsi="Book Antiqua"/>
          <w:sz w:val="24"/>
          <w:szCs w:val="24"/>
        </w:rPr>
        <w:t>consent</w:t>
      </w:r>
      <w:r>
        <w:rPr>
          <w:rFonts w:ascii="Book Antiqua" w:hAnsi="Book Antiqua"/>
          <w:sz w:val="24"/>
          <w:szCs w:val="24"/>
        </w:rPr>
        <w:t xml:space="preserve"> orders</w:t>
      </w:r>
      <w:r w:rsidRPr="00781EED">
        <w:rPr>
          <w:rFonts w:ascii="Book Antiqua" w:hAnsi="Book Antiqua"/>
          <w:sz w:val="24"/>
          <w:szCs w:val="24"/>
        </w:rPr>
        <w:t xml:space="preserve"> that include the signature of a litigant in person may not be accepted.</w:t>
      </w:r>
    </w:p>
    <w:p w14:paraId="447F1BC5" w14:textId="77777777" w:rsidR="00476A16" w:rsidRPr="00781EED" w:rsidRDefault="00476A16" w:rsidP="00476A16">
      <w:pPr>
        <w:pStyle w:val="ListParagraph"/>
        <w:numPr>
          <w:ilvl w:val="1"/>
          <w:numId w:val="2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/>
          <w:b/>
          <w:sz w:val="24"/>
          <w:szCs w:val="24"/>
        </w:rPr>
      </w:pPr>
      <w:r w:rsidRPr="00781EED">
        <w:rPr>
          <w:rFonts w:ascii="Book Antiqua" w:hAnsi="Book Antiqua"/>
          <w:sz w:val="24"/>
          <w:szCs w:val="24"/>
        </w:rPr>
        <w:t xml:space="preserve">All </w:t>
      </w:r>
      <w:r>
        <w:rPr>
          <w:rFonts w:ascii="Book Antiqua" w:hAnsi="Book Antiqua"/>
          <w:sz w:val="24"/>
          <w:szCs w:val="24"/>
        </w:rPr>
        <w:t>proposed consent orders</w:t>
      </w:r>
      <w:r w:rsidRPr="00781EED">
        <w:rPr>
          <w:rFonts w:ascii="Book Antiqua" w:hAnsi="Book Antiqua"/>
          <w:sz w:val="24"/>
          <w:szCs w:val="24"/>
        </w:rPr>
        <w:t xml:space="preserve"> should be sent in both Word and signed PDF format. </w:t>
      </w:r>
    </w:p>
    <w:p w14:paraId="5B592483" w14:textId="77777777" w:rsidR="009D6FBD" w:rsidRPr="00781EED" w:rsidRDefault="009D6FBD" w:rsidP="002244C2">
      <w:pPr>
        <w:autoSpaceDE w:val="0"/>
        <w:autoSpaceDN w:val="0"/>
        <w:adjustRightInd w:val="0"/>
        <w:ind w:left="720" w:hanging="720"/>
        <w:jc w:val="both"/>
        <w:rPr>
          <w:rFonts w:ascii="Book Antiqua" w:hAnsi="Book Antiqua"/>
          <w:b/>
        </w:rPr>
      </w:pPr>
    </w:p>
    <w:p w14:paraId="05DAAE87" w14:textId="77777777" w:rsidR="002361DF" w:rsidRPr="00781EED" w:rsidRDefault="002361DF" w:rsidP="002244C2">
      <w:pPr>
        <w:pStyle w:val="ListParagraph"/>
        <w:keepNext/>
        <w:numPr>
          <w:ilvl w:val="0"/>
          <w:numId w:val="2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/>
          <w:b/>
          <w:sz w:val="24"/>
          <w:szCs w:val="24"/>
        </w:rPr>
      </w:pPr>
      <w:r w:rsidRPr="00781EED">
        <w:rPr>
          <w:rFonts w:ascii="Book Antiqua" w:hAnsi="Book Antiqua"/>
          <w:b/>
          <w:sz w:val="24"/>
          <w:szCs w:val="24"/>
        </w:rPr>
        <w:t>COMMUNICATIONS WITH THE COURT</w:t>
      </w:r>
    </w:p>
    <w:p w14:paraId="31662AF7" w14:textId="77777777" w:rsidR="007D66AA" w:rsidRPr="00781EED" w:rsidRDefault="00CD78A1" w:rsidP="002244C2">
      <w:pPr>
        <w:pStyle w:val="ListParagraph"/>
        <w:numPr>
          <w:ilvl w:val="1"/>
          <w:numId w:val="2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/>
          <w:b/>
          <w:sz w:val="24"/>
          <w:szCs w:val="24"/>
        </w:rPr>
      </w:pPr>
      <w:r w:rsidRPr="00781EED">
        <w:rPr>
          <w:rFonts w:ascii="Book Antiqua" w:hAnsi="Book Antiqua"/>
          <w:sz w:val="24"/>
          <w:szCs w:val="24"/>
        </w:rPr>
        <w:t xml:space="preserve">Save for </w:t>
      </w:r>
      <w:r w:rsidR="006E70F1">
        <w:rPr>
          <w:rFonts w:ascii="Book Antiqua" w:hAnsi="Book Antiqua"/>
          <w:sz w:val="24"/>
          <w:szCs w:val="24"/>
        </w:rPr>
        <w:t xml:space="preserve">communications regarding </w:t>
      </w:r>
      <w:r w:rsidRPr="00781EED">
        <w:rPr>
          <w:rFonts w:ascii="Book Antiqua" w:hAnsi="Book Antiqua"/>
          <w:sz w:val="24"/>
          <w:szCs w:val="24"/>
        </w:rPr>
        <w:t xml:space="preserve">applications for approval of compromise, </w:t>
      </w:r>
      <w:r w:rsidR="002361DF" w:rsidRPr="00781EED">
        <w:rPr>
          <w:rFonts w:ascii="Book Antiqua" w:hAnsi="Book Antiqua"/>
          <w:sz w:val="24"/>
          <w:szCs w:val="24"/>
        </w:rPr>
        <w:t>communications with the Court should be by email with a copy to all other parties, and confined to uncontroversial matters.</w:t>
      </w:r>
      <w:r w:rsidR="003615E5" w:rsidRPr="00781EED">
        <w:rPr>
          <w:rFonts w:ascii="Book Antiqua" w:hAnsi="Book Antiqua"/>
          <w:sz w:val="24"/>
          <w:szCs w:val="24"/>
        </w:rPr>
        <w:t xml:space="preserve"> </w:t>
      </w:r>
    </w:p>
    <w:p w14:paraId="378B08DE" w14:textId="77777777" w:rsidR="002361DF" w:rsidRPr="00BB6A4A" w:rsidRDefault="007D66AA" w:rsidP="002244C2">
      <w:pPr>
        <w:pStyle w:val="ListParagraph"/>
        <w:numPr>
          <w:ilvl w:val="1"/>
          <w:numId w:val="2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/>
          <w:b/>
          <w:sz w:val="24"/>
          <w:szCs w:val="24"/>
        </w:rPr>
      </w:pPr>
      <w:r w:rsidRPr="00781EED">
        <w:rPr>
          <w:rFonts w:ascii="Book Antiqua" w:hAnsi="Book Antiqua"/>
          <w:sz w:val="24"/>
          <w:szCs w:val="24"/>
        </w:rPr>
        <w:t>All communications regarding proceedings in the List should be directed</w:t>
      </w:r>
      <w:r w:rsidR="00CD78A1" w:rsidRPr="00781EED">
        <w:rPr>
          <w:rFonts w:ascii="Book Antiqua" w:hAnsi="Book Antiqua"/>
          <w:sz w:val="24"/>
          <w:szCs w:val="24"/>
        </w:rPr>
        <w:t xml:space="preserve">, at </w:t>
      </w:r>
      <w:r w:rsidR="00CD78A1" w:rsidRPr="00E15CF4">
        <w:rPr>
          <w:rFonts w:ascii="Book Antiqua" w:hAnsi="Book Antiqua"/>
          <w:sz w:val="24"/>
          <w:szCs w:val="24"/>
        </w:rPr>
        <w:t>first instance,</w:t>
      </w:r>
      <w:r w:rsidRPr="00E15CF4">
        <w:rPr>
          <w:rFonts w:ascii="Book Antiqua" w:hAnsi="Book Antiqua"/>
          <w:sz w:val="24"/>
          <w:szCs w:val="24"/>
        </w:rPr>
        <w:t xml:space="preserve"> to the TFM </w:t>
      </w:r>
      <w:r w:rsidR="00CD78A1" w:rsidRPr="00E15CF4">
        <w:rPr>
          <w:rFonts w:ascii="Book Antiqua" w:hAnsi="Book Antiqua"/>
          <w:sz w:val="24"/>
          <w:szCs w:val="24"/>
        </w:rPr>
        <w:t xml:space="preserve">Coordinator at </w:t>
      </w:r>
      <w:hyperlink r:id="rId15" w:history="1">
        <w:r w:rsidR="0041026E" w:rsidRPr="00E15CF4">
          <w:rPr>
            <w:rStyle w:val="Hyperlink"/>
            <w:rFonts w:ascii="Book Antiqua" w:hAnsi="Book Antiqua"/>
            <w:sz w:val="24"/>
            <w:szCs w:val="24"/>
          </w:rPr>
          <w:t>tfm@supcourt.vic.gov.au</w:t>
        </w:r>
      </w:hyperlink>
      <w:r w:rsidR="001C7E7A">
        <w:rPr>
          <w:rFonts w:ascii="Book Antiqua" w:hAnsi="Book Antiqua"/>
          <w:sz w:val="24"/>
          <w:szCs w:val="24"/>
        </w:rPr>
        <w:t>.</w:t>
      </w:r>
      <w:r w:rsidR="00E15CF4">
        <w:rPr>
          <w:rFonts w:ascii="Book Antiqua" w:hAnsi="Book Antiqua"/>
          <w:sz w:val="24"/>
          <w:szCs w:val="24"/>
        </w:rPr>
        <w:t xml:space="preserve"> </w:t>
      </w:r>
      <w:r w:rsidRPr="00E15CF4">
        <w:rPr>
          <w:rFonts w:ascii="Book Antiqua" w:hAnsi="Book Antiqua"/>
          <w:sz w:val="24"/>
          <w:szCs w:val="24"/>
        </w:rPr>
        <w:t xml:space="preserve"> </w:t>
      </w:r>
      <w:r w:rsidR="0071127D">
        <w:rPr>
          <w:rFonts w:ascii="Book Antiqua" w:hAnsi="Book Antiqua"/>
          <w:sz w:val="24"/>
          <w:szCs w:val="24"/>
        </w:rPr>
        <w:t>The file number and party represented should be made clear on every communication.</w:t>
      </w:r>
    </w:p>
    <w:p w14:paraId="6BDFFCE5" w14:textId="77777777" w:rsidR="000C474A" w:rsidRPr="00E15CF4" w:rsidRDefault="000C474A" w:rsidP="002244C2">
      <w:pPr>
        <w:pStyle w:val="ListParagraph"/>
        <w:autoSpaceDE w:val="0"/>
        <w:autoSpaceDN w:val="0"/>
        <w:adjustRightInd w:val="0"/>
        <w:contextualSpacing w:val="0"/>
        <w:jc w:val="both"/>
        <w:rPr>
          <w:rFonts w:ascii="Book Antiqua" w:hAnsi="Book Antiqua"/>
          <w:b/>
          <w:sz w:val="24"/>
          <w:szCs w:val="24"/>
        </w:rPr>
      </w:pPr>
    </w:p>
    <w:p w14:paraId="0AF5CBA4" w14:textId="77777777" w:rsidR="00CD78A1" w:rsidRPr="00E15CF4" w:rsidRDefault="008D001E" w:rsidP="002244C2">
      <w:pPr>
        <w:pStyle w:val="ListParagraph"/>
        <w:keepNext/>
        <w:numPr>
          <w:ilvl w:val="0"/>
          <w:numId w:val="2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/>
          <w:b/>
          <w:sz w:val="24"/>
          <w:szCs w:val="24"/>
        </w:rPr>
      </w:pPr>
      <w:r w:rsidRPr="00E15CF4">
        <w:rPr>
          <w:rFonts w:ascii="Book Antiqua" w:hAnsi="Book Antiqua"/>
          <w:b/>
          <w:sz w:val="24"/>
          <w:szCs w:val="24"/>
        </w:rPr>
        <w:t>FURTHER INFORMATION</w:t>
      </w:r>
    </w:p>
    <w:p w14:paraId="1291FC2B" w14:textId="77777777" w:rsidR="008D001E" w:rsidRPr="00E15CF4" w:rsidRDefault="008D001E" w:rsidP="002244C2">
      <w:pPr>
        <w:pStyle w:val="ListParagraph"/>
        <w:keepNext/>
        <w:numPr>
          <w:ilvl w:val="1"/>
          <w:numId w:val="2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/>
          <w:sz w:val="24"/>
          <w:szCs w:val="24"/>
        </w:rPr>
      </w:pPr>
      <w:r w:rsidRPr="00E15CF4">
        <w:rPr>
          <w:rFonts w:ascii="Book Antiqua" w:hAnsi="Book Antiqua"/>
          <w:sz w:val="24"/>
          <w:szCs w:val="24"/>
        </w:rPr>
        <w:t xml:space="preserve">The Court’s website includes a page dedicated to the List with up to date information about </w:t>
      </w:r>
      <w:r w:rsidR="00952FD3">
        <w:rPr>
          <w:rFonts w:ascii="Book Antiqua" w:hAnsi="Book Antiqua"/>
          <w:sz w:val="24"/>
          <w:szCs w:val="24"/>
        </w:rPr>
        <w:t>its</w:t>
      </w:r>
      <w:r w:rsidR="00952FD3" w:rsidRPr="00E15CF4">
        <w:rPr>
          <w:rFonts w:ascii="Book Antiqua" w:hAnsi="Book Antiqua"/>
          <w:sz w:val="24"/>
          <w:szCs w:val="24"/>
        </w:rPr>
        <w:t xml:space="preserve"> </w:t>
      </w:r>
      <w:r w:rsidRPr="00E15CF4">
        <w:rPr>
          <w:rFonts w:ascii="Book Antiqua" w:hAnsi="Book Antiqua"/>
          <w:sz w:val="24"/>
          <w:szCs w:val="24"/>
        </w:rPr>
        <w:t>operation</w:t>
      </w:r>
      <w:r w:rsidR="009521D9" w:rsidRPr="00E15CF4">
        <w:rPr>
          <w:rFonts w:ascii="Book Antiqua" w:hAnsi="Book Antiqua"/>
          <w:sz w:val="24"/>
          <w:szCs w:val="24"/>
        </w:rPr>
        <w:t>.</w:t>
      </w:r>
    </w:p>
    <w:p w14:paraId="0583A9D5" w14:textId="77777777" w:rsidR="00E15CF4" w:rsidRDefault="00E15CF4" w:rsidP="002244C2">
      <w:pPr>
        <w:rPr>
          <w:rFonts w:ascii="Book Antiqua" w:hAnsi="Book Antiqua"/>
          <w:b/>
        </w:rPr>
      </w:pPr>
    </w:p>
    <w:p w14:paraId="27170A4D" w14:textId="77777777" w:rsidR="007E0438" w:rsidRDefault="007E0438" w:rsidP="002244C2">
      <w:pPr>
        <w:rPr>
          <w:rFonts w:ascii="Book Antiqua" w:hAnsi="Book Antiqua"/>
          <w:b/>
        </w:rPr>
      </w:pPr>
    </w:p>
    <w:p w14:paraId="39F2EF1C" w14:textId="77777777" w:rsidR="007E0438" w:rsidRDefault="007E0438" w:rsidP="002244C2">
      <w:pPr>
        <w:rPr>
          <w:rFonts w:ascii="Book Antiqua" w:hAnsi="Book Antiqua"/>
          <w:b/>
        </w:rPr>
      </w:pPr>
    </w:p>
    <w:p w14:paraId="37CBD56C" w14:textId="77777777" w:rsidR="003817CD" w:rsidRPr="006219AF" w:rsidRDefault="00277B7B" w:rsidP="002244C2">
      <w:pPr>
        <w:rPr>
          <w:rFonts w:ascii="Book Antiqua" w:hAnsi="Book Antiqua"/>
          <w:b/>
        </w:rPr>
      </w:pPr>
      <w:r w:rsidRPr="00781EED">
        <w:rPr>
          <w:rFonts w:ascii="Book Antiqua" w:hAnsi="Book Antiqua"/>
          <w:b/>
        </w:rPr>
        <w:t>AMENDMENT HISTORY</w:t>
      </w:r>
    </w:p>
    <w:p w14:paraId="21C75851" w14:textId="77777777" w:rsidR="00AB3FFA" w:rsidRPr="00781EED" w:rsidRDefault="00DC2BE1" w:rsidP="000C474A">
      <w:pPr>
        <w:spacing w:before="120" w:after="120"/>
        <w:jc w:val="both"/>
        <w:rPr>
          <w:rFonts w:ascii="Book Antiqua" w:hAnsi="Book Antiqua"/>
        </w:rPr>
      </w:pPr>
      <w:r w:rsidRPr="00781EED">
        <w:rPr>
          <w:rFonts w:ascii="Book Antiqua" w:hAnsi="Book Antiqua"/>
        </w:rPr>
        <w:t>30</w:t>
      </w:r>
      <w:r w:rsidR="00277B7B" w:rsidRPr="00781EED">
        <w:rPr>
          <w:rFonts w:ascii="Book Antiqua" w:hAnsi="Book Antiqua"/>
        </w:rPr>
        <w:t xml:space="preserve"> </w:t>
      </w:r>
      <w:r w:rsidR="0038691A" w:rsidRPr="00781EED">
        <w:rPr>
          <w:rFonts w:ascii="Book Antiqua" w:hAnsi="Book Antiqua"/>
        </w:rPr>
        <w:t>January 2017</w:t>
      </w:r>
      <w:r w:rsidR="00277B7B" w:rsidRPr="00781EED">
        <w:rPr>
          <w:rFonts w:ascii="Book Antiqua" w:hAnsi="Book Antiqua"/>
        </w:rPr>
        <w:t xml:space="preserve">: This Practice Note was issued on </w:t>
      </w:r>
      <w:r w:rsidRPr="00781EED">
        <w:rPr>
          <w:rFonts w:ascii="Book Antiqua" w:hAnsi="Book Antiqua"/>
        </w:rPr>
        <w:t>30</w:t>
      </w:r>
      <w:r w:rsidR="0038691A" w:rsidRPr="00781EED">
        <w:rPr>
          <w:rFonts w:ascii="Book Antiqua" w:hAnsi="Book Antiqua"/>
        </w:rPr>
        <w:t xml:space="preserve"> January 2017 </w:t>
      </w:r>
      <w:r w:rsidR="00277B7B" w:rsidRPr="00781EED">
        <w:rPr>
          <w:rFonts w:ascii="Book Antiqua" w:hAnsi="Book Antiqua"/>
        </w:rPr>
        <w:t>and replaced Practice Note</w:t>
      </w:r>
      <w:r w:rsidR="00D00C42" w:rsidRPr="00781EED">
        <w:rPr>
          <w:rFonts w:ascii="Book Antiqua" w:hAnsi="Book Antiqua"/>
        </w:rPr>
        <w:t xml:space="preserve"> No </w:t>
      </w:r>
      <w:r w:rsidR="0024636D" w:rsidRPr="00781EED">
        <w:rPr>
          <w:rFonts w:ascii="Book Antiqua" w:hAnsi="Book Antiqua"/>
        </w:rPr>
        <w:t>7</w:t>
      </w:r>
      <w:r w:rsidR="00D00C42" w:rsidRPr="00781EED">
        <w:rPr>
          <w:rFonts w:ascii="Book Antiqua" w:hAnsi="Book Antiqua"/>
        </w:rPr>
        <w:t xml:space="preserve"> of 201</w:t>
      </w:r>
      <w:r w:rsidR="0024636D" w:rsidRPr="00781EED">
        <w:rPr>
          <w:rFonts w:ascii="Book Antiqua" w:hAnsi="Book Antiqua"/>
        </w:rPr>
        <w:t>5</w:t>
      </w:r>
      <w:r w:rsidR="00D00C42" w:rsidRPr="00781EED">
        <w:rPr>
          <w:rFonts w:ascii="Book Antiqua" w:hAnsi="Book Antiqua"/>
        </w:rPr>
        <w:t>.</w:t>
      </w:r>
    </w:p>
    <w:p w14:paraId="7793EB39" w14:textId="77777777" w:rsidR="000C474A" w:rsidRPr="00781EED" w:rsidRDefault="00EF088B" w:rsidP="00781EED">
      <w:pPr>
        <w:spacing w:before="120"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>1 April 2020</w:t>
      </w:r>
      <w:r w:rsidR="00781EED" w:rsidRPr="002244C2">
        <w:rPr>
          <w:rFonts w:ascii="Book Antiqua" w:hAnsi="Book Antiqua"/>
        </w:rPr>
        <w:t>: Th</w:t>
      </w:r>
      <w:r>
        <w:rPr>
          <w:rFonts w:ascii="Book Antiqua" w:hAnsi="Book Antiqua"/>
        </w:rPr>
        <w:t>is Practice Note was reissued with amendments replacing the version issued on 30 January 2017</w:t>
      </w:r>
      <w:r w:rsidR="00781EED" w:rsidRPr="002244C2">
        <w:rPr>
          <w:rFonts w:ascii="Book Antiqua" w:hAnsi="Book Antiqua"/>
        </w:rPr>
        <w:t>.</w:t>
      </w:r>
    </w:p>
    <w:p w14:paraId="00B3D4B5" w14:textId="77777777" w:rsidR="00AB3FFA" w:rsidRPr="00781EED" w:rsidRDefault="00DB59AD" w:rsidP="000C474A">
      <w:pPr>
        <w:spacing w:before="120" w:after="120"/>
        <w:ind w:left="720" w:hanging="720"/>
        <w:jc w:val="right"/>
        <w:rPr>
          <w:rFonts w:ascii="Book Antiqua" w:hAnsi="Book Antiqua"/>
        </w:rPr>
      </w:pPr>
      <w:r w:rsidRPr="00781EED">
        <w:rPr>
          <w:rFonts w:ascii="Book Antiqua" w:hAnsi="Book Antiqua"/>
        </w:rPr>
        <w:t>Vivienne Macgillivray</w:t>
      </w:r>
    </w:p>
    <w:p w14:paraId="0DF3E5EB" w14:textId="77777777" w:rsidR="00AB3FFA" w:rsidRPr="00781EED" w:rsidRDefault="00AB3FFA" w:rsidP="000C474A">
      <w:pPr>
        <w:spacing w:before="120" w:after="120"/>
        <w:ind w:left="720" w:hanging="720"/>
        <w:jc w:val="right"/>
        <w:rPr>
          <w:rFonts w:ascii="Book Antiqua" w:hAnsi="Book Antiqua"/>
        </w:rPr>
      </w:pPr>
      <w:r w:rsidRPr="00781EED">
        <w:rPr>
          <w:rFonts w:ascii="Book Antiqua" w:hAnsi="Book Antiqua"/>
        </w:rPr>
        <w:t>Executive Associate to the Chief Justice</w:t>
      </w:r>
    </w:p>
    <w:p w14:paraId="60C82AC2" w14:textId="77777777" w:rsidR="003639B5" w:rsidRPr="007917BE" w:rsidRDefault="00EF088B" w:rsidP="00664F6D">
      <w:pPr>
        <w:spacing w:before="120" w:after="120"/>
        <w:ind w:left="720" w:hanging="720"/>
        <w:jc w:val="right"/>
        <w:rPr>
          <w:rFonts w:ascii="Book Antiqua" w:hAnsi="Book Antiqua"/>
        </w:rPr>
      </w:pPr>
      <w:r w:rsidRPr="00EF088B">
        <w:rPr>
          <w:rFonts w:ascii="Book Antiqua" w:hAnsi="Book Antiqua"/>
        </w:rPr>
        <w:t>1 April 2020</w:t>
      </w:r>
    </w:p>
    <w:sectPr w:rsidR="003639B5" w:rsidRPr="007917BE" w:rsidSect="003817CD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EAE82" w14:textId="77777777" w:rsidR="008B4342" w:rsidRDefault="008B4342">
      <w:r>
        <w:separator/>
      </w:r>
    </w:p>
  </w:endnote>
  <w:endnote w:type="continuationSeparator" w:id="0">
    <w:p w14:paraId="2685596B" w14:textId="77777777" w:rsidR="008B4342" w:rsidRDefault="008B4342">
      <w:r>
        <w:continuationSeparator/>
      </w:r>
    </w:p>
  </w:endnote>
  <w:endnote w:type="continuationNotice" w:id="1">
    <w:p w14:paraId="516A0E89" w14:textId="77777777" w:rsidR="008B4342" w:rsidRDefault="008B43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87745" w14:textId="77777777" w:rsidR="00365F3F" w:rsidRDefault="00365F3F">
    <w:pPr>
      <w:pStyle w:val="Footer"/>
      <w:jc w:val="right"/>
    </w:pPr>
  </w:p>
  <w:p w14:paraId="5A545606" w14:textId="77777777" w:rsidR="00365F3F" w:rsidRDefault="00365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4105B" w14:textId="77777777" w:rsidR="008B4342" w:rsidRDefault="008B4342">
      <w:r>
        <w:separator/>
      </w:r>
    </w:p>
  </w:footnote>
  <w:footnote w:type="continuationSeparator" w:id="0">
    <w:p w14:paraId="337DF913" w14:textId="77777777" w:rsidR="008B4342" w:rsidRDefault="008B4342">
      <w:r>
        <w:continuationSeparator/>
      </w:r>
    </w:p>
  </w:footnote>
  <w:footnote w:type="continuationNotice" w:id="1">
    <w:p w14:paraId="76C4DB32" w14:textId="77777777" w:rsidR="008B4342" w:rsidRDefault="008B4342"/>
  </w:footnote>
  <w:footnote w:id="2">
    <w:p w14:paraId="16145400" w14:textId="77777777" w:rsidR="00084F29" w:rsidRDefault="00084F2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31E27">
        <w:t>A</w:t>
      </w:r>
      <w:r>
        <w:t>dults with full legal capacity.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1C47B" w14:textId="77777777" w:rsidR="00365F3F" w:rsidRDefault="00365F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3177" w14:textId="77777777" w:rsidR="00365F3F" w:rsidRDefault="00365F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EC5F5" w14:textId="77777777" w:rsidR="00365F3F" w:rsidRDefault="00365F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A8C"/>
    <w:multiLevelType w:val="multilevel"/>
    <w:tmpl w:val="DE8A0A6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183F95"/>
    <w:multiLevelType w:val="hybridMultilevel"/>
    <w:tmpl w:val="F168A346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793CBC"/>
    <w:multiLevelType w:val="hybridMultilevel"/>
    <w:tmpl w:val="B66CF0A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5F023988">
      <w:start w:val="1"/>
      <w:numFmt w:val="lowerRoman"/>
      <w:lvlText w:val="%2.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174285"/>
    <w:multiLevelType w:val="hybridMultilevel"/>
    <w:tmpl w:val="CEF2CD2C"/>
    <w:lvl w:ilvl="0" w:tplc="E86C3F72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6404FF5"/>
    <w:multiLevelType w:val="multilevel"/>
    <w:tmpl w:val="FF748DE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D1176E"/>
    <w:multiLevelType w:val="hybridMultilevel"/>
    <w:tmpl w:val="1656651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945C3358">
      <w:start w:val="1"/>
      <w:numFmt w:val="lowerRoman"/>
      <w:lvlText w:val="%2.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6646ED"/>
    <w:multiLevelType w:val="hybridMultilevel"/>
    <w:tmpl w:val="64C2DFDE"/>
    <w:lvl w:ilvl="0" w:tplc="1E4CC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90017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31B818FC"/>
    <w:multiLevelType w:val="hybridMultilevel"/>
    <w:tmpl w:val="BAA0FC58"/>
    <w:lvl w:ilvl="0" w:tplc="E86C3F7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F530E516">
      <w:start w:val="1"/>
      <w:numFmt w:val="lowerLetter"/>
      <w:lvlText w:val="(%2)"/>
      <w:lvlJc w:val="left"/>
      <w:pPr>
        <w:ind w:left="1069" w:hanging="360"/>
      </w:pPr>
      <w:rPr>
        <w:rFonts w:hint="default"/>
        <w:b w:val="0"/>
      </w:rPr>
    </w:lvl>
    <w:lvl w:ilvl="2" w:tplc="AE16FB22">
      <w:start w:val="1"/>
      <w:numFmt w:val="lowerRoman"/>
      <w:lvlText w:val="%3."/>
      <w:lvlJc w:val="left"/>
      <w:pPr>
        <w:ind w:left="174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C7632E"/>
    <w:multiLevelType w:val="hybridMultilevel"/>
    <w:tmpl w:val="6BD4244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0A1691"/>
    <w:multiLevelType w:val="hybridMultilevel"/>
    <w:tmpl w:val="D052596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3C6054"/>
    <w:multiLevelType w:val="hybridMultilevel"/>
    <w:tmpl w:val="6E82111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BB3DA2"/>
    <w:multiLevelType w:val="hybridMultilevel"/>
    <w:tmpl w:val="8098C7E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C27B78"/>
    <w:multiLevelType w:val="multilevel"/>
    <w:tmpl w:val="02E2D456"/>
    <w:lvl w:ilvl="0">
      <w:start w:val="1"/>
      <w:numFmt w:val="lowerLetter"/>
      <w:lvlText w:val="(%1)"/>
      <w:lvlJc w:val="left"/>
      <w:pPr>
        <w:ind w:left="1440" w:hanging="7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4A462211"/>
    <w:multiLevelType w:val="multilevel"/>
    <w:tmpl w:val="FF748DE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0C69D2"/>
    <w:multiLevelType w:val="hybridMultilevel"/>
    <w:tmpl w:val="290C22F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9222AE46">
      <w:start w:val="1"/>
      <w:numFmt w:val="lowerRoman"/>
      <w:lvlText w:val="(%2)"/>
      <w:lvlJc w:val="left"/>
      <w:pPr>
        <w:ind w:left="2160" w:hanging="360"/>
      </w:pPr>
      <w:rPr>
        <w:rFonts w:hint="default"/>
      </w:rPr>
    </w:lvl>
    <w:lvl w:ilvl="2" w:tplc="15129F6E">
      <w:start w:val="1"/>
      <w:numFmt w:val="lowerRoman"/>
      <w:lvlText w:val="(%3)"/>
      <w:lvlJc w:val="left"/>
      <w:pPr>
        <w:ind w:left="2139" w:hanging="720"/>
      </w:pPr>
      <w:rPr>
        <w:rFonts w:hint="default"/>
      </w:rPr>
    </w:lvl>
    <w:lvl w:ilvl="3" w:tplc="7E445A5A">
      <w:start w:val="1"/>
      <w:numFmt w:val="lowerLetter"/>
      <w:lvlText w:val="(%4)"/>
      <w:lvlJc w:val="left"/>
      <w:pPr>
        <w:ind w:left="107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B30AF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8D0C44"/>
    <w:multiLevelType w:val="hybridMultilevel"/>
    <w:tmpl w:val="D6B698A0"/>
    <w:lvl w:ilvl="0" w:tplc="AA66A69A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B603EE"/>
    <w:multiLevelType w:val="hybridMultilevel"/>
    <w:tmpl w:val="EF0E8672"/>
    <w:lvl w:ilvl="0" w:tplc="E86C3F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631B2"/>
    <w:multiLevelType w:val="multilevel"/>
    <w:tmpl w:val="FF748DE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E740CF1"/>
    <w:multiLevelType w:val="multilevel"/>
    <w:tmpl w:val="E042CBCE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Restart w:val="1"/>
      <w:lvlText w:val="(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none"/>
      <w:lvlText w:val="%7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8"/>
  </w:num>
  <w:num w:numId="5">
    <w:abstractNumId w:val="14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10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13"/>
  </w:num>
  <w:num w:numId="15">
    <w:abstractNumId w:val="15"/>
  </w:num>
  <w:num w:numId="16">
    <w:abstractNumId w:val="11"/>
  </w:num>
  <w:num w:numId="17">
    <w:abstractNumId w:val="7"/>
  </w:num>
  <w:num w:numId="18">
    <w:abstractNumId w:val="4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36"/>
    <w:rsid w:val="00000850"/>
    <w:rsid w:val="00007DBA"/>
    <w:rsid w:val="000117C7"/>
    <w:rsid w:val="000118DD"/>
    <w:rsid w:val="0001288E"/>
    <w:rsid w:val="000128D0"/>
    <w:rsid w:val="00013D3B"/>
    <w:rsid w:val="00014B10"/>
    <w:rsid w:val="00016787"/>
    <w:rsid w:val="00023C72"/>
    <w:rsid w:val="0003306E"/>
    <w:rsid w:val="00034D85"/>
    <w:rsid w:val="00035057"/>
    <w:rsid w:val="00036894"/>
    <w:rsid w:val="0003723C"/>
    <w:rsid w:val="00037D26"/>
    <w:rsid w:val="00043448"/>
    <w:rsid w:val="00055F43"/>
    <w:rsid w:val="000566C3"/>
    <w:rsid w:val="00070CA2"/>
    <w:rsid w:val="00070D66"/>
    <w:rsid w:val="00071A96"/>
    <w:rsid w:val="00073139"/>
    <w:rsid w:val="00073769"/>
    <w:rsid w:val="00077863"/>
    <w:rsid w:val="0008076E"/>
    <w:rsid w:val="00081A41"/>
    <w:rsid w:val="00084F29"/>
    <w:rsid w:val="00092D20"/>
    <w:rsid w:val="00095BA5"/>
    <w:rsid w:val="000A1DE7"/>
    <w:rsid w:val="000A4F62"/>
    <w:rsid w:val="000A553C"/>
    <w:rsid w:val="000A6B76"/>
    <w:rsid w:val="000B2E54"/>
    <w:rsid w:val="000B5F50"/>
    <w:rsid w:val="000C0998"/>
    <w:rsid w:val="000C1777"/>
    <w:rsid w:val="000C2CE1"/>
    <w:rsid w:val="000C474A"/>
    <w:rsid w:val="000C5F4B"/>
    <w:rsid w:val="000C75E1"/>
    <w:rsid w:val="000D07F1"/>
    <w:rsid w:val="000D0AC4"/>
    <w:rsid w:val="000D3250"/>
    <w:rsid w:val="000D5E28"/>
    <w:rsid w:val="000D7A64"/>
    <w:rsid w:val="000E12FA"/>
    <w:rsid w:val="000E2CAA"/>
    <w:rsid w:val="000E524A"/>
    <w:rsid w:val="000F3B18"/>
    <w:rsid w:val="000F6EA7"/>
    <w:rsid w:val="00100006"/>
    <w:rsid w:val="00101EC5"/>
    <w:rsid w:val="001033CC"/>
    <w:rsid w:val="001059B5"/>
    <w:rsid w:val="0011421F"/>
    <w:rsid w:val="001155BE"/>
    <w:rsid w:val="00115AFC"/>
    <w:rsid w:val="00121C72"/>
    <w:rsid w:val="00125C07"/>
    <w:rsid w:val="00133A51"/>
    <w:rsid w:val="001344BA"/>
    <w:rsid w:val="00140503"/>
    <w:rsid w:val="00140683"/>
    <w:rsid w:val="00143136"/>
    <w:rsid w:val="00143818"/>
    <w:rsid w:val="0014410E"/>
    <w:rsid w:val="00144DAA"/>
    <w:rsid w:val="00145C92"/>
    <w:rsid w:val="00145D28"/>
    <w:rsid w:val="0014603C"/>
    <w:rsid w:val="00146054"/>
    <w:rsid w:val="0015063E"/>
    <w:rsid w:val="00155A8E"/>
    <w:rsid w:val="0015650D"/>
    <w:rsid w:val="0016054E"/>
    <w:rsid w:val="00161B6C"/>
    <w:rsid w:val="00161CA2"/>
    <w:rsid w:val="001716EF"/>
    <w:rsid w:val="00177086"/>
    <w:rsid w:val="0018061B"/>
    <w:rsid w:val="00180AF6"/>
    <w:rsid w:val="00182C1F"/>
    <w:rsid w:val="00186E37"/>
    <w:rsid w:val="001913C5"/>
    <w:rsid w:val="00194089"/>
    <w:rsid w:val="00194A80"/>
    <w:rsid w:val="00197CA4"/>
    <w:rsid w:val="001A22B3"/>
    <w:rsid w:val="001A5036"/>
    <w:rsid w:val="001A5B39"/>
    <w:rsid w:val="001A667F"/>
    <w:rsid w:val="001A7651"/>
    <w:rsid w:val="001B14AC"/>
    <w:rsid w:val="001B2E88"/>
    <w:rsid w:val="001B3484"/>
    <w:rsid w:val="001B4283"/>
    <w:rsid w:val="001B7E2C"/>
    <w:rsid w:val="001C116C"/>
    <w:rsid w:val="001C2F4B"/>
    <w:rsid w:val="001C7E7A"/>
    <w:rsid w:val="001E0318"/>
    <w:rsid w:val="001E1418"/>
    <w:rsid w:val="001F71F4"/>
    <w:rsid w:val="00207367"/>
    <w:rsid w:val="00216DCF"/>
    <w:rsid w:val="00217758"/>
    <w:rsid w:val="00217E88"/>
    <w:rsid w:val="002218C5"/>
    <w:rsid w:val="00221FCB"/>
    <w:rsid w:val="00222544"/>
    <w:rsid w:val="002244C2"/>
    <w:rsid w:val="0022666D"/>
    <w:rsid w:val="0023426A"/>
    <w:rsid w:val="00234B7B"/>
    <w:rsid w:val="002361DF"/>
    <w:rsid w:val="00241A4E"/>
    <w:rsid w:val="00244C7C"/>
    <w:rsid w:val="00245746"/>
    <w:rsid w:val="0024636D"/>
    <w:rsid w:val="00247F50"/>
    <w:rsid w:val="002572C2"/>
    <w:rsid w:val="0026005D"/>
    <w:rsid w:val="00265BF9"/>
    <w:rsid w:val="00271B59"/>
    <w:rsid w:val="00275A5A"/>
    <w:rsid w:val="00277B7B"/>
    <w:rsid w:val="00277D33"/>
    <w:rsid w:val="00280EDF"/>
    <w:rsid w:val="002812ED"/>
    <w:rsid w:val="0028130B"/>
    <w:rsid w:val="00281E4F"/>
    <w:rsid w:val="002837A9"/>
    <w:rsid w:val="00283C48"/>
    <w:rsid w:val="00294341"/>
    <w:rsid w:val="002B08CB"/>
    <w:rsid w:val="002B1381"/>
    <w:rsid w:val="002B16D2"/>
    <w:rsid w:val="002B2246"/>
    <w:rsid w:val="002B465A"/>
    <w:rsid w:val="002C1134"/>
    <w:rsid w:val="002C56E8"/>
    <w:rsid w:val="002D04CF"/>
    <w:rsid w:val="002D0AB0"/>
    <w:rsid w:val="002D0FD3"/>
    <w:rsid w:val="002D23D8"/>
    <w:rsid w:val="002D6E79"/>
    <w:rsid w:val="002E0EA4"/>
    <w:rsid w:val="002E0F6B"/>
    <w:rsid w:val="002E126C"/>
    <w:rsid w:val="002E17D5"/>
    <w:rsid w:val="002E6B43"/>
    <w:rsid w:val="002E7FD2"/>
    <w:rsid w:val="002F4D7F"/>
    <w:rsid w:val="00300F4B"/>
    <w:rsid w:val="00302981"/>
    <w:rsid w:val="0030352D"/>
    <w:rsid w:val="00305761"/>
    <w:rsid w:val="00307B60"/>
    <w:rsid w:val="00310655"/>
    <w:rsid w:val="00310A32"/>
    <w:rsid w:val="00311051"/>
    <w:rsid w:val="0031222C"/>
    <w:rsid w:val="00314AAF"/>
    <w:rsid w:val="003166D1"/>
    <w:rsid w:val="00321C75"/>
    <w:rsid w:val="0032286C"/>
    <w:rsid w:val="00334DD3"/>
    <w:rsid w:val="00340257"/>
    <w:rsid w:val="0034260E"/>
    <w:rsid w:val="0034312D"/>
    <w:rsid w:val="00344A8C"/>
    <w:rsid w:val="00350055"/>
    <w:rsid w:val="003500B9"/>
    <w:rsid w:val="003508E0"/>
    <w:rsid w:val="00353E4C"/>
    <w:rsid w:val="00356593"/>
    <w:rsid w:val="00356969"/>
    <w:rsid w:val="00357A0D"/>
    <w:rsid w:val="003615E5"/>
    <w:rsid w:val="00363064"/>
    <w:rsid w:val="003639B5"/>
    <w:rsid w:val="00363BC0"/>
    <w:rsid w:val="00365D0E"/>
    <w:rsid w:val="00365F3F"/>
    <w:rsid w:val="00366742"/>
    <w:rsid w:val="00367AD0"/>
    <w:rsid w:val="00372CC2"/>
    <w:rsid w:val="00377999"/>
    <w:rsid w:val="003807EE"/>
    <w:rsid w:val="003813D2"/>
    <w:rsid w:val="003817CD"/>
    <w:rsid w:val="00381991"/>
    <w:rsid w:val="00381FDA"/>
    <w:rsid w:val="00383703"/>
    <w:rsid w:val="0038691A"/>
    <w:rsid w:val="00386C9F"/>
    <w:rsid w:val="00387DB3"/>
    <w:rsid w:val="00391CA0"/>
    <w:rsid w:val="003945D8"/>
    <w:rsid w:val="00396EF2"/>
    <w:rsid w:val="00397AAE"/>
    <w:rsid w:val="003A2275"/>
    <w:rsid w:val="003A7A5A"/>
    <w:rsid w:val="003A7E6C"/>
    <w:rsid w:val="003B2ADC"/>
    <w:rsid w:val="003B7248"/>
    <w:rsid w:val="003C07C2"/>
    <w:rsid w:val="003C343E"/>
    <w:rsid w:val="003C5C64"/>
    <w:rsid w:val="003C62F1"/>
    <w:rsid w:val="003C65BA"/>
    <w:rsid w:val="003D0A67"/>
    <w:rsid w:val="003D6126"/>
    <w:rsid w:val="003D672F"/>
    <w:rsid w:val="003E4C44"/>
    <w:rsid w:val="003E6152"/>
    <w:rsid w:val="003E66CF"/>
    <w:rsid w:val="003F0D9C"/>
    <w:rsid w:val="00400B2E"/>
    <w:rsid w:val="0040410A"/>
    <w:rsid w:val="00404CB0"/>
    <w:rsid w:val="0041026E"/>
    <w:rsid w:val="004126C2"/>
    <w:rsid w:val="00414B77"/>
    <w:rsid w:val="0042138B"/>
    <w:rsid w:val="00434BEE"/>
    <w:rsid w:val="004361F0"/>
    <w:rsid w:val="00441431"/>
    <w:rsid w:val="004450A6"/>
    <w:rsid w:val="004504A4"/>
    <w:rsid w:val="00454495"/>
    <w:rsid w:val="00455D46"/>
    <w:rsid w:val="00461361"/>
    <w:rsid w:val="00461BF5"/>
    <w:rsid w:val="00471414"/>
    <w:rsid w:val="00474F94"/>
    <w:rsid w:val="00476A16"/>
    <w:rsid w:val="00482EBE"/>
    <w:rsid w:val="00483F1E"/>
    <w:rsid w:val="004912F2"/>
    <w:rsid w:val="00492363"/>
    <w:rsid w:val="00494220"/>
    <w:rsid w:val="004946BD"/>
    <w:rsid w:val="0049669C"/>
    <w:rsid w:val="00496F08"/>
    <w:rsid w:val="004A36FB"/>
    <w:rsid w:val="004A4CFB"/>
    <w:rsid w:val="004A4FD3"/>
    <w:rsid w:val="004A7041"/>
    <w:rsid w:val="004B0B0E"/>
    <w:rsid w:val="004B1AC7"/>
    <w:rsid w:val="004B2A72"/>
    <w:rsid w:val="004B4458"/>
    <w:rsid w:val="004B5756"/>
    <w:rsid w:val="004B6E9A"/>
    <w:rsid w:val="004C1FFA"/>
    <w:rsid w:val="004C29B1"/>
    <w:rsid w:val="004D00AB"/>
    <w:rsid w:val="004D07F1"/>
    <w:rsid w:val="004D1112"/>
    <w:rsid w:val="004D2141"/>
    <w:rsid w:val="004E07C3"/>
    <w:rsid w:val="004E1038"/>
    <w:rsid w:val="004E1052"/>
    <w:rsid w:val="004E10CA"/>
    <w:rsid w:val="004E284B"/>
    <w:rsid w:val="004F55C4"/>
    <w:rsid w:val="004F61E8"/>
    <w:rsid w:val="004F7E81"/>
    <w:rsid w:val="00500FC7"/>
    <w:rsid w:val="0050429E"/>
    <w:rsid w:val="00506B52"/>
    <w:rsid w:val="00512025"/>
    <w:rsid w:val="005123B0"/>
    <w:rsid w:val="0051553D"/>
    <w:rsid w:val="005158D2"/>
    <w:rsid w:val="00515B05"/>
    <w:rsid w:val="005173D2"/>
    <w:rsid w:val="00525B9D"/>
    <w:rsid w:val="00526868"/>
    <w:rsid w:val="005278A1"/>
    <w:rsid w:val="005319F6"/>
    <w:rsid w:val="00532DDD"/>
    <w:rsid w:val="005333D5"/>
    <w:rsid w:val="00540E14"/>
    <w:rsid w:val="00541EAB"/>
    <w:rsid w:val="00544D70"/>
    <w:rsid w:val="00547600"/>
    <w:rsid w:val="00550871"/>
    <w:rsid w:val="005534A5"/>
    <w:rsid w:val="00553534"/>
    <w:rsid w:val="00554A65"/>
    <w:rsid w:val="0055503D"/>
    <w:rsid w:val="00561105"/>
    <w:rsid w:val="0056389E"/>
    <w:rsid w:val="00565153"/>
    <w:rsid w:val="00565B62"/>
    <w:rsid w:val="005661D5"/>
    <w:rsid w:val="00571E15"/>
    <w:rsid w:val="005734DA"/>
    <w:rsid w:val="00575849"/>
    <w:rsid w:val="005825BE"/>
    <w:rsid w:val="00582DAF"/>
    <w:rsid w:val="00585EF3"/>
    <w:rsid w:val="005901C7"/>
    <w:rsid w:val="00593530"/>
    <w:rsid w:val="00594C2A"/>
    <w:rsid w:val="005A291A"/>
    <w:rsid w:val="005A386C"/>
    <w:rsid w:val="005A4134"/>
    <w:rsid w:val="005A59BA"/>
    <w:rsid w:val="005A68BF"/>
    <w:rsid w:val="005A6984"/>
    <w:rsid w:val="005B3FF4"/>
    <w:rsid w:val="005B499F"/>
    <w:rsid w:val="005B5CFE"/>
    <w:rsid w:val="005B7E00"/>
    <w:rsid w:val="005C542A"/>
    <w:rsid w:val="005C7F57"/>
    <w:rsid w:val="005D3383"/>
    <w:rsid w:val="005E04B4"/>
    <w:rsid w:val="005E3BB5"/>
    <w:rsid w:val="005E5273"/>
    <w:rsid w:val="005E704A"/>
    <w:rsid w:val="005F02B1"/>
    <w:rsid w:val="005F067C"/>
    <w:rsid w:val="005F2353"/>
    <w:rsid w:val="006003E9"/>
    <w:rsid w:val="00607B05"/>
    <w:rsid w:val="006124C3"/>
    <w:rsid w:val="006135A6"/>
    <w:rsid w:val="00613FA8"/>
    <w:rsid w:val="00620D68"/>
    <w:rsid w:val="006219AF"/>
    <w:rsid w:val="0062278A"/>
    <w:rsid w:val="00625C50"/>
    <w:rsid w:val="0062755D"/>
    <w:rsid w:val="00634832"/>
    <w:rsid w:val="00635413"/>
    <w:rsid w:val="00636D64"/>
    <w:rsid w:val="006373F2"/>
    <w:rsid w:val="00637EE8"/>
    <w:rsid w:val="0064057F"/>
    <w:rsid w:val="0064143C"/>
    <w:rsid w:val="00641C0A"/>
    <w:rsid w:val="006513DD"/>
    <w:rsid w:val="00655347"/>
    <w:rsid w:val="006613C4"/>
    <w:rsid w:val="00664F6D"/>
    <w:rsid w:val="00666E4A"/>
    <w:rsid w:val="00666F54"/>
    <w:rsid w:val="006676CA"/>
    <w:rsid w:val="006710C3"/>
    <w:rsid w:val="006763E3"/>
    <w:rsid w:val="00676B57"/>
    <w:rsid w:val="00676CE9"/>
    <w:rsid w:val="0067716A"/>
    <w:rsid w:val="0068364B"/>
    <w:rsid w:val="0068396D"/>
    <w:rsid w:val="00686402"/>
    <w:rsid w:val="00686D39"/>
    <w:rsid w:val="0069029C"/>
    <w:rsid w:val="00691BC6"/>
    <w:rsid w:val="006921D0"/>
    <w:rsid w:val="00695864"/>
    <w:rsid w:val="006A29AF"/>
    <w:rsid w:val="006A34BA"/>
    <w:rsid w:val="006A386D"/>
    <w:rsid w:val="006A4CCD"/>
    <w:rsid w:val="006A5DA3"/>
    <w:rsid w:val="006A74CE"/>
    <w:rsid w:val="006B6D97"/>
    <w:rsid w:val="006C550C"/>
    <w:rsid w:val="006C55DA"/>
    <w:rsid w:val="006D0F84"/>
    <w:rsid w:val="006E6E2F"/>
    <w:rsid w:val="006E70F1"/>
    <w:rsid w:val="006E7E0B"/>
    <w:rsid w:val="006F0255"/>
    <w:rsid w:val="006F0430"/>
    <w:rsid w:val="006F0F86"/>
    <w:rsid w:val="006F3E76"/>
    <w:rsid w:val="006F3FAF"/>
    <w:rsid w:val="006F5F1C"/>
    <w:rsid w:val="006F60CF"/>
    <w:rsid w:val="006F6748"/>
    <w:rsid w:val="00702F63"/>
    <w:rsid w:val="00704897"/>
    <w:rsid w:val="007068FC"/>
    <w:rsid w:val="007107C6"/>
    <w:rsid w:val="007109D8"/>
    <w:rsid w:val="0071127D"/>
    <w:rsid w:val="00713E24"/>
    <w:rsid w:val="00715F27"/>
    <w:rsid w:val="0071797E"/>
    <w:rsid w:val="00720BE1"/>
    <w:rsid w:val="007213D2"/>
    <w:rsid w:val="00722648"/>
    <w:rsid w:val="00731681"/>
    <w:rsid w:val="00737442"/>
    <w:rsid w:val="00741D9B"/>
    <w:rsid w:val="007453B3"/>
    <w:rsid w:val="00746CB2"/>
    <w:rsid w:val="0074724C"/>
    <w:rsid w:val="007513AE"/>
    <w:rsid w:val="0075230A"/>
    <w:rsid w:val="00752628"/>
    <w:rsid w:val="00755325"/>
    <w:rsid w:val="00756FE4"/>
    <w:rsid w:val="007602AF"/>
    <w:rsid w:val="00767B98"/>
    <w:rsid w:val="00767E01"/>
    <w:rsid w:val="00771C95"/>
    <w:rsid w:val="00775329"/>
    <w:rsid w:val="00780A47"/>
    <w:rsid w:val="00780F23"/>
    <w:rsid w:val="00781298"/>
    <w:rsid w:val="00781EED"/>
    <w:rsid w:val="00784717"/>
    <w:rsid w:val="0078715E"/>
    <w:rsid w:val="007917BE"/>
    <w:rsid w:val="007931D1"/>
    <w:rsid w:val="007951CA"/>
    <w:rsid w:val="00796E2E"/>
    <w:rsid w:val="007A0780"/>
    <w:rsid w:val="007A1449"/>
    <w:rsid w:val="007A1D8C"/>
    <w:rsid w:val="007A2A11"/>
    <w:rsid w:val="007B1869"/>
    <w:rsid w:val="007B3902"/>
    <w:rsid w:val="007C0A8F"/>
    <w:rsid w:val="007C297F"/>
    <w:rsid w:val="007C6118"/>
    <w:rsid w:val="007C66C1"/>
    <w:rsid w:val="007D0506"/>
    <w:rsid w:val="007D1D95"/>
    <w:rsid w:val="007D42ED"/>
    <w:rsid w:val="007D66AA"/>
    <w:rsid w:val="007E0438"/>
    <w:rsid w:val="007E24CA"/>
    <w:rsid w:val="007E2608"/>
    <w:rsid w:val="007E5564"/>
    <w:rsid w:val="007F1253"/>
    <w:rsid w:val="007F3710"/>
    <w:rsid w:val="007F7938"/>
    <w:rsid w:val="007F7C28"/>
    <w:rsid w:val="007F7F97"/>
    <w:rsid w:val="00802FC4"/>
    <w:rsid w:val="00804B57"/>
    <w:rsid w:val="008119D2"/>
    <w:rsid w:val="008127B0"/>
    <w:rsid w:val="00823AB4"/>
    <w:rsid w:val="0082465E"/>
    <w:rsid w:val="0082476F"/>
    <w:rsid w:val="00831D0F"/>
    <w:rsid w:val="00834079"/>
    <w:rsid w:val="00835C7C"/>
    <w:rsid w:val="00836099"/>
    <w:rsid w:val="008429C5"/>
    <w:rsid w:val="008434C3"/>
    <w:rsid w:val="00843503"/>
    <w:rsid w:val="008445D3"/>
    <w:rsid w:val="00845023"/>
    <w:rsid w:val="00850A46"/>
    <w:rsid w:val="00850F93"/>
    <w:rsid w:val="008515EE"/>
    <w:rsid w:val="00854FD4"/>
    <w:rsid w:val="008604C6"/>
    <w:rsid w:val="0086055D"/>
    <w:rsid w:val="00872BAD"/>
    <w:rsid w:val="00880069"/>
    <w:rsid w:val="0088136E"/>
    <w:rsid w:val="008846D6"/>
    <w:rsid w:val="00886C7D"/>
    <w:rsid w:val="00892D21"/>
    <w:rsid w:val="00892FF7"/>
    <w:rsid w:val="008942F1"/>
    <w:rsid w:val="008A4768"/>
    <w:rsid w:val="008A636D"/>
    <w:rsid w:val="008B0EC2"/>
    <w:rsid w:val="008B1575"/>
    <w:rsid w:val="008B3490"/>
    <w:rsid w:val="008B4342"/>
    <w:rsid w:val="008B47EA"/>
    <w:rsid w:val="008C027C"/>
    <w:rsid w:val="008C41FA"/>
    <w:rsid w:val="008C570E"/>
    <w:rsid w:val="008D001E"/>
    <w:rsid w:val="008D5D8F"/>
    <w:rsid w:val="008D6EBF"/>
    <w:rsid w:val="008E1F68"/>
    <w:rsid w:val="008E2ED5"/>
    <w:rsid w:val="008E2F41"/>
    <w:rsid w:val="008E5155"/>
    <w:rsid w:val="008F0EEC"/>
    <w:rsid w:val="0091164B"/>
    <w:rsid w:val="00916516"/>
    <w:rsid w:val="0092369B"/>
    <w:rsid w:val="00924839"/>
    <w:rsid w:val="009251C5"/>
    <w:rsid w:val="00927130"/>
    <w:rsid w:val="00934959"/>
    <w:rsid w:val="00940734"/>
    <w:rsid w:val="00940F44"/>
    <w:rsid w:val="00941002"/>
    <w:rsid w:val="00947689"/>
    <w:rsid w:val="0095180B"/>
    <w:rsid w:val="009521D9"/>
    <w:rsid w:val="00952FD3"/>
    <w:rsid w:val="0095377B"/>
    <w:rsid w:val="00955CBF"/>
    <w:rsid w:val="00956EC0"/>
    <w:rsid w:val="009579B5"/>
    <w:rsid w:val="0096128D"/>
    <w:rsid w:val="00961840"/>
    <w:rsid w:val="00961A5D"/>
    <w:rsid w:val="00963A32"/>
    <w:rsid w:val="00967616"/>
    <w:rsid w:val="00970632"/>
    <w:rsid w:val="00971150"/>
    <w:rsid w:val="00974552"/>
    <w:rsid w:val="00975561"/>
    <w:rsid w:val="0098076E"/>
    <w:rsid w:val="00981236"/>
    <w:rsid w:val="00984A84"/>
    <w:rsid w:val="00984EF6"/>
    <w:rsid w:val="00987FD8"/>
    <w:rsid w:val="00990B3C"/>
    <w:rsid w:val="00993D8D"/>
    <w:rsid w:val="009956C6"/>
    <w:rsid w:val="00995E55"/>
    <w:rsid w:val="00996F81"/>
    <w:rsid w:val="009A16DD"/>
    <w:rsid w:val="009A38C8"/>
    <w:rsid w:val="009A45B0"/>
    <w:rsid w:val="009B1B66"/>
    <w:rsid w:val="009B22CA"/>
    <w:rsid w:val="009B30A6"/>
    <w:rsid w:val="009B3159"/>
    <w:rsid w:val="009B7708"/>
    <w:rsid w:val="009C3906"/>
    <w:rsid w:val="009C393F"/>
    <w:rsid w:val="009C6B44"/>
    <w:rsid w:val="009C7901"/>
    <w:rsid w:val="009D1753"/>
    <w:rsid w:val="009D6FBD"/>
    <w:rsid w:val="009E4C0D"/>
    <w:rsid w:val="009E5E09"/>
    <w:rsid w:val="009E64C1"/>
    <w:rsid w:val="009E714C"/>
    <w:rsid w:val="009F27F0"/>
    <w:rsid w:val="009F587A"/>
    <w:rsid w:val="009F7728"/>
    <w:rsid w:val="009F7C7A"/>
    <w:rsid w:val="00A019D4"/>
    <w:rsid w:val="00A02D5F"/>
    <w:rsid w:val="00A03CC1"/>
    <w:rsid w:val="00A04BF1"/>
    <w:rsid w:val="00A13D3C"/>
    <w:rsid w:val="00A14E64"/>
    <w:rsid w:val="00A16095"/>
    <w:rsid w:val="00A1734D"/>
    <w:rsid w:val="00A222B3"/>
    <w:rsid w:val="00A336A2"/>
    <w:rsid w:val="00A40FBF"/>
    <w:rsid w:val="00A50A22"/>
    <w:rsid w:val="00A64EE1"/>
    <w:rsid w:val="00A66DBF"/>
    <w:rsid w:val="00A67FC3"/>
    <w:rsid w:val="00A715A8"/>
    <w:rsid w:val="00A74F21"/>
    <w:rsid w:val="00A7773B"/>
    <w:rsid w:val="00A7779A"/>
    <w:rsid w:val="00A86757"/>
    <w:rsid w:val="00A912D0"/>
    <w:rsid w:val="00A9278B"/>
    <w:rsid w:val="00A937DF"/>
    <w:rsid w:val="00A96F63"/>
    <w:rsid w:val="00AA0705"/>
    <w:rsid w:val="00AA1164"/>
    <w:rsid w:val="00AA1568"/>
    <w:rsid w:val="00AA1BA4"/>
    <w:rsid w:val="00AA5A1E"/>
    <w:rsid w:val="00AB0464"/>
    <w:rsid w:val="00AB3FFA"/>
    <w:rsid w:val="00AB61BD"/>
    <w:rsid w:val="00AB6B2D"/>
    <w:rsid w:val="00AB6B88"/>
    <w:rsid w:val="00AB7ED8"/>
    <w:rsid w:val="00AC2F4D"/>
    <w:rsid w:val="00AC6D18"/>
    <w:rsid w:val="00AD32C4"/>
    <w:rsid w:val="00AE1152"/>
    <w:rsid w:val="00AE27B9"/>
    <w:rsid w:val="00AE3228"/>
    <w:rsid w:val="00AE3CE5"/>
    <w:rsid w:val="00AE569C"/>
    <w:rsid w:val="00AF29CC"/>
    <w:rsid w:val="00AF541C"/>
    <w:rsid w:val="00AF72F1"/>
    <w:rsid w:val="00AF75F6"/>
    <w:rsid w:val="00AF7BEA"/>
    <w:rsid w:val="00B0217A"/>
    <w:rsid w:val="00B03FB3"/>
    <w:rsid w:val="00B120B9"/>
    <w:rsid w:val="00B1424B"/>
    <w:rsid w:val="00B206B4"/>
    <w:rsid w:val="00B210B9"/>
    <w:rsid w:val="00B2533E"/>
    <w:rsid w:val="00B26EE9"/>
    <w:rsid w:val="00B27212"/>
    <w:rsid w:val="00B31D34"/>
    <w:rsid w:val="00B323E2"/>
    <w:rsid w:val="00B32D79"/>
    <w:rsid w:val="00B366E1"/>
    <w:rsid w:val="00B37F5F"/>
    <w:rsid w:val="00B40971"/>
    <w:rsid w:val="00B41CB2"/>
    <w:rsid w:val="00B432DA"/>
    <w:rsid w:val="00B43CA5"/>
    <w:rsid w:val="00B445A4"/>
    <w:rsid w:val="00B45CE8"/>
    <w:rsid w:val="00B50C4E"/>
    <w:rsid w:val="00B53468"/>
    <w:rsid w:val="00B54563"/>
    <w:rsid w:val="00B54D68"/>
    <w:rsid w:val="00B55DDD"/>
    <w:rsid w:val="00B57556"/>
    <w:rsid w:val="00B6220E"/>
    <w:rsid w:val="00B65F05"/>
    <w:rsid w:val="00B72C47"/>
    <w:rsid w:val="00B744D9"/>
    <w:rsid w:val="00B831FA"/>
    <w:rsid w:val="00B84551"/>
    <w:rsid w:val="00B86CFD"/>
    <w:rsid w:val="00B86E13"/>
    <w:rsid w:val="00B91665"/>
    <w:rsid w:val="00B91774"/>
    <w:rsid w:val="00B92511"/>
    <w:rsid w:val="00B97019"/>
    <w:rsid w:val="00B97565"/>
    <w:rsid w:val="00BA467D"/>
    <w:rsid w:val="00BA4AA3"/>
    <w:rsid w:val="00BA536E"/>
    <w:rsid w:val="00BB025F"/>
    <w:rsid w:val="00BB1CFE"/>
    <w:rsid w:val="00BB3539"/>
    <w:rsid w:val="00BB44DE"/>
    <w:rsid w:val="00BB6A06"/>
    <w:rsid w:val="00BB6A4A"/>
    <w:rsid w:val="00BC00FB"/>
    <w:rsid w:val="00BC63FD"/>
    <w:rsid w:val="00BC7826"/>
    <w:rsid w:val="00BD0D77"/>
    <w:rsid w:val="00BD3814"/>
    <w:rsid w:val="00BD4E3C"/>
    <w:rsid w:val="00BD53FE"/>
    <w:rsid w:val="00BE08C4"/>
    <w:rsid w:val="00BE1071"/>
    <w:rsid w:val="00BE260B"/>
    <w:rsid w:val="00BE4A33"/>
    <w:rsid w:val="00BE5E45"/>
    <w:rsid w:val="00BE6133"/>
    <w:rsid w:val="00BF054A"/>
    <w:rsid w:val="00BF2411"/>
    <w:rsid w:val="00BF5F87"/>
    <w:rsid w:val="00BF6922"/>
    <w:rsid w:val="00BF764E"/>
    <w:rsid w:val="00BF7EB5"/>
    <w:rsid w:val="00C02583"/>
    <w:rsid w:val="00C02EEF"/>
    <w:rsid w:val="00C02F5C"/>
    <w:rsid w:val="00C03C6C"/>
    <w:rsid w:val="00C10391"/>
    <w:rsid w:val="00C16227"/>
    <w:rsid w:val="00C16789"/>
    <w:rsid w:val="00C25E34"/>
    <w:rsid w:val="00C27E6B"/>
    <w:rsid w:val="00C310B9"/>
    <w:rsid w:val="00C3140E"/>
    <w:rsid w:val="00C342D5"/>
    <w:rsid w:val="00C401CD"/>
    <w:rsid w:val="00C4035A"/>
    <w:rsid w:val="00C41952"/>
    <w:rsid w:val="00C42B04"/>
    <w:rsid w:val="00C5118C"/>
    <w:rsid w:val="00C53183"/>
    <w:rsid w:val="00C55128"/>
    <w:rsid w:val="00C56DF5"/>
    <w:rsid w:val="00C570CC"/>
    <w:rsid w:val="00C603C2"/>
    <w:rsid w:val="00C60BB4"/>
    <w:rsid w:val="00C65EBC"/>
    <w:rsid w:val="00C65F24"/>
    <w:rsid w:val="00C719FC"/>
    <w:rsid w:val="00C92881"/>
    <w:rsid w:val="00C95730"/>
    <w:rsid w:val="00C96FB5"/>
    <w:rsid w:val="00C979D7"/>
    <w:rsid w:val="00CB00C3"/>
    <w:rsid w:val="00CB2437"/>
    <w:rsid w:val="00CB2EDD"/>
    <w:rsid w:val="00CB5C59"/>
    <w:rsid w:val="00CC2810"/>
    <w:rsid w:val="00CC5CAF"/>
    <w:rsid w:val="00CC6705"/>
    <w:rsid w:val="00CD0331"/>
    <w:rsid w:val="00CD4B75"/>
    <w:rsid w:val="00CD50DA"/>
    <w:rsid w:val="00CD78A1"/>
    <w:rsid w:val="00CD791D"/>
    <w:rsid w:val="00CE0037"/>
    <w:rsid w:val="00CE4442"/>
    <w:rsid w:val="00CE46FB"/>
    <w:rsid w:val="00CE520C"/>
    <w:rsid w:val="00CF07B3"/>
    <w:rsid w:val="00CF18F8"/>
    <w:rsid w:val="00CF4BEC"/>
    <w:rsid w:val="00CF5F3A"/>
    <w:rsid w:val="00CF6054"/>
    <w:rsid w:val="00CF6947"/>
    <w:rsid w:val="00D005FF"/>
    <w:rsid w:val="00D00948"/>
    <w:rsid w:val="00D00C1F"/>
    <w:rsid w:val="00D00C42"/>
    <w:rsid w:val="00D16016"/>
    <w:rsid w:val="00D1679C"/>
    <w:rsid w:val="00D218A6"/>
    <w:rsid w:val="00D23722"/>
    <w:rsid w:val="00D23C64"/>
    <w:rsid w:val="00D244E3"/>
    <w:rsid w:val="00D25933"/>
    <w:rsid w:val="00D26B29"/>
    <w:rsid w:val="00D3340C"/>
    <w:rsid w:val="00D37B73"/>
    <w:rsid w:val="00D40CA2"/>
    <w:rsid w:val="00D44645"/>
    <w:rsid w:val="00D54B74"/>
    <w:rsid w:val="00D602B5"/>
    <w:rsid w:val="00D62946"/>
    <w:rsid w:val="00D62C14"/>
    <w:rsid w:val="00D636CD"/>
    <w:rsid w:val="00D66FF2"/>
    <w:rsid w:val="00D7151E"/>
    <w:rsid w:val="00D71E39"/>
    <w:rsid w:val="00D749B3"/>
    <w:rsid w:val="00D77286"/>
    <w:rsid w:val="00D77D53"/>
    <w:rsid w:val="00D809E3"/>
    <w:rsid w:val="00D80FEA"/>
    <w:rsid w:val="00D85336"/>
    <w:rsid w:val="00D86A6A"/>
    <w:rsid w:val="00D961E3"/>
    <w:rsid w:val="00D97628"/>
    <w:rsid w:val="00DA0491"/>
    <w:rsid w:val="00DA1E21"/>
    <w:rsid w:val="00DA284A"/>
    <w:rsid w:val="00DA56E9"/>
    <w:rsid w:val="00DB304D"/>
    <w:rsid w:val="00DB3ACA"/>
    <w:rsid w:val="00DB4220"/>
    <w:rsid w:val="00DB59AD"/>
    <w:rsid w:val="00DB6F51"/>
    <w:rsid w:val="00DB7EBE"/>
    <w:rsid w:val="00DC0370"/>
    <w:rsid w:val="00DC0ABE"/>
    <w:rsid w:val="00DC1D8A"/>
    <w:rsid w:val="00DC24A7"/>
    <w:rsid w:val="00DC2BE1"/>
    <w:rsid w:val="00DC3601"/>
    <w:rsid w:val="00DC5BE7"/>
    <w:rsid w:val="00DC66BB"/>
    <w:rsid w:val="00DD1823"/>
    <w:rsid w:val="00DE2909"/>
    <w:rsid w:val="00DE6424"/>
    <w:rsid w:val="00DE6CBB"/>
    <w:rsid w:val="00DF032B"/>
    <w:rsid w:val="00DF1F28"/>
    <w:rsid w:val="00DF4878"/>
    <w:rsid w:val="00DF52D4"/>
    <w:rsid w:val="00E05506"/>
    <w:rsid w:val="00E0551B"/>
    <w:rsid w:val="00E11319"/>
    <w:rsid w:val="00E15CF4"/>
    <w:rsid w:val="00E15CF5"/>
    <w:rsid w:val="00E16169"/>
    <w:rsid w:val="00E162EA"/>
    <w:rsid w:val="00E20381"/>
    <w:rsid w:val="00E2055A"/>
    <w:rsid w:val="00E23A7E"/>
    <w:rsid w:val="00E25646"/>
    <w:rsid w:val="00E27289"/>
    <w:rsid w:val="00E2776C"/>
    <w:rsid w:val="00E27982"/>
    <w:rsid w:val="00E31E27"/>
    <w:rsid w:val="00E4033E"/>
    <w:rsid w:val="00E529D6"/>
    <w:rsid w:val="00E52E8C"/>
    <w:rsid w:val="00E54AD4"/>
    <w:rsid w:val="00E57C75"/>
    <w:rsid w:val="00E61AA5"/>
    <w:rsid w:val="00E62BC4"/>
    <w:rsid w:val="00E66D11"/>
    <w:rsid w:val="00E66EDC"/>
    <w:rsid w:val="00E74D52"/>
    <w:rsid w:val="00E75F7D"/>
    <w:rsid w:val="00E81D08"/>
    <w:rsid w:val="00E83B99"/>
    <w:rsid w:val="00E90334"/>
    <w:rsid w:val="00E94B32"/>
    <w:rsid w:val="00EA0DB8"/>
    <w:rsid w:val="00EA141C"/>
    <w:rsid w:val="00EA2EB9"/>
    <w:rsid w:val="00EA6CDF"/>
    <w:rsid w:val="00EC0977"/>
    <w:rsid w:val="00EC131B"/>
    <w:rsid w:val="00EC2279"/>
    <w:rsid w:val="00EC4A6A"/>
    <w:rsid w:val="00EC6B3A"/>
    <w:rsid w:val="00ED25C1"/>
    <w:rsid w:val="00ED61FE"/>
    <w:rsid w:val="00EE2F32"/>
    <w:rsid w:val="00EE6009"/>
    <w:rsid w:val="00EF088B"/>
    <w:rsid w:val="00EF154D"/>
    <w:rsid w:val="00EF1683"/>
    <w:rsid w:val="00EF2F58"/>
    <w:rsid w:val="00EF5C7D"/>
    <w:rsid w:val="00F0009F"/>
    <w:rsid w:val="00F013FC"/>
    <w:rsid w:val="00F02AA0"/>
    <w:rsid w:val="00F0621A"/>
    <w:rsid w:val="00F07C59"/>
    <w:rsid w:val="00F13AE0"/>
    <w:rsid w:val="00F23476"/>
    <w:rsid w:val="00F24E6E"/>
    <w:rsid w:val="00F25EF5"/>
    <w:rsid w:val="00F33797"/>
    <w:rsid w:val="00F43EC5"/>
    <w:rsid w:val="00F521A3"/>
    <w:rsid w:val="00F52A10"/>
    <w:rsid w:val="00F615AB"/>
    <w:rsid w:val="00F630C6"/>
    <w:rsid w:val="00F66463"/>
    <w:rsid w:val="00F80F7B"/>
    <w:rsid w:val="00F81C87"/>
    <w:rsid w:val="00F85CC5"/>
    <w:rsid w:val="00F90440"/>
    <w:rsid w:val="00F91689"/>
    <w:rsid w:val="00F92F5D"/>
    <w:rsid w:val="00FA51CA"/>
    <w:rsid w:val="00FA7259"/>
    <w:rsid w:val="00FA726D"/>
    <w:rsid w:val="00FA7381"/>
    <w:rsid w:val="00FA7B26"/>
    <w:rsid w:val="00FB60BC"/>
    <w:rsid w:val="00FC0EA9"/>
    <w:rsid w:val="00FC350B"/>
    <w:rsid w:val="00FC4A80"/>
    <w:rsid w:val="00FC697E"/>
    <w:rsid w:val="00FC7E16"/>
    <w:rsid w:val="00FD0B7E"/>
    <w:rsid w:val="00FD1E98"/>
    <w:rsid w:val="00FD2962"/>
    <w:rsid w:val="00FD2C79"/>
    <w:rsid w:val="00FD2DBF"/>
    <w:rsid w:val="00FD41F1"/>
    <w:rsid w:val="00FD4655"/>
    <w:rsid w:val="00FD4B3F"/>
    <w:rsid w:val="00FD6D10"/>
    <w:rsid w:val="00FD72DE"/>
    <w:rsid w:val="00FE13F6"/>
    <w:rsid w:val="00FE2DE4"/>
    <w:rsid w:val="00FE3DB0"/>
    <w:rsid w:val="00FE3E47"/>
    <w:rsid w:val="00FE744B"/>
    <w:rsid w:val="00FF1DE7"/>
    <w:rsid w:val="00FF1F29"/>
    <w:rsid w:val="00FF32AD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08CF12A"/>
  <w15:docId w15:val="{1E115C3E-0256-4555-8B76-79FA58DC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336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autoRedefine/>
    <w:qFormat/>
    <w:rsid w:val="004A4CFB"/>
    <w:pPr>
      <w:keepNext/>
      <w:spacing w:before="240" w:after="60"/>
      <w:jc w:val="center"/>
      <w:outlineLvl w:val="0"/>
    </w:pPr>
    <w:rPr>
      <w:rFonts w:ascii="Book Antiqua" w:hAnsi="Book Antiqua"/>
      <w:b/>
      <w:bCs/>
      <w:kern w:val="32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66D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CE520C"/>
    <w:pPr>
      <w:spacing w:before="240" w:after="240" w:line="336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02583"/>
    <w:rPr>
      <w:color w:val="0000FF"/>
      <w:u w:val="single"/>
    </w:rPr>
  </w:style>
  <w:style w:type="table" w:styleId="TableGrid">
    <w:name w:val="Table Grid"/>
    <w:basedOn w:val="TableNormal"/>
    <w:rsid w:val="00455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21D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35413"/>
    <w:rPr>
      <w:sz w:val="20"/>
      <w:szCs w:val="20"/>
    </w:rPr>
  </w:style>
  <w:style w:type="character" w:styleId="FootnoteReference">
    <w:name w:val="footnote reference"/>
    <w:semiHidden/>
    <w:rsid w:val="00635413"/>
    <w:rPr>
      <w:vertAlign w:val="superscript"/>
    </w:rPr>
  </w:style>
  <w:style w:type="character" w:styleId="CommentReference">
    <w:name w:val="annotation reference"/>
    <w:semiHidden/>
    <w:rsid w:val="001A7651"/>
    <w:rPr>
      <w:sz w:val="16"/>
      <w:szCs w:val="16"/>
    </w:rPr>
  </w:style>
  <w:style w:type="paragraph" w:styleId="CommentText">
    <w:name w:val="annotation text"/>
    <w:basedOn w:val="Normal"/>
    <w:semiHidden/>
    <w:rsid w:val="001A765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7651"/>
    <w:rPr>
      <w:b/>
      <w:bCs/>
    </w:rPr>
  </w:style>
  <w:style w:type="character" w:styleId="Emphasis">
    <w:name w:val="Emphasis"/>
    <w:uiPriority w:val="20"/>
    <w:qFormat/>
    <w:rsid w:val="00AF72F1"/>
    <w:rPr>
      <w:i/>
      <w:iCs/>
    </w:rPr>
  </w:style>
  <w:style w:type="paragraph" w:styleId="Header">
    <w:name w:val="header"/>
    <w:basedOn w:val="Normal"/>
    <w:link w:val="HeaderChar"/>
    <w:rsid w:val="0019408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94089"/>
    <w:rPr>
      <w:sz w:val="24"/>
      <w:szCs w:val="24"/>
    </w:rPr>
  </w:style>
  <w:style w:type="paragraph" w:styleId="Footer">
    <w:name w:val="footer"/>
    <w:basedOn w:val="Normal"/>
    <w:link w:val="FooterChar"/>
    <w:rsid w:val="0019408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4089"/>
    <w:rPr>
      <w:sz w:val="24"/>
      <w:szCs w:val="24"/>
    </w:rPr>
  </w:style>
  <w:style w:type="character" w:customStyle="1" w:styleId="Heading3Char">
    <w:name w:val="Heading 3 Char"/>
    <w:link w:val="Heading3"/>
    <w:uiPriority w:val="9"/>
    <w:rsid w:val="00CE520C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CE520C"/>
    <w:pPr>
      <w:spacing w:after="240"/>
    </w:pPr>
    <w:rPr>
      <w:sz w:val="16"/>
      <w:szCs w:val="16"/>
    </w:rPr>
  </w:style>
  <w:style w:type="character" w:customStyle="1" w:styleId="Heading1Char">
    <w:name w:val="Heading 1 Char"/>
    <w:link w:val="Heading1"/>
    <w:rsid w:val="004A4CFB"/>
    <w:rPr>
      <w:rFonts w:ascii="Book Antiqua" w:hAnsi="Book Antiqua"/>
      <w:b/>
      <w:bCs/>
      <w:kern w:val="32"/>
      <w:sz w:val="44"/>
      <w:szCs w:val="44"/>
      <w:lang w:val="en-AU" w:eastAsia="en-AU"/>
    </w:rPr>
  </w:style>
  <w:style w:type="paragraph" w:customStyle="1" w:styleId="Default">
    <w:name w:val="Default"/>
    <w:rsid w:val="00940F44"/>
    <w:pPr>
      <w:autoSpaceDE w:val="0"/>
      <w:autoSpaceDN w:val="0"/>
      <w:adjustRightInd w:val="0"/>
    </w:pPr>
    <w:rPr>
      <w:color w:val="000000"/>
      <w:sz w:val="24"/>
      <w:szCs w:val="24"/>
      <w:lang w:val="en-AU" w:eastAsia="en-AU"/>
    </w:rPr>
  </w:style>
  <w:style w:type="paragraph" w:styleId="List">
    <w:name w:val="List"/>
    <w:basedOn w:val="Normal"/>
    <w:rsid w:val="00FE3DB0"/>
    <w:pPr>
      <w:ind w:left="283" w:hanging="283"/>
    </w:pPr>
  </w:style>
  <w:style w:type="character" w:styleId="PageNumber">
    <w:name w:val="page number"/>
    <w:rsid w:val="006A4CCD"/>
  </w:style>
  <w:style w:type="paragraph" w:styleId="ListParagraph">
    <w:name w:val="List Paragraph"/>
    <w:basedOn w:val="Normal"/>
    <w:uiPriority w:val="34"/>
    <w:qFormat/>
    <w:rsid w:val="006A4CCD"/>
    <w:pPr>
      <w:ind w:left="720"/>
      <w:contextualSpacing/>
    </w:pPr>
    <w:rPr>
      <w:sz w:val="20"/>
      <w:szCs w:val="20"/>
    </w:rPr>
  </w:style>
  <w:style w:type="character" w:customStyle="1" w:styleId="normaltextrun">
    <w:name w:val="normaltextrun"/>
    <w:basedOn w:val="DefaultParagraphFont"/>
    <w:rsid w:val="00281E4F"/>
  </w:style>
  <w:style w:type="paragraph" w:customStyle="1" w:styleId="Level1">
    <w:name w:val="Level 1"/>
    <w:basedOn w:val="Normal"/>
    <w:next w:val="Heading1"/>
    <w:link w:val="Level1Char"/>
    <w:rsid w:val="0011421F"/>
    <w:pPr>
      <w:keepNext/>
      <w:widowControl w:val="0"/>
      <w:spacing w:before="360"/>
      <w:ind w:left="720"/>
      <w:jc w:val="both"/>
    </w:pPr>
    <w:rPr>
      <w:rFonts w:ascii="Book Antiqua" w:hAnsi="Book Antiqua"/>
      <w:b/>
      <w:szCs w:val="20"/>
      <w:u w:val="single"/>
      <w:lang w:eastAsia="en-US"/>
    </w:rPr>
  </w:style>
  <w:style w:type="character" w:customStyle="1" w:styleId="Level1Char">
    <w:name w:val="Level 1 Char"/>
    <w:link w:val="Level1"/>
    <w:locked/>
    <w:rsid w:val="0011421F"/>
    <w:rPr>
      <w:rFonts w:ascii="Book Antiqua" w:hAnsi="Book Antiqua"/>
      <w:b/>
      <w:sz w:val="24"/>
      <w:u w:val="single"/>
      <w:lang w:val="en-AU" w:eastAsia="en-US"/>
    </w:rPr>
  </w:style>
  <w:style w:type="character" w:customStyle="1" w:styleId="Heading2Char">
    <w:name w:val="Heading 2 Char"/>
    <w:basedOn w:val="DefaultParagraphFont"/>
    <w:link w:val="Heading2"/>
    <w:semiHidden/>
    <w:rsid w:val="00A66D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AU" w:eastAsia="en-AU"/>
    </w:rPr>
  </w:style>
  <w:style w:type="paragraph" w:styleId="Revision">
    <w:name w:val="Revision"/>
    <w:hidden/>
    <w:uiPriority w:val="99"/>
    <w:semiHidden/>
    <w:rsid w:val="0068396D"/>
    <w:rPr>
      <w:sz w:val="24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BB6A4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B6A4A"/>
    <w:rPr>
      <w:rFonts w:ascii="Calibri" w:eastAsiaTheme="minorHAnsi" w:hAnsi="Calibri" w:cstheme="minorBidi"/>
      <w:sz w:val="22"/>
      <w:szCs w:val="21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508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61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0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tfm@supcourt.vic.gov.au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tfm@supcourt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263eaefd-0475-4860-b86f-622cd66f4e0c" xsi:nil="true"/>
    <FileShareModifiedBy xmlns="263eaefd-0475-4860-b86f-622cd66f4e0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44B925675ED46837EB14F9BF5688C" ma:contentTypeVersion="14" ma:contentTypeDescription="Create a new document." ma:contentTypeScope="" ma:versionID="501e2f47fc7d5c60ff671e5e238a349e">
  <xsd:schema xmlns:xsd="http://www.w3.org/2001/XMLSchema" xmlns:xs="http://www.w3.org/2001/XMLSchema" xmlns:p="http://schemas.microsoft.com/office/2006/metadata/properties" xmlns:ns2="263eaefd-0475-4860-b86f-622cd66f4e0c" xmlns:ns3="bdde84cb-4b1f-4b74-b4a5-14e1a433eee1" targetNamespace="http://schemas.microsoft.com/office/2006/metadata/properties" ma:root="true" ma:fieldsID="d61da04e1536227bdf086d249c95be2b" ns2:_="" ns3:_="">
    <xsd:import namespace="263eaefd-0475-4860-b86f-622cd66f4e0c"/>
    <xsd:import namespace="bdde84cb-4b1f-4b74-b4a5-14e1a433e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FileShareCreatedBy" minOccurs="0"/>
                <xsd:element ref="ns2:FileShareModifiedBy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aefd-0475-4860-b86f-622cd66f4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FileShareCreatedBy" ma:index="11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12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82FA-736D-4334-B886-BC4D23C6E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414EE-EF98-4B84-9475-0133DEEAA88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53C5FFA-8516-4FEC-A1E4-38241312D51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63eaefd-0475-4860-b86f-622cd66f4e0c"/>
    <ds:schemaRef ds:uri="http://purl.org/dc/terms/"/>
    <ds:schemaRef ds:uri="bdde84cb-4b1f-4b74-b4a5-14e1a433eee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DD15FC-09BF-4149-BACC-C40940DAA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eaefd-0475-4860-b86f-622cd66f4e0c"/>
    <ds:schemaRef ds:uri="bdde84cb-4b1f-4b74-b4a5-14e1a433e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9E15BFE-C099-477C-A52E-62B43FC76A7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EA5BB3E-7BAC-40E0-939E-26115E80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1396</Words>
  <Characters>7958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Note SC CL 7 Testators Family Maintenance List</vt:lpstr>
    </vt:vector>
  </TitlesOfParts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2019-12-05T04:26:00Z</cp:lastPrinted>
  <dcterms:created xsi:type="dcterms:W3CDTF">2020-03-05T03:46:00Z</dcterms:created>
  <dcterms:modified xsi:type="dcterms:W3CDTF">2020-03-05T03:48:00Z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0x010100FC344B925675ED46837EB14F9BF5688C</vt:lpwstr>
  </property>
</Properties>
</file>