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E02D4" w14:textId="77777777" w:rsidR="00DD6DE9" w:rsidRPr="00771C95" w:rsidRDefault="00DD6DE9" w:rsidP="00DD6DE9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</w:rPr>
      </w:pPr>
      <w:r w:rsidRPr="00771C95">
        <w:rPr>
          <w:b/>
          <w:bCs/>
          <w:noProof/>
          <w:color w:val="000000"/>
          <w:sz w:val="44"/>
          <w:szCs w:val="44"/>
        </w:rPr>
        <w:drawing>
          <wp:anchor distT="0" distB="0" distL="114300" distR="114300" simplePos="0" relativeHeight="251659264" behindDoc="0" locked="0" layoutInCell="1" allowOverlap="0" wp14:anchorId="6017AD00" wp14:editId="019756CF">
            <wp:simplePos x="0" y="0"/>
            <wp:positionH relativeFrom="column">
              <wp:posOffset>2238375</wp:posOffset>
            </wp:positionH>
            <wp:positionV relativeFrom="paragraph">
              <wp:posOffset>0</wp:posOffset>
            </wp:positionV>
            <wp:extent cx="1323340" cy="1189355"/>
            <wp:effectExtent l="0" t="0" r="0" b="0"/>
            <wp:wrapSquare wrapText="bothSides"/>
            <wp:docPr id="3" name="Picture 3" descr="Supreme Court of Vict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V_Red_CMY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CF56AF" w14:textId="77777777" w:rsidR="00DD6DE9" w:rsidRPr="00771C95" w:rsidRDefault="00DD6DE9" w:rsidP="00DD6DE9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</w:rPr>
      </w:pPr>
    </w:p>
    <w:p w14:paraId="3E3D3EFB" w14:textId="77777777" w:rsidR="00DD6DE9" w:rsidRPr="00771C95" w:rsidRDefault="00DD6DE9" w:rsidP="00DD6DE9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</w:rPr>
      </w:pPr>
    </w:p>
    <w:p w14:paraId="4EA600FE" w14:textId="77777777" w:rsidR="00DD6DE9" w:rsidRDefault="00DD6DE9" w:rsidP="00DD6DE9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bCs/>
          <w:color w:val="000000"/>
          <w:sz w:val="44"/>
          <w:szCs w:val="44"/>
        </w:rPr>
      </w:pPr>
    </w:p>
    <w:p w14:paraId="005F88ED" w14:textId="77777777" w:rsidR="005B2B7E" w:rsidRDefault="005B2B7E" w:rsidP="00DD6DE9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bCs/>
          <w:color w:val="000000"/>
          <w:sz w:val="44"/>
          <w:szCs w:val="44"/>
        </w:rPr>
      </w:pPr>
    </w:p>
    <w:p w14:paraId="5180F9FF" w14:textId="35079EB0" w:rsidR="00DD6DE9" w:rsidRPr="007917BE" w:rsidRDefault="00DD6DE9" w:rsidP="00DD6DE9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bCs/>
          <w:color w:val="000000"/>
          <w:sz w:val="44"/>
          <w:szCs w:val="44"/>
        </w:rPr>
      </w:pPr>
      <w:r>
        <w:rPr>
          <w:rFonts w:ascii="Book Antiqua" w:hAnsi="Book Antiqua"/>
          <w:b/>
          <w:bCs/>
          <w:color w:val="000000"/>
          <w:sz w:val="44"/>
          <w:szCs w:val="44"/>
        </w:rPr>
        <w:t>Supreme C</w:t>
      </w:r>
      <w:r w:rsidRPr="007917BE">
        <w:rPr>
          <w:rFonts w:ascii="Book Antiqua" w:hAnsi="Book Antiqua"/>
          <w:b/>
          <w:bCs/>
          <w:color w:val="000000"/>
          <w:sz w:val="44"/>
          <w:szCs w:val="44"/>
        </w:rPr>
        <w:t>ourt of Victoria</w:t>
      </w:r>
    </w:p>
    <w:p w14:paraId="5C0390CA" w14:textId="6E7872C6" w:rsidR="00DD6DE9" w:rsidRPr="007917BE" w:rsidRDefault="00DD6DE9" w:rsidP="00DD6DE9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color w:val="000000"/>
          <w:sz w:val="28"/>
        </w:rPr>
      </w:pPr>
      <w:r w:rsidRPr="007917BE">
        <w:rPr>
          <w:rFonts w:ascii="Book Antiqua" w:hAnsi="Book Antiqua"/>
          <w:b/>
          <w:color w:val="000000"/>
          <w:sz w:val="28"/>
        </w:rPr>
        <w:t xml:space="preserve">Practice Note </w:t>
      </w:r>
      <w:r w:rsidR="00D87F14">
        <w:rPr>
          <w:rFonts w:ascii="Book Antiqua" w:hAnsi="Book Antiqua"/>
          <w:b/>
          <w:color w:val="000000"/>
          <w:sz w:val="28"/>
        </w:rPr>
        <w:t>SC CR 10</w:t>
      </w:r>
    </w:p>
    <w:p w14:paraId="0FD67778" w14:textId="557524B1" w:rsidR="0072685A" w:rsidRPr="002755F4" w:rsidRDefault="00BD056E" w:rsidP="0072685A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color w:val="000000"/>
          <w:sz w:val="28"/>
        </w:rPr>
      </w:pPr>
      <w:r>
        <w:rPr>
          <w:rFonts w:ascii="Book Antiqua" w:hAnsi="Book Antiqua"/>
          <w:b/>
          <w:color w:val="000000"/>
          <w:sz w:val="28"/>
        </w:rPr>
        <w:t>Children</w:t>
      </w:r>
      <w:r w:rsidR="001628B4">
        <w:rPr>
          <w:rFonts w:ascii="Book Antiqua" w:hAnsi="Book Antiqua"/>
          <w:b/>
          <w:color w:val="000000"/>
          <w:sz w:val="28"/>
        </w:rPr>
        <w:t xml:space="preserve"> </w:t>
      </w:r>
      <w:r w:rsidR="00CE398F">
        <w:rPr>
          <w:rFonts w:ascii="Book Antiqua" w:hAnsi="Book Antiqua"/>
          <w:b/>
          <w:color w:val="000000"/>
          <w:sz w:val="28"/>
        </w:rPr>
        <w:t>in Custody Attending Court</w:t>
      </w:r>
    </w:p>
    <w:p w14:paraId="31B1E127" w14:textId="77777777" w:rsidR="00DD6DE9" w:rsidRPr="007917BE" w:rsidRDefault="00DD6DE9" w:rsidP="00417E19">
      <w:pPr>
        <w:autoSpaceDE w:val="0"/>
        <w:autoSpaceDN w:val="0"/>
        <w:adjustRightInd w:val="0"/>
        <w:spacing w:before="120" w:after="120"/>
        <w:rPr>
          <w:rFonts w:ascii="Book Antiqua" w:hAnsi="Book Antiqua"/>
          <w:b/>
          <w:color w:val="000000"/>
          <w:sz w:val="28"/>
        </w:rPr>
      </w:pPr>
    </w:p>
    <w:p w14:paraId="1017759B" w14:textId="77777777" w:rsidR="00DD6DE9" w:rsidRPr="007222F8" w:rsidRDefault="00DD6DE9" w:rsidP="00417E19">
      <w:pPr>
        <w:pStyle w:val="ListParagraph"/>
        <w:keepNext/>
        <w:numPr>
          <w:ilvl w:val="0"/>
          <w:numId w:val="1"/>
        </w:numPr>
        <w:autoSpaceDE w:val="0"/>
        <w:autoSpaceDN w:val="0"/>
        <w:adjustRightInd w:val="0"/>
        <w:spacing w:before="120" w:after="120"/>
        <w:contextualSpacing w:val="0"/>
        <w:rPr>
          <w:rFonts w:ascii="Book Antiqua" w:hAnsi="Book Antiqua"/>
          <w:b/>
          <w:color w:val="000000"/>
          <w:sz w:val="24"/>
          <w:szCs w:val="24"/>
        </w:rPr>
      </w:pPr>
      <w:r w:rsidRPr="007222F8">
        <w:rPr>
          <w:rFonts w:ascii="Book Antiqua" w:hAnsi="Book Antiqua"/>
          <w:b/>
          <w:sz w:val="24"/>
          <w:szCs w:val="24"/>
        </w:rPr>
        <w:t>INTRODUCTION</w:t>
      </w:r>
    </w:p>
    <w:p w14:paraId="09E195D3" w14:textId="4D85CB49" w:rsidR="000D0234" w:rsidRPr="007222F8" w:rsidRDefault="007222F8" w:rsidP="00417E19">
      <w:pPr>
        <w:spacing w:before="120" w:after="120"/>
        <w:ind w:left="720" w:hanging="720"/>
        <w:jc w:val="both"/>
        <w:rPr>
          <w:rFonts w:ascii="Book Antiqua" w:hAnsi="Book Antiqua"/>
        </w:rPr>
      </w:pPr>
      <w:r w:rsidRPr="007222F8">
        <w:rPr>
          <w:rFonts w:ascii="Book Antiqua" w:hAnsi="Book Antiqua"/>
        </w:rPr>
        <w:t xml:space="preserve">1.1 </w:t>
      </w:r>
      <w:r w:rsidRPr="007222F8">
        <w:rPr>
          <w:rFonts w:ascii="Book Antiqua" w:hAnsi="Book Antiqua"/>
        </w:rPr>
        <w:tab/>
      </w:r>
      <w:r w:rsidR="00DD6DE9" w:rsidRPr="00D67E40">
        <w:rPr>
          <w:rFonts w:ascii="Book Antiqua" w:hAnsi="Book Antiqua"/>
        </w:rPr>
        <w:t>The Chief Justice has authorised the issue of the following Practice Note.</w:t>
      </w:r>
    </w:p>
    <w:p w14:paraId="3ACCB6A2" w14:textId="55E2456B" w:rsidR="00DA3B5C" w:rsidRDefault="007222F8" w:rsidP="00417E19">
      <w:pPr>
        <w:spacing w:before="120" w:after="120"/>
        <w:ind w:left="720" w:hanging="720"/>
        <w:jc w:val="both"/>
        <w:rPr>
          <w:rFonts w:ascii="Book Antiqua" w:hAnsi="Book Antiqua"/>
        </w:rPr>
      </w:pPr>
      <w:r w:rsidRPr="007222F8">
        <w:rPr>
          <w:rFonts w:ascii="Book Antiqua" w:hAnsi="Book Antiqua"/>
        </w:rPr>
        <w:t>1.</w:t>
      </w:r>
      <w:r w:rsidR="00BD056E">
        <w:rPr>
          <w:rFonts w:ascii="Book Antiqua" w:hAnsi="Book Antiqua"/>
        </w:rPr>
        <w:t>2</w:t>
      </w:r>
      <w:r w:rsidRPr="007222F8">
        <w:rPr>
          <w:rFonts w:ascii="Book Antiqua" w:hAnsi="Book Antiqua"/>
        </w:rPr>
        <w:t xml:space="preserve"> </w:t>
      </w:r>
      <w:r w:rsidRPr="007222F8">
        <w:rPr>
          <w:rFonts w:ascii="Book Antiqua" w:hAnsi="Book Antiqua"/>
        </w:rPr>
        <w:tab/>
      </w:r>
      <w:r w:rsidR="00DA3B5C">
        <w:rPr>
          <w:rFonts w:ascii="Book Antiqua" w:hAnsi="Book Antiqua"/>
        </w:rPr>
        <w:t>In a</w:t>
      </w:r>
      <w:r w:rsidR="000B258E">
        <w:rPr>
          <w:rFonts w:ascii="Book Antiqua" w:hAnsi="Book Antiqua"/>
        </w:rPr>
        <w:t>ccordance with sections 12(4) and</w:t>
      </w:r>
      <w:r w:rsidR="00DA3B5C">
        <w:rPr>
          <w:rFonts w:ascii="Book Antiqua" w:hAnsi="Book Antiqua"/>
        </w:rPr>
        <w:t xml:space="preserve"> 12(5) of the </w:t>
      </w:r>
      <w:r w:rsidR="00DA3B5C">
        <w:rPr>
          <w:rFonts w:ascii="Book Antiqua" w:hAnsi="Book Antiqua"/>
          <w:i/>
        </w:rPr>
        <w:t>Bail Act 1977</w:t>
      </w:r>
      <w:r w:rsidR="002C760A">
        <w:rPr>
          <w:rFonts w:ascii="Book Antiqua" w:hAnsi="Book Antiqua"/>
          <w:i/>
        </w:rPr>
        <w:t xml:space="preserve"> </w:t>
      </w:r>
      <w:r w:rsidR="002C760A">
        <w:rPr>
          <w:rFonts w:ascii="Book Antiqua" w:hAnsi="Book Antiqua"/>
        </w:rPr>
        <w:t>(Vic)</w:t>
      </w:r>
      <w:r w:rsidR="00DA3B5C">
        <w:rPr>
          <w:rFonts w:ascii="Book Antiqua" w:hAnsi="Book Antiqua"/>
        </w:rPr>
        <w:t xml:space="preserve">, </w:t>
      </w:r>
      <w:r w:rsidR="000B258E">
        <w:rPr>
          <w:rFonts w:ascii="Book Antiqua" w:hAnsi="Book Antiqua"/>
        </w:rPr>
        <w:t xml:space="preserve">in matters involving a child remanded in custody to appear before the Supreme Court, </w:t>
      </w:r>
      <w:r w:rsidR="00DA3B5C">
        <w:rPr>
          <w:rFonts w:ascii="Book Antiqua" w:hAnsi="Book Antiqua"/>
        </w:rPr>
        <w:t>a mention hearing</w:t>
      </w:r>
      <w:r w:rsidR="002C760A">
        <w:rPr>
          <w:rFonts w:ascii="Book Antiqua" w:hAnsi="Book Antiqua"/>
        </w:rPr>
        <w:t xml:space="preserve"> </w:t>
      </w:r>
      <w:r w:rsidR="000B258E">
        <w:rPr>
          <w:rFonts w:ascii="Book Antiqua" w:hAnsi="Book Antiqua"/>
        </w:rPr>
        <w:t>is required</w:t>
      </w:r>
      <w:r w:rsidR="00DA3B5C">
        <w:rPr>
          <w:rFonts w:ascii="Book Antiqua" w:hAnsi="Book Antiqua"/>
        </w:rPr>
        <w:t xml:space="preserve"> every 21 </w:t>
      </w:r>
      <w:r w:rsidR="000B258E">
        <w:rPr>
          <w:rFonts w:ascii="Book Antiqua" w:hAnsi="Book Antiqua"/>
        </w:rPr>
        <w:t xml:space="preserve">clear </w:t>
      </w:r>
      <w:r w:rsidR="00DA3B5C">
        <w:rPr>
          <w:rFonts w:ascii="Book Antiqua" w:hAnsi="Book Antiqua"/>
        </w:rPr>
        <w:t>days</w:t>
      </w:r>
      <w:r w:rsidR="000B258E">
        <w:rPr>
          <w:rFonts w:ascii="Book Antiqua" w:hAnsi="Book Antiqua"/>
        </w:rPr>
        <w:t>. This hearing is referred to as a ’</w:t>
      </w:r>
      <w:proofErr w:type="gramStart"/>
      <w:r w:rsidR="000B258E">
        <w:rPr>
          <w:rFonts w:ascii="Book Antiqua" w:hAnsi="Book Antiqua"/>
        </w:rPr>
        <w:t>21 day</w:t>
      </w:r>
      <w:proofErr w:type="gramEnd"/>
      <w:r w:rsidR="000B258E">
        <w:rPr>
          <w:rFonts w:ascii="Book Antiqua" w:hAnsi="Book Antiqua"/>
        </w:rPr>
        <w:t xml:space="preserve"> rollover’. </w:t>
      </w:r>
    </w:p>
    <w:p w14:paraId="466A5BB6" w14:textId="6ACCBC80" w:rsidR="00BD056E" w:rsidRDefault="00DA3B5C" w:rsidP="00417E19">
      <w:pPr>
        <w:spacing w:before="120" w:after="240"/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1.3</w:t>
      </w:r>
      <w:r>
        <w:rPr>
          <w:rFonts w:ascii="Book Antiqua" w:hAnsi="Book Antiqua"/>
        </w:rPr>
        <w:tab/>
      </w:r>
      <w:r w:rsidR="00DD6DE9" w:rsidRPr="007222F8">
        <w:rPr>
          <w:rFonts w:ascii="Book Antiqua" w:hAnsi="Book Antiqua"/>
        </w:rPr>
        <w:t>The purpose of this Practice Note is to outline the procedure</w:t>
      </w:r>
      <w:r w:rsidR="000B258E">
        <w:rPr>
          <w:rFonts w:ascii="Book Antiqua" w:hAnsi="Book Antiqua"/>
        </w:rPr>
        <w:t xml:space="preserve"> by which the Court will consider to waive the attendance of the child at 21 day rollovers.</w:t>
      </w:r>
    </w:p>
    <w:p w14:paraId="13A82AD2" w14:textId="40BE8346" w:rsidR="00BD056E" w:rsidRPr="00BD056E" w:rsidRDefault="00BD056E" w:rsidP="00417E19">
      <w:pPr>
        <w:spacing w:before="120" w:after="120"/>
        <w:ind w:left="720" w:hanging="720"/>
        <w:jc w:val="both"/>
        <w:rPr>
          <w:rFonts w:ascii="Book Antiqua" w:hAnsi="Book Antiqua"/>
          <w:b/>
        </w:rPr>
      </w:pPr>
      <w:r w:rsidRPr="00BD056E">
        <w:rPr>
          <w:rFonts w:ascii="Book Antiqua" w:hAnsi="Book Antiqua"/>
          <w:b/>
        </w:rPr>
        <w:t>2</w:t>
      </w:r>
      <w:r w:rsidRPr="00BD056E">
        <w:rPr>
          <w:rFonts w:ascii="Book Antiqua" w:hAnsi="Book Antiqua"/>
          <w:b/>
        </w:rPr>
        <w:tab/>
        <w:t xml:space="preserve">COMMENCEMENT </w:t>
      </w:r>
    </w:p>
    <w:p w14:paraId="5BE48556" w14:textId="0691E736" w:rsidR="00C14349" w:rsidRDefault="00BD056E" w:rsidP="00417E19">
      <w:pPr>
        <w:autoSpaceDE w:val="0"/>
        <w:autoSpaceDN w:val="0"/>
        <w:adjustRightInd w:val="0"/>
        <w:spacing w:before="120" w:after="120"/>
        <w:jc w:val="both"/>
        <w:rPr>
          <w:rFonts w:ascii="Book Antiqua" w:hAnsi="Book Antiqua"/>
        </w:rPr>
      </w:pPr>
      <w:r>
        <w:rPr>
          <w:rFonts w:ascii="Book Antiqua" w:hAnsi="Book Antiqua"/>
        </w:rPr>
        <w:t>2.1</w:t>
      </w:r>
      <w:r>
        <w:rPr>
          <w:rFonts w:ascii="Book Antiqua" w:hAnsi="Book Antiqua"/>
        </w:rPr>
        <w:tab/>
        <w:t>Th</w:t>
      </w:r>
      <w:r w:rsidR="00D67E40">
        <w:rPr>
          <w:rFonts w:ascii="Book Antiqua" w:hAnsi="Book Antiqua"/>
        </w:rPr>
        <w:t>is Practice Note was issued on 1 June 2020</w:t>
      </w:r>
      <w:r>
        <w:rPr>
          <w:rFonts w:ascii="Book Antiqua" w:hAnsi="Book Antiqua"/>
        </w:rPr>
        <w:t>.</w:t>
      </w:r>
    </w:p>
    <w:p w14:paraId="0E0B28F6" w14:textId="0B001693" w:rsidR="009051D8" w:rsidRDefault="00BD056E" w:rsidP="00417E19">
      <w:pPr>
        <w:autoSpaceDE w:val="0"/>
        <w:autoSpaceDN w:val="0"/>
        <w:adjustRightInd w:val="0"/>
        <w:spacing w:before="120" w:after="240"/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2.2</w:t>
      </w:r>
      <w:r>
        <w:rPr>
          <w:rFonts w:ascii="Book Antiqua" w:hAnsi="Book Antiqua"/>
        </w:rPr>
        <w:tab/>
        <w:t xml:space="preserve">This Practice Note </w:t>
      </w:r>
      <w:r w:rsidR="009051D8">
        <w:rPr>
          <w:rFonts w:ascii="Book Antiqua" w:hAnsi="Book Antiqua"/>
        </w:rPr>
        <w:t>applies</w:t>
      </w:r>
      <w:r>
        <w:rPr>
          <w:rFonts w:ascii="Book Antiqua" w:hAnsi="Book Antiqua"/>
        </w:rPr>
        <w:t xml:space="preserve"> to</w:t>
      </w:r>
      <w:r w:rsidR="00AC1BDC">
        <w:rPr>
          <w:rFonts w:ascii="Book Antiqua" w:hAnsi="Book Antiqua"/>
        </w:rPr>
        <w:t xml:space="preserve"> any</w:t>
      </w:r>
      <w:r>
        <w:rPr>
          <w:rFonts w:ascii="Book Antiqua" w:hAnsi="Book Antiqua"/>
        </w:rPr>
        <w:t xml:space="preserve"> </w:t>
      </w:r>
      <w:proofErr w:type="gramStart"/>
      <w:r w:rsidR="00D06D4C">
        <w:rPr>
          <w:rFonts w:ascii="Book Antiqua" w:hAnsi="Book Antiqua"/>
        </w:rPr>
        <w:t>21 day</w:t>
      </w:r>
      <w:proofErr w:type="gramEnd"/>
      <w:r w:rsidR="00D06D4C">
        <w:rPr>
          <w:rFonts w:ascii="Book Antiqua" w:hAnsi="Book Antiqua"/>
        </w:rPr>
        <w:t xml:space="preserve"> </w:t>
      </w:r>
      <w:r w:rsidR="000B258E">
        <w:rPr>
          <w:rFonts w:ascii="Book Antiqua" w:hAnsi="Book Antiqua"/>
        </w:rPr>
        <w:t>rollover</w:t>
      </w:r>
      <w:r w:rsidR="00AC1BDC">
        <w:rPr>
          <w:rFonts w:ascii="Book Antiqua" w:hAnsi="Book Antiqua"/>
        </w:rPr>
        <w:t xml:space="preserve"> listed</w:t>
      </w:r>
      <w:r>
        <w:rPr>
          <w:rFonts w:ascii="Book Antiqua" w:hAnsi="Book Antiqua"/>
        </w:rPr>
        <w:t xml:space="preserve"> </w:t>
      </w:r>
      <w:r w:rsidR="00D67E40">
        <w:rPr>
          <w:rFonts w:ascii="Book Antiqua" w:hAnsi="Book Antiqua"/>
        </w:rPr>
        <w:t xml:space="preserve">on or after 1 June 2020 </w:t>
      </w:r>
      <w:r w:rsidR="009051D8">
        <w:rPr>
          <w:rFonts w:ascii="Book Antiqua" w:hAnsi="Book Antiqua"/>
        </w:rPr>
        <w:t xml:space="preserve">where </w:t>
      </w:r>
      <w:r w:rsidR="00BC311D">
        <w:rPr>
          <w:rFonts w:ascii="Book Antiqua" w:hAnsi="Book Antiqua"/>
        </w:rPr>
        <w:t>a</w:t>
      </w:r>
      <w:r w:rsidR="009051D8">
        <w:rPr>
          <w:rFonts w:ascii="Book Antiqua" w:hAnsi="Book Antiqua"/>
        </w:rPr>
        <w:t xml:space="preserve"> child </w:t>
      </w:r>
      <w:r w:rsidR="0026306A">
        <w:rPr>
          <w:rFonts w:ascii="Book Antiqua" w:hAnsi="Book Antiqua"/>
        </w:rPr>
        <w:t>is remanded in</w:t>
      </w:r>
      <w:r w:rsidR="00BC311D">
        <w:rPr>
          <w:rFonts w:ascii="Book Antiqua" w:hAnsi="Book Antiqua"/>
        </w:rPr>
        <w:t xml:space="preserve"> custody to appear before the Supreme Court</w:t>
      </w:r>
      <w:r w:rsidR="001628B4">
        <w:rPr>
          <w:rFonts w:ascii="Book Antiqua" w:hAnsi="Book Antiqua"/>
        </w:rPr>
        <w:t>.</w:t>
      </w:r>
    </w:p>
    <w:p w14:paraId="4F22F0F2" w14:textId="731DE509" w:rsidR="009051D8" w:rsidRDefault="009051D8" w:rsidP="00417E19">
      <w:pPr>
        <w:autoSpaceDE w:val="0"/>
        <w:autoSpaceDN w:val="0"/>
        <w:adjustRightInd w:val="0"/>
        <w:spacing w:before="120" w:after="120"/>
        <w:ind w:left="720" w:hanging="720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3</w:t>
      </w:r>
      <w:r>
        <w:rPr>
          <w:rFonts w:ascii="Book Antiqua" w:hAnsi="Book Antiqua"/>
          <w:b/>
        </w:rPr>
        <w:tab/>
        <w:t>DEFINITIONS</w:t>
      </w:r>
    </w:p>
    <w:p w14:paraId="7E1B3288" w14:textId="7903C36C" w:rsidR="00482949" w:rsidRPr="00482949" w:rsidRDefault="009051D8" w:rsidP="00417E19">
      <w:pPr>
        <w:autoSpaceDE w:val="0"/>
        <w:autoSpaceDN w:val="0"/>
        <w:adjustRightInd w:val="0"/>
        <w:spacing w:before="120" w:after="120"/>
        <w:ind w:left="720" w:hanging="720"/>
        <w:jc w:val="both"/>
        <w:rPr>
          <w:rFonts w:ascii="Book Antiqua" w:hAnsi="Book Antiqua"/>
        </w:rPr>
      </w:pPr>
      <w:r w:rsidRPr="009051D8">
        <w:rPr>
          <w:rFonts w:ascii="Book Antiqua" w:hAnsi="Book Antiqua"/>
        </w:rPr>
        <w:t>3.1</w:t>
      </w:r>
      <w:r>
        <w:rPr>
          <w:rFonts w:ascii="Book Antiqua" w:hAnsi="Book Antiqua"/>
        </w:rPr>
        <w:tab/>
        <w:t>In this Practice Note:</w:t>
      </w:r>
    </w:p>
    <w:p w14:paraId="3A851BD9" w14:textId="77777777" w:rsidR="00080495" w:rsidRPr="00F05009" w:rsidRDefault="00080495" w:rsidP="00417E19">
      <w:pPr>
        <w:pStyle w:val="ListParagraph"/>
        <w:spacing w:before="120" w:after="120"/>
        <w:contextualSpacing w:val="0"/>
        <w:jc w:val="both"/>
        <w:rPr>
          <w:rFonts w:ascii="Book Antiqua" w:hAnsi="Book Antiqua"/>
          <w:sz w:val="24"/>
          <w:szCs w:val="24"/>
        </w:rPr>
      </w:pPr>
      <w:r w:rsidRPr="001F3184">
        <w:rPr>
          <w:rFonts w:ascii="Book Antiqua" w:hAnsi="Book Antiqua"/>
          <w:b/>
          <w:i/>
          <w:sz w:val="24"/>
          <w:szCs w:val="24"/>
        </w:rPr>
        <w:t>Criminal Registry</w:t>
      </w:r>
      <w:r w:rsidRPr="001F3184">
        <w:rPr>
          <w:rFonts w:ascii="Book Antiqua" w:hAnsi="Book Antiqua"/>
          <w:b/>
          <w:sz w:val="24"/>
          <w:szCs w:val="24"/>
        </w:rPr>
        <w:t xml:space="preserve"> </w:t>
      </w:r>
      <w:r w:rsidRPr="001F3184">
        <w:rPr>
          <w:rFonts w:ascii="Book Antiqua" w:hAnsi="Book Antiqua"/>
          <w:sz w:val="24"/>
          <w:szCs w:val="24"/>
        </w:rPr>
        <w:t>means the Criminal Registry of the Supreme Court of Victoria;</w:t>
      </w:r>
    </w:p>
    <w:p w14:paraId="1F8A1758" w14:textId="77777777" w:rsidR="00080495" w:rsidRPr="001F3184" w:rsidRDefault="00080495" w:rsidP="00417E19">
      <w:pPr>
        <w:pStyle w:val="ListParagraph"/>
        <w:spacing w:before="120" w:after="120"/>
        <w:contextualSpacing w:val="0"/>
        <w:jc w:val="both"/>
        <w:rPr>
          <w:rFonts w:ascii="Book Antiqua" w:hAnsi="Book Antiqua"/>
          <w:sz w:val="24"/>
          <w:szCs w:val="24"/>
        </w:rPr>
      </w:pPr>
      <w:r w:rsidRPr="001F3184">
        <w:rPr>
          <w:rFonts w:ascii="Book Antiqua" w:hAnsi="Book Antiqua"/>
          <w:b/>
          <w:i/>
          <w:sz w:val="24"/>
          <w:szCs w:val="24"/>
        </w:rPr>
        <w:t xml:space="preserve">Judge </w:t>
      </w:r>
      <w:r w:rsidRPr="001F3184">
        <w:rPr>
          <w:rFonts w:ascii="Book Antiqua" w:hAnsi="Book Antiqua"/>
          <w:sz w:val="24"/>
          <w:szCs w:val="24"/>
        </w:rPr>
        <w:t xml:space="preserve">means a </w:t>
      </w:r>
      <w:r>
        <w:rPr>
          <w:rFonts w:ascii="Book Antiqua" w:hAnsi="Book Antiqua"/>
          <w:sz w:val="24"/>
          <w:szCs w:val="24"/>
        </w:rPr>
        <w:t>j</w:t>
      </w:r>
      <w:r w:rsidRPr="001F3184">
        <w:rPr>
          <w:rFonts w:ascii="Book Antiqua" w:hAnsi="Book Antiqua"/>
          <w:sz w:val="24"/>
          <w:szCs w:val="24"/>
        </w:rPr>
        <w:t>udge of the Supreme Court of Victoria</w:t>
      </w:r>
      <w:r>
        <w:rPr>
          <w:rFonts w:ascii="Book Antiqua" w:hAnsi="Book Antiqua"/>
          <w:sz w:val="24"/>
          <w:szCs w:val="24"/>
        </w:rPr>
        <w:t>, and includes a Reserve   Judge;</w:t>
      </w:r>
    </w:p>
    <w:p w14:paraId="53128201" w14:textId="784041FC" w:rsidR="009051D8" w:rsidRDefault="00080495" w:rsidP="00417E19">
      <w:pPr>
        <w:pStyle w:val="ListParagraph"/>
        <w:spacing w:before="120" w:after="120"/>
        <w:contextualSpacing w:val="0"/>
        <w:jc w:val="both"/>
        <w:rPr>
          <w:rFonts w:ascii="Book Antiqua" w:hAnsi="Book Antiqua"/>
          <w:sz w:val="24"/>
          <w:szCs w:val="24"/>
        </w:rPr>
      </w:pPr>
      <w:r w:rsidRPr="001F3184">
        <w:rPr>
          <w:rFonts w:ascii="Book Antiqua" w:hAnsi="Book Antiqua"/>
          <w:b/>
          <w:i/>
          <w:sz w:val="24"/>
          <w:szCs w:val="24"/>
        </w:rPr>
        <w:t>Judicial Registrar</w:t>
      </w:r>
      <w:r w:rsidRPr="001F3184">
        <w:rPr>
          <w:rFonts w:ascii="Book Antiqua" w:hAnsi="Book Antiqua"/>
          <w:b/>
          <w:sz w:val="24"/>
          <w:szCs w:val="24"/>
        </w:rPr>
        <w:t xml:space="preserve"> </w:t>
      </w:r>
      <w:r w:rsidRPr="001F3184">
        <w:rPr>
          <w:rFonts w:ascii="Book Antiqua" w:hAnsi="Book Antiqua"/>
          <w:sz w:val="24"/>
          <w:szCs w:val="24"/>
        </w:rPr>
        <w:t>means the Judicial Registrar of the Criminal Division o</w:t>
      </w:r>
      <w:r w:rsidR="00482949">
        <w:rPr>
          <w:rFonts w:ascii="Book Antiqua" w:hAnsi="Book Antiqua"/>
          <w:sz w:val="24"/>
          <w:szCs w:val="24"/>
        </w:rPr>
        <w:t>f the Supreme Court of Victoria;</w:t>
      </w:r>
    </w:p>
    <w:p w14:paraId="6B700F24" w14:textId="20D7DFB2" w:rsidR="00FF37E3" w:rsidRPr="00FF37E3" w:rsidRDefault="00FF37E3" w:rsidP="00FF37E3">
      <w:pPr>
        <w:pStyle w:val="ListParagraph"/>
        <w:spacing w:before="120" w:after="120"/>
        <w:contextualSpacing w:val="0"/>
        <w:jc w:val="both"/>
        <w:rPr>
          <w:rFonts w:ascii="Book Antiqua" w:hAnsi="Book Antiqua"/>
          <w:sz w:val="24"/>
          <w:szCs w:val="24"/>
        </w:rPr>
      </w:pPr>
      <w:r w:rsidRPr="001F3184">
        <w:rPr>
          <w:rFonts w:ascii="Book Antiqua" w:hAnsi="Book Antiqua"/>
          <w:b/>
          <w:i/>
          <w:sz w:val="24"/>
          <w:szCs w:val="24"/>
        </w:rPr>
        <w:t>Reserve Judge</w:t>
      </w:r>
      <w:r w:rsidRPr="001F3184">
        <w:rPr>
          <w:rFonts w:ascii="Book Antiqua" w:hAnsi="Book Antiqua"/>
          <w:b/>
          <w:sz w:val="24"/>
          <w:szCs w:val="24"/>
        </w:rPr>
        <w:t xml:space="preserve"> </w:t>
      </w:r>
      <w:r w:rsidRPr="001F3184">
        <w:rPr>
          <w:rFonts w:ascii="Book Antiqua" w:hAnsi="Book Antiqua"/>
          <w:sz w:val="24"/>
          <w:szCs w:val="24"/>
        </w:rPr>
        <w:t>means either a retired or interstate jud</w:t>
      </w:r>
      <w:r>
        <w:rPr>
          <w:rFonts w:ascii="Book Antiqua" w:hAnsi="Book Antiqua"/>
          <w:sz w:val="24"/>
          <w:szCs w:val="24"/>
        </w:rPr>
        <w:t>ge who has been appointed as a Reserve J</w:t>
      </w:r>
      <w:r w:rsidRPr="001F3184">
        <w:rPr>
          <w:rFonts w:ascii="Book Antiqua" w:hAnsi="Book Antiqua"/>
          <w:sz w:val="24"/>
          <w:szCs w:val="24"/>
        </w:rPr>
        <w:t xml:space="preserve">udge of the Supreme Court of Victoria under the </w:t>
      </w:r>
      <w:r w:rsidRPr="001F3184">
        <w:rPr>
          <w:rFonts w:ascii="Book Antiqua" w:hAnsi="Book Antiqua"/>
          <w:i/>
          <w:sz w:val="24"/>
          <w:szCs w:val="24"/>
        </w:rPr>
        <w:t xml:space="preserve">Constitution Act 1975 </w:t>
      </w:r>
      <w:r w:rsidR="000161BF">
        <w:rPr>
          <w:rFonts w:ascii="Book Antiqua" w:hAnsi="Book Antiqua"/>
          <w:sz w:val="24"/>
          <w:szCs w:val="24"/>
        </w:rPr>
        <w:t>(Vic);</w:t>
      </w:r>
    </w:p>
    <w:p w14:paraId="79229E95" w14:textId="0EBEEBAD" w:rsidR="00AC1BDC" w:rsidRDefault="00482949" w:rsidP="00FF37E3">
      <w:pPr>
        <w:pStyle w:val="ListParagraph"/>
        <w:spacing w:before="120" w:after="240"/>
        <w:contextualSpacing w:val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 xml:space="preserve">Supreme Court </w:t>
      </w:r>
      <w:r w:rsidRPr="00482949">
        <w:rPr>
          <w:rFonts w:ascii="Book Antiqua" w:hAnsi="Book Antiqua"/>
          <w:sz w:val="24"/>
          <w:szCs w:val="24"/>
        </w:rPr>
        <w:t>means the Supreme Court of Victoria.</w:t>
      </w:r>
    </w:p>
    <w:p w14:paraId="4D63F4D5" w14:textId="77777777" w:rsidR="000B258E" w:rsidRPr="00D6669F" w:rsidRDefault="000B258E" w:rsidP="00FF37E3">
      <w:pPr>
        <w:pStyle w:val="ListParagraph"/>
        <w:spacing w:before="120" w:after="240"/>
        <w:contextualSpacing w:val="0"/>
        <w:jc w:val="both"/>
        <w:rPr>
          <w:rFonts w:ascii="Book Antiqua" w:hAnsi="Book Antiqua"/>
          <w:sz w:val="24"/>
          <w:szCs w:val="24"/>
        </w:rPr>
      </w:pPr>
    </w:p>
    <w:p w14:paraId="38E57419" w14:textId="4138558D" w:rsidR="00571A73" w:rsidRPr="00571A73" w:rsidRDefault="00571A73" w:rsidP="00417E19">
      <w:pPr>
        <w:autoSpaceDE w:val="0"/>
        <w:autoSpaceDN w:val="0"/>
        <w:adjustRightInd w:val="0"/>
        <w:spacing w:before="120" w:after="120"/>
        <w:ind w:left="720" w:hanging="720"/>
        <w:jc w:val="both"/>
        <w:rPr>
          <w:rFonts w:ascii="Book Antiqua" w:hAnsi="Book Antiqua"/>
          <w:b/>
        </w:rPr>
      </w:pPr>
      <w:r w:rsidRPr="00571A73">
        <w:rPr>
          <w:rFonts w:ascii="Book Antiqua" w:hAnsi="Book Antiqua"/>
          <w:b/>
        </w:rPr>
        <w:lastRenderedPageBreak/>
        <w:t>4</w:t>
      </w:r>
      <w:r w:rsidRPr="00571A73">
        <w:rPr>
          <w:rFonts w:ascii="Book Antiqua" w:hAnsi="Book Antiqua"/>
          <w:b/>
        </w:rPr>
        <w:tab/>
      </w:r>
      <w:r w:rsidR="00E76941">
        <w:rPr>
          <w:rFonts w:ascii="Book Antiqua" w:hAnsi="Book Antiqua"/>
          <w:b/>
        </w:rPr>
        <w:t>PROCEDURE</w:t>
      </w:r>
    </w:p>
    <w:p w14:paraId="16731C83" w14:textId="429CE823" w:rsidR="00BE3032" w:rsidRDefault="00571A73" w:rsidP="00417E19">
      <w:pPr>
        <w:autoSpaceDE w:val="0"/>
        <w:autoSpaceDN w:val="0"/>
        <w:adjustRightInd w:val="0"/>
        <w:spacing w:before="120" w:after="120"/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4.1</w:t>
      </w:r>
      <w:r>
        <w:rPr>
          <w:rFonts w:ascii="Book Antiqua" w:hAnsi="Book Antiqua"/>
        </w:rPr>
        <w:tab/>
        <w:t>As provided for in</w:t>
      </w:r>
      <w:r w:rsidR="00482949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Practice Note SC CR 8 - </w:t>
      </w:r>
      <w:r w:rsidRPr="000D0234">
        <w:rPr>
          <w:rFonts w:ascii="Book Antiqua" w:hAnsi="Book Antiqua"/>
        </w:rPr>
        <w:t>Case Management Procedure for Criminal Trial</w:t>
      </w:r>
      <w:r>
        <w:rPr>
          <w:rFonts w:ascii="Book Antiqua" w:hAnsi="Book Antiqua"/>
        </w:rPr>
        <w:t>s, the Criminal Division of the Supreme Court</w:t>
      </w:r>
      <w:r w:rsidR="00482949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conducts a post-committal directions hearing (‘PCDH’) for matters committed to the Supreme Court</w:t>
      </w:r>
      <w:r w:rsidR="00482949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for trial or plea. </w:t>
      </w:r>
      <w:r w:rsidR="00EA5549">
        <w:rPr>
          <w:rFonts w:ascii="Book Antiqua" w:hAnsi="Book Antiqua"/>
        </w:rPr>
        <w:t xml:space="preserve">In accordance with paragraph 4.6 of that Practice Note, </w:t>
      </w:r>
      <w:r w:rsidR="00316494">
        <w:rPr>
          <w:rFonts w:ascii="Book Antiqua" w:hAnsi="Book Antiqua"/>
        </w:rPr>
        <w:t>a</w:t>
      </w:r>
      <w:r>
        <w:rPr>
          <w:rFonts w:ascii="Book Antiqua" w:hAnsi="Book Antiqua"/>
        </w:rPr>
        <w:t xml:space="preserve"> </w:t>
      </w:r>
      <w:r w:rsidR="0078506A">
        <w:rPr>
          <w:rFonts w:ascii="Book Antiqua" w:hAnsi="Book Antiqua"/>
        </w:rPr>
        <w:t>child remanded in</w:t>
      </w:r>
      <w:r w:rsidR="00BE3032">
        <w:rPr>
          <w:rFonts w:ascii="Book Antiqua" w:hAnsi="Book Antiqua"/>
        </w:rPr>
        <w:t xml:space="preserve"> custody</w:t>
      </w:r>
      <w:r w:rsidR="001628B4">
        <w:rPr>
          <w:rFonts w:ascii="Book Antiqua" w:hAnsi="Book Antiqua"/>
        </w:rPr>
        <w:t xml:space="preserve"> is required to attend and</w:t>
      </w:r>
      <w:r w:rsidR="00BE3032">
        <w:rPr>
          <w:rFonts w:ascii="Book Antiqua" w:hAnsi="Book Antiqua"/>
        </w:rPr>
        <w:t xml:space="preserve"> </w:t>
      </w:r>
      <w:r w:rsidR="00693ED3">
        <w:rPr>
          <w:rFonts w:ascii="Book Antiqua" w:hAnsi="Book Antiqua"/>
        </w:rPr>
        <w:t xml:space="preserve">wherever possible </w:t>
      </w:r>
      <w:r w:rsidR="00442271">
        <w:rPr>
          <w:rFonts w:ascii="Book Antiqua" w:hAnsi="Book Antiqua"/>
        </w:rPr>
        <w:t xml:space="preserve">will </w:t>
      </w:r>
      <w:r w:rsidR="008D362F">
        <w:rPr>
          <w:rFonts w:ascii="Book Antiqua" w:hAnsi="Book Antiqua"/>
        </w:rPr>
        <w:t>a</w:t>
      </w:r>
      <w:r w:rsidR="001628B4">
        <w:rPr>
          <w:rFonts w:ascii="Book Antiqua" w:hAnsi="Book Antiqua"/>
        </w:rPr>
        <w:t>ppear</w:t>
      </w:r>
      <w:r w:rsidR="008D362F">
        <w:rPr>
          <w:rFonts w:ascii="Book Antiqua" w:hAnsi="Book Antiqua"/>
        </w:rPr>
        <w:t xml:space="preserve"> </w:t>
      </w:r>
      <w:r w:rsidR="000B258E">
        <w:rPr>
          <w:rFonts w:ascii="Book Antiqua" w:hAnsi="Book Antiqua"/>
        </w:rPr>
        <w:t>via</w:t>
      </w:r>
      <w:r w:rsidR="00BE3032">
        <w:rPr>
          <w:rFonts w:ascii="Book Antiqua" w:hAnsi="Book Antiqua"/>
        </w:rPr>
        <w:t xml:space="preserve"> audio-visual link. </w:t>
      </w:r>
    </w:p>
    <w:p w14:paraId="76BB528D" w14:textId="7F57DB95" w:rsidR="00241AF8" w:rsidRDefault="00442271" w:rsidP="00417E19">
      <w:pPr>
        <w:spacing w:before="120" w:after="120"/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4.2 </w:t>
      </w:r>
      <w:r>
        <w:rPr>
          <w:rFonts w:ascii="Book Antiqua" w:hAnsi="Book Antiqua"/>
        </w:rPr>
        <w:tab/>
      </w:r>
      <w:r w:rsidR="00AC1BDC">
        <w:rPr>
          <w:rFonts w:ascii="Book Antiqua" w:hAnsi="Book Antiqua"/>
        </w:rPr>
        <w:t>F</w:t>
      </w:r>
      <w:r w:rsidR="00DA3B5C">
        <w:rPr>
          <w:rFonts w:ascii="Book Antiqua" w:hAnsi="Book Antiqua"/>
        </w:rPr>
        <w:t>ollowing</w:t>
      </w:r>
      <w:r w:rsidR="00C93E41">
        <w:rPr>
          <w:rFonts w:ascii="Book Antiqua" w:hAnsi="Book Antiqua"/>
        </w:rPr>
        <w:t xml:space="preserve"> the PCDH, </w:t>
      </w:r>
      <w:r w:rsidR="00482949">
        <w:rPr>
          <w:rFonts w:ascii="Book Antiqua" w:hAnsi="Book Antiqua"/>
        </w:rPr>
        <w:t xml:space="preserve">a </w:t>
      </w:r>
      <w:proofErr w:type="gramStart"/>
      <w:r w:rsidR="00482949">
        <w:rPr>
          <w:rFonts w:ascii="Book Antiqua" w:hAnsi="Book Antiqua"/>
        </w:rPr>
        <w:t>21 day</w:t>
      </w:r>
      <w:proofErr w:type="gramEnd"/>
      <w:r w:rsidR="00482949">
        <w:rPr>
          <w:rFonts w:ascii="Book Antiqua" w:hAnsi="Book Antiqua"/>
        </w:rPr>
        <w:t xml:space="preserve"> </w:t>
      </w:r>
      <w:r w:rsidR="000B258E">
        <w:rPr>
          <w:rFonts w:ascii="Book Antiqua" w:hAnsi="Book Antiqua"/>
        </w:rPr>
        <w:t>rollover</w:t>
      </w:r>
      <w:r w:rsidR="00482949">
        <w:rPr>
          <w:rFonts w:ascii="Book Antiqua" w:hAnsi="Book Antiqua"/>
        </w:rPr>
        <w:t xml:space="preserve"> will be </w:t>
      </w:r>
      <w:r w:rsidR="000B258E">
        <w:rPr>
          <w:rFonts w:ascii="Book Antiqua" w:hAnsi="Book Antiqua"/>
        </w:rPr>
        <w:t>listed</w:t>
      </w:r>
      <w:r w:rsidR="00AC1BDC">
        <w:rPr>
          <w:rFonts w:ascii="Book Antiqua" w:hAnsi="Book Antiqua"/>
        </w:rPr>
        <w:t xml:space="preserve"> </w:t>
      </w:r>
      <w:r w:rsidR="00482949">
        <w:rPr>
          <w:rFonts w:ascii="Book Antiqua" w:hAnsi="Book Antiqua"/>
        </w:rPr>
        <w:t xml:space="preserve">every 21 days or less in relation to a child remanded in custody. </w:t>
      </w:r>
      <w:r w:rsidR="00241AF8">
        <w:rPr>
          <w:rFonts w:ascii="Book Antiqua" w:hAnsi="Book Antiqua"/>
        </w:rPr>
        <w:t xml:space="preserve">The child is required to appear at each </w:t>
      </w:r>
      <w:proofErr w:type="gramStart"/>
      <w:r w:rsidR="00241AF8">
        <w:rPr>
          <w:rFonts w:ascii="Book Antiqua" w:hAnsi="Book Antiqua"/>
        </w:rPr>
        <w:t>21 day</w:t>
      </w:r>
      <w:proofErr w:type="gramEnd"/>
      <w:r w:rsidR="00241AF8">
        <w:rPr>
          <w:rFonts w:ascii="Book Antiqua" w:hAnsi="Book Antiqua"/>
        </w:rPr>
        <w:t xml:space="preserve"> </w:t>
      </w:r>
      <w:r w:rsidR="000B258E">
        <w:rPr>
          <w:rFonts w:ascii="Book Antiqua" w:hAnsi="Book Antiqua"/>
        </w:rPr>
        <w:t>rollover</w:t>
      </w:r>
      <w:r w:rsidR="00241AF8">
        <w:rPr>
          <w:rFonts w:ascii="Book Antiqua" w:hAnsi="Book Antiqua"/>
        </w:rPr>
        <w:t xml:space="preserve"> </w:t>
      </w:r>
      <w:r w:rsidR="000B258E">
        <w:rPr>
          <w:rFonts w:ascii="Book Antiqua" w:hAnsi="Book Antiqua"/>
        </w:rPr>
        <w:t>unless the child’s attendance has been waived in accordance with this Practice Note</w:t>
      </w:r>
      <w:r w:rsidR="00241AF8">
        <w:rPr>
          <w:rFonts w:ascii="Book Antiqua" w:hAnsi="Book Antiqua"/>
        </w:rPr>
        <w:t xml:space="preserve">. </w:t>
      </w:r>
    </w:p>
    <w:p w14:paraId="4B7EE446" w14:textId="3DB2FF98" w:rsidR="004714BA" w:rsidRDefault="00241AF8" w:rsidP="00417E19">
      <w:pPr>
        <w:spacing w:before="120" w:after="120"/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4.3 </w:t>
      </w:r>
      <w:r>
        <w:rPr>
          <w:rFonts w:ascii="Book Antiqua" w:hAnsi="Book Antiqua"/>
        </w:rPr>
        <w:tab/>
      </w:r>
      <w:r w:rsidR="004714BA">
        <w:rPr>
          <w:rFonts w:ascii="Book Antiqua" w:hAnsi="Book Antiqua"/>
        </w:rPr>
        <w:t xml:space="preserve">A child will not be excused from attending any directions hearing, including </w:t>
      </w:r>
      <w:r w:rsidR="000B258E">
        <w:rPr>
          <w:rFonts w:ascii="Book Antiqua" w:hAnsi="Book Antiqua"/>
        </w:rPr>
        <w:t xml:space="preserve">when a directions hearing is listed on the same date as </w:t>
      </w:r>
      <w:r w:rsidR="004714BA">
        <w:rPr>
          <w:rFonts w:ascii="Book Antiqua" w:hAnsi="Book Antiqua"/>
        </w:rPr>
        <w:t xml:space="preserve">a </w:t>
      </w:r>
      <w:proofErr w:type="gramStart"/>
      <w:r w:rsidR="004714BA">
        <w:rPr>
          <w:rFonts w:ascii="Book Antiqua" w:hAnsi="Book Antiqua"/>
        </w:rPr>
        <w:t>21 day</w:t>
      </w:r>
      <w:proofErr w:type="gramEnd"/>
      <w:r w:rsidR="004714BA">
        <w:rPr>
          <w:rFonts w:ascii="Book Antiqua" w:hAnsi="Book Antiqua"/>
        </w:rPr>
        <w:t xml:space="preserve"> </w:t>
      </w:r>
      <w:r w:rsidR="000B258E">
        <w:rPr>
          <w:rFonts w:ascii="Book Antiqua" w:hAnsi="Book Antiqua"/>
        </w:rPr>
        <w:t>rollover</w:t>
      </w:r>
      <w:r w:rsidR="004714BA">
        <w:rPr>
          <w:rFonts w:ascii="Book Antiqua" w:hAnsi="Book Antiqua"/>
        </w:rPr>
        <w:t xml:space="preserve">, or </w:t>
      </w:r>
      <w:r w:rsidR="00A51183">
        <w:rPr>
          <w:rFonts w:ascii="Book Antiqua" w:hAnsi="Book Antiqua"/>
        </w:rPr>
        <w:t xml:space="preserve">where </w:t>
      </w:r>
      <w:r w:rsidR="004714BA">
        <w:rPr>
          <w:rFonts w:ascii="Book Antiqua" w:hAnsi="Book Antiqua"/>
        </w:rPr>
        <w:t xml:space="preserve">there are otherwise substantive issues to be discussed at the </w:t>
      </w:r>
      <w:r w:rsidR="000B258E">
        <w:rPr>
          <w:rFonts w:ascii="Book Antiqua" w:hAnsi="Book Antiqua"/>
        </w:rPr>
        <w:t>21 day rollover</w:t>
      </w:r>
      <w:r w:rsidR="004714BA">
        <w:rPr>
          <w:rFonts w:ascii="Book Antiqua" w:hAnsi="Book Antiqua"/>
        </w:rPr>
        <w:t xml:space="preserve">. </w:t>
      </w:r>
    </w:p>
    <w:p w14:paraId="5684B9D1" w14:textId="77777777" w:rsidR="00176DF3" w:rsidRDefault="004714BA" w:rsidP="000B258E">
      <w:pPr>
        <w:spacing w:before="120" w:after="120"/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4.4</w:t>
      </w:r>
      <w:r>
        <w:rPr>
          <w:rFonts w:ascii="Book Antiqua" w:hAnsi="Book Antiqua"/>
        </w:rPr>
        <w:tab/>
      </w:r>
      <w:r w:rsidR="007A672B">
        <w:rPr>
          <w:rFonts w:ascii="Book Antiqua" w:hAnsi="Book Antiqua"/>
        </w:rPr>
        <w:t xml:space="preserve">If </w:t>
      </w:r>
      <w:r w:rsidR="00A51183">
        <w:rPr>
          <w:rFonts w:ascii="Book Antiqua" w:hAnsi="Book Antiqua"/>
        </w:rPr>
        <w:t>a</w:t>
      </w:r>
      <w:r w:rsidR="007A672B">
        <w:rPr>
          <w:rFonts w:ascii="Book Antiqua" w:hAnsi="Book Antiqua"/>
        </w:rPr>
        <w:t xml:space="preserve"> child </w:t>
      </w:r>
      <w:r w:rsidR="001E0DC8">
        <w:rPr>
          <w:rFonts w:ascii="Book Antiqua" w:hAnsi="Book Antiqua"/>
        </w:rPr>
        <w:t>wishes</w:t>
      </w:r>
      <w:r w:rsidR="007A672B">
        <w:rPr>
          <w:rFonts w:ascii="Book Antiqua" w:hAnsi="Book Antiqua"/>
        </w:rPr>
        <w:t xml:space="preserve"> to </w:t>
      </w:r>
      <w:r w:rsidR="0054527B">
        <w:rPr>
          <w:rFonts w:ascii="Book Antiqua" w:hAnsi="Book Antiqua"/>
        </w:rPr>
        <w:t xml:space="preserve">be </w:t>
      </w:r>
      <w:r w:rsidR="008D362F">
        <w:rPr>
          <w:rFonts w:ascii="Book Antiqua" w:hAnsi="Book Antiqua"/>
        </w:rPr>
        <w:t>excused</w:t>
      </w:r>
      <w:r w:rsidR="0054527B">
        <w:rPr>
          <w:rFonts w:ascii="Book Antiqua" w:hAnsi="Book Antiqua"/>
        </w:rPr>
        <w:t xml:space="preserve"> from attending a </w:t>
      </w:r>
      <w:proofErr w:type="gramStart"/>
      <w:r w:rsidR="0054527B">
        <w:rPr>
          <w:rFonts w:ascii="Book Antiqua" w:hAnsi="Book Antiqua"/>
        </w:rPr>
        <w:t>21 day</w:t>
      </w:r>
      <w:proofErr w:type="gramEnd"/>
      <w:r w:rsidR="0054527B">
        <w:rPr>
          <w:rFonts w:ascii="Book Antiqua" w:hAnsi="Book Antiqua"/>
        </w:rPr>
        <w:t xml:space="preserve"> </w:t>
      </w:r>
      <w:r w:rsidR="000B258E">
        <w:rPr>
          <w:rFonts w:ascii="Book Antiqua" w:hAnsi="Book Antiqua"/>
        </w:rPr>
        <w:t>rollover</w:t>
      </w:r>
      <w:r w:rsidR="007A672B">
        <w:rPr>
          <w:rFonts w:ascii="Book Antiqua" w:hAnsi="Book Antiqua"/>
        </w:rPr>
        <w:t>,</w:t>
      </w:r>
      <w:r w:rsidR="0054527B">
        <w:rPr>
          <w:rFonts w:ascii="Book Antiqua" w:hAnsi="Book Antiqua"/>
        </w:rPr>
        <w:t xml:space="preserve"> the</w:t>
      </w:r>
      <w:r w:rsidR="001E0DC8">
        <w:rPr>
          <w:rFonts w:ascii="Book Antiqua" w:hAnsi="Book Antiqua"/>
        </w:rPr>
        <w:t xml:space="preserve"> child’s</w:t>
      </w:r>
      <w:r w:rsidR="0054527B">
        <w:rPr>
          <w:rFonts w:ascii="Book Antiqua" w:hAnsi="Book Antiqua"/>
        </w:rPr>
        <w:t xml:space="preserve"> legal repres</w:t>
      </w:r>
      <w:r w:rsidR="00213A5A">
        <w:rPr>
          <w:rFonts w:ascii="Book Antiqua" w:hAnsi="Book Antiqua"/>
        </w:rPr>
        <w:t xml:space="preserve">entative </w:t>
      </w:r>
      <w:r w:rsidR="000B258E">
        <w:rPr>
          <w:rFonts w:ascii="Book Antiqua" w:hAnsi="Book Antiqua"/>
        </w:rPr>
        <w:t>must:</w:t>
      </w:r>
    </w:p>
    <w:p w14:paraId="4BE69678" w14:textId="7B3B7E4E" w:rsidR="00176DF3" w:rsidRPr="00176DF3" w:rsidRDefault="00176DF3" w:rsidP="00176DF3">
      <w:pPr>
        <w:spacing w:before="120" w:after="120"/>
        <w:ind w:left="144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4.4.1</w:t>
      </w:r>
      <w:r>
        <w:rPr>
          <w:rFonts w:ascii="Book Antiqua" w:hAnsi="Book Antiqua"/>
        </w:rPr>
        <w:tab/>
      </w:r>
      <w:r w:rsidRPr="00176DF3">
        <w:rPr>
          <w:rFonts w:ascii="Book Antiqua" w:hAnsi="Book Antiqua"/>
        </w:rPr>
        <w:t xml:space="preserve">Complete the </w:t>
      </w:r>
      <w:r w:rsidR="004714BA" w:rsidRPr="00176DF3">
        <w:rPr>
          <w:rFonts w:ascii="Book Antiqua" w:hAnsi="Book Antiqua"/>
        </w:rPr>
        <w:t xml:space="preserve">Waiver of </w:t>
      </w:r>
      <w:r w:rsidRPr="00176DF3">
        <w:rPr>
          <w:rFonts w:ascii="Book Antiqua" w:hAnsi="Book Antiqua"/>
        </w:rPr>
        <w:t xml:space="preserve">Child’s Attendance Request Form (‘Waiver Form’) which must be signed </w:t>
      </w:r>
      <w:r w:rsidR="00C93E41" w:rsidRPr="00176DF3">
        <w:rPr>
          <w:rFonts w:ascii="Book Antiqua" w:hAnsi="Book Antiqua"/>
        </w:rPr>
        <w:t xml:space="preserve">by the </w:t>
      </w:r>
      <w:r w:rsidRPr="00176DF3">
        <w:rPr>
          <w:rFonts w:ascii="Book Antiqua" w:hAnsi="Book Antiqua"/>
        </w:rPr>
        <w:t>accused child</w:t>
      </w:r>
    </w:p>
    <w:p w14:paraId="2AD0BFD9" w14:textId="182D6AC3" w:rsidR="00213A5A" w:rsidRDefault="00176DF3" w:rsidP="00176DF3">
      <w:pPr>
        <w:spacing w:before="120" w:after="120"/>
        <w:ind w:left="1440" w:hanging="720"/>
        <w:jc w:val="both"/>
        <w:rPr>
          <w:rFonts w:ascii="Book Antiqua" w:hAnsi="Book Antiqua"/>
        </w:rPr>
      </w:pPr>
      <w:r w:rsidRPr="00176DF3">
        <w:rPr>
          <w:rFonts w:ascii="Book Antiqua" w:hAnsi="Book Antiqua"/>
        </w:rPr>
        <w:t>4.4.2</w:t>
      </w:r>
      <w:r w:rsidRPr="00176DF3">
        <w:rPr>
          <w:rFonts w:ascii="Book Antiqua" w:hAnsi="Book Antiqua"/>
        </w:rPr>
        <w:tab/>
        <w:t xml:space="preserve">File the Waiver Form </w:t>
      </w:r>
      <w:r w:rsidR="000A092F" w:rsidRPr="00176DF3">
        <w:rPr>
          <w:rFonts w:ascii="Book Antiqua" w:hAnsi="Book Antiqua"/>
        </w:rPr>
        <w:t xml:space="preserve">via </w:t>
      </w:r>
      <w:r w:rsidR="00D6669F" w:rsidRPr="00176DF3">
        <w:rPr>
          <w:rFonts w:ascii="Book Antiqua" w:hAnsi="Book Antiqua"/>
        </w:rPr>
        <w:t>RedCrest</w:t>
      </w:r>
      <w:r w:rsidRPr="00176DF3">
        <w:rPr>
          <w:rFonts w:ascii="Book Antiqua" w:hAnsi="Book Antiqua"/>
        </w:rPr>
        <w:t xml:space="preserve"> </w:t>
      </w:r>
      <w:r w:rsidR="00213A5A" w:rsidRPr="00176DF3">
        <w:rPr>
          <w:rFonts w:ascii="Book Antiqua" w:hAnsi="Book Antiqua"/>
        </w:rPr>
        <w:t>at least 3 business</w:t>
      </w:r>
      <w:r w:rsidRPr="00176DF3">
        <w:rPr>
          <w:rFonts w:ascii="Book Antiqua" w:hAnsi="Book Antiqua"/>
        </w:rPr>
        <w:t xml:space="preserve"> </w:t>
      </w:r>
      <w:r w:rsidR="00213A5A" w:rsidRPr="00176DF3">
        <w:rPr>
          <w:rFonts w:ascii="Book Antiqua" w:hAnsi="Book Antiqua"/>
        </w:rPr>
        <w:t xml:space="preserve">days prior to each </w:t>
      </w:r>
      <w:proofErr w:type="gramStart"/>
      <w:r w:rsidR="00213A5A" w:rsidRPr="00176DF3">
        <w:rPr>
          <w:rFonts w:ascii="Book Antiqua" w:hAnsi="Book Antiqua"/>
        </w:rPr>
        <w:t>21 day</w:t>
      </w:r>
      <w:proofErr w:type="gramEnd"/>
      <w:r w:rsidR="00213A5A" w:rsidRPr="00176DF3">
        <w:rPr>
          <w:rFonts w:ascii="Book Antiqua" w:hAnsi="Book Antiqua"/>
        </w:rPr>
        <w:t xml:space="preserve"> </w:t>
      </w:r>
      <w:r w:rsidRPr="00176DF3">
        <w:rPr>
          <w:rFonts w:ascii="Book Antiqua" w:hAnsi="Book Antiqua"/>
        </w:rPr>
        <w:t>rollover.</w:t>
      </w:r>
    </w:p>
    <w:p w14:paraId="7843DD8A" w14:textId="10EFCD7C" w:rsidR="0053177E" w:rsidRDefault="00213A5A" w:rsidP="00417E19">
      <w:pPr>
        <w:spacing w:before="120" w:after="120"/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4.</w:t>
      </w:r>
      <w:r w:rsidR="00D6669F">
        <w:rPr>
          <w:rFonts w:ascii="Book Antiqua" w:hAnsi="Book Antiqua"/>
        </w:rPr>
        <w:t>5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 w:rsidR="00176DF3">
        <w:rPr>
          <w:rFonts w:ascii="Book Antiqua" w:hAnsi="Book Antiqua"/>
        </w:rPr>
        <w:t>The Waiver Form will be considered by either t</w:t>
      </w:r>
      <w:r w:rsidR="006909EE">
        <w:rPr>
          <w:rFonts w:ascii="Book Antiqua" w:hAnsi="Book Antiqua"/>
        </w:rPr>
        <w:t>he presiding</w:t>
      </w:r>
      <w:r w:rsidR="00176DF3">
        <w:rPr>
          <w:rFonts w:ascii="Book Antiqua" w:hAnsi="Book Antiqua"/>
        </w:rPr>
        <w:t xml:space="preserve"> Judge or Judicial Registrar. The</w:t>
      </w:r>
      <w:r w:rsidR="006D0DEB">
        <w:rPr>
          <w:rFonts w:ascii="Book Antiqua" w:hAnsi="Book Antiqua"/>
        </w:rPr>
        <w:t xml:space="preserve"> </w:t>
      </w:r>
      <w:r w:rsidR="00176DF3">
        <w:rPr>
          <w:rFonts w:ascii="Book Antiqua" w:hAnsi="Book Antiqua"/>
        </w:rPr>
        <w:t>parties will be notified</w:t>
      </w:r>
      <w:r>
        <w:rPr>
          <w:rFonts w:ascii="Book Antiqua" w:hAnsi="Book Antiqua"/>
        </w:rPr>
        <w:t xml:space="preserve"> </w:t>
      </w:r>
      <w:r w:rsidR="000A092F">
        <w:rPr>
          <w:rFonts w:ascii="Book Antiqua" w:hAnsi="Book Antiqua"/>
        </w:rPr>
        <w:t xml:space="preserve">via email </w:t>
      </w:r>
      <w:r>
        <w:rPr>
          <w:rFonts w:ascii="Book Antiqua" w:hAnsi="Book Antiqua"/>
        </w:rPr>
        <w:t xml:space="preserve">whether </w:t>
      </w:r>
      <w:r w:rsidR="009D2CB8">
        <w:rPr>
          <w:rFonts w:ascii="Book Antiqua" w:hAnsi="Book Antiqua"/>
        </w:rPr>
        <w:t>the request</w:t>
      </w:r>
      <w:r w:rsidR="004714BA">
        <w:rPr>
          <w:rFonts w:ascii="Book Antiqua" w:hAnsi="Book Antiqua"/>
        </w:rPr>
        <w:t xml:space="preserve"> is</w:t>
      </w:r>
      <w:r w:rsidR="00BC311D">
        <w:rPr>
          <w:rFonts w:ascii="Book Antiqua" w:hAnsi="Book Antiqua"/>
        </w:rPr>
        <w:t xml:space="preserve"> approve</w:t>
      </w:r>
      <w:r w:rsidR="004714BA">
        <w:rPr>
          <w:rFonts w:ascii="Book Antiqua" w:hAnsi="Book Antiqua"/>
        </w:rPr>
        <w:t>d</w:t>
      </w:r>
      <w:r w:rsidR="00BC311D">
        <w:rPr>
          <w:rFonts w:ascii="Book Antiqua" w:hAnsi="Book Antiqua"/>
        </w:rPr>
        <w:t xml:space="preserve"> </w:t>
      </w:r>
      <w:r w:rsidR="00176DF3">
        <w:rPr>
          <w:rFonts w:ascii="Book Antiqua" w:hAnsi="Book Antiqua"/>
        </w:rPr>
        <w:t xml:space="preserve">or denied prior to each </w:t>
      </w:r>
      <w:proofErr w:type="gramStart"/>
      <w:r w:rsidR="00176DF3">
        <w:rPr>
          <w:rFonts w:ascii="Book Antiqua" w:hAnsi="Book Antiqua"/>
        </w:rPr>
        <w:t>21 day</w:t>
      </w:r>
      <w:proofErr w:type="gramEnd"/>
      <w:r w:rsidR="00176DF3">
        <w:rPr>
          <w:rFonts w:ascii="Book Antiqua" w:hAnsi="Book Antiqua"/>
        </w:rPr>
        <w:t xml:space="preserve"> rollover.</w:t>
      </w:r>
    </w:p>
    <w:p w14:paraId="6E886991" w14:textId="10E81932" w:rsidR="0092018E" w:rsidRDefault="00094AEF" w:rsidP="00176DF3">
      <w:pPr>
        <w:spacing w:before="120" w:after="120"/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4.</w:t>
      </w:r>
      <w:r w:rsidR="00D6669F">
        <w:rPr>
          <w:rFonts w:ascii="Book Antiqua" w:hAnsi="Book Antiqua"/>
        </w:rPr>
        <w:t>6</w:t>
      </w:r>
      <w:r>
        <w:rPr>
          <w:rFonts w:ascii="Book Antiqua" w:hAnsi="Book Antiqua"/>
        </w:rPr>
        <w:tab/>
      </w:r>
      <w:r w:rsidR="00417E19">
        <w:rPr>
          <w:rFonts w:ascii="Book Antiqua" w:hAnsi="Book Antiqua"/>
        </w:rPr>
        <w:t>W</w:t>
      </w:r>
      <w:r w:rsidR="001628B4">
        <w:rPr>
          <w:rFonts w:ascii="Book Antiqua" w:hAnsi="Book Antiqua"/>
        </w:rPr>
        <w:t xml:space="preserve">here </w:t>
      </w:r>
      <w:r w:rsidR="00417E19">
        <w:rPr>
          <w:rFonts w:ascii="Book Antiqua" w:hAnsi="Book Antiqua"/>
        </w:rPr>
        <w:t>the</w:t>
      </w:r>
      <w:r>
        <w:rPr>
          <w:rFonts w:ascii="Book Antiqua" w:hAnsi="Book Antiqua"/>
        </w:rPr>
        <w:t xml:space="preserve"> </w:t>
      </w:r>
      <w:r w:rsidR="00417E19">
        <w:rPr>
          <w:rFonts w:ascii="Book Antiqua" w:hAnsi="Book Antiqua"/>
        </w:rPr>
        <w:t xml:space="preserve">request is approved and </w:t>
      </w:r>
      <w:r w:rsidR="00A51183">
        <w:rPr>
          <w:rFonts w:ascii="Book Antiqua" w:hAnsi="Book Antiqua"/>
        </w:rPr>
        <w:t>the</w:t>
      </w:r>
      <w:r w:rsidR="00417E19">
        <w:rPr>
          <w:rFonts w:ascii="Book Antiqua" w:hAnsi="Book Antiqua"/>
        </w:rPr>
        <w:t xml:space="preserve"> </w:t>
      </w:r>
      <w:r w:rsidR="00B8236E">
        <w:rPr>
          <w:rFonts w:ascii="Book Antiqua" w:hAnsi="Book Antiqua"/>
        </w:rPr>
        <w:t xml:space="preserve">child is </w:t>
      </w:r>
      <w:r w:rsidR="00C93E41">
        <w:rPr>
          <w:rFonts w:ascii="Book Antiqua" w:hAnsi="Book Antiqua"/>
        </w:rPr>
        <w:t>excused</w:t>
      </w:r>
      <w:r w:rsidR="00B8236E">
        <w:rPr>
          <w:rFonts w:ascii="Book Antiqua" w:hAnsi="Book Antiqua"/>
        </w:rPr>
        <w:t xml:space="preserve"> from attending</w:t>
      </w:r>
      <w:r w:rsidR="003C404A">
        <w:rPr>
          <w:rFonts w:ascii="Book Antiqua" w:hAnsi="Book Antiqua"/>
        </w:rPr>
        <w:t xml:space="preserve"> a </w:t>
      </w:r>
      <w:proofErr w:type="gramStart"/>
      <w:r w:rsidR="003C404A">
        <w:rPr>
          <w:rFonts w:ascii="Book Antiqua" w:hAnsi="Book Antiqua"/>
        </w:rPr>
        <w:t xml:space="preserve">21 </w:t>
      </w:r>
      <w:r w:rsidR="00176DF3">
        <w:rPr>
          <w:rFonts w:ascii="Book Antiqua" w:hAnsi="Book Antiqua"/>
        </w:rPr>
        <w:t>day</w:t>
      </w:r>
      <w:proofErr w:type="gramEnd"/>
      <w:r w:rsidR="00176DF3">
        <w:rPr>
          <w:rFonts w:ascii="Book Antiqua" w:hAnsi="Book Antiqua"/>
        </w:rPr>
        <w:t xml:space="preserve"> rollover</w:t>
      </w:r>
      <w:r>
        <w:rPr>
          <w:rFonts w:ascii="Book Antiqua" w:hAnsi="Book Antiqua"/>
        </w:rPr>
        <w:t xml:space="preserve">, a legal representative (counsel </w:t>
      </w:r>
      <w:r w:rsidR="00176DF3">
        <w:rPr>
          <w:rFonts w:ascii="Book Antiqua" w:hAnsi="Book Antiqua"/>
        </w:rPr>
        <w:t>or</w:t>
      </w:r>
      <w:r>
        <w:rPr>
          <w:rFonts w:ascii="Book Antiqua" w:hAnsi="Book Antiqua"/>
        </w:rPr>
        <w:t xml:space="preserve"> solicitor) for each party is</w:t>
      </w:r>
      <w:r w:rsidR="00B8236E">
        <w:rPr>
          <w:rFonts w:ascii="Book Antiqua" w:hAnsi="Book Antiqua"/>
        </w:rPr>
        <w:t xml:space="preserve"> </w:t>
      </w:r>
      <w:r w:rsidR="00176DF3">
        <w:rPr>
          <w:rFonts w:ascii="Book Antiqua" w:hAnsi="Book Antiqua"/>
        </w:rPr>
        <w:t>required</w:t>
      </w:r>
      <w:r>
        <w:rPr>
          <w:rFonts w:ascii="Book Antiqua" w:hAnsi="Book Antiqua"/>
        </w:rPr>
        <w:t xml:space="preserve"> to</w:t>
      </w:r>
      <w:r w:rsidR="00506349">
        <w:rPr>
          <w:rFonts w:ascii="Book Antiqua" w:hAnsi="Book Antiqua"/>
        </w:rPr>
        <w:t xml:space="preserve"> appear</w:t>
      </w:r>
      <w:r w:rsidR="00470566">
        <w:rPr>
          <w:rFonts w:ascii="Book Antiqua" w:hAnsi="Book Antiqua"/>
        </w:rPr>
        <w:t xml:space="preserve"> at the </w:t>
      </w:r>
      <w:r w:rsidR="00176DF3">
        <w:rPr>
          <w:rFonts w:ascii="Book Antiqua" w:hAnsi="Book Antiqua"/>
        </w:rPr>
        <w:t>21 day rollover hearing</w:t>
      </w:r>
      <w:r w:rsidR="00506349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</w:t>
      </w:r>
      <w:r w:rsidR="00C22B14">
        <w:rPr>
          <w:rFonts w:ascii="Book Antiqua" w:hAnsi="Book Antiqua"/>
        </w:rPr>
        <w:t xml:space="preserve">Wherever possible </w:t>
      </w:r>
      <w:r w:rsidR="009D2CB8">
        <w:rPr>
          <w:rFonts w:ascii="Book Antiqua" w:hAnsi="Book Antiqua"/>
        </w:rPr>
        <w:t>this</w:t>
      </w:r>
      <w:r w:rsidR="00C22B14">
        <w:rPr>
          <w:rFonts w:ascii="Book Antiqua" w:hAnsi="Book Antiqua"/>
        </w:rPr>
        <w:t xml:space="preserve"> will be conducted remotely via </w:t>
      </w:r>
      <w:r w:rsidR="00482949">
        <w:rPr>
          <w:rFonts w:ascii="Book Antiqua" w:hAnsi="Book Antiqua"/>
        </w:rPr>
        <w:t>WebEx.</w:t>
      </w:r>
      <w:r w:rsidR="00C22B14">
        <w:rPr>
          <w:rFonts w:ascii="Book Antiqua" w:hAnsi="Book Antiqua"/>
        </w:rPr>
        <w:t xml:space="preserve"> </w:t>
      </w:r>
      <w:r w:rsidR="0092018E">
        <w:rPr>
          <w:rFonts w:ascii="Book Antiqua" w:hAnsi="Book Antiqua"/>
        </w:rPr>
        <w:t xml:space="preserve"> </w:t>
      </w:r>
    </w:p>
    <w:p w14:paraId="35749C9C" w14:textId="17A3DB71" w:rsidR="006533DA" w:rsidRDefault="0092018E" w:rsidP="006533DA">
      <w:pPr>
        <w:autoSpaceDE w:val="0"/>
        <w:autoSpaceDN w:val="0"/>
        <w:adjustRightInd w:val="0"/>
        <w:spacing w:before="120" w:after="120"/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4.</w:t>
      </w:r>
      <w:r w:rsidR="00D6669F">
        <w:rPr>
          <w:rFonts w:ascii="Book Antiqua" w:hAnsi="Book Antiqua"/>
        </w:rPr>
        <w:t>9</w:t>
      </w:r>
      <w:r>
        <w:rPr>
          <w:rFonts w:ascii="Book Antiqua" w:hAnsi="Book Antiqua"/>
        </w:rPr>
        <w:tab/>
      </w:r>
      <w:r w:rsidR="00094AEF">
        <w:rPr>
          <w:rFonts w:ascii="Book Antiqua" w:hAnsi="Book Antiqua"/>
        </w:rPr>
        <w:t xml:space="preserve">As noted in </w:t>
      </w:r>
      <w:r w:rsidR="006533DA">
        <w:rPr>
          <w:rFonts w:ascii="Book Antiqua" w:hAnsi="Book Antiqua"/>
        </w:rPr>
        <w:t xml:space="preserve">the Waiver Form, </w:t>
      </w:r>
      <w:r w:rsidR="00647DFE">
        <w:rPr>
          <w:rFonts w:ascii="Book Antiqua" w:hAnsi="Book Antiqua"/>
        </w:rPr>
        <w:t>a</w:t>
      </w:r>
      <w:r w:rsidR="006533DA">
        <w:rPr>
          <w:rFonts w:ascii="Book Antiqua" w:hAnsi="Book Antiqua"/>
        </w:rPr>
        <w:t xml:space="preserve">n accused </w:t>
      </w:r>
      <w:r w:rsidR="00CA4002">
        <w:rPr>
          <w:rFonts w:ascii="Book Antiqua" w:hAnsi="Book Antiqua"/>
        </w:rPr>
        <w:t xml:space="preserve">child </w:t>
      </w:r>
      <w:r w:rsidR="0053177E">
        <w:rPr>
          <w:rFonts w:ascii="Book Antiqua" w:hAnsi="Book Antiqua"/>
        </w:rPr>
        <w:t>may</w:t>
      </w:r>
      <w:r w:rsidR="006533DA">
        <w:rPr>
          <w:rFonts w:ascii="Book Antiqua" w:hAnsi="Book Antiqua"/>
        </w:rPr>
        <w:t xml:space="preserve"> seek to attend a </w:t>
      </w:r>
      <w:proofErr w:type="gramStart"/>
      <w:r w:rsidR="006533DA">
        <w:rPr>
          <w:rFonts w:ascii="Book Antiqua" w:hAnsi="Book Antiqua"/>
        </w:rPr>
        <w:t>21 day</w:t>
      </w:r>
      <w:proofErr w:type="gramEnd"/>
      <w:r w:rsidR="006533DA">
        <w:rPr>
          <w:rFonts w:ascii="Book Antiqua" w:hAnsi="Book Antiqua"/>
        </w:rPr>
        <w:t xml:space="preserve"> rollover even after a Waiver Form has been filed</w:t>
      </w:r>
      <w:r w:rsidR="00023F16">
        <w:rPr>
          <w:rFonts w:ascii="Book Antiqua" w:hAnsi="Book Antiqua"/>
        </w:rPr>
        <w:t>. I</w:t>
      </w:r>
      <w:r w:rsidR="007A672B">
        <w:rPr>
          <w:rFonts w:ascii="Book Antiqua" w:hAnsi="Book Antiqua"/>
        </w:rPr>
        <w:t>f this occurs</w:t>
      </w:r>
      <w:r w:rsidR="00023F16">
        <w:rPr>
          <w:rFonts w:ascii="Book Antiqua" w:hAnsi="Book Antiqua"/>
        </w:rPr>
        <w:t>,</w:t>
      </w:r>
      <w:r w:rsidR="00023F16" w:rsidRPr="00023F16">
        <w:rPr>
          <w:rFonts w:ascii="Book Antiqua" w:hAnsi="Book Antiqua"/>
        </w:rPr>
        <w:t xml:space="preserve"> </w:t>
      </w:r>
      <w:r w:rsidR="00023F16">
        <w:rPr>
          <w:rFonts w:ascii="Book Antiqua" w:hAnsi="Book Antiqua"/>
        </w:rPr>
        <w:t>the Criminal Registry and the chambers of the presiding Judge or Judicial Registrar</w:t>
      </w:r>
      <w:r w:rsidR="00CA4002">
        <w:rPr>
          <w:rFonts w:ascii="Book Antiqua" w:hAnsi="Book Antiqua"/>
        </w:rPr>
        <w:t xml:space="preserve"> </w:t>
      </w:r>
      <w:r w:rsidR="006533DA">
        <w:rPr>
          <w:rFonts w:ascii="Book Antiqua" w:hAnsi="Book Antiqua"/>
        </w:rPr>
        <w:t>should be notified immediately.</w:t>
      </w:r>
    </w:p>
    <w:p w14:paraId="042640D1" w14:textId="635643E6" w:rsidR="008338EC" w:rsidRDefault="008338EC" w:rsidP="006533DA">
      <w:pPr>
        <w:autoSpaceDE w:val="0"/>
        <w:autoSpaceDN w:val="0"/>
        <w:adjustRightInd w:val="0"/>
        <w:spacing w:before="120" w:after="120"/>
        <w:ind w:left="720" w:hanging="720"/>
        <w:jc w:val="both"/>
        <w:rPr>
          <w:rFonts w:ascii="Book Antiqua" w:hAnsi="Book Antiqua"/>
        </w:rPr>
      </w:pPr>
    </w:p>
    <w:p w14:paraId="4DC02500" w14:textId="77777777" w:rsidR="008338EC" w:rsidRPr="00C14349" w:rsidRDefault="008338EC" w:rsidP="008338EC">
      <w:pPr>
        <w:pStyle w:val="Heading1"/>
        <w:rPr>
          <w:rFonts w:ascii="Book Antiqua" w:hAnsi="Book Antiqua"/>
          <w:b/>
          <w:color w:val="auto"/>
          <w:sz w:val="24"/>
          <w:szCs w:val="24"/>
        </w:rPr>
      </w:pPr>
      <w:r w:rsidRPr="00C14349">
        <w:rPr>
          <w:rFonts w:ascii="Book Antiqua" w:hAnsi="Book Antiqua"/>
          <w:b/>
          <w:color w:val="auto"/>
          <w:sz w:val="24"/>
          <w:szCs w:val="24"/>
        </w:rPr>
        <w:t>AMENDMENT HISTORY</w:t>
      </w:r>
    </w:p>
    <w:p w14:paraId="5F5850FB" w14:textId="4667DAA2" w:rsidR="008338EC" w:rsidRPr="001F3184" w:rsidRDefault="008338EC" w:rsidP="008338EC">
      <w:pPr>
        <w:spacing w:before="120" w:after="120"/>
        <w:jc w:val="both"/>
        <w:rPr>
          <w:rFonts w:ascii="Book Antiqua" w:hAnsi="Book Antiqua"/>
        </w:rPr>
      </w:pPr>
      <w:r>
        <w:rPr>
          <w:rFonts w:ascii="Book Antiqua" w:hAnsi="Book Antiqua"/>
        </w:rPr>
        <w:t>1 June 2020</w:t>
      </w:r>
      <w:r w:rsidRPr="001F3184">
        <w:rPr>
          <w:rFonts w:ascii="Book Antiqua" w:hAnsi="Book Antiqua"/>
        </w:rPr>
        <w:t xml:space="preserve">:  This Practice Note was </w:t>
      </w:r>
      <w:r>
        <w:rPr>
          <w:rFonts w:ascii="Book Antiqua" w:hAnsi="Book Antiqua"/>
        </w:rPr>
        <w:t>issued</w:t>
      </w:r>
      <w:r w:rsidRPr="001F3184">
        <w:rPr>
          <w:rFonts w:ascii="Book Antiqua" w:hAnsi="Book Antiqua"/>
        </w:rPr>
        <w:t xml:space="preserve"> on </w:t>
      </w:r>
      <w:r>
        <w:rPr>
          <w:rFonts w:ascii="Book Antiqua" w:hAnsi="Book Antiqua"/>
        </w:rPr>
        <w:t>1 June 2020</w:t>
      </w:r>
      <w:r w:rsidRPr="001F3184">
        <w:rPr>
          <w:rFonts w:ascii="Book Antiqua" w:hAnsi="Book Antiqua"/>
        </w:rPr>
        <w:t>.</w:t>
      </w:r>
    </w:p>
    <w:p w14:paraId="5A27A12C" w14:textId="77777777" w:rsidR="008338EC" w:rsidRPr="001F3184" w:rsidRDefault="008338EC" w:rsidP="008338EC">
      <w:pPr>
        <w:spacing w:before="120" w:after="120"/>
        <w:jc w:val="both"/>
        <w:rPr>
          <w:rFonts w:ascii="Book Antiqua" w:hAnsi="Book Antiqua"/>
        </w:rPr>
      </w:pPr>
    </w:p>
    <w:p w14:paraId="3D5EF5B8" w14:textId="77777777" w:rsidR="008338EC" w:rsidRPr="001F3184" w:rsidRDefault="008338EC" w:rsidP="008338EC">
      <w:pPr>
        <w:spacing w:before="120" w:after="120"/>
        <w:ind w:left="720" w:hanging="720"/>
        <w:jc w:val="right"/>
        <w:rPr>
          <w:rFonts w:ascii="Book Antiqua" w:hAnsi="Book Antiqua"/>
        </w:rPr>
      </w:pPr>
      <w:r w:rsidRPr="001F3184">
        <w:rPr>
          <w:rFonts w:ascii="Book Antiqua" w:hAnsi="Book Antiqua"/>
        </w:rPr>
        <w:t>Vivienne Macgillivray</w:t>
      </w:r>
    </w:p>
    <w:p w14:paraId="7F055A6C" w14:textId="77777777" w:rsidR="008338EC" w:rsidRPr="001F3184" w:rsidRDefault="008338EC" w:rsidP="008338EC">
      <w:pPr>
        <w:spacing w:before="120" w:after="120"/>
        <w:ind w:left="720" w:hanging="720"/>
        <w:jc w:val="right"/>
        <w:rPr>
          <w:rFonts w:ascii="Book Antiqua" w:hAnsi="Book Antiqua"/>
        </w:rPr>
      </w:pPr>
      <w:r w:rsidRPr="001F3184">
        <w:rPr>
          <w:rFonts w:ascii="Book Antiqua" w:hAnsi="Book Antiqua"/>
        </w:rPr>
        <w:t>Executive Associate to the Chief Justice</w:t>
      </w:r>
    </w:p>
    <w:p w14:paraId="7F77ADEF" w14:textId="356DFDCD" w:rsidR="008338EC" w:rsidRPr="006533DA" w:rsidRDefault="008338EC" w:rsidP="008338EC">
      <w:pPr>
        <w:autoSpaceDE w:val="0"/>
        <w:autoSpaceDN w:val="0"/>
        <w:adjustRightInd w:val="0"/>
        <w:spacing w:before="120" w:after="120"/>
        <w:ind w:left="720"/>
        <w:jc w:val="right"/>
        <w:rPr>
          <w:rFonts w:ascii="Book Antiqua" w:hAnsi="Book Antiqua"/>
        </w:rPr>
      </w:pPr>
      <w:r>
        <w:rPr>
          <w:rFonts w:ascii="Book Antiqua" w:hAnsi="Book Antiqua"/>
        </w:rPr>
        <w:t>1 June 2020</w:t>
      </w:r>
    </w:p>
    <w:sectPr w:rsidR="008338EC" w:rsidRPr="006533DA" w:rsidSect="00BD056E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A03AE" w14:textId="77777777" w:rsidR="00B903B3" w:rsidRDefault="00B903B3">
      <w:r>
        <w:separator/>
      </w:r>
    </w:p>
  </w:endnote>
  <w:endnote w:type="continuationSeparator" w:id="0">
    <w:p w14:paraId="6B25CEA3" w14:textId="77777777" w:rsidR="00B903B3" w:rsidRDefault="00B9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4C2F2" w14:textId="100C791A" w:rsidR="00CF656B" w:rsidRDefault="00CF656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38EC">
      <w:rPr>
        <w:noProof/>
      </w:rPr>
      <w:t>2</w:t>
    </w:r>
    <w:r>
      <w:rPr>
        <w:noProof/>
      </w:rPr>
      <w:fldChar w:fldCharType="end"/>
    </w:r>
  </w:p>
  <w:p w14:paraId="06E7AF6F" w14:textId="77777777" w:rsidR="00CF656B" w:rsidRDefault="00CF65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2A49B" w14:textId="77777777" w:rsidR="00B903B3" w:rsidRDefault="00B903B3">
      <w:r>
        <w:separator/>
      </w:r>
    </w:p>
  </w:footnote>
  <w:footnote w:type="continuationSeparator" w:id="0">
    <w:p w14:paraId="53BAAA84" w14:textId="77777777" w:rsidR="00B903B3" w:rsidRDefault="00B90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12CF6"/>
    <w:multiLevelType w:val="hybridMultilevel"/>
    <w:tmpl w:val="1EA02638"/>
    <w:lvl w:ilvl="0" w:tplc="357ADDCE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D411A6"/>
    <w:multiLevelType w:val="hybridMultilevel"/>
    <w:tmpl w:val="869C80DA"/>
    <w:lvl w:ilvl="0" w:tplc="4692CF58">
      <w:start w:val="1"/>
      <w:numFmt w:val="lowerRoman"/>
      <w:lvlText w:val="(%1)"/>
      <w:lvlJc w:val="left"/>
      <w:pPr>
        <w:ind w:left="107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94" w:hanging="360"/>
      </w:pPr>
    </w:lvl>
    <w:lvl w:ilvl="2" w:tplc="0C09001B" w:tentative="1">
      <w:start w:val="1"/>
      <w:numFmt w:val="lowerRoman"/>
      <w:lvlText w:val="%3."/>
      <w:lvlJc w:val="right"/>
      <w:pPr>
        <w:ind w:left="2514" w:hanging="180"/>
      </w:pPr>
    </w:lvl>
    <w:lvl w:ilvl="3" w:tplc="0C09000F" w:tentative="1">
      <w:start w:val="1"/>
      <w:numFmt w:val="decimal"/>
      <w:lvlText w:val="%4."/>
      <w:lvlJc w:val="left"/>
      <w:pPr>
        <w:ind w:left="3234" w:hanging="360"/>
      </w:pPr>
    </w:lvl>
    <w:lvl w:ilvl="4" w:tplc="0C090019" w:tentative="1">
      <w:start w:val="1"/>
      <w:numFmt w:val="lowerLetter"/>
      <w:lvlText w:val="%5."/>
      <w:lvlJc w:val="left"/>
      <w:pPr>
        <w:ind w:left="3954" w:hanging="360"/>
      </w:pPr>
    </w:lvl>
    <w:lvl w:ilvl="5" w:tplc="0C09001B" w:tentative="1">
      <w:start w:val="1"/>
      <w:numFmt w:val="lowerRoman"/>
      <w:lvlText w:val="%6."/>
      <w:lvlJc w:val="right"/>
      <w:pPr>
        <w:ind w:left="4674" w:hanging="180"/>
      </w:pPr>
    </w:lvl>
    <w:lvl w:ilvl="6" w:tplc="0C09000F" w:tentative="1">
      <w:start w:val="1"/>
      <w:numFmt w:val="decimal"/>
      <w:lvlText w:val="%7."/>
      <w:lvlJc w:val="left"/>
      <w:pPr>
        <w:ind w:left="5394" w:hanging="360"/>
      </w:pPr>
    </w:lvl>
    <w:lvl w:ilvl="7" w:tplc="0C090019" w:tentative="1">
      <w:start w:val="1"/>
      <w:numFmt w:val="lowerLetter"/>
      <w:lvlText w:val="%8."/>
      <w:lvlJc w:val="left"/>
      <w:pPr>
        <w:ind w:left="6114" w:hanging="360"/>
      </w:pPr>
    </w:lvl>
    <w:lvl w:ilvl="8" w:tplc="0C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11133998"/>
    <w:multiLevelType w:val="multilevel"/>
    <w:tmpl w:val="675E2290"/>
    <w:lvl w:ilvl="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-numberedparagraph"/>
      <w:lvlText w:val="%1.%2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E002C8"/>
    <w:multiLevelType w:val="hybridMultilevel"/>
    <w:tmpl w:val="B3B23F46"/>
    <w:lvl w:ilvl="0" w:tplc="357ADDCE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690147"/>
    <w:multiLevelType w:val="hybridMultilevel"/>
    <w:tmpl w:val="770C77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B07C27"/>
    <w:multiLevelType w:val="multilevel"/>
    <w:tmpl w:val="709A3F22"/>
    <w:lvl w:ilvl="0">
      <w:start w:val="10"/>
      <w:numFmt w:val="decimal"/>
      <w:lvlText w:val="%1"/>
      <w:lvlJc w:val="left"/>
      <w:pPr>
        <w:ind w:left="720" w:hanging="720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504" w:firstLine="21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F5E422B"/>
    <w:multiLevelType w:val="multilevel"/>
    <w:tmpl w:val="753855F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18407B5"/>
    <w:multiLevelType w:val="multilevel"/>
    <w:tmpl w:val="868E76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pStyle w:val="Sub-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A967850"/>
    <w:multiLevelType w:val="multilevel"/>
    <w:tmpl w:val="155004FE"/>
    <w:lvl w:ilvl="0">
      <w:start w:val="12"/>
      <w:numFmt w:val="decimal"/>
      <w:lvlText w:val="%1"/>
      <w:lvlJc w:val="left"/>
      <w:pPr>
        <w:ind w:left="720" w:hanging="720"/>
      </w:pPr>
      <w:rPr>
        <w:rFonts w:hint="default"/>
        <w:b/>
        <w:i w:val="0"/>
        <w:sz w:val="24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504" w:firstLine="21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0CD534A"/>
    <w:multiLevelType w:val="hybridMultilevel"/>
    <w:tmpl w:val="F5CE6F5A"/>
    <w:lvl w:ilvl="0" w:tplc="38A8D84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A034891"/>
    <w:multiLevelType w:val="multilevel"/>
    <w:tmpl w:val="753855F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2480D89"/>
    <w:multiLevelType w:val="multilevel"/>
    <w:tmpl w:val="E0C2F33C"/>
    <w:lvl w:ilvl="0">
      <w:start w:val="10"/>
      <w:numFmt w:val="decimal"/>
      <w:lvlText w:val="%1"/>
      <w:lvlJc w:val="left"/>
      <w:pPr>
        <w:ind w:left="720" w:hanging="720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504" w:firstLine="21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99631B2"/>
    <w:multiLevelType w:val="multilevel"/>
    <w:tmpl w:val="DEEE139C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504" w:firstLine="21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7"/>
  </w:num>
  <w:num w:numId="10">
    <w:abstractNumId w:val="1"/>
  </w:num>
  <w:num w:numId="11">
    <w:abstractNumId w:val="8"/>
  </w:num>
  <w:num w:numId="12">
    <w:abstractNumId w:val="11"/>
  </w:num>
  <w:num w:numId="13">
    <w:abstractNumId w:val="5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DE9"/>
    <w:rsid w:val="000161BF"/>
    <w:rsid w:val="00023F16"/>
    <w:rsid w:val="000253D0"/>
    <w:rsid w:val="00080495"/>
    <w:rsid w:val="00094AEF"/>
    <w:rsid w:val="000A092F"/>
    <w:rsid w:val="000A09B0"/>
    <w:rsid w:val="000A13EE"/>
    <w:rsid w:val="000B258E"/>
    <w:rsid w:val="000D0234"/>
    <w:rsid w:val="000F7AB9"/>
    <w:rsid w:val="001628B4"/>
    <w:rsid w:val="00162C1B"/>
    <w:rsid w:val="00176DF3"/>
    <w:rsid w:val="001A113C"/>
    <w:rsid w:val="001E0DC8"/>
    <w:rsid w:val="00213A5A"/>
    <w:rsid w:val="00241AF8"/>
    <w:rsid w:val="0026306A"/>
    <w:rsid w:val="00271F6E"/>
    <w:rsid w:val="002C760A"/>
    <w:rsid w:val="002D7F21"/>
    <w:rsid w:val="002E17D7"/>
    <w:rsid w:val="002E6C79"/>
    <w:rsid w:val="00316494"/>
    <w:rsid w:val="00323FB3"/>
    <w:rsid w:val="00343BA3"/>
    <w:rsid w:val="003B5E0C"/>
    <w:rsid w:val="003C404A"/>
    <w:rsid w:val="003E7F3F"/>
    <w:rsid w:val="003F4990"/>
    <w:rsid w:val="00414FA9"/>
    <w:rsid w:val="00417E19"/>
    <w:rsid w:val="00442271"/>
    <w:rsid w:val="00470566"/>
    <w:rsid w:val="004714BA"/>
    <w:rsid w:val="00482949"/>
    <w:rsid w:val="00496FEB"/>
    <w:rsid w:val="00501E1B"/>
    <w:rsid w:val="00506349"/>
    <w:rsid w:val="005236FF"/>
    <w:rsid w:val="0053177E"/>
    <w:rsid w:val="00544C47"/>
    <w:rsid w:val="0054527B"/>
    <w:rsid w:val="00571A73"/>
    <w:rsid w:val="005B2B7E"/>
    <w:rsid w:val="005E0834"/>
    <w:rsid w:val="005E11AC"/>
    <w:rsid w:val="006009AF"/>
    <w:rsid w:val="00606605"/>
    <w:rsid w:val="00613453"/>
    <w:rsid w:val="00647DFE"/>
    <w:rsid w:val="006533DA"/>
    <w:rsid w:val="0065574D"/>
    <w:rsid w:val="0066169B"/>
    <w:rsid w:val="006909EE"/>
    <w:rsid w:val="00693ED3"/>
    <w:rsid w:val="006A06A2"/>
    <w:rsid w:val="006B5592"/>
    <w:rsid w:val="006D0DEB"/>
    <w:rsid w:val="006F0EAE"/>
    <w:rsid w:val="0071098A"/>
    <w:rsid w:val="007217F3"/>
    <w:rsid w:val="007222F8"/>
    <w:rsid w:val="0072685A"/>
    <w:rsid w:val="00747B02"/>
    <w:rsid w:val="0078506A"/>
    <w:rsid w:val="007A672B"/>
    <w:rsid w:val="007B17AF"/>
    <w:rsid w:val="008338EC"/>
    <w:rsid w:val="00857A99"/>
    <w:rsid w:val="008630B5"/>
    <w:rsid w:val="00893B67"/>
    <w:rsid w:val="008A5687"/>
    <w:rsid w:val="008D362F"/>
    <w:rsid w:val="009051D8"/>
    <w:rsid w:val="0092018E"/>
    <w:rsid w:val="0099384F"/>
    <w:rsid w:val="009973E9"/>
    <w:rsid w:val="009A0688"/>
    <w:rsid w:val="009D2CB8"/>
    <w:rsid w:val="009E4FF4"/>
    <w:rsid w:val="00A2609E"/>
    <w:rsid w:val="00A51183"/>
    <w:rsid w:val="00AC1BDC"/>
    <w:rsid w:val="00AE1D0A"/>
    <w:rsid w:val="00B130A5"/>
    <w:rsid w:val="00B25330"/>
    <w:rsid w:val="00B27DD3"/>
    <w:rsid w:val="00B50D2C"/>
    <w:rsid w:val="00B8236E"/>
    <w:rsid w:val="00B903B3"/>
    <w:rsid w:val="00BC311D"/>
    <w:rsid w:val="00BC3F6C"/>
    <w:rsid w:val="00BD056E"/>
    <w:rsid w:val="00BE3032"/>
    <w:rsid w:val="00C14349"/>
    <w:rsid w:val="00C22B14"/>
    <w:rsid w:val="00C25F3B"/>
    <w:rsid w:val="00C628BA"/>
    <w:rsid w:val="00C93E41"/>
    <w:rsid w:val="00CA4002"/>
    <w:rsid w:val="00CB30C2"/>
    <w:rsid w:val="00CB710E"/>
    <w:rsid w:val="00CE398F"/>
    <w:rsid w:val="00CF656B"/>
    <w:rsid w:val="00D06D4C"/>
    <w:rsid w:val="00D10F57"/>
    <w:rsid w:val="00D208FC"/>
    <w:rsid w:val="00D6669F"/>
    <w:rsid w:val="00D67E40"/>
    <w:rsid w:val="00D86D42"/>
    <w:rsid w:val="00D87F14"/>
    <w:rsid w:val="00DA3B5C"/>
    <w:rsid w:val="00DD6DE9"/>
    <w:rsid w:val="00E06197"/>
    <w:rsid w:val="00E76941"/>
    <w:rsid w:val="00EA5549"/>
    <w:rsid w:val="00EC5C36"/>
    <w:rsid w:val="00ED198D"/>
    <w:rsid w:val="00F0369F"/>
    <w:rsid w:val="00F5674C"/>
    <w:rsid w:val="00FD53D3"/>
    <w:rsid w:val="00FF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B5242B"/>
  <w15:docId w15:val="{50466F84-46F1-45C7-80DA-26F7AF85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7A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7A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D6D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D6DE9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rsid w:val="00DD6D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D6DE9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">
    <w:name w:val="List"/>
    <w:basedOn w:val="Normal"/>
    <w:rsid w:val="00DD6DE9"/>
    <w:pPr>
      <w:ind w:left="283" w:hanging="283"/>
    </w:pPr>
  </w:style>
  <w:style w:type="paragraph" w:styleId="ListParagraph">
    <w:name w:val="List Paragraph"/>
    <w:basedOn w:val="Normal"/>
    <w:link w:val="ListParagraphChar"/>
    <w:uiPriority w:val="34"/>
    <w:qFormat/>
    <w:rsid w:val="00DD6DE9"/>
    <w:pPr>
      <w:ind w:left="720"/>
      <w:contextualSpacing/>
    </w:pPr>
    <w:rPr>
      <w:sz w:val="20"/>
      <w:szCs w:val="20"/>
    </w:rPr>
  </w:style>
  <w:style w:type="paragraph" w:customStyle="1" w:styleId="NumberedParagraph">
    <w:name w:val="Numbered Paragraph"/>
    <w:basedOn w:val="ListParagraph"/>
    <w:link w:val="NumberedParagraphChar"/>
    <w:qFormat/>
    <w:rsid w:val="00747B02"/>
    <w:pPr>
      <w:numPr>
        <w:numId w:val="6"/>
      </w:numPr>
      <w:spacing w:after="120"/>
      <w:contextualSpacing w:val="0"/>
    </w:pPr>
    <w:rPr>
      <w:rFonts w:ascii="Arial" w:hAnsi="Arial" w:cs="Calibri"/>
      <w:color w:val="000000"/>
      <w:kern w:val="28"/>
      <w:sz w:val="22"/>
      <w:szCs w:val="22"/>
      <w14:ligatures w14:val="standard"/>
      <w14:cntxtAlts/>
    </w:rPr>
  </w:style>
  <w:style w:type="paragraph" w:customStyle="1" w:styleId="Sub-numberedparagraph">
    <w:name w:val="Sub-numbered paragraph"/>
    <w:basedOn w:val="NumberedParagraph"/>
    <w:link w:val="Sub-numberedparagraphChar"/>
    <w:qFormat/>
    <w:rsid w:val="00747B02"/>
    <w:pPr>
      <w:numPr>
        <w:ilvl w:val="1"/>
      </w:numPr>
    </w:pPr>
  </w:style>
  <w:style w:type="character" w:customStyle="1" w:styleId="Sub-numberedparagraphChar">
    <w:name w:val="Sub-numbered paragraph Char"/>
    <w:basedOn w:val="DefaultParagraphFont"/>
    <w:link w:val="Sub-numberedparagraph"/>
    <w:rsid w:val="00747B02"/>
    <w:rPr>
      <w:rFonts w:ascii="Arial" w:eastAsia="Times New Roman" w:hAnsi="Arial" w:cs="Calibri"/>
      <w:color w:val="000000"/>
      <w:kern w:val="28"/>
      <w:lang w:eastAsia="en-AU"/>
      <w14:ligatures w14:val="standard"/>
      <w14:cntxtAlts/>
    </w:rPr>
  </w:style>
  <w:style w:type="character" w:customStyle="1" w:styleId="NumberedParagraphChar">
    <w:name w:val="Numbered Paragraph Char"/>
    <w:basedOn w:val="DefaultParagraphFont"/>
    <w:link w:val="NumberedParagraph"/>
    <w:rsid w:val="003E7F3F"/>
    <w:rPr>
      <w:rFonts w:ascii="Arial" w:eastAsia="Times New Roman" w:hAnsi="Arial" w:cs="Calibri"/>
      <w:color w:val="000000"/>
      <w:kern w:val="28"/>
      <w:lang w:eastAsia="en-AU"/>
      <w14:ligatures w14:val="standard"/>
      <w14:cntxtAlt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F3F"/>
    <w:rPr>
      <w:rFonts w:ascii="Arial" w:hAnsi="Arial" w:cs="Calibri"/>
      <w:color w:val="000000"/>
      <w:kern w:val="28"/>
      <w:sz w:val="20"/>
      <w:szCs w:val="20"/>
      <w14:ligatures w14:val="standard"/>
      <w14:cntxtAlts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F3F"/>
    <w:rPr>
      <w:rFonts w:ascii="Arial" w:eastAsia="Times New Roman" w:hAnsi="Arial" w:cs="Calibri"/>
      <w:color w:val="000000"/>
      <w:kern w:val="28"/>
      <w:sz w:val="20"/>
      <w:szCs w:val="20"/>
      <w:lang w:eastAsia="en-AU"/>
      <w14:ligatures w14:val="standard"/>
      <w14:cntxtAlts/>
    </w:rPr>
  </w:style>
  <w:style w:type="character" w:styleId="FootnoteReference">
    <w:name w:val="footnote reference"/>
    <w:basedOn w:val="DefaultParagraphFont"/>
    <w:uiPriority w:val="99"/>
    <w:semiHidden/>
    <w:unhideWhenUsed/>
    <w:rsid w:val="003E7F3F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2685A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Heading">
    <w:name w:val="Heading"/>
    <w:basedOn w:val="Heading2"/>
    <w:link w:val="HeadingChar"/>
    <w:qFormat/>
    <w:rsid w:val="00857A99"/>
    <w:pPr>
      <w:shd w:val="pct20" w:color="auto" w:fill="auto"/>
      <w:spacing w:before="360" w:after="120"/>
    </w:pPr>
    <w:rPr>
      <w:rFonts w:ascii="Arial" w:hAnsi="Arial"/>
      <w:b/>
      <w:bCs/>
      <w:color w:val="auto"/>
      <w:kern w:val="28"/>
      <w:sz w:val="22"/>
      <w14:ligatures w14:val="standard"/>
      <w14:cntxtAlts/>
    </w:rPr>
  </w:style>
  <w:style w:type="character" w:customStyle="1" w:styleId="HeadingChar">
    <w:name w:val="Heading Char"/>
    <w:basedOn w:val="DefaultParagraphFont"/>
    <w:link w:val="Heading"/>
    <w:rsid w:val="00857A99"/>
    <w:rPr>
      <w:rFonts w:ascii="Arial" w:eastAsiaTheme="majorEastAsia" w:hAnsi="Arial" w:cstheme="majorBidi"/>
      <w:b/>
      <w:bCs/>
      <w:kern w:val="28"/>
      <w:szCs w:val="26"/>
      <w:shd w:val="pct20" w:color="auto" w:fill="auto"/>
      <w:lang w:eastAsia="en-AU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7A9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AU"/>
    </w:rPr>
  </w:style>
  <w:style w:type="character" w:styleId="Hyperlink">
    <w:name w:val="Hyperlink"/>
    <w:basedOn w:val="DefaultParagraphFont"/>
    <w:uiPriority w:val="99"/>
    <w:unhideWhenUsed/>
    <w:rsid w:val="00857A9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57A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857A99"/>
    <w:pPr>
      <w:keepNext w:val="0"/>
      <w:keepLines w:val="0"/>
      <w:tabs>
        <w:tab w:val="left" w:pos="660"/>
        <w:tab w:val="right" w:leader="dot" w:pos="9498"/>
      </w:tabs>
      <w:spacing w:before="0" w:after="240"/>
      <w:outlineLvl w:val="9"/>
    </w:pPr>
    <w:rPr>
      <w:rFonts w:ascii="Arial" w:eastAsia="Times New Roman" w:hAnsi="Arial" w:cs="Calibri"/>
      <w:noProof/>
      <w:color w:val="000000"/>
      <w:sz w:val="24"/>
      <w:szCs w:val="20"/>
      <w:lang w:val="en-US" w:eastAsia="ja-JP"/>
    </w:rPr>
  </w:style>
  <w:style w:type="paragraph" w:customStyle="1" w:styleId="Sub-bulletpoint">
    <w:name w:val="Sub-bullet point"/>
    <w:basedOn w:val="NumberedParagraph"/>
    <w:qFormat/>
    <w:rsid w:val="00857A99"/>
    <w:pPr>
      <w:numPr>
        <w:ilvl w:val="1"/>
        <w:numId w:val="9"/>
      </w:numPr>
      <w:ind w:left="567" w:hanging="283"/>
    </w:pPr>
  </w:style>
  <w:style w:type="character" w:styleId="FollowedHyperlink">
    <w:name w:val="FollowedHyperlink"/>
    <w:basedOn w:val="DefaultParagraphFont"/>
    <w:uiPriority w:val="99"/>
    <w:semiHidden/>
    <w:unhideWhenUsed/>
    <w:rsid w:val="001E0D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3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C4BA229F3F04D9585CE336C77D3C3" ma:contentTypeVersion="11" ma:contentTypeDescription="Create a new document." ma:contentTypeScope="" ma:versionID="9169c9b97bfd3d49ddf0db5c43c2e25f">
  <xsd:schema xmlns:xsd="http://www.w3.org/2001/XMLSchema" xmlns:xs="http://www.w3.org/2001/XMLSchema" xmlns:p="http://schemas.microsoft.com/office/2006/metadata/properties" xmlns:ns3="10179490-3f03-4dad-9a68-5af714d3931e" xmlns:ns4="d525cd09-2424-425b-9d24-5ac345ad176d" targetNamespace="http://schemas.microsoft.com/office/2006/metadata/properties" ma:root="true" ma:fieldsID="ed3e22c41e5f60123eb4a18598b2f0de" ns3:_="" ns4:_="">
    <xsd:import namespace="10179490-3f03-4dad-9a68-5af714d3931e"/>
    <xsd:import namespace="d525cd09-2424-425b-9d24-5ac345ad17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79490-3f03-4dad-9a68-5af714d39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5cd09-2424-425b-9d24-5ac345ad17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DD884-5214-4CAF-AF03-631029ECBF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EA6B9C-F549-4B4E-8B70-DCAF98F177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39B016-2BE5-44C8-9B28-368E6FDCD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79490-3f03-4dad-9a68-5af714d3931e"/>
    <ds:schemaRef ds:uri="d525cd09-2424-425b-9d24-5ac345ad17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75BA18-AC4C-EE4C-903B-3B99F85F9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Briana Proud</dc:creator>
  <cp:keywords/>
  <dc:description/>
  <cp:lastModifiedBy>Morne De Klerk</cp:lastModifiedBy>
  <cp:revision>7</cp:revision>
  <cp:lastPrinted>2019-09-02T02:16:00Z</cp:lastPrinted>
  <dcterms:created xsi:type="dcterms:W3CDTF">2020-05-07T00:11:00Z</dcterms:created>
  <dcterms:modified xsi:type="dcterms:W3CDTF">2020-06-01T05:42:00Z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0x010100CBAC4BA229F3F04D9585CE336C77D3C3</vt:lpwstr>
  </property>
</Properties>
</file>