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7947" w14:textId="77777777" w:rsidR="009F079A" w:rsidRPr="0054057E" w:rsidRDefault="009F079A" w:rsidP="009F079A">
      <w:pPr>
        <w:spacing w:line="240" w:lineRule="exact"/>
        <w:rPr>
          <w:caps/>
        </w:rPr>
      </w:pPr>
      <w:r w:rsidRPr="0054057E">
        <w:rPr>
          <w:caps/>
        </w:rPr>
        <w:t>IN THE SUPREME COURT OF VICTORIA</w:t>
      </w:r>
    </w:p>
    <w:p w14:paraId="35F873D5" w14:textId="05A56343" w:rsidR="009F079A" w:rsidRDefault="009F079A" w:rsidP="009F079A">
      <w:pPr>
        <w:spacing w:line="240" w:lineRule="exact"/>
        <w:rPr>
          <w:caps/>
        </w:rPr>
      </w:pPr>
      <w:r w:rsidRPr="0054057E">
        <w:rPr>
          <w:caps/>
        </w:rPr>
        <w:t xml:space="preserve">AT </w:t>
      </w:r>
      <w:bookmarkStart w:id="0" w:name="Location"/>
      <w:bookmarkEnd w:id="0"/>
      <w:r w:rsidRPr="0054057E">
        <w:rPr>
          <w:caps/>
        </w:rPr>
        <w:t>MELBOURNE</w:t>
      </w:r>
      <w:bookmarkStart w:id="1" w:name="DIVISIONname"/>
      <w:bookmarkEnd w:id="1"/>
    </w:p>
    <w:p w14:paraId="34DDC5FA" w14:textId="45AE3C17" w:rsidR="00B074F6" w:rsidRPr="0054057E" w:rsidRDefault="00B074F6" w:rsidP="009F079A">
      <w:pPr>
        <w:spacing w:line="240" w:lineRule="exact"/>
        <w:rPr>
          <w:caps/>
        </w:rPr>
      </w:pPr>
      <w:r>
        <w:rPr>
          <w:caps/>
        </w:rPr>
        <w:t>common law division</w:t>
      </w:r>
    </w:p>
    <w:p w14:paraId="17808075" w14:textId="77777777" w:rsidR="009F079A" w:rsidRPr="00844494" w:rsidRDefault="009F079A" w:rsidP="009F079A">
      <w:pPr>
        <w:spacing w:line="240" w:lineRule="exact"/>
        <w:rPr>
          <w:caps/>
        </w:rPr>
      </w:pPr>
      <w:r w:rsidRPr="00844494">
        <w:rPr>
          <w:caps/>
        </w:rPr>
        <w:t>property list</w:t>
      </w:r>
    </w:p>
    <w:p w14:paraId="37CCC652" w14:textId="77777777" w:rsidR="009F079A" w:rsidRPr="0054057E" w:rsidRDefault="009F079A" w:rsidP="009F079A">
      <w:pPr>
        <w:spacing w:line="240" w:lineRule="exact"/>
        <w:rPr>
          <w:caps/>
          <w:u w:val="single"/>
        </w:rPr>
      </w:pPr>
    </w:p>
    <w:p w14:paraId="45E10C02" w14:textId="77777777" w:rsidR="009F079A" w:rsidRPr="0054057E" w:rsidRDefault="009F079A" w:rsidP="009F079A">
      <w:pPr>
        <w:tabs>
          <w:tab w:val="left" w:pos="6840"/>
        </w:tabs>
        <w:spacing w:line="240" w:lineRule="exact"/>
        <w:ind w:right="95"/>
        <w:jc w:val="right"/>
        <w:rPr>
          <w:spacing w:val="30"/>
        </w:rPr>
      </w:pPr>
      <w:bookmarkStart w:id="2" w:name="folio_number"/>
      <w:bookmarkEnd w:id="2"/>
      <w:r w:rsidRPr="00844494">
        <w:rPr>
          <w:highlight w:val="yellow"/>
        </w:rPr>
        <w:t>S CI</w:t>
      </w:r>
      <w:r>
        <w:t>/</w:t>
      </w:r>
      <w:r w:rsidRPr="00844494">
        <w:rPr>
          <w:highlight w:val="yellow"/>
        </w:rPr>
        <w:t>S ECI</w:t>
      </w:r>
      <w:r w:rsidRPr="0054057E">
        <w:t xml:space="preserve"> 20</w:t>
      </w:r>
      <w:r w:rsidRPr="0054057E">
        <w:rPr>
          <w:highlight w:val="yellow"/>
        </w:rPr>
        <w:t>XX</w:t>
      </w:r>
      <w:r w:rsidRPr="0054057E">
        <w:t xml:space="preserve"> </w:t>
      </w:r>
      <w:r w:rsidRPr="0054057E">
        <w:rPr>
          <w:highlight w:val="yellow"/>
        </w:rPr>
        <w:t>XXXX</w:t>
      </w:r>
      <w:r w:rsidRPr="0054057E">
        <w:t xml:space="preserve"> </w:t>
      </w:r>
    </w:p>
    <w:p w14:paraId="659688DC" w14:textId="77777777" w:rsidR="009F079A" w:rsidRPr="0054057E" w:rsidRDefault="009F079A" w:rsidP="009F079A">
      <w:pPr>
        <w:spacing w:line="240" w:lineRule="exact"/>
        <w:rPr>
          <w:b/>
        </w:rPr>
      </w:pPr>
      <w:r w:rsidRPr="0054057E">
        <w:rPr>
          <w:b/>
          <w:spacing w:val="30"/>
        </w:rPr>
        <w:t>BETWEEN</w:t>
      </w:r>
      <w:r w:rsidRPr="0054057E">
        <w:rPr>
          <w:b/>
        </w:rPr>
        <w:t>:</w:t>
      </w:r>
    </w:p>
    <w:tbl>
      <w:tblPr>
        <w:tblW w:w="9073" w:type="dxa"/>
        <w:tblInd w:w="-34" w:type="dxa"/>
        <w:tblLayout w:type="fixed"/>
        <w:tblLook w:val="0000" w:firstRow="0" w:lastRow="0" w:firstColumn="0" w:lastColumn="0" w:noHBand="0" w:noVBand="0"/>
      </w:tblPr>
      <w:tblGrid>
        <w:gridCol w:w="7188"/>
        <w:gridCol w:w="1885"/>
      </w:tblGrid>
      <w:tr w:rsidR="009F079A" w:rsidRPr="0054057E" w14:paraId="66AC6176" w14:textId="77777777" w:rsidTr="00C40DC9">
        <w:trPr>
          <w:trHeight w:val="244"/>
        </w:trPr>
        <w:tc>
          <w:tcPr>
            <w:tcW w:w="7188" w:type="dxa"/>
          </w:tcPr>
          <w:p w14:paraId="5B0D3B7C" w14:textId="77777777" w:rsidR="009F079A" w:rsidRPr="0054057E" w:rsidRDefault="009F079A" w:rsidP="00C40DC9"/>
        </w:tc>
        <w:tc>
          <w:tcPr>
            <w:tcW w:w="1885" w:type="dxa"/>
          </w:tcPr>
          <w:p w14:paraId="25AFDC8A" w14:textId="77777777" w:rsidR="009F079A" w:rsidRPr="0054057E" w:rsidRDefault="009F079A" w:rsidP="00C40DC9"/>
        </w:tc>
      </w:tr>
      <w:tr w:rsidR="009F079A" w:rsidRPr="0054057E" w14:paraId="25BFA588" w14:textId="77777777" w:rsidTr="00C40DC9">
        <w:trPr>
          <w:trHeight w:val="80"/>
        </w:trPr>
        <w:tc>
          <w:tcPr>
            <w:tcW w:w="7188" w:type="dxa"/>
          </w:tcPr>
          <w:p w14:paraId="7E23E912" w14:textId="77777777" w:rsidR="009F079A" w:rsidRPr="0054057E" w:rsidRDefault="009F079A" w:rsidP="00C40DC9">
            <w:pPr>
              <w:pStyle w:val="Normal-Cover"/>
              <w:rPr>
                <w:szCs w:val="24"/>
              </w:rPr>
            </w:pPr>
            <w:r w:rsidRPr="0054057E">
              <w:rPr>
                <w:szCs w:val="24"/>
                <w:highlight w:val="yellow"/>
              </w:rPr>
              <w:t>XXXXXX</w:t>
            </w:r>
          </w:p>
        </w:tc>
        <w:tc>
          <w:tcPr>
            <w:tcW w:w="1885" w:type="dxa"/>
          </w:tcPr>
          <w:p w14:paraId="42B14562" w14:textId="77777777" w:rsidR="009F079A" w:rsidRPr="0054057E" w:rsidRDefault="009F079A" w:rsidP="00C40DC9">
            <w:pPr>
              <w:jc w:val="right"/>
            </w:pPr>
            <w:r w:rsidRPr="0054057E">
              <w:t>Plaintiff</w:t>
            </w:r>
          </w:p>
        </w:tc>
      </w:tr>
      <w:tr w:rsidR="009F079A" w:rsidRPr="0054057E" w14:paraId="42D4E5D1" w14:textId="77777777" w:rsidTr="00C40DC9">
        <w:trPr>
          <w:trHeight w:val="255"/>
        </w:trPr>
        <w:tc>
          <w:tcPr>
            <w:tcW w:w="7188" w:type="dxa"/>
          </w:tcPr>
          <w:p w14:paraId="443E1F95" w14:textId="77777777" w:rsidR="009F079A" w:rsidRPr="0054057E" w:rsidRDefault="009F079A" w:rsidP="00C40DC9"/>
        </w:tc>
        <w:tc>
          <w:tcPr>
            <w:tcW w:w="1885" w:type="dxa"/>
          </w:tcPr>
          <w:p w14:paraId="1E4E746B" w14:textId="77777777" w:rsidR="009F079A" w:rsidRPr="0054057E" w:rsidRDefault="009F079A" w:rsidP="00C40DC9">
            <w:pPr>
              <w:jc w:val="right"/>
            </w:pPr>
          </w:p>
        </w:tc>
      </w:tr>
      <w:tr w:rsidR="009F079A" w:rsidRPr="0054057E" w14:paraId="79B90449" w14:textId="77777777" w:rsidTr="00C40DC9">
        <w:trPr>
          <w:trHeight w:val="302"/>
        </w:trPr>
        <w:tc>
          <w:tcPr>
            <w:tcW w:w="7188" w:type="dxa"/>
          </w:tcPr>
          <w:p w14:paraId="7C815E8F" w14:textId="77777777" w:rsidR="009F079A" w:rsidRPr="0054057E" w:rsidRDefault="009F079A" w:rsidP="00C40DC9">
            <w:pPr>
              <w:pStyle w:val="Normal-Cover"/>
              <w:rPr>
                <w:szCs w:val="24"/>
              </w:rPr>
            </w:pPr>
            <w:r w:rsidRPr="0054057E">
              <w:rPr>
                <w:szCs w:val="24"/>
              </w:rPr>
              <w:t>- and -</w:t>
            </w:r>
          </w:p>
        </w:tc>
        <w:tc>
          <w:tcPr>
            <w:tcW w:w="1885" w:type="dxa"/>
          </w:tcPr>
          <w:p w14:paraId="0A1599C6" w14:textId="77777777" w:rsidR="009F079A" w:rsidRPr="0054057E" w:rsidRDefault="009F079A" w:rsidP="00C40DC9">
            <w:pPr>
              <w:jc w:val="right"/>
            </w:pPr>
          </w:p>
        </w:tc>
      </w:tr>
      <w:tr w:rsidR="009F079A" w:rsidRPr="0054057E" w14:paraId="42AB6C5C" w14:textId="77777777" w:rsidTr="00C40DC9">
        <w:trPr>
          <w:trHeight w:val="244"/>
        </w:trPr>
        <w:tc>
          <w:tcPr>
            <w:tcW w:w="7188" w:type="dxa"/>
          </w:tcPr>
          <w:p w14:paraId="49E67009" w14:textId="77777777" w:rsidR="009F079A" w:rsidRPr="0054057E" w:rsidRDefault="009F079A" w:rsidP="00C40DC9"/>
        </w:tc>
        <w:tc>
          <w:tcPr>
            <w:tcW w:w="1885" w:type="dxa"/>
          </w:tcPr>
          <w:p w14:paraId="2864EB81" w14:textId="77777777" w:rsidR="009F079A" w:rsidRPr="0054057E" w:rsidRDefault="009F079A" w:rsidP="00C40DC9">
            <w:pPr>
              <w:jc w:val="right"/>
            </w:pPr>
          </w:p>
        </w:tc>
      </w:tr>
      <w:tr w:rsidR="009F079A" w:rsidRPr="0054057E" w14:paraId="29F035E3" w14:textId="77777777" w:rsidTr="00C40DC9">
        <w:trPr>
          <w:trHeight w:val="302"/>
        </w:trPr>
        <w:tc>
          <w:tcPr>
            <w:tcW w:w="7188" w:type="dxa"/>
          </w:tcPr>
          <w:p w14:paraId="4568DD9D" w14:textId="77777777" w:rsidR="009F079A" w:rsidRPr="0054057E" w:rsidRDefault="009F079A" w:rsidP="00C40DC9">
            <w:pPr>
              <w:pStyle w:val="Normal-Cover"/>
              <w:rPr>
                <w:szCs w:val="24"/>
              </w:rPr>
            </w:pPr>
            <w:r w:rsidRPr="0054057E">
              <w:rPr>
                <w:szCs w:val="24"/>
                <w:highlight w:val="yellow"/>
              </w:rPr>
              <w:t>XXXXXX</w:t>
            </w:r>
          </w:p>
        </w:tc>
        <w:tc>
          <w:tcPr>
            <w:tcW w:w="1885" w:type="dxa"/>
          </w:tcPr>
          <w:p w14:paraId="630AA1DB" w14:textId="77777777" w:rsidR="009F079A" w:rsidRPr="0054057E" w:rsidRDefault="009F079A" w:rsidP="00C40DC9">
            <w:pPr>
              <w:jc w:val="right"/>
            </w:pPr>
            <w:r w:rsidRPr="0054057E">
              <w:t>Defendant</w:t>
            </w:r>
          </w:p>
        </w:tc>
      </w:tr>
      <w:tr w:rsidR="009F079A" w:rsidRPr="0054057E" w14:paraId="2D281A2B" w14:textId="77777777" w:rsidTr="00C40DC9">
        <w:trPr>
          <w:trHeight w:val="255"/>
        </w:trPr>
        <w:tc>
          <w:tcPr>
            <w:tcW w:w="7188" w:type="dxa"/>
          </w:tcPr>
          <w:p w14:paraId="7F500B72" w14:textId="77777777" w:rsidR="009F079A" w:rsidRPr="0054057E" w:rsidRDefault="009F079A" w:rsidP="00C40DC9"/>
        </w:tc>
        <w:tc>
          <w:tcPr>
            <w:tcW w:w="1885" w:type="dxa"/>
          </w:tcPr>
          <w:p w14:paraId="3CD40748" w14:textId="77777777" w:rsidR="009F079A" w:rsidRPr="0054057E" w:rsidRDefault="009F079A" w:rsidP="00C40DC9">
            <w:pPr>
              <w:jc w:val="right"/>
            </w:pPr>
          </w:p>
        </w:tc>
      </w:tr>
    </w:tbl>
    <w:p w14:paraId="7680A242" w14:textId="03F93EEE" w:rsidR="009F079A" w:rsidRPr="0054057E" w:rsidRDefault="00F01424" w:rsidP="009F079A">
      <w:pPr>
        <w:spacing w:before="120" w:after="120"/>
        <w:jc w:val="center"/>
        <w:rPr>
          <w:b/>
          <w:caps/>
          <w:u w:val="single"/>
        </w:rPr>
      </w:pPr>
      <w:bookmarkStart w:id="3" w:name="ORDERtype"/>
      <w:bookmarkEnd w:id="3"/>
      <w:r>
        <w:rPr>
          <w:b/>
          <w:caps/>
          <w:u w:val="single"/>
        </w:rPr>
        <w:t>General Form of Order</w:t>
      </w:r>
    </w:p>
    <w:tbl>
      <w:tblPr>
        <w:tblW w:w="9021" w:type="dxa"/>
        <w:tblInd w:w="18" w:type="dxa"/>
        <w:tblLayout w:type="fixed"/>
        <w:tblLook w:val="0000" w:firstRow="0" w:lastRow="0" w:firstColumn="0" w:lastColumn="0" w:noHBand="0" w:noVBand="0"/>
      </w:tblPr>
      <w:tblGrid>
        <w:gridCol w:w="3132"/>
        <w:gridCol w:w="5889"/>
      </w:tblGrid>
      <w:tr w:rsidR="009F079A" w:rsidRPr="0054057E" w14:paraId="3DC4452C" w14:textId="77777777" w:rsidTr="00C40DC9">
        <w:tc>
          <w:tcPr>
            <w:tcW w:w="3132" w:type="dxa"/>
          </w:tcPr>
          <w:p w14:paraId="3FDDB87C" w14:textId="77777777" w:rsidR="009F079A" w:rsidRPr="0054057E" w:rsidRDefault="009F079A" w:rsidP="00C40DC9">
            <w:pPr>
              <w:pStyle w:val="Normal-Cover"/>
              <w:rPr>
                <w:szCs w:val="24"/>
              </w:rPr>
            </w:pPr>
          </w:p>
        </w:tc>
        <w:tc>
          <w:tcPr>
            <w:tcW w:w="5889" w:type="dxa"/>
          </w:tcPr>
          <w:p w14:paraId="37FB464A" w14:textId="77777777" w:rsidR="009F079A" w:rsidRPr="0054057E" w:rsidRDefault="009F079A" w:rsidP="00C40DC9"/>
        </w:tc>
      </w:tr>
      <w:tr w:rsidR="009F079A" w:rsidRPr="0054057E" w14:paraId="4ED7C812" w14:textId="77777777" w:rsidTr="00C40DC9">
        <w:tc>
          <w:tcPr>
            <w:tcW w:w="3132" w:type="dxa"/>
          </w:tcPr>
          <w:p w14:paraId="2D9E7CFB" w14:textId="77777777" w:rsidR="009F079A" w:rsidRPr="0054057E" w:rsidRDefault="009F079A" w:rsidP="00C40DC9">
            <w:pPr>
              <w:pStyle w:val="Normal-Cover"/>
              <w:rPr>
                <w:szCs w:val="24"/>
              </w:rPr>
            </w:pPr>
            <w:r w:rsidRPr="0054057E">
              <w:rPr>
                <w:szCs w:val="24"/>
              </w:rPr>
              <w:t>JUDICIAL OFFICER:</w:t>
            </w:r>
          </w:p>
        </w:tc>
        <w:tc>
          <w:tcPr>
            <w:tcW w:w="5889" w:type="dxa"/>
          </w:tcPr>
          <w:p w14:paraId="342D746A" w14:textId="77777777" w:rsidR="009F079A" w:rsidRPr="0054057E" w:rsidRDefault="009F079A" w:rsidP="00C40DC9">
            <w:bookmarkStart w:id="4" w:name="JudgeOrMaster"/>
            <w:bookmarkEnd w:id="4"/>
            <w:r w:rsidRPr="0054057E">
              <w:t xml:space="preserve">Judicial Registrar </w:t>
            </w:r>
            <w:r>
              <w:t>Keith</w:t>
            </w:r>
          </w:p>
        </w:tc>
      </w:tr>
      <w:tr w:rsidR="009F079A" w:rsidRPr="0054057E" w14:paraId="706FA3A4" w14:textId="77777777" w:rsidTr="00C40DC9">
        <w:tc>
          <w:tcPr>
            <w:tcW w:w="3132" w:type="dxa"/>
          </w:tcPr>
          <w:p w14:paraId="472331E8" w14:textId="77777777" w:rsidR="009F079A" w:rsidRPr="0054057E" w:rsidRDefault="009F079A" w:rsidP="00C40DC9">
            <w:pPr>
              <w:pStyle w:val="Normal-Cover"/>
              <w:rPr>
                <w:szCs w:val="24"/>
              </w:rPr>
            </w:pPr>
          </w:p>
        </w:tc>
        <w:tc>
          <w:tcPr>
            <w:tcW w:w="5889" w:type="dxa"/>
          </w:tcPr>
          <w:p w14:paraId="2C3E632E" w14:textId="77777777" w:rsidR="009F079A" w:rsidRPr="0054057E" w:rsidRDefault="009F079A" w:rsidP="00C40DC9">
            <w:pPr>
              <w:pStyle w:val="Normal-Cover"/>
              <w:rPr>
                <w:szCs w:val="24"/>
              </w:rPr>
            </w:pPr>
          </w:p>
        </w:tc>
      </w:tr>
      <w:tr w:rsidR="009F079A" w:rsidRPr="0054057E" w14:paraId="792CEEC3" w14:textId="77777777" w:rsidTr="00C40DC9">
        <w:tc>
          <w:tcPr>
            <w:tcW w:w="3132" w:type="dxa"/>
          </w:tcPr>
          <w:p w14:paraId="05E5B2CF" w14:textId="77777777" w:rsidR="009F079A" w:rsidRPr="0054057E" w:rsidRDefault="009F079A" w:rsidP="00C40DC9">
            <w:pPr>
              <w:pStyle w:val="Normal-Cover"/>
              <w:rPr>
                <w:szCs w:val="24"/>
              </w:rPr>
            </w:pPr>
            <w:r w:rsidRPr="0054057E">
              <w:rPr>
                <w:szCs w:val="24"/>
              </w:rPr>
              <w:t xml:space="preserve">DATE </w:t>
            </w:r>
            <w:bookmarkStart w:id="5" w:name="DELmade"/>
            <w:r w:rsidRPr="0054057E">
              <w:rPr>
                <w:szCs w:val="24"/>
              </w:rPr>
              <w:t>MADE</w:t>
            </w:r>
            <w:bookmarkEnd w:id="5"/>
            <w:r w:rsidRPr="0054057E">
              <w:rPr>
                <w:szCs w:val="24"/>
              </w:rPr>
              <w:t>:</w:t>
            </w:r>
          </w:p>
        </w:tc>
        <w:tc>
          <w:tcPr>
            <w:tcW w:w="5889" w:type="dxa"/>
          </w:tcPr>
          <w:p w14:paraId="580955C9" w14:textId="77777777" w:rsidR="009F079A" w:rsidRPr="0054057E" w:rsidRDefault="009F079A" w:rsidP="00C40DC9">
            <w:bookmarkStart w:id="6" w:name="DateMadeOrGiven"/>
            <w:bookmarkEnd w:id="6"/>
            <w:r w:rsidRPr="0054057E">
              <w:t>[</w:t>
            </w:r>
            <w:r w:rsidRPr="0054057E">
              <w:rPr>
                <w:highlight w:val="yellow"/>
              </w:rPr>
              <w:t>date</w:t>
            </w:r>
            <w:r w:rsidRPr="0054057E">
              <w:t>]</w:t>
            </w:r>
          </w:p>
        </w:tc>
      </w:tr>
      <w:tr w:rsidR="009F079A" w:rsidRPr="0054057E" w14:paraId="36C3A557" w14:textId="77777777" w:rsidTr="00C40DC9">
        <w:tc>
          <w:tcPr>
            <w:tcW w:w="3132" w:type="dxa"/>
          </w:tcPr>
          <w:p w14:paraId="4BD09A83" w14:textId="77777777" w:rsidR="009F079A" w:rsidRPr="0054057E" w:rsidRDefault="009F079A" w:rsidP="00C40DC9">
            <w:pPr>
              <w:pStyle w:val="Normal-Cover"/>
              <w:rPr>
                <w:szCs w:val="24"/>
              </w:rPr>
            </w:pPr>
          </w:p>
        </w:tc>
        <w:tc>
          <w:tcPr>
            <w:tcW w:w="5889" w:type="dxa"/>
          </w:tcPr>
          <w:p w14:paraId="1CC46E2E" w14:textId="77777777" w:rsidR="009F079A" w:rsidRPr="0054057E" w:rsidRDefault="009F079A" w:rsidP="00C40DC9">
            <w:pPr>
              <w:pStyle w:val="Normal-Cover"/>
              <w:rPr>
                <w:szCs w:val="24"/>
              </w:rPr>
            </w:pPr>
          </w:p>
        </w:tc>
      </w:tr>
      <w:tr w:rsidR="009F079A" w:rsidRPr="0054057E" w14:paraId="1BC15132" w14:textId="77777777" w:rsidTr="00C40DC9">
        <w:tc>
          <w:tcPr>
            <w:tcW w:w="3132" w:type="dxa"/>
          </w:tcPr>
          <w:p w14:paraId="0AAAD127" w14:textId="77777777" w:rsidR="009F079A" w:rsidRPr="0054057E" w:rsidRDefault="009F079A" w:rsidP="00C40DC9">
            <w:pPr>
              <w:pStyle w:val="Normal-Cover"/>
              <w:rPr>
                <w:szCs w:val="24"/>
              </w:rPr>
            </w:pPr>
            <w:r w:rsidRPr="0054057E">
              <w:rPr>
                <w:szCs w:val="24"/>
              </w:rPr>
              <w:t>ORIGINATING PROCESS:</w:t>
            </w:r>
          </w:p>
        </w:tc>
        <w:tc>
          <w:tcPr>
            <w:tcW w:w="5889" w:type="dxa"/>
          </w:tcPr>
          <w:p w14:paraId="562670C6" w14:textId="46566743" w:rsidR="009F079A" w:rsidRPr="0054057E" w:rsidRDefault="004630E0" w:rsidP="00C40DC9">
            <w:bookmarkStart w:id="7" w:name="OriginatingProcess"/>
            <w:bookmarkEnd w:id="7"/>
            <w:r>
              <w:t>Writ</w:t>
            </w:r>
            <w:r w:rsidR="009F079A" w:rsidRPr="0054057E">
              <w:t xml:space="preserve"> filed [</w:t>
            </w:r>
            <w:r w:rsidR="009F079A" w:rsidRPr="0054057E">
              <w:rPr>
                <w:highlight w:val="yellow"/>
              </w:rPr>
              <w:t>date</w:t>
            </w:r>
            <w:r w:rsidR="009F079A" w:rsidRPr="0054057E">
              <w:t>]</w:t>
            </w:r>
          </w:p>
        </w:tc>
      </w:tr>
      <w:tr w:rsidR="009F079A" w:rsidRPr="0054057E" w14:paraId="176EDAAA" w14:textId="77777777" w:rsidTr="00C40DC9">
        <w:tc>
          <w:tcPr>
            <w:tcW w:w="3132" w:type="dxa"/>
          </w:tcPr>
          <w:p w14:paraId="6254A8E7" w14:textId="77777777" w:rsidR="009F079A" w:rsidRPr="0054057E" w:rsidRDefault="009F079A" w:rsidP="00C40DC9">
            <w:pPr>
              <w:pStyle w:val="Normal-Cover"/>
              <w:rPr>
                <w:szCs w:val="24"/>
              </w:rPr>
            </w:pPr>
          </w:p>
        </w:tc>
        <w:tc>
          <w:tcPr>
            <w:tcW w:w="5889" w:type="dxa"/>
          </w:tcPr>
          <w:p w14:paraId="64E09988" w14:textId="77777777" w:rsidR="009F079A" w:rsidRPr="0054057E" w:rsidRDefault="009F079A" w:rsidP="00C40DC9">
            <w:pPr>
              <w:pStyle w:val="Normal-Cover"/>
              <w:rPr>
                <w:szCs w:val="24"/>
              </w:rPr>
            </w:pPr>
          </w:p>
        </w:tc>
      </w:tr>
      <w:tr w:rsidR="009F079A" w:rsidRPr="0054057E" w14:paraId="40651104" w14:textId="77777777" w:rsidTr="00C40DC9">
        <w:tc>
          <w:tcPr>
            <w:tcW w:w="3132" w:type="dxa"/>
          </w:tcPr>
          <w:p w14:paraId="12C76096" w14:textId="77777777" w:rsidR="009F079A" w:rsidRPr="0054057E" w:rsidRDefault="009F079A" w:rsidP="00C40DC9">
            <w:pPr>
              <w:pStyle w:val="Normal-Cover"/>
              <w:rPr>
                <w:szCs w:val="24"/>
              </w:rPr>
            </w:pPr>
            <w:r w:rsidRPr="0054057E">
              <w:rPr>
                <w:szCs w:val="24"/>
              </w:rPr>
              <w:t>HOW OBTAINED:</w:t>
            </w:r>
          </w:p>
        </w:tc>
        <w:tc>
          <w:tcPr>
            <w:tcW w:w="5889" w:type="dxa"/>
          </w:tcPr>
          <w:p w14:paraId="05D11025" w14:textId="788EDA41" w:rsidR="009F079A" w:rsidRPr="0054057E" w:rsidRDefault="009F079A" w:rsidP="00B074F6">
            <w:pPr>
              <w:ind w:right="720"/>
            </w:pPr>
            <w:bookmarkStart w:id="8" w:name="HowObtained"/>
            <w:bookmarkEnd w:id="8"/>
            <w:r w:rsidRPr="00B95769">
              <w:t xml:space="preserve"> </w:t>
            </w:r>
            <w:r w:rsidR="00606A6D">
              <w:t xml:space="preserve">[On the Court’s own motion pursuant to </w:t>
            </w:r>
            <w:r w:rsidR="00B074F6">
              <w:t>r</w:t>
            </w:r>
            <w:r w:rsidR="00606A6D">
              <w:t xml:space="preserve"> 1.14(2) of the </w:t>
            </w:r>
            <w:r w:rsidR="00606A6D" w:rsidRPr="00B95769">
              <w:rPr>
                <w:i/>
              </w:rPr>
              <w:t xml:space="preserve">Supreme Court (General Civil Procedure) Rules 2015 </w:t>
            </w:r>
            <w:r w:rsidR="00606A6D" w:rsidRPr="00B95769">
              <w:t>(‘</w:t>
            </w:r>
            <w:r w:rsidR="00606A6D" w:rsidRPr="00B95769">
              <w:rPr>
                <w:b/>
              </w:rPr>
              <w:t>the Rules’</w:t>
            </w:r>
            <w:r w:rsidR="00606A6D" w:rsidRPr="00B95769">
              <w:t>)</w:t>
            </w:r>
            <w:r w:rsidR="00606A6D">
              <w:t xml:space="preserve"> </w:t>
            </w:r>
            <w:r w:rsidR="00606A6D" w:rsidRPr="00606A6D">
              <w:rPr>
                <w:highlight w:val="yellow"/>
              </w:rPr>
              <w:t>OR</w:t>
            </w:r>
            <w:r w:rsidR="00606A6D">
              <w:t xml:space="preserve"> On return of Orders of [</w:t>
            </w:r>
            <w:r w:rsidR="00606A6D" w:rsidRPr="00606A6D">
              <w:rPr>
                <w:highlight w:val="yellow"/>
              </w:rPr>
              <w:t>XX</w:t>
            </w:r>
            <w:r w:rsidR="00606A6D">
              <w:t>] ]</w:t>
            </w:r>
          </w:p>
        </w:tc>
      </w:tr>
      <w:tr w:rsidR="009F079A" w:rsidRPr="0054057E" w14:paraId="37D7E3DF" w14:textId="77777777" w:rsidTr="00C40DC9">
        <w:tc>
          <w:tcPr>
            <w:tcW w:w="3132" w:type="dxa"/>
          </w:tcPr>
          <w:p w14:paraId="004A9B6D" w14:textId="77777777" w:rsidR="009F079A" w:rsidRPr="0054057E" w:rsidRDefault="009F079A" w:rsidP="00C40DC9">
            <w:pPr>
              <w:pStyle w:val="Normal-Cover"/>
              <w:rPr>
                <w:szCs w:val="24"/>
              </w:rPr>
            </w:pPr>
          </w:p>
        </w:tc>
        <w:tc>
          <w:tcPr>
            <w:tcW w:w="5889" w:type="dxa"/>
          </w:tcPr>
          <w:p w14:paraId="49395753" w14:textId="77777777" w:rsidR="009F079A" w:rsidRPr="0054057E" w:rsidRDefault="009F079A" w:rsidP="00C40DC9">
            <w:pPr>
              <w:pStyle w:val="Normal-Cover"/>
              <w:rPr>
                <w:szCs w:val="24"/>
              </w:rPr>
            </w:pPr>
          </w:p>
        </w:tc>
      </w:tr>
      <w:tr w:rsidR="009F079A" w:rsidRPr="0054057E" w14:paraId="40FBDCAD" w14:textId="77777777" w:rsidTr="00C40DC9">
        <w:tc>
          <w:tcPr>
            <w:tcW w:w="3132" w:type="dxa"/>
          </w:tcPr>
          <w:p w14:paraId="704DA645" w14:textId="77777777" w:rsidR="009F079A" w:rsidRPr="0054057E" w:rsidRDefault="009F079A" w:rsidP="00C40DC9">
            <w:pPr>
              <w:pStyle w:val="Normal-Cover"/>
              <w:rPr>
                <w:szCs w:val="24"/>
              </w:rPr>
            </w:pPr>
            <w:r w:rsidRPr="0054057E">
              <w:rPr>
                <w:szCs w:val="24"/>
              </w:rPr>
              <w:t>ATTENDANCE:</w:t>
            </w:r>
          </w:p>
        </w:tc>
        <w:tc>
          <w:tcPr>
            <w:tcW w:w="5889" w:type="dxa"/>
          </w:tcPr>
          <w:p w14:paraId="6DF0911C" w14:textId="15EBAA05" w:rsidR="009F079A" w:rsidRPr="0054057E" w:rsidRDefault="009F079A" w:rsidP="00B074F6">
            <w:pPr>
              <w:ind w:right="720"/>
            </w:pPr>
            <w:bookmarkStart w:id="9" w:name="Attendance"/>
            <w:bookmarkEnd w:id="9"/>
            <w:r w:rsidRPr="00606A6D">
              <w:t>Not required</w:t>
            </w:r>
            <w:r w:rsidR="00606A6D" w:rsidRPr="00606A6D">
              <w:t>;</w:t>
            </w:r>
            <w:r w:rsidR="00606A6D">
              <w:t xml:space="preserve"> orders made on the papers pursuant to </w:t>
            </w:r>
            <w:r w:rsidR="00B074F6">
              <w:t>r</w:t>
            </w:r>
            <w:r w:rsidR="00606A6D" w:rsidRPr="00B95769">
              <w:t xml:space="preserve"> 59.07 of the </w:t>
            </w:r>
            <w:r w:rsidR="00606A6D" w:rsidRPr="00606A6D">
              <w:t>Rules</w:t>
            </w:r>
            <w:r w:rsidR="00606A6D" w:rsidRPr="00B95769">
              <w:t xml:space="preserve"> and the consent minutes signed by the parties which have been placed on the Court file </w:t>
            </w:r>
            <w:r w:rsidR="00606A6D" w:rsidRPr="00A504CE">
              <w:t>[</w:t>
            </w:r>
            <w:r w:rsidR="00606A6D" w:rsidRPr="00A504CE">
              <w:rPr>
                <w:highlight w:val="yellow"/>
              </w:rPr>
              <w:t>i</w:t>
            </w:r>
            <w:r w:rsidR="00606A6D" w:rsidRPr="0054057E">
              <w:rPr>
                <w:highlight w:val="yellow"/>
              </w:rPr>
              <w:t>f by consent</w:t>
            </w:r>
            <w:r w:rsidR="00606A6D" w:rsidRPr="00A504CE">
              <w:t>]</w:t>
            </w:r>
          </w:p>
        </w:tc>
      </w:tr>
      <w:tr w:rsidR="009F079A" w:rsidRPr="0054057E" w14:paraId="7546BB10" w14:textId="77777777" w:rsidTr="00C40DC9">
        <w:tc>
          <w:tcPr>
            <w:tcW w:w="3132" w:type="dxa"/>
          </w:tcPr>
          <w:p w14:paraId="194DBC48" w14:textId="77777777" w:rsidR="009F079A" w:rsidRPr="0054057E" w:rsidRDefault="009F079A" w:rsidP="00C40DC9">
            <w:pPr>
              <w:pStyle w:val="Normal-Cover"/>
              <w:rPr>
                <w:szCs w:val="24"/>
              </w:rPr>
            </w:pPr>
          </w:p>
        </w:tc>
        <w:tc>
          <w:tcPr>
            <w:tcW w:w="5889" w:type="dxa"/>
          </w:tcPr>
          <w:p w14:paraId="563CCB0E" w14:textId="77777777" w:rsidR="009F079A" w:rsidRPr="0054057E" w:rsidRDefault="009F079A" w:rsidP="00C40DC9">
            <w:pPr>
              <w:pStyle w:val="Normal-Cover"/>
              <w:spacing w:line="240" w:lineRule="atLeast"/>
              <w:rPr>
                <w:szCs w:val="24"/>
                <w:lang w:eastAsia="en-AU"/>
              </w:rPr>
            </w:pPr>
          </w:p>
        </w:tc>
      </w:tr>
      <w:tr w:rsidR="009F079A" w:rsidRPr="0054057E" w14:paraId="65688F34" w14:textId="77777777" w:rsidTr="00C40DC9">
        <w:tc>
          <w:tcPr>
            <w:tcW w:w="3132" w:type="dxa"/>
          </w:tcPr>
          <w:p w14:paraId="358352FE" w14:textId="77777777" w:rsidR="009F079A" w:rsidRPr="0054057E" w:rsidRDefault="009F079A" w:rsidP="00C40DC9">
            <w:pPr>
              <w:pStyle w:val="Normal-Cover"/>
              <w:rPr>
                <w:szCs w:val="24"/>
              </w:rPr>
            </w:pPr>
            <w:r w:rsidRPr="0054057E">
              <w:rPr>
                <w:szCs w:val="24"/>
              </w:rPr>
              <w:t>OTHER MATTERS:</w:t>
            </w:r>
          </w:p>
        </w:tc>
        <w:tc>
          <w:tcPr>
            <w:tcW w:w="5889" w:type="dxa"/>
          </w:tcPr>
          <w:p w14:paraId="18337DED" w14:textId="5BA41EF8" w:rsidR="009F079A" w:rsidRDefault="000E5C68" w:rsidP="00606A6D">
            <w:pPr>
              <w:numPr>
                <w:ilvl w:val="0"/>
                <w:numId w:val="1"/>
              </w:numPr>
              <w:spacing w:before="120" w:after="120"/>
              <w:ind w:hanging="720"/>
            </w:pPr>
            <w:r>
              <w:t xml:space="preserve">The parties are directed to ensure that </w:t>
            </w:r>
            <w:r w:rsidR="00B074F6">
              <w:t xml:space="preserve">both the proper basis and overarching obligations certifications are filed with the Court in accordance with the </w:t>
            </w:r>
            <w:r w:rsidR="00B074F6">
              <w:rPr>
                <w:i/>
              </w:rPr>
              <w:t xml:space="preserve">Civil Procedure Act 2010 </w:t>
            </w:r>
            <w:r w:rsidR="00B074F6">
              <w:t xml:space="preserve">(Vic). </w:t>
            </w:r>
          </w:p>
          <w:p w14:paraId="0FF77544" w14:textId="222E4DB0" w:rsidR="00A91EBA" w:rsidRDefault="00A91EBA" w:rsidP="00606A6D">
            <w:pPr>
              <w:numPr>
                <w:ilvl w:val="0"/>
                <w:numId w:val="1"/>
              </w:numPr>
              <w:spacing w:before="120" w:after="120"/>
              <w:ind w:hanging="720"/>
            </w:pPr>
            <w:r>
              <w:t>The parties are further directed to ensure compliance with Practice Note SC Gen 5 ‘</w:t>
            </w:r>
            <w:r>
              <w:rPr>
                <w:i/>
              </w:rPr>
              <w:t>Technology in Civil Litigation’,</w:t>
            </w:r>
            <w:r>
              <w:t xml:space="preserve"> and any relevant guidance relating to virtual hearings being conducted at the Court during the COVID-19 pandemic.</w:t>
            </w:r>
            <w:bookmarkStart w:id="10" w:name="_GoBack"/>
            <w:bookmarkEnd w:id="10"/>
          </w:p>
          <w:p w14:paraId="304515F8" w14:textId="292BCA2A" w:rsidR="00B074F6" w:rsidRPr="002C74A5" w:rsidRDefault="00B074F6" w:rsidP="00606A6D">
            <w:pPr>
              <w:numPr>
                <w:ilvl w:val="0"/>
                <w:numId w:val="1"/>
              </w:numPr>
              <w:spacing w:before="120" w:after="120"/>
              <w:ind w:hanging="720"/>
            </w:pPr>
            <w:r>
              <w:t>[</w:t>
            </w:r>
            <w:r w:rsidRPr="00B074F6">
              <w:rPr>
                <w:highlight w:val="yellow"/>
              </w:rPr>
              <w:t>XX</w:t>
            </w:r>
            <w:r>
              <w:t xml:space="preserve">] </w:t>
            </w:r>
          </w:p>
        </w:tc>
      </w:tr>
    </w:tbl>
    <w:p w14:paraId="774A9BFF" w14:textId="7D7D8432" w:rsidR="009F079A" w:rsidRPr="0054057E" w:rsidRDefault="009F079A" w:rsidP="009F079A">
      <w:pPr>
        <w:keepNext/>
        <w:widowControl w:val="0"/>
        <w:spacing w:before="240" w:after="120"/>
        <w:rPr>
          <w:b/>
          <w:caps/>
        </w:rPr>
      </w:pPr>
      <w:r w:rsidRPr="0054057E">
        <w:rPr>
          <w:b/>
          <w:caps/>
        </w:rPr>
        <w:lastRenderedPageBreak/>
        <w:t xml:space="preserve">THE COURT ORDERS </w:t>
      </w:r>
      <w:r w:rsidR="00B074F6">
        <w:rPr>
          <w:b/>
          <w:caps/>
        </w:rPr>
        <w:t>[</w:t>
      </w:r>
      <w:r w:rsidR="00B074F6" w:rsidRPr="00B074F6">
        <w:rPr>
          <w:b/>
          <w:caps/>
          <w:highlight w:val="yellow"/>
        </w:rPr>
        <w:t>BY CONSENT</w:t>
      </w:r>
      <w:r w:rsidR="00B074F6">
        <w:rPr>
          <w:b/>
          <w:caps/>
        </w:rPr>
        <w:t xml:space="preserve">] </w:t>
      </w:r>
      <w:r w:rsidRPr="0054057E">
        <w:rPr>
          <w:b/>
          <w:caps/>
        </w:rPr>
        <w:t>THAT:</w:t>
      </w:r>
    </w:p>
    <w:p w14:paraId="044F8B3D" w14:textId="77777777" w:rsidR="009F079A" w:rsidRPr="0054057E" w:rsidRDefault="009F079A" w:rsidP="009F079A">
      <w:pPr>
        <w:spacing w:before="120" w:after="120"/>
        <w:jc w:val="both"/>
        <w:rPr>
          <w:b/>
          <w:u w:val="single"/>
        </w:rPr>
      </w:pPr>
      <w:r w:rsidRPr="0054057E">
        <w:rPr>
          <w:b/>
          <w:u w:val="single"/>
        </w:rPr>
        <w:t>Pleadings and particulars</w:t>
      </w:r>
      <w:r w:rsidRPr="0054057E">
        <w:rPr>
          <w:i/>
        </w:rPr>
        <w:t xml:space="preserve"> </w:t>
      </w:r>
      <w:r w:rsidRPr="006A6267">
        <w:t>[</w:t>
      </w:r>
      <w:r w:rsidRPr="004B4FC6">
        <w:rPr>
          <w:highlight w:val="yellow"/>
        </w:rPr>
        <w:t>as appropriate</w:t>
      </w:r>
      <w:r w:rsidRPr="006A6267">
        <w:t>]</w:t>
      </w:r>
    </w:p>
    <w:p w14:paraId="7A9D518A"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plaintiff shall file and serve a statement of claim / an amended statement of claim.</w:t>
      </w:r>
    </w:p>
    <w:p w14:paraId="004E05AF"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defendant shall file and serve a defence / an amended defence (if not filed).</w:t>
      </w:r>
    </w:p>
    <w:p w14:paraId="4C3CC970"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defendant shall file and serve a defence and counterclaim / amended defence and counterclaim.</w:t>
      </w:r>
    </w:p>
    <w:p w14:paraId="5308B6BD"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plaintiff shall file and serve any reply / reply and defence to counterclaim.</w:t>
      </w:r>
    </w:p>
    <w:p w14:paraId="10574BDA"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defendant shall file and serve any reply to defence to counterclaim.</w:t>
      </w:r>
    </w:p>
    <w:p w14:paraId="057975CE" w14:textId="74CE011A" w:rsidR="00B074F6" w:rsidRPr="00B074F6" w:rsidRDefault="009F079A" w:rsidP="00B074F6">
      <w:pPr>
        <w:pStyle w:val="Quote2"/>
        <w:numPr>
          <w:ilvl w:val="0"/>
          <w:numId w:val="2"/>
        </w:numPr>
        <w:spacing w:line="240" w:lineRule="auto"/>
        <w:ind w:right="95" w:hanging="720"/>
        <w:rPr>
          <w:b/>
          <w:u w:val="single"/>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xml:space="preserve">, </w:t>
      </w:r>
      <w:r w:rsidR="00B074F6">
        <w:rPr>
          <w:szCs w:val="24"/>
        </w:rPr>
        <w:t xml:space="preserve">any party may file and serve </w:t>
      </w:r>
      <w:r w:rsidR="00BD19AA">
        <w:rPr>
          <w:szCs w:val="24"/>
        </w:rPr>
        <w:t xml:space="preserve">a </w:t>
      </w:r>
      <w:r w:rsidR="00B074F6">
        <w:rPr>
          <w:szCs w:val="24"/>
        </w:rPr>
        <w:t xml:space="preserve">request for further and better particulars of any pleading. Any response to </w:t>
      </w:r>
      <w:r w:rsidR="00BD19AA">
        <w:rPr>
          <w:szCs w:val="24"/>
        </w:rPr>
        <w:t>such a request</w:t>
      </w:r>
      <w:r w:rsidR="00B074F6">
        <w:rPr>
          <w:szCs w:val="24"/>
        </w:rPr>
        <w:t xml:space="preserve"> must be filed and served within 14 days. </w:t>
      </w:r>
    </w:p>
    <w:p w14:paraId="1DE0D3C7" w14:textId="7B5EF8BD" w:rsidR="009F079A" w:rsidRPr="0054057E" w:rsidRDefault="009F079A" w:rsidP="00B074F6">
      <w:pPr>
        <w:pStyle w:val="Quote2"/>
        <w:spacing w:line="240" w:lineRule="auto"/>
        <w:ind w:left="0" w:right="95" w:firstLine="0"/>
        <w:rPr>
          <w:b/>
          <w:u w:val="single"/>
        </w:rPr>
      </w:pPr>
      <w:r w:rsidRPr="0054057E">
        <w:rPr>
          <w:b/>
          <w:u w:val="single"/>
        </w:rPr>
        <w:t>Third party notices and notices of contribution</w:t>
      </w:r>
    </w:p>
    <w:p w14:paraId="552949D7"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4:00 p.m. on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the defendant shall file and serve any third party notices.</w:t>
      </w:r>
    </w:p>
    <w:p w14:paraId="2C02A110"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4:00 p.m. on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xml:space="preserve">, the defendants shall file and serve any notice(s) of contribution(s). </w:t>
      </w:r>
    </w:p>
    <w:p w14:paraId="7BE9A220" w14:textId="77777777" w:rsidR="009F079A" w:rsidRPr="0054057E" w:rsidRDefault="009F079A" w:rsidP="009F079A">
      <w:pPr>
        <w:spacing w:before="120" w:after="120"/>
        <w:jc w:val="both"/>
        <w:rPr>
          <w:b/>
          <w:u w:val="single"/>
        </w:rPr>
      </w:pPr>
      <w:r w:rsidRPr="0054057E">
        <w:rPr>
          <w:b/>
          <w:u w:val="single"/>
        </w:rPr>
        <w:t>Discovery of Documents</w:t>
      </w:r>
    </w:p>
    <w:p w14:paraId="4CFD921F"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xml:space="preserve">, the parties shall </w:t>
      </w:r>
      <w:r>
        <w:rPr>
          <w:szCs w:val="24"/>
        </w:rPr>
        <w:t xml:space="preserve">file and serve an affidavit </w:t>
      </w:r>
      <w:r w:rsidRPr="0054057E">
        <w:rPr>
          <w:szCs w:val="24"/>
        </w:rPr>
        <w:t>in accordance with Rule 29.04 of the Rules</w:t>
      </w:r>
      <w:r>
        <w:rPr>
          <w:szCs w:val="24"/>
        </w:rPr>
        <w:t xml:space="preserve">, identifying documents that are, or have been, in that party’s possession, custody or power and which are critical to the resolution of the dispute pursuant to section 26 of the </w:t>
      </w:r>
      <w:r>
        <w:rPr>
          <w:i/>
          <w:szCs w:val="24"/>
        </w:rPr>
        <w:t xml:space="preserve">Civil Procedure Act 2010 </w:t>
      </w:r>
      <w:r>
        <w:rPr>
          <w:szCs w:val="24"/>
        </w:rPr>
        <w:t xml:space="preserve">(Vic). </w:t>
      </w:r>
    </w:p>
    <w:p w14:paraId="36DB89B3" w14:textId="77777777" w:rsidR="009F079A" w:rsidRPr="0054057E" w:rsidRDefault="009F079A" w:rsidP="009F079A">
      <w:pPr>
        <w:keepNext/>
        <w:spacing w:before="120" w:after="120"/>
        <w:jc w:val="both"/>
        <w:rPr>
          <w:b/>
          <w:u w:val="single"/>
        </w:rPr>
      </w:pPr>
      <w:r w:rsidRPr="0054057E">
        <w:rPr>
          <w:b/>
          <w:u w:val="single"/>
        </w:rPr>
        <w:t>Mediation Order</w:t>
      </w:r>
    </w:p>
    <w:p w14:paraId="1F3E7B16"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Pursuant to Rule 50.07 of the Rules the proceeding is referred to mediation by a Mediator appointed by agreement between the parties, failing such agreement to a Mediator appointed by the Court, and such mediation to be concluded by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w:t>
      </w:r>
    </w:p>
    <w:p w14:paraId="3B04B36A"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The mediation shall be attended by those persons who have ultimate responsibility for deciding whether to settle the dispute and the terms of any settlement, and the lawyers who have ultimate responsibility to advise the parties in relation to the dispute and its settlement.</w:t>
      </w:r>
    </w:p>
    <w:p w14:paraId="3E63BABB"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The parties shall deliver to the Mediator a joint folder containing a copy of all </w:t>
      </w:r>
      <w:r w:rsidRPr="0054057E">
        <w:rPr>
          <w:szCs w:val="24"/>
        </w:rPr>
        <w:lastRenderedPageBreak/>
        <w:t xml:space="preserve">pleadings, any requests for particulars and particulars and a copy of this order.  </w:t>
      </w:r>
    </w:p>
    <w:p w14:paraId="12FF6DE1"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The costs of the mediation in the first instance will be paid equally by the parties, but otherwise those costs are reserved to the trial judge.</w:t>
      </w:r>
    </w:p>
    <w:p w14:paraId="31D08D05" w14:textId="01BCB822" w:rsidR="009F079A" w:rsidRPr="00B074F6" w:rsidRDefault="009F079A" w:rsidP="00B074F6">
      <w:pPr>
        <w:pStyle w:val="Quote2"/>
        <w:numPr>
          <w:ilvl w:val="0"/>
          <w:numId w:val="2"/>
        </w:numPr>
        <w:spacing w:line="240" w:lineRule="auto"/>
        <w:ind w:right="95" w:hanging="720"/>
        <w:rPr>
          <w:szCs w:val="24"/>
        </w:rPr>
      </w:pPr>
      <w:r w:rsidRPr="0054057E">
        <w:rPr>
          <w:szCs w:val="24"/>
        </w:rPr>
        <w:t>No later than [</w:t>
      </w:r>
      <w:r w:rsidRPr="0054057E">
        <w:rPr>
          <w:szCs w:val="24"/>
          <w:highlight w:val="yellow"/>
        </w:rPr>
        <w:t>5 days aft</w:t>
      </w:r>
      <w:r w:rsidR="00737584">
        <w:rPr>
          <w:szCs w:val="24"/>
          <w:highlight w:val="yellow"/>
        </w:rPr>
        <w:t>er the date in order paragraph 10</w:t>
      </w:r>
      <w:r w:rsidRPr="0054057E">
        <w:rPr>
          <w:szCs w:val="24"/>
        </w:rPr>
        <w:t>], the Mediator must notify the Court in writing whether or not the mediation has concluded.</w:t>
      </w:r>
    </w:p>
    <w:p w14:paraId="28BEDA00" w14:textId="77777777" w:rsidR="009F079A" w:rsidRPr="0054057E" w:rsidRDefault="009F079A" w:rsidP="009F079A">
      <w:pPr>
        <w:spacing w:before="120" w:after="120"/>
        <w:jc w:val="both"/>
        <w:rPr>
          <w:b/>
          <w:u w:val="single"/>
        </w:rPr>
      </w:pPr>
      <w:r w:rsidRPr="0054057E">
        <w:rPr>
          <w:b/>
          <w:u w:val="single"/>
        </w:rPr>
        <w:t>Return date, liberty to apply and costs</w:t>
      </w:r>
    </w:p>
    <w:p w14:paraId="3CBDFC08" w14:textId="2B7603E9" w:rsidR="009F079A" w:rsidRPr="0054057E" w:rsidRDefault="009F079A" w:rsidP="009F079A">
      <w:pPr>
        <w:pStyle w:val="Quote2"/>
        <w:numPr>
          <w:ilvl w:val="0"/>
          <w:numId w:val="2"/>
        </w:numPr>
        <w:spacing w:line="240" w:lineRule="auto"/>
        <w:ind w:right="95" w:hanging="720"/>
        <w:rPr>
          <w:szCs w:val="24"/>
        </w:rPr>
      </w:pPr>
      <w:r w:rsidRPr="0054057E">
        <w:rPr>
          <w:szCs w:val="24"/>
        </w:rPr>
        <w:t>The directions hearing is adjourned to</w:t>
      </w:r>
      <w:r>
        <w:rPr>
          <w:szCs w:val="24"/>
        </w:rPr>
        <w:t xml:space="preserve"> a date not before</w:t>
      </w:r>
      <w:r w:rsidRPr="0054057E">
        <w:rPr>
          <w:szCs w:val="24"/>
        </w:rPr>
        <w:t xml:space="preserve"> </w:t>
      </w:r>
      <w:r w:rsidRPr="0054057E">
        <w:rPr>
          <w:szCs w:val="24"/>
        </w:rPr>
        <w:fldChar w:fldCharType="begin">
          <w:ffData>
            <w:name w:val="Text158"/>
            <w:enabled/>
            <w:calcOnExit w:val="0"/>
            <w:textInput/>
          </w:ffData>
        </w:fldChar>
      </w:r>
      <w:r w:rsidRPr="0054057E">
        <w:rPr>
          <w:szCs w:val="24"/>
        </w:rPr>
        <w:instrText xml:space="preserve"> FORMTEXT </w:instrText>
      </w:r>
      <w:r w:rsidRPr="0054057E">
        <w:rPr>
          <w:szCs w:val="24"/>
        </w:rPr>
      </w:r>
      <w:r w:rsidRPr="0054057E">
        <w:rPr>
          <w:szCs w:val="24"/>
        </w:rPr>
        <w:fldChar w:fldCharType="separate"/>
      </w:r>
      <w:r w:rsidRPr="0054057E">
        <w:rPr>
          <w:szCs w:val="24"/>
        </w:rPr>
        <w:t> </w:t>
      </w:r>
      <w:r w:rsidRPr="0054057E">
        <w:rPr>
          <w:szCs w:val="24"/>
        </w:rPr>
        <w:t> </w:t>
      </w:r>
      <w:r w:rsidRPr="0054057E">
        <w:rPr>
          <w:szCs w:val="24"/>
        </w:rPr>
        <w:t> </w:t>
      </w:r>
      <w:r w:rsidRPr="0054057E">
        <w:rPr>
          <w:szCs w:val="24"/>
        </w:rPr>
        <w:t> </w:t>
      </w:r>
      <w:r w:rsidRPr="0054057E">
        <w:rPr>
          <w:szCs w:val="24"/>
        </w:rPr>
        <w:t> </w:t>
      </w:r>
      <w:r w:rsidRPr="0054057E">
        <w:rPr>
          <w:szCs w:val="24"/>
        </w:rPr>
        <w:fldChar w:fldCharType="end"/>
      </w:r>
      <w:r w:rsidRPr="0054057E">
        <w:rPr>
          <w:szCs w:val="24"/>
        </w:rPr>
        <w:t xml:space="preserve"> at </w:t>
      </w:r>
      <w:r>
        <w:rPr>
          <w:szCs w:val="24"/>
        </w:rPr>
        <w:t xml:space="preserve">10:00 </w:t>
      </w:r>
      <w:r w:rsidRPr="00844494">
        <w:rPr>
          <w:szCs w:val="24"/>
        </w:rPr>
        <w:t xml:space="preserve">am </w:t>
      </w:r>
      <w:r w:rsidRPr="0054057E">
        <w:rPr>
          <w:szCs w:val="24"/>
        </w:rPr>
        <w:t xml:space="preserve">before Judicial Registrar </w:t>
      </w:r>
      <w:r w:rsidR="00B074F6">
        <w:rPr>
          <w:szCs w:val="24"/>
        </w:rPr>
        <w:t xml:space="preserve">Keith, courtroom to be advised. </w:t>
      </w:r>
    </w:p>
    <w:p w14:paraId="5F7A8410"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 xml:space="preserve">If all interlocutory matters and mediation are complete and the proceeding has not resolved, the parties may jointly write to the Court seeking that the directions hearing be administratively vacated and relisted for a pre-trial directions hearing.  This request is to be received no later than two working days prior to the scheduled directions hearing. </w:t>
      </w:r>
    </w:p>
    <w:p w14:paraId="7A294CC0" w14:textId="77777777" w:rsidR="009F079A" w:rsidRPr="0054057E" w:rsidRDefault="009F079A" w:rsidP="009F079A">
      <w:pPr>
        <w:pStyle w:val="Quote2"/>
        <w:numPr>
          <w:ilvl w:val="0"/>
          <w:numId w:val="2"/>
        </w:numPr>
        <w:spacing w:line="240" w:lineRule="auto"/>
        <w:ind w:right="95" w:hanging="720"/>
        <w:rPr>
          <w:szCs w:val="24"/>
        </w:rPr>
      </w:pPr>
      <w:r w:rsidRPr="0054057E">
        <w:rPr>
          <w:szCs w:val="24"/>
        </w:rPr>
        <w:t>The parties have liberty to apply.</w:t>
      </w:r>
    </w:p>
    <w:p w14:paraId="1D725405" w14:textId="77777777" w:rsidR="009F079A" w:rsidRPr="0054057E" w:rsidRDefault="009F079A" w:rsidP="009F079A">
      <w:pPr>
        <w:pStyle w:val="Quote2"/>
        <w:numPr>
          <w:ilvl w:val="0"/>
          <w:numId w:val="2"/>
        </w:numPr>
        <w:spacing w:line="240" w:lineRule="auto"/>
        <w:ind w:right="95" w:hanging="720"/>
        <w:rPr>
          <w:szCs w:val="24"/>
        </w:rPr>
      </w:pPr>
      <w:r>
        <w:rPr>
          <w:szCs w:val="24"/>
        </w:rPr>
        <w:t xml:space="preserve">Costs reserved. </w:t>
      </w:r>
    </w:p>
    <w:tbl>
      <w:tblPr>
        <w:tblW w:w="9776" w:type="dxa"/>
        <w:tblLayout w:type="fixed"/>
        <w:tblLook w:val="0000" w:firstRow="0" w:lastRow="0" w:firstColumn="0" w:lastColumn="0" w:noHBand="0" w:noVBand="0"/>
      </w:tblPr>
      <w:tblGrid>
        <w:gridCol w:w="8748"/>
        <w:gridCol w:w="1028"/>
      </w:tblGrid>
      <w:tr w:rsidR="009F079A" w:rsidRPr="0054057E" w14:paraId="7ADFE98A" w14:textId="77777777" w:rsidTr="00C40DC9">
        <w:tc>
          <w:tcPr>
            <w:tcW w:w="8748" w:type="dxa"/>
          </w:tcPr>
          <w:p w14:paraId="460DF771" w14:textId="77777777" w:rsidR="009F079A" w:rsidRPr="0054057E" w:rsidRDefault="009F079A" w:rsidP="009F079A">
            <w:pPr>
              <w:pStyle w:val="Normal-Cover"/>
              <w:spacing w:after="120"/>
              <w:rPr>
                <w:szCs w:val="24"/>
              </w:rPr>
            </w:pPr>
            <w:r w:rsidRPr="0054057E">
              <w:rPr>
                <w:szCs w:val="24"/>
              </w:rPr>
              <w:t>DATE</w:t>
            </w:r>
            <w:r>
              <w:rPr>
                <w:szCs w:val="24"/>
              </w:rPr>
              <w:t xml:space="preserve">:    </w:t>
            </w:r>
          </w:p>
        </w:tc>
        <w:bookmarkStart w:id="11" w:name="DELdate"/>
        <w:bookmarkEnd w:id="11"/>
        <w:tc>
          <w:tcPr>
            <w:tcW w:w="1028" w:type="dxa"/>
          </w:tcPr>
          <w:p w14:paraId="20DA89A9" w14:textId="77777777" w:rsidR="009F079A" w:rsidRPr="0054057E" w:rsidRDefault="009F079A" w:rsidP="00C40DC9">
            <w:pPr>
              <w:pStyle w:val="Normal-Cover"/>
              <w:spacing w:after="120"/>
              <w:rPr>
                <w:szCs w:val="24"/>
              </w:rPr>
            </w:pPr>
            <w:r w:rsidRPr="0054057E">
              <w:rPr>
                <w:szCs w:val="24"/>
              </w:rPr>
              <w:fldChar w:fldCharType="begin"/>
            </w:r>
            <w:r w:rsidRPr="0054057E">
              <w:rPr>
                <w:szCs w:val="24"/>
              </w:rPr>
              <w:instrText xml:space="preserve">  </w:instrText>
            </w:r>
            <w:r w:rsidRPr="0054057E">
              <w:rPr>
                <w:szCs w:val="24"/>
              </w:rPr>
              <w:fldChar w:fldCharType="end"/>
            </w:r>
          </w:p>
        </w:tc>
      </w:tr>
    </w:tbl>
    <w:p w14:paraId="7B0F4878" w14:textId="77777777" w:rsidR="009F079A" w:rsidRPr="0054057E" w:rsidRDefault="009F079A" w:rsidP="009F079A">
      <w:pPr>
        <w:rPr>
          <w:rFonts w:cs="Helvetica"/>
          <w:color w:val="000000"/>
        </w:rPr>
      </w:pPr>
    </w:p>
    <w:p w14:paraId="145C0ED2" w14:textId="77777777" w:rsidR="009F079A" w:rsidRPr="0054057E" w:rsidRDefault="009F079A" w:rsidP="009F079A">
      <w:pPr>
        <w:ind w:left="5954"/>
        <w:rPr>
          <w:rFonts w:cs="Helvetica"/>
          <w:color w:val="000000"/>
        </w:rPr>
      </w:pPr>
    </w:p>
    <w:p w14:paraId="2AB13F12" w14:textId="77777777" w:rsidR="009F079A" w:rsidRPr="0054057E" w:rsidRDefault="009F079A" w:rsidP="009F079A">
      <w:pPr>
        <w:ind w:left="5954"/>
        <w:rPr>
          <w:rFonts w:cs="Helvetica"/>
          <w:color w:val="000000"/>
        </w:rPr>
      </w:pPr>
    </w:p>
    <w:p w14:paraId="6CCD5287" w14:textId="77777777" w:rsidR="009F079A" w:rsidRPr="0054057E" w:rsidRDefault="009F079A" w:rsidP="009F079A">
      <w:pPr>
        <w:ind w:left="5954"/>
      </w:pPr>
    </w:p>
    <w:tbl>
      <w:tblPr>
        <w:tblW w:w="9039" w:type="dxa"/>
        <w:tblLook w:val="01E0" w:firstRow="1" w:lastRow="1" w:firstColumn="1" w:lastColumn="1" w:noHBand="0" w:noVBand="0"/>
      </w:tblPr>
      <w:tblGrid>
        <w:gridCol w:w="2660"/>
        <w:gridCol w:w="6379"/>
      </w:tblGrid>
      <w:tr w:rsidR="009F079A" w:rsidRPr="0054057E" w14:paraId="46DEC8B7" w14:textId="77777777" w:rsidTr="00C40DC9">
        <w:tc>
          <w:tcPr>
            <w:tcW w:w="2660" w:type="dxa"/>
            <w:shd w:val="clear" w:color="auto" w:fill="auto"/>
          </w:tcPr>
          <w:p w14:paraId="1BE3FFB4" w14:textId="77777777" w:rsidR="009F079A" w:rsidRPr="0054057E" w:rsidRDefault="009F079A" w:rsidP="00C40DC9"/>
        </w:tc>
        <w:tc>
          <w:tcPr>
            <w:tcW w:w="6379" w:type="dxa"/>
            <w:tcBorders>
              <w:top w:val="single" w:sz="4" w:space="0" w:color="auto"/>
            </w:tcBorders>
            <w:shd w:val="clear" w:color="auto" w:fill="auto"/>
          </w:tcPr>
          <w:p w14:paraId="14D55D35" w14:textId="77777777" w:rsidR="009F079A" w:rsidRPr="0054057E" w:rsidRDefault="009F079A" w:rsidP="00C40DC9">
            <w:pPr>
              <w:jc w:val="right"/>
            </w:pPr>
          </w:p>
          <w:p w14:paraId="5865724D" w14:textId="77777777" w:rsidR="009F079A" w:rsidRPr="0054057E" w:rsidRDefault="009F079A" w:rsidP="00C40DC9">
            <w:pPr>
              <w:jc w:val="right"/>
              <w:rPr>
                <w:b/>
              </w:rPr>
            </w:pPr>
            <w:r w:rsidRPr="0054057E">
              <w:rPr>
                <w:b/>
              </w:rPr>
              <w:t xml:space="preserve">JUDICIAL REGISTRAR </w:t>
            </w:r>
            <w:r>
              <w:rPr>
                <w:b/>
              </w:rPr>
              <w:t>KEITH</w:t>
            </w:r>
          </w:p>
        </w:tc>
      </w:tr>
    </w:tbl>
    <w:p w14:paraId="6BC6FF07" w14:textId="77777777" w:rsidR="004354B1" w:rsidRDefault="00A91EBA"/>
    <w:sectPr w:rsidR="00435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A11D5"/>
    <w:multiLevelType w:val="hybridMultilevel"/>
    <w:tmpl w:val="92F41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2F0A80"/>
    <w:multiLevelType w:val="hybridMultilevel"/>
    <w:tmpl w:val="C6B80CB0"/>
    <w:lvl w:ilvl="0" w:tplc="0C090015">
      <w:start w:val="1"/>
      <w:numFmt w:val="upperLetter"/>
      <w:lvlText w:val="%1."/>
      <w:lvlJc w:val="left"/>
      <w:pPr>
        <w:ind w:left="720" w:hanging="360"/>
      </w:pPr>
    </w:lvl>
    <w:lvl w:ilvl="1" w:tplc="405EE00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9A"/>
    <w:rsid w:val="000E5C68"/>
    <w:rsid w:val="002A7059"/>
    <w:rsid w:val="0036760F"/>
    <w:rsid w:val="004630E0"/>
    <w:rsid w:val="00562F3F"/>
    <w:rsid w:val="00606A6D"/>
    <w:rsid w:val="00737584"/>
    <w:rsid w:val="008278A0"/>
    <w:rsid w:val="009F079A"/>
    <w:rsid w:val="00A91EBA"/>
    <w:rsid w:val="00B074F6"/>
    <w:rsid w:val="00BD19AA"/>
    <w:rsid w:val="00F01424"/>
    <w:rsid w:val="00F9191E"/>
    <w:rsid w:val="00FA6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5843"/>
  <w15:chartTrackingRefBased/>
  <w15:docId w15:val="{67F20722-9BB2-4E69-AB75-9B550E4A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9A"/>
    <w:pPr>
      <w:spacing w:after="0" w:line="240" w:lineRule="auto"/>
    </w:pPr>
    <w:rPr>
      <w:rFonts w:ascii="Book Antiqua" w:eastAsia="Times New Roman" w:hAnsi="Book Antiqua"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ver">
    <w:name w:val="Normal-Cover"/>
    <w:basedOn w:val="Normal"/>
    <w:rsid w:val="009F079A"/>
    <w:pPr>
      <w:widowControl w:val="0"/>
    </w:pPr>
    <w:rPr>
      <w:szCs w:val="20"/>
      <w:lang w:eastAsia="en-US"/>
    </w:rPr>
  </w:style>
  <w:style w:type="paragraph" w:customStyle="1" w:styleId="Quote2">
    <w:name w:val="Quote2"/>
    <w:basedOn w:val="Normal"/>
    <w:rsid w:val="009F079A"/>
    <w:pPr>
      <w:widowControl w:val="0"/>
      <w:spacing w:after="240" w:line="240" w:lineRule="atLeast"/>
      <w:ind w:left="2160" w:right="720" w:hanging="619"/>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1" ma:contentTypeDescription="Create a new document." ma:contentTypeScope="" ma:versionID="49fa8c241b4a35f6ce8d21154aa3707a">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ee959248d0536e90b72e0ccdc1e58879"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SharedWithUsers xmlns="3dff93c5-8ae8-4b09-acd5-1fa0d3a9f0ee">
      <UserInfo>
        <DisplayName>Judicial Registrar Keith</DisplayName>
        <AccountId>1347</AccountId>
        <AccountType/>
      </UserInfo>
      <UserInfo>
        <DisplayName>Eamonn Orr</DisplayName>
        <AccountId>1356</AccountId>
        <AccountType/>
      </UserInfo>
    </SharedWithUsers>
  </documentManagement>
</p:properties>
</file>

<file path=customXml/itemProps1.xml><?xml version="1.0" encoding="utf-8"?>
<ds:datastoreItem xmlns:ds="http://schemas.openxmlformats.org/officeDocument/2006/customXml" ds:itemID="{19B8DE0B-08AF-4F2D-A2B0-8AB2583E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FACD3-7912-4376-B62A-70E163BF70A7}">
  <ds:schemaRefs>
    <ds:schemaRef ds:uri="http://schemas.microsoft.com/sharepoint/v3/contenttype/forms"/>
  </ds:schemaRefs>
</ds:datastoreItem>
</file>

<file path=customXml/itemProps3.xml><?xml version="1.0" encoding="utf-8"?>
<ds:datastoreItem xmlns:ds="http://schemas.openxmlformats.org/officeDocument/2006/customXml" ds:itemID="{7CC01F32-CE46-41E3-A8DF-6C37D97677E1}">
  <ds:schemaRefs>
    <ds:schemaRef ds:uri="http://schemas.microsoft.com/office/2006/metadata/properties"/>
    <ds:schemaRef ds:uri="http://schemas.microsoft.com/office/infopath/2007/PartnerControls"/>
    <ds:schemaRef ds:uri="a41c8bfc-c4be-4b67-a9a7-7117f0fa9f00"/>
    <ds:schemaRef ds:uri="3dff93c5-8ae8-4b09-acd5-1fa0d3a9f0e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Ryan</dc:creator>
  <cp:keywords/>
  <dc:description/>
  <cp:lastModifiedBy>Kelsey Ryan</cp:lastModifiedBy>
  <cp:revision>5</cp:revision>
  <dcterms:created xsi:type="dcterms:W3CDTF">2020-09-29T07:34:00Z</dcterms:created>
  <dcterms:modified xsi:type="dcterms:W3CDTF">2020-10-06T01:02:00Z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