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90F66" w14:textId="05746212" w:rsidR="00690574" w:rsidRPr="00035740" w:rsidRDefault="00690574" w:rsidP="00690574">
      <w:pPr>
        <w:spacing w:after="0" w:line="276" w:lineRule="auto"/>
        <w:contextualSpacing/>
        <w:jc w:val="center"/>
        <w:rPr>
          <w:rFonts w:ascii="Book Antiqua" w:eastAsia="Calibri" w:hAnsi="Book Antiqua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5CE2EEC8" wp14:editId="49BBF1F4">
            <wp:extent cx="1123950" cy="1123950"/>
            <wp:effectExtent l="0" t="0" r="0" b="0"/>
            <wp:docPr id="3" name="Picture 3" descr="http://confluence-scv/download/attachments/1082116/SCV_RGB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A014A" w14:textId="64B273B0" w:rsidR="00690574" w:rsidRDefault="00690574" w:rsidP="00690574">
      <w:pPr>
        <w:spacing w:after="0"/>
        <w:jc w:val="center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035740">
        <w:rPr>
          <w:rFonts w:ascii="Book Antiqua" w:eastAsia="Times New Roman" w:hAnsi="Book Antiqua" w:cs="Times New Roman"/>
          <w:b/>
          <w:bCs/>
          <w:sz w:val="24"/>
          <w:szCs w:val="24"/>
        </w:rPr>
        <w:t>Notice to the Profession</w:t>
      </w:r>
    </w:p>
    <w:p w14:paraId="2D0D1E00" w14:textId="77777777" w:rsidR="0036200D" w:rsidRPr="00035740" w:rsidRDefault="0036200D" w:rsidP="00690574">
      <w:pPr>
        <w:spacing w:after="0"/>
        <w:jc w:val="center"/>
        <w:rPr>
          <w:rFonts w:ascii="Book Antiqua" w:eastAsia="Times New Roman" w:hAnsi="Book Antiqua" w:cs="Times New Roman"/>
          <w:b/>
          <w:bCs/>
          <w:sz w:val="24"/>
          <w:szCs w:val="24"/>
        </w:rPr>
      </w:pPr>
    </w:p>
    <w:p w14:paraId="10492A0F" w14:textId="41B13F69" w:rsidR="008B13EE" w:rsidRPr="0036200D" w:rsidRDefault="0036200D" w:rsidP="008B13EE">
      <w:pPr>
        <w:spacing w:after="0" w:line="276" w:lineRule="auto"/>
        <w:contextualSpacing/>
        <w:jc w:val="center"/>
        <w:rPr>
          <w:rFonts w:ascii="Book Antiqua" w:hAnsi="Book Antiqua" w:cs="Times New Roman"/>
          <w:b/>
          <w:sz w:val="32"/>
          <w:szCs w:val="24"/>
        </w:rPr>
      </w:pPr>
      <w:r w:rsidRPr="0036200D">
        <w:rPr>
          <w:rFonts w:ascii="Book Antiqua" w:hAnsi="Book Antiqua" w:cs="Times New Roman"/>
          <w:b/>
          <w:sz w:val="32"/>
          <w:szCs w:val="24"/>
        </w:rPr>
        <w:t>Group Proceedings List</w:t>
      </w:r>
    </w:p>
    <w:p w14:paraId="04491153" w14:textId="7A60728A" w:rsidR="00A95025" w:rsidRPr="00A95025" w:rsidRDefault="00A95025" w:rsidP="00A9502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5025">
        <w:rPr>
          <w:rFonts w:ascii="Times New Roman" w:eastAsia="Calibri" w:hAnsi="Times New Roman" w:cs="Times New Roman"/>
          <w:sz w:val="24"/>
          <w:szCs w:val="24"/>
        </w:rPr>
        <w:t>The Chief Justice has authorised the issue of the following notice.</w:t>
      </w:r>
    </w:p>
    <w:p w14:paraId="6AE47DE9" w14:textId="78D9C8B8" w:rsidR="00A95025" w:rsidRPr="0036200D" w:rsidRDefault="00A95025" w:rsidP="00A95025">
      <w:pPr>
        <w:spacing w:before="120" w:after="24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AU"/>
        </w:rPr>
      </w:pPr>
      <w:r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The purpose of this Notice is to </w:t>
      </w:r>
      <w:r w:rsidR="003561EE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notify court users of the </w:t>
      </w:r>
      <w:r w:rsidR="008D5787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>establish</w:t>
      </w:r>
      <w:r w:rsidR="003561EE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>ment of</w:t>
      </w:r>
      <w:r w:rsidR="008D5787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 a new </w:t>
      </w:r>
      <w:r w:rsidR="0038107B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cross-divisional </w:t>
      </w:r>
      <w:r w:rsidR="0036200D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Group Proceedings </w:t>
      </w:r>
      <w:r w:rsidR="008D5787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List in which all </w:t>
      </w:r>
      <w:r w:rsidR="0036200D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group proceedings </w:t>
      </w:r>
      <w:r w:rsidR="008D5787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filed </w:t>
      </w:r>
      <w:r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pursuant to Part </w:t>
      </w:r>
      <w:r w:rsidR="00211486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4A of the </w:t>
      </w:r>
      <w:r w:rsidR="00211486" w:rsidRPr="0036200D">
        <w:rPr>
          <w:rFonts w:ascii="Book Antiqua" w:eastAsia="Times New Roman" w:hAnsi="Book Antiqua" w:cs="Times New Roman"/>
          <w:i/>
          <w:sz w:val="24"/>
          <w:szCs w:val="24"/>
          <w:lang w:eastAsia="en-AU"/>
        </w:rPr>
        <w:t xml:space="preserve">Supreme Court Act 1986 </w:t>
      </w:r>
      <w:r w:rsidR="00211486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>(Vic)</w:t>
      </w:r>
      <w:r w:rsidR="008D5787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 will be managed</w:t>
      </w:r>
      <w:r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>.</w:t>
      </w:r>
    </w:p>
    <w:p w14:paraId="5EB1F63B" w14:textId="31F4ABC3" w:rsidR="0036200D" w:rsidRPr="0036200D" w:rsidRDefault="00A95025" w:rsidP="00A95025">
      <w:pPr>
        <w:spacing w:before="120" w:after="24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AU"/>
        </w:rPr>
      </w:pPr>
      <w:r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The </w:t>
      </w:r>
      <w:r w:rsidR="002F0ED9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Judges-in-Charge of the </w:t>
      </w:r>
      <w:r w:rsidR="008B13EE">
        <w:rPr>
          <w:rFonts w:ascii="Book Antiqua" w:eastAsia="Times New Roman" w:hAnsi="Book Antiqua" w:cs="Times New Roman"/>
          <w:sz w:val="24"/>
          <w:szCs w:val="24"/>
          <w:lang w:eastAsia="en-AU"/>
        </w:rPr>
        <w:t>Group Proceedings</w:t>
      </w:r>
      <w:r w:rsidR="00211486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 List </w:t>
      </w:r>
      <w:proofErr w:type="gramStart"/>
      <w:r w:rsidR="00E21E03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>are</w:t>
      </w:r>
      <w:proofErr w:type="gramEnd"/>
      <w:r w:rsidR="00E21E03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 Justice John Dixon and Justice Nichols.  </w:t>
      </w:r>
    </w:p>
    <w:p w14:paraId="4C7B67C2" w14:textId="30DD4F47" w:rsidR="0036200D" w:rsidRPr="0036200D" w:rsidRDefault="002661B7" w:rsidP="0036200D">
      <w:pPr>
        <w:spacing w:before="120" w:after="24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title of </w:t>
      </w:r>
      <w:r w:rsidR="0036200D" w:rsidRPr="0036200D">
        <w:rPr>
          <w:rFonts w:ascii="Book Antiqua" w:hAnsi="Book Antiqua"/>
          <w:sz w:val="24"/>
          <w:szCs w:val="24"/>
        </w:rPr>
        <w:t>proceeding</w:t>
      </w:r>
      <w:r w:rsidR="006B7702">
        <w:rPr>
          <w:rFonts w:ascii="Book Antiqua" w:hAnsi="Book Antiqua"/>
          <w:sz w:val="24"/>
          <w:szCs w:val="24"/>
        </w:rPr>
        <w:t>s filed in this List</w:t>
      </w:r>
      <w:r w:rsidR="0036200D" w:rsidRPr="0036200D">
        <w:rPr>
          <w:rFonts w:ascii="Book Antiqua" w:hAnsi="Book Antiqua"/>
          <w:sz w:val="24"/>
          <w:szCs w:val="24"/>
        </w:rPr>
        <w:t xml:space="preserve"> should </w:t>
      </w:r>
      <w:r>
        <w:rPr>
          <w:rFonts w:ascii="Book Antiqua" w:hAnsi="Book Antiqua"/>
          <w:sz w:val="24"/>
          <w:szCs w:val="24"/>
        </w:rPr>
        <w:t>nominate the</w:t>
      </w:r>
      <w:r w:rsidR="0036200D" w:rsidRPr="0036200D">
        <w:rPr>
          <w:rFonts w:ascii="Book Antiqua" w:hAnsi="Book Antiqua"/>
          <w:sz w:val="24"/>
          <w:szCs w:val="24"/>
        </w:rPr>
        <w:t xml:space="preserve"> Group Proceedings List and </w:t>
      </w:r>
      <w:r>
        <w:rPr>
          <w:rFonts w:ascii="Book Antiqua" w:hAnsi="Book Antiqua"/>
          <w:sz w:val="24"/>
          <w:szCs w:val="24"/>
        </w:rPr>
        <w:t xml:space="preserve">be </w:t>
      </w:r>
      <w:r w:rsidR="0036200D" w:rsidRPr="0036200D">
        <w:rPr>
          <w:rFonts w:ascii="Book Antiqua" w:hAnsi="Book Antiqua"/>
          <w:sz w:val="24"/>
          <w:szCs w:val="24"/>
        </w:rPr>
        <w:t>filed in either the Common Law Division or the Commercial Court, having regard to Practice Note SC Gen 2 (Structure of the Trial Division) and the subject matter and causes of action advanced in the proceeding.</w:t>
      </w:r>
    </w:p>
    <w:p w14:paraId="02B13EDF" w14:textId="3537338E" w:rsidR="002661B7" w:rsidRPr="0036200D" w:rsidRDefault="002661B7" w:rsidP="002661B7">
      <w:pPr>
        <w:spacing w:before="120" w:after="24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AU"/>
        </w:rPr>
      </w:pPr>
      <w:r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>On RedCrest</w:t>
      </w:r>
      <w:r>
        <w:rPr>
          <w:rFonts w:ascii="Book Antiqua" w:eastAsia="Times New Roman" w:hAnsi="Book Antiqua" w:cs="Times New Roman"/>
          <w:sz w:val="24"/>
          <w:szCs w:val="24"/>
          <w:lang w:eastAsia="en-AU"/>
        </w:rPr>
        <w:t>,</w:t>
      </w:r>
      <w:r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 practitioners/parties initiating a </w:t>
      </w:r>
      <w:r w:rsidR="006B7702">
        <w:rPr>
          <w:rFonts w:ascii="Book Antiqua" w:eastAsia="Times New Roman" w:hAnsi="Book Antiqua" w:cs="Times New Roman"/>
          <w:sz w:val="24"/>
          <w:szCs w:val="24"/>
          <w:lang w:eastAsia="en-AU"/>
        </w:rPr>
        <w:t>group proceeding</w:t>
      </w:r>
      <w:r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 involving a Commercial Court matter should continue to select “Commercial Court (Judge Managed)” in the Case Type field. For Common Law Division matters, select “Common Law (General)” as the Case Type.</w:t>
      </w:r>
    </w:p>
    <w:p w14:paraId="35484A6E" w14:textId="64C5A6F5" w:rsidR="0036200D" w:rsidRPr="0036200D" w:rsidRDefault="0036200D" w:rsidP="0036200D">
      <w:pPr>
        <w:spacing w:before="120" w:after="240" w:line="360" w:lineRule="auto"/>
        <w:jc w:val="both"/>
        <w:rPr>
          <w:rFonts w:ascii="Book Antiqua" w:hAnsi="Book Antiqua"/>
          <w:sz w:val="24"/>
          <w:szCs w:val="24"/>
        </w:rPr>
      </w:pPr>
      <w:r w:rsidRPr="0036200D">
        <w:rPr>
          <w:rFonts w:ascii="Book Antiqua" w:hAnsi="Book Antiqua"/>
          <w:sz w:val="24"/>
          <w:szCs w:val="24"/>
        </w:rPr>
        <w:t>The judges-in-charge of the Group Proceedings List will allocate the proceeding for management by a judge in either the Commercial Court or the Common Law Division.</w:t>
      </w:r>
    </w:p>
    <w:p w14:paraId="5CC7090B" w14:textId="21C1A37B" w:rsidR="00035740" w:rsidRPr="00275FB4" w:rsidRDefault="009865FB" w:rsidP="00430995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Practice Note SC GEN 10 </w:t>
      </w:r>
      <w:r w:rsidR="0036200D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Conduct of Group Proceedings, which </w:t>
      </w:r>
      <w:r w:rsidR="003530EC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provides guidance on the management of </w:t>
      </w:r>
      <w:r w:rsidR="000007B6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all </w:t>
      </w:r>
      <w:r w:rsidR="0036200D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group proceedings </w:t>
      </w:r>
      <w:r w:rsidR="003530EC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>in the Cour</w:t>
      </w:r>
      <w:r w:rsidR="0036200D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t, has been updated and re-issued as at this </w:t>
      </w:r>
      <w:proofErr w:type="spellStart"/>
      <w:proofErr w:type="gramStart"/>
      <w:r w:rsidR="0036200D" w:rsidRPr="0036200D">
        <w:rPr>
          <w:rFonts w:ascii="Book Antiqua" w:eastAsia="Times New Roman" w:hAnsi="Book Antiqua" w:cs="Times New Roman"/>
          <w:sz w:val="24"/>
          <w:szCs w:val="24"/>
          <w:lang w:eastAsia="en-AU"/>
        </w:rPr>
        <w:t>date.</w:t>
      </w:r>
      <w:r w:rsidR="00035740" w:rsidRPr="00275FB4">
        <w:rPr>
          <w:rFonts w:ascii="Times New Roman" w:hAnsi="Times New Roman" w:cs="Times New Roman"/>
          <w:sz w:val="24"/>
          <w:szCs w:val="24"/>
        </w:rPr>
        <w:t>Vivienne</w:t>
      </w:r>
      <w:proofErr w:type="spellEnd"/>
      <w:proofErr w:type="gramEnd"/>
      <w:r w:rsidR="00035740" w:rsidRPr="00275FB4">
        <w:rPr>
          <w:rFonts w:ascii="Times New Roman" w:hAnsi="Times New Roman" w:cs="Times New Roman"/>
          <w:sz w:val="24"/>
          <w:szCs w:val="24"/>
        </w:rPr>
        <w:t xml:space="preserve"> Macgillivray</w:t>
      </w:r>
    </w:p>
    <w:p w14:paraId="5AB2D2B2" w14:textId="77777777" w:rsidR="00035740" w:rsidRPr="00275FB4" w:rsidRDefault="00035740" w:rsidP="008B13EE">
      <w:pPr>
        <w:spacing w:before="120" w:after="120" w:line="240" w:lineRule="auto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r w:rsidRPr="00275FB4">
        <w:rPr>
          <w:rFonts w:ascii="Times New Roman" w:hAnsi="Times New Roman" w:cs="Times New Roman"/>
          <w:sz w:val="24"/>
          <w:szCs w:val="24"/>
        </w:rPr>
        <w:t>Executive Associate to the Chief Justice</w:t>
      </w:r>
    </w:p>
    <w:p w14:paraId="1949DF7E" w14:textId="5EB50058" w:rsidR="00035740" w:rsidRPr="00275FB4" w:rsidRDefault="00430995" w:rsidP="008B13EE">
      <w:pPr>
        <w:spacing w:before="120" w:after="120" w:line="240" w:lineRule="auto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6200D">
        <w:rPr>
          <w:rFonts w:ascii="Times New Roman" w:hAnsi="Times New Roman" w:cs="Times New Roman"/>
          <w:sz w:val="24"/>
          <w:szCs w:val="24"/>
        </w:rPr>
        <w:t xml:space="preserve"> </w:t>
      </w:r>
      <w:r w:rsidR="03BFBA0D" w:rsidRPr="49BBF1F4">
        <w:rPr>
          <w:rFonts w:ascii="Times New Roman" w:hAnsi="Times New Roman" w:cs="Times New Roman"/>
          <w:sz w:val="24"/>
          <w:szCs w:val="24"/>
        </w:rPr>
        <w:t>October</w:t>
      </w:r>
      <w:r w:rsidR="00372427" w:rsidRPr="49BBF1F4">
        <w:rPr>
          <w:rFonts w:ascii="Times New Roman" w:hAnsi="Times New Roman" w:cs="Times New Roman"/>
          <w:sz w:val="24"/>
          <w:szCs w:val="24"/>
        </w:rPr>
        <w:t xml:space="preserve"> 2020</w:t>
      </w:r>
    </w:p>
    <w:sectPr w:rsidR="00035740" w:rsidRPr="00275FB4" w:rsidSect="006B77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43" w:bottom="1418" w:left="1440" w:header="709" w:footer="85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D5F5E" w14:textId="77777777" w:rsidR="00972000" w:rsidRDefault="00972000" w:rsidP="00787DA7">
      <w:pPr>
        <w:spacing w:after="0" w:line="240" w:lineRule="auto"/>
      </w:pPr>
      <w:r>
        <w:separator/>
      </w:r>
    </w:p>
  </w:endnote>
  <w:endnote w:type="continuationSeparator" w:id="0">
    <w:p w14:paraId="7CDD5CB7" w14:textId="77777777" w:rsidR="00972000" w:rsidRDefault="00972000" w:rsidP="0078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58A16" w14:textId="77777777" w:rsidR="0006745B" w:rsidRDefault="00067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08591" w14:textId="2818A112" w:rsidR="006B7702" w:rsidRDefault="006B7702" w:rsidP="006B7702">
    <w:pPr>
      <w:pStyle w:val="Footer"/>
      <w:tabs>
        <w:tab w:val="right" w:pos="9360"/>
      </w:tabs>
      <w:rPr>
        <w:noProof/>
        <w:lang w:eastAsia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2F35" w14:textId="77777777" w:rsidR="0006745B" w:rsidRDefault="00067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B188A" w14:textId="77777777" w:rsidR="00972000" w:rsidRDefault="00972000" w:rsidP="00787DA7">
      <w:pPr>
        <w:spacing w:after="0" w:line="240" w:lineRule="auto"/>
      </w:pPr>
      <w:r>
        <w:separator/>
      </w:r>
    </w:p>
  </w:footnote>
  <w:footnote w:type="continuationSeparator" w:id="0">
    <w:p w14:paraId="66BDF4A1" w14:textId="77777777" w:rsidR="00972000" w:rsidRDefault="00972000" w:rsidP="0078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D9DC9" w14:textId="125002B3" w:rsidR="0006745B" w:rsidRDefault="00067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5D6C0" w14:textId="22845868" w:rsidR="006B7702" w:rsidRPr="005E5367" w:rsidRDefault="00690574" w:rsidP="006B7702">
    <w:pPr>
      <w:pStyle w:val="Header"/>
      <w:jc w:val="right"/>
      <w:rPr>
        <w:sz w:val="18"/>
        <w:szCs w:val="18"/>
      </w:rPr>
    </w:pPr>
    <w:bookmarkStart w:id="1" w:name="OLE_LINK1"/>
    <w:bookmarkStart w:id="2" w:name="OLE_LINK2"/>
    <w:bookmarkStart w:id="3" w:name="_Hlk362347926"/>
    <w:r>
      <w:rPr>
        <w:sz w:val="20"/>
        <w:szCs w:val="20"/>
      </w:rPr>
      <w:t xml:space="preserve">      </w:t>
    </w:r>
    <w:r w:rsidRPr="005E5367">
      <w:rPr>
        <w:sz w:val="18"/>
        <w:szCs w:val="18"/>
      </w:rPr>
      <w:t xml:space="preserve">Supreme Court of </w:t>
    </w:r>
    <w:smartTag w:uri="urn:schemas-microsoft-com:office:smarttags" w:element="place">
      <w:smartTag w:uri="urn:schemas-microsoft-com:office:smarttags" w:element="State">
        <w:r w:rsidRPr="005E5367">
          <w:rPr>
            <w:sz w:val="18"/>
            <w:szCs w:val="18"/>
          </w:rPr>
          <w:t>Victoria</w:t>
        </w:r>
      </w:smartTag>
    </w:smartTag>
  </w:p>
  <w:p w14:paraId="0EDC4338" w14:textId="77777777" w:rsidR="006B7702" w:rsidRPr="00834F25" w:rsidRDefault="00690574" w:rsidP="006B7702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C13FC9F" wp14:editId="55CF62E3">
              <wp:simplePos x="0" y="0"/>
              <wp:positionH relativeFrom="column">
                <wp:posOffset>0</wp:posOffset>
              </wp:positionH>
              <wp:positionV relativeFrom="page">
                <wp:posOffset>685165</wp:posOffset>
              </wp:positionV>
              <wp:extent cx="6172200" cy="0"/>
              <wp:effectExtent l="9525" t="8890" r="9525" b="10160"/>
              <wp:wrapSquare wrapText="bothSides"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47BAC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3.95pt" to="486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" strokecolor="#981e32" strokeweight="1pt">
              <w10:wrap type="square" anchory="page"/>
              <w10:anchorlock/>
            </v:line>
          </w:pict>
        </mc:Fallback>
      </mc:AlternateContent>
    </w:r>
  </w:p>
  <w:bookmarkEnd w:id="1"/>
  <w:bookmarkEnd w:id="2"/>
  <w:bookmarkEnd w:id="3"/>
  <w:p w14:paraId="330B690D" w14:textId="77777777" w:rsidR="006B7702" w:rsidRPr="004D32DB" w:rsidRDefault="006B7702" w:rsidP="006B7702">
    <w:pPr>
      <w:pStyle w:val="Header"/>
      <w:ind w:right="-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FAF6C" w14:textId="5124F822" w:rsidR="0006745B" w:rsidRDefault="00067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A8C"/>
    <w:multiLevelType w:val="multilevel"/>
    <w:tmpl w:val="BA362E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7432E8"/>
    <w:multiLevelType w:val="multilevel"/>
    <w:tmpl w:val="78C0F36A"/>
    <w:lvl w:ilvl="0">
      <w:start w:val="1"/>
      <w:numFmt w:val="bullet"/>
      <w:lvlText w:val=""/>
      <w:lvlJc w:val="left"/>
      <w:pPr>
        <w:ind w:left="1224" w:hanging="432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6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56" w:hanging="86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8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08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376" w:hanging="1584"/>
      </w:pPr>
      <w:rPr>
        <w:rFonts w:cs="Times New Roman" w:hint="default"/>
      </w:rPr>
    </w:lvl>
  </w:abstractNum>
  <w:abstractNum w:abstractNumId="2" w15:restartNumberingAfterBreak="0">
    <w:nsid w:val="50742DB9"/>
    <w:multiLevelType w:val="multilevel"/>
    <w:tmpl w:val="B66CDFE0"/>
    <w:lvl w:ilvl="0">
      <w:start w:val="1"/>
      <w:numFmt w:val="bullet"/>
      <w:lvlText w:val="o"/>
      <w:lvlJc w:val="left"/>
      <w:pPr>
        <w:ind w:left="1656" w:hanging="432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80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8" w:hanging="86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23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6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08" w:hanging="1584"/>
      </w:pPr>
      <w:rPr>
        <w:rFonts w:cs="Times New Roman" w:hint="default"/>
      </w:rPr>
    </w:lvl>
  </w:abstractNum>
  <w:abstractNum w:abstractNumId="3" w15:restartNumberingAfterBreak="0">
    <w:nsid w:val="745C452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A7"/>
    <w:rsid w:val="000007B6"/>
    <w:rsid w:val="00026E89"/>
    <w:rsid w:val="00035740"/>
    <w:rsid w:val="00062A1E"/>
    <w:rsid w:val="0006745B"/>
    <w:rsid w:val="0010102E"/>
    <w:rsid w:val="0010541D"/>
    <w:rsid w:val="00142440"/>
    <w:rsid w:val="001B7336"/>
    <w:rsid w:val="00200D81"/>
    <w:rsid w:val="00211486"/>
    <w:rsid w:val="002661B7"/>
    <w:rsid w:val="00275FB4"/>
    <w:rsid w:val="002A008E"/>
    <w:rsid w:val="002B26BB"/>
    <w:rsid w:val="002F0ED9"/>
    <w:rsid w:val="00303156"/>
    <w:rsid w:val="003530EC"/>
    <w:rsid w:val="003561EE"/>
    <w:rsid w:val="0036200D"/>
    <w:rsid w:val="00372427"/>
    <w:rsid w:val="0038107B"/>
    <w:rsid w:val="003B1189"/>
    <w:rsid w:val="00425FCD"/>
    <w:rsid w:val="00430995"/>
    <w:rsid w:val="00435B2F"/>
    <w:rsid w:val="00441404"/>
    <w:rsid w:val="004D449B"/>
    <w:rsid w:val="004D6675"/>
    <w:rsid w:val="00502338"/>
    <w:rsid w:val="005C3F38"/>
    <w:rsid w:val="00604CF7"/>
    <w:rsid w:val="00632985"/>
    <w:rsid w:val="00636504"/>
    <w:rsid w:val="00646BB9"/>
    <w:rsid w:val="00690574"/>
    <w:rsid w:val="006B7702"/>
    <w:rsid w:val="00764A8B"/>
    <w:rsid w:val="00787DA7"/>
    <w:rsid w:val="007A1E42"/>
    <w:rsid w:val="007C4B00"/>
    <w:rsid w:val="00842DFA"/>
    <w:rsid w:val="008476C4"/>
    <w:rsid w:val="008B13EE"/>
    <w:rsid w:val="008D5787"/>
    <w:rsid w:val="008F2188"/>
    <w:rsid w:val="00916F71"/>
    <w:rsid w:val="00955509"/>
    <w:rsid w:val="00972000"/>
    <w:rsid w:val="009865FB"/>
    <w:rsid w:val="009873D3"/>
    <w:rsid w:val="009B292F"/>
    <w:rsid w:val="009E2D25"/>
    <w:rsid w:val="009F643F"/>
    <w:rsid w:val="00A37633"/>
    <w:rsid w:val="00A71862"/>
    <w:rsid w:val="00A80A23"/>
    <w:rsid w:val="00A869C0"/>
    <w:rsid w:val="00A95025"/>
    <w:rsid w:val="00AB0968"/>
    <w:rsid w:val="00B13B90"/>
    <w:rsid w:val="00B7502B"/>
    <w:rsid w:val="00BA34F4"/>
    <w:rsid w:val="00C13F19"/>
    <w:rsid w:val="00C33CE0"/>
    <w:rsid w:val="00D10272"/>
    <w:rsid w:val="00DC5577"/>
    <w:rsid w:val="00E14919"/>
    <w:rsid w:val="00E21E03"/>
    <w:rsid w:val="00E94CB7"/>
    <w:rsid w:val="00EC15A0"/>
    <w:rsid w:val="00F257AC"/>
    <w:rsid w:val="00F361FA"/>
    <w:rsid w:val="03BFBA0D"/>
    <w:rsid w:val="1EAA9652"/>
    <w:rsid w:val="1FD570BF"/>
    <w:rsid w:val="22439B6D"/>
    <w:rsid w:val="29828382"/>
    <w:rsid w:val="30ED971C"/>
    <w:rsid w:val="3EFB7EFF"/>
    <w:rsid w:val="4283E419"/>
    <w:rsid w:val="42ECFD4A"/>
    <w:rsid w:val="49BBF1F4"/>
    <w:rsid w:val="4A7831D3"/>
    <w:rsid w:val="4B68EFB8"/>
    <w:rsid w:val="4C073284"/>
    <w:rsid w:val="5017E7DA"/>
    <w:rsid w:val="50323755"/>
    <w:rsid w:val="507A7837"/>
    <w:rsid w:val="54C19C0F"/>
    <w:rsid w:val="576E16D3"/>
    <w:rsid w:val="5C407955"/>
    <w:rsid w:val="5CD18641"/>
    <w:rsid w:val="639C8690"/>
    <w:rsid w:val="682D23C0"/>
    <w:rsid w:val="6AB6AA98"/>
    <w:rsid w:val="6EB90C0B"/>
    <w:rsid w:val="6FDD5EE8"/>
    <w:rsid w:val="71B473D2"/>
    <w:rsid w:val="78A4EB97"/>
    <w:rsid w:val="7A4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32505BC"/>
  <w15:chartTrackingRefBased/>
  <w15:docId w15:val="{9F4490C3-C706-4CAF-BACF-3774AB71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DA7"/>
  </w:style>
  <w:style w:type="paragraph" w:styleId="Footer">
    <w:name w:val="footer"/>
    <w:basedOn w:val="Normal"/>
    <w:link w:val="FooterChar"/>
    <w:uiPriority w:val="99"/>
    <w:unhideWhenUsed/>
    <w:rsid w:val="00787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DA7"/>
  </w:style>
  <w:style w:type="paragraph" w:styleId="FootnoteText">
    <w:name w:val="footnote text"/>
    <w:basedOn w:val="Normal"/>
    <w:link w:val="FootnoteTextChar"/>
    <w:semiHidden/>
    <w:rsid w:val="00787DA7"/>
    <w:pPr>
      <w:spacing w:after="0" w:line="240" w:lineRule="auto"/>
    </w:pPr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7DA7"/>
    <w:rPr>
      <w:rFonts w:ascii="Arial" w:eastAsia="Times New Roman" w:hAnsi="Arial" w:cs="Times New Roman"/>
      <w:color w:val="40404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DA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4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91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30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20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A6A1460CFDC49A0A6EF7D0997F2FC" ma:contentTypeVersion="11" ma:contentTypeDescription="Create a new document." ma:contentTypeScope="" ma:versionID="79428542c554e3bd22d3412d99cb4158">
  <xsd:schema xmlns:xsd="http://www.w3.org/2001/XMLSchema" xmlns:xs="http://www.w3.org/2001/XMLSchema" xmlns:p="http://schemas.microsoft.com/office/2006/metadata/properties" xmlns:ns2="3bf330ff-a67c-4e2e-a2c7-c4d8290980c0" xmlns:ns3="8885d047-c88c-41a6-b8f3-9efabc51400d" targetNamespace="http://schemas.microsoft.com/office/2006/metadata/properties" ma:root="true" ma:fieldsID="d93c93565c144ad69fcba73f4ca76c33" ns2:_="" ns3:_="">
    <xsd:import namespace="3bf330ff-a67c-4e2e-a2c7-c4d8290980c0"/>
    <xsd:import namespace="8885d047-c88c-41a6-b8f3-9efabc514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330ff-a67c-4e2e-a2c7-c4d829098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5d047-c88c-41a6-b8f3-9efabc514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85d047-c88c-41a6-b8f3-9efabc51400d">
      <UserInfo>
        <DisplayName>Brooke Borghetti</DisplayName>
        <AccountId>911</AccountId>
        <AccountType/>
      </UserInfo>
      <UserInfo>
        <DisplayName>Belinda Harvey</DisplayName>
        <AccountId>584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D1DD-1464-4C17-91A0-899E91CBC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330ff-a67c-4e2e-a2c7-c4d8290980c0"/>
    <ds:schemaRef ds:uri="8885d047-c88c-41a6-b8f3-9efabc514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F924A-3A7B-49D9-87FD-5E0DC23F14A9}">
  <ds:schemaRefs>
    <ds:schemaRef ds:uri="http://schemas.microsoft.com/office/2006/metadata/properties"/>
    <ds:schemaRef ds:uri="http://schemas.microsoft.com/office/infopath/2007/PartnerControls"/>
    <ds:schemaRef ds:uri="8885d047-c88c-41a6-b8f3-9efabc51400d"/>
  </ds:schemaRefs>
</ds:datastoreItem>
</file>

<file path=customXml/itemProps3.xml><?xml version="1.0" encoding="utf-8"?>
<ds:datastoreItem xmlns:ds="http://schemas.openxmlformats.org/officeDocument/2006/customXml" ds:itemID="{3C5D7F80-62F8-42C4-B338-30239482B4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57EE0-E73A-4D8C-996C-CAC6D920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1204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Clark</dc:creator>
  <cp:keywords/>
  <dc:description/>
  <cp:lastModifiedBy>Louise Edwards</cp:lastModifiedBy>
  <cp:revision>2</cp:revision>
  <dcterms:created xsi:type="dcterms:W3CDTF">2020-10-13T06:57:00Z</dcterms:created>
  <dcterms:modified xsi:type="dcterms:W3CDTF">2020-10-13T06:57:00Z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0x010100AC0A6A1460CFDC49A0A6EF7D0997F2FC</vt:lpwstr>
  </property>
</Properties>
</file>