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4" w:rsidRPr="00035740" w:rsidRDefault="00690574" w:rsidP="00690574">
      <w:pPr>
        <w:spacing w:after="0" w:line="276" w:lineRule="auto"/>
        <w:contextualSpacing/>
        <w:jc w:val="center"/>
        <w:rPr>
          <w:rFonts w:ascii="Book Antiqua" w:eastAsia="Calibri" w:hAnsi="Book Antiqua" w:cs="Arial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2B349187" wp14:editId="1ABFB479">
            <wp:extent cx="1123950" cy="1123950"/>
            <wp:effectExtent l="0" t="0" r="0" b="0"/>
            <wp:docPr id="3" name="Picture 3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574" w:rsidRPr="00035740" w:rsidRDefault="00690574" w:rsidP="00690574">
      <w:pPr>
        <w:spacing w:after="0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035740">
        <w:rPr>
          <w:rFonts w:ascii="Book Antiqua" w:eastAsia="Times New Roman" w:hAnsi="Book Antiqua" w:cs="Times New Roman"/>
          <w:b/>
          <w:bCs/>
          <w:sz w:val="24"/>
          <w:szCs w:val="24"/>
        </w:rPr>
        <w:t>Notice to the Profession</w:t>
      </w:r>
    </w:p>
    <w:p w:rsidR="00690574" w:rsidRPr="00035740" w:rsidRDefault="00665999" w:rsidP="00690574">
      <w:pPr>
        <w:spacing w:after="0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>Corporations List – Hybrid proceedings</w:t>
      </w:r>
    </w:p>
    <w:p w:rsidR="00690574" w:rsidRPr="00035740" w:rsidRDefault="00690574" w:rsidP="00787DA7">
      <w:pPr>
        <w:spacing w:after="0" w:line="276" w:lineRule="auto"/>
        <w:contextualSpacing/>
        <w:jc w:val="both"/>
        <w:rPr>
          <w:rFonts w:ascii="Book Antiqua" w:eastAsia="Calibri" w:hAnsi="Book Antiqua" w:cs="Arial"/>
          <w:b/>
          <w:sz w:val="24"/>
          <w:szCs w:val="24"/>
        </w:rPr>
      </w:pPr>
    </w:p>
    <w:p w:rsidR="00A95025" w:rsidRPr="00A95025" w:rsidRDefault="00A95025" w:rsidP="00A9502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A95025">
        <w:rPr>
          <w:rFonts w:ascii="Times New Roman" w:eastAsia="Calibri" w:hAnsi="Times New Roman" w:cs="Times New Roman"/>
          <w:sz w:val="24"/>
          <w:szCs w:val="24"/>
        </w:rPr>
        <w:t>The Chief Justice has authorised the issue of the following notice.</w:t>
      </w:r>
    </w:p>
    <w:p w:rsidR="00A95025" w:rsidRPr="00A95025" w:rsidRDefault="00A95025" w:rsidP="00A95025">
      <w:pPr>
        <w:tabs>
          <w:tab w:val="left" w:pos="5818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502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95025" w:rsidRPr="00A95025" w:rsidRDefault="00665999" w:rsidP="00A9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n-AU"/>
        </w:rPr>
        <w:t>Hybrid proceedings filed in the Corporations List</w:t>
      </w:r>
      <w:r w:rsidR="00A95025">
        <w:rPr>
          <w:rFonts w:ascii="Times New Roman" w:eastAsia="Times New Roman" w:hAnsi="Times New Roman" w:cs="Times New Roman"/>
          <w:b/>
          <w:sz w:val="28"/>
          <w:szCs w:val="24"/>
          <w:lang w:eastAsia="en-AU"/>
        </w:rPr>
        <w:t xml:space="preserve"> in the Supreme Court of Victoria</w:t>
      </w:r>
    </w:p>
    <w:p w:rsidR="00A95025" w:rsidRPr="00A95025" w:rsidRDefault="00A95025" w:rsidP="00A9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AU"/>
        </w:rPr>
      </w:pPr>
    </w:p>
    <w:p w:rsidR="00BB2E57" w:rsidRDefault="00591D08" w:rsidP="00A95025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from the date of this Notice,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proceedings</w:t>
      </w: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F640D">
        <w:rPr>
          <w:rFonts w:ascii="Times New Roman" w:eastAsia="Times New Roman" w:hAnsi="Times New Roman" w:cs="Times New Roman"/>
          <w:sz w:val="24"/>
          <w:szCs w:val="24"/>
          <w:lang w:eastAsia="en-AU"/>
        </w:rPr>
        <w:t>initiated</w:t>
      </w: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Corporations List</w:t>
      </w:r>
      <w:r w:rsidR="003154B6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AU"/>
        </w:rPr>
        <w:footnoteReference w:id="1"/>
      </w: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</w:t>
      </w:r>
      <w:r w:rsidR="009F02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span </w:t>
      </w: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across the jurisdiction of Judges </w:t>
      </w:r>
      <w:r w:rsid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Associate Judges </w:t>
      </w:r>
      <w:r w:rsidR="00BB2E57">
        <w:rPr>
          <w:rFonts w:ascii="Times New Roman" w:eastAsia="Times New Roman" w:hAnsi="Times New Roman" w:cs="Times New Roman"/>
          <w:sz w:val="24"/>
          <w:szCs w:val="24"/>
          <w:lang w:eastAsia="en-AU"/>
        </w:rPr>
        <w:t>(</w:t>
      </w:r>
      <w:r w:rsidR="00BB2E57" w:rsidRPr="002E65D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Hybrid Proceedings</w:t>
      </w:r>
      <w:r w:rsidR="00BB2E5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641E2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should </w:t>
      </w: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>be filed in the Corporations List for Judge-management</w:t>
      </w:r>
      <w:r w:rsidR="009F020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F02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bookmarkEnd w:id="0"/>
    <w:p w:rsidR="009F020A" w:rsidRDefault="009F020A" w:rsidP="009F020A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154B6">
        <w:rPr>
          <w:rFonts w:ascii="Times New Roman" w:eastAsia="Times New Roman" w:hAnsi="Times New Roman" w:cs="Times New Roman"/>
          <w:sz w:val="24"/>
          <w:szCs w:val="24"/>
          <w:lang w:eastAsia="en-AU"/>
        </w:rPr>
        <w:t>Practitioners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</w:t>
      </w:r>
      <w:r w:rsidRPr="003154B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parties initiating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these types of proceedings </w:t>
      </w:r>
      <w:r w:rsidRPr="00995351">
        <w:rPr>
          <w:rFonts w:ascii="Times New Roman" w:eastAsia="Times New Roman" w:hAnsi="Times New Roman" w:cs="Times New Roman"/>
          <w:sz w:val="24"/>
          <w:szCs w:val="24"/>
          <w:lang w:eastAsia="en-AU"/>
        </w:rPr>
        <w:t>should select “Corporations List (Judge-managed)” in the</w:t>
      </w:r>
      <w:r w:rsidRPr="003154B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Case Type field</w:t>
      </w:r>
      <w:r w:rsidR="0084467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when filing on RedC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rest</w:t>
      </w:r>
      <w:r w:rsidRPr="003154B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E176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  <w:r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Practice Note </w:t>
      </w:r>
      <w:hyperlink r:id="rId12" w:history="1">
        <w:r w:rsidRPr="00F8509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AU"/>
          </w:rPr>
          <w:t>SC CC 1 Commercial Court (First Revision)</w:t>
        </w:r>
      </w:hyperlink>
      <w:r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provides</w:t>
      </w:r>
      <w:r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guidance on the management of proceedings in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Commercial </w:t>
      </w:r>
      <w:r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Court. </w:t>
      </w:r>
    </w:p>
    <w:p w:rsidR="003530EC" w:rsidRDefault="009F020A" w:rsidP="00A95025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Depending upon the nature</w:t>
      </w:r>
      <w:r w:rsidR="0087049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complexity of the proceeding, the amount in dispute and any other relevant information, the Judge in Charge of the Corporations List </w:t>
      </w:r>
      <w:r w:rsidR="0026357E">
        <w:rPr>
          <w:rFonts w:ascii="Times New Roman" w:eastAsia="Times New Roman" w:hAnsi="Times New Roman" w:cs="Times New Roman"/>
          <w:sz w:val="24"/>
          <w:szCs w:val="24"/>
          <w:lang w:eastAsia="en-AU"/>
        </w:rPr>
        <w:t>may</w:t>
      </w:r>
      <w:r w:rsidR="00591D08"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refer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suitable proceedings </w:t>
      </w:r>
      <w:r w:rsid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to an Associate Judge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Judicial Registrar </w:t>
      </w:r>
      <w:r w:rsid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>for management</w:t>
      </w:r>
      <w:r w:rsidR="0026357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and/or hearing</w:t>
      </w:r>
      <w:r w:rsidR="00A95025" w:rsidRPr="00591D0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3154B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:rsidR="00275FB4" w:rsidRDefault="00AF640D" w:rsidP="00FA560F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F8509B"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existing fee structure as set out in Part 1 of the </w:t>
      </w:r>
      <w:hyperlink r:id="rId13" w:history="1">
        <w:r w:rsidR="007818D5" w:rsidRPr="007818D5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eastAsia="en-AU"/>
          </w:rPr>
          <w:t>Supreme Court (Fees) Regulations 2018</w:t>
        </w:r>
      </w:hyperlink>
      <w:r w:rsid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>shall continue</w:t>
      </w:r>
      <w:r w:rsidR="00F8509B"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apply. Practitioners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>parties</w:t>
      </w:r>
      <w:r w:rsidR="00F8509B"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are advised </w:t>
      </w:r>
      <w:r w:rsid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>that they may apply for a refund of the Entry to List Fee paid where a</w:t>
      </w:r>
      <w:r w:rsidR="00F8509B" w:rsidRPr="00F8509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proceeding </w:t>
      </w:r>
      <w:r w:rsidR="008932F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</w:t>
      </w:r>
      <w:r w:rsid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referred to an Associate Judge </w:t>
      </w:r>
      <w:r w:rsidR="003342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Judicial Registrar </w:t>
      </w:r>
      <w:r w:rsid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>for management</w:t>
      </w:r>
      <w:r w:rsidR="007818D5" w:rsidRP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3415A7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en-AU"/>
        </w:rPr>
        <w:footnoteReference w:id="2"/>
      </w:r>
      <w:r w:rsidR="007818D5" w:rsidRPr="007818D5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8342D2" w:rsidRDefault="00B0297A" w:rsidP="008342D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Consistent with rules 16.3 and 16B.3 of the </w:t>
      </w:r>
      <w:r w:rsidRPr="00DD5E0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Supreme Court (Corporations) Rules 2013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 t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his Notice </w:t>
      </w:r>
      <w:r w:rsidR="008342D2" w:rsidRPr="00BB2E57">
        <w:rPr>
          <w:rFonts w:ascii="Times New Roman" w:eastAsia="Times New Roman" w:hAnsi="Times New Roman" w:cs="Times New Roman"/>
          <w:sz w:val="24"/>
          <w:szCs w:val="24"/>
          <w:lang w:eastAsia="en-AU"/>
        </w:rPr>
        <w:t>does not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apply to proceedings which are solely within the jurisdiction of Associate Judges and Judicial Registrars.  Practitioners or parties initiating these type of proceedings should continue to select 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“Corporations List (As</w:t>
      </w:r>
      <w:r w:rsidR="00454C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sociate 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>J</w:t>
      </w:r>
      <w:r w:rsidR="00454CDA">
        <w:rPr>
          <w:rFonts w:ascii="Times New Roman" w:eastAsia="Times New Roman" w:hAnsi="Times New Roman" w:cs="Times New Roman"/>
          <w:sz w:val="24"/>
          <w:szCs w:val="24"/>
          <w:lang w:eastAsia="en-AU"/>
        </w:rPr>
        <w:t>udge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>/J</w:t>
      </w:r>
      <w:r w:rsidR="00454CD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udicial 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>R</w:t>
      </w:r>
      <w:r w:rsidR="00454CDA">
        <w:rPr>
          <w:rFonts w:ascii="Times New Roman" w:eastAsia="Times New Roman" w:hAnsi="Times New Roman" w:cs="Times New Roman"/>
          <w:sz w:val="24"/>
          <w:szCs w:val="24"/>
          <w:lang w:eastAsia="en-AU"/>
        </w:rPr>
        <w:t>egistrar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managed)” in the Cas</w:t>
      </w:r>
      <w:r w:rsidR="00844675">
        <w:rPr>
          <w:rFonts w:ascii="Times New Roman" w:eastAsia="Times New Roman" w:hAnsi="Times New Roman" w:cs="Times New Roman"/>
          <w:sz w:val="24"/>
          <w:szCs w:val="24"/>
          <w:lang w:eastAsia="en-AU"/>
        </w:rPr>
        <w:t>e Type field when filing on RedC</w:t>
      </w:r>
      <w:r w:rsidR="008342D2">
        <w:rPr>
          <w:rFonts w:ascii="Times New Roman" w:eastAsia="Times New Roman" w:hAnsi="Times New Roman" w:cs="Times New Roman"/>
          <w:sz w:val="24"/>
          <w:szCs w:val="24"/>
          <w:lang w:eastAsia="en-AU"/>
        </w:rPr>
        <w:t>rest.</w:t>
      </w:r>
    </w:p>
    <w:p w:rsidR="008342D2" w:rsidRPr="00035740" w:rsidRDefault="008342D2" w:rsidP="00FA560F">
      <w:pPr>
        <w:spacing w:before="120" w:after="240" w:line="360" w:lineRule="auto"/>
        <w:jc w:val="both"/>
        <w:rPr>
          <w:rFonts w:ascii="Book Antiqua" w:eastAsia="Times New Roman" w:hAnsi="Book Antiqua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</w:t>
      </w:r>
    </w:p>
    <w:p w:rsidR="00035740" w:rsidRPr="00275FB4" w:rsidRDefault="00035740" w:rsidP="00035740">
      <w:pPr>
        <w:spacing w:before="120" w:after="12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275FB4">
        <w:rPr>
          <w:rFonts w:ascii="Times New Roman" w:hAnsi="Times New Roman" w:cs="Times New Roman"/>
          <w:sz w:val="24"/>
          <w:szCs w:val="24"/>
        </w:rPr>
        <w:t>Vivienne Macgillivray</w:t>
      </w:r>
    </w:p>
    <w:p w:rsidR="00035740" w:rsidRPr="00275FB4" w:rsidRDefault="00035740" w:rsidP="00035740">
      <w:pPr>
        <w:spacing w:before="120" w:after="12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275FB4">
        <w:rPr>
          <w:rFonts w:ascii="Times New Roman" w:hAnsi="Times New Roman" w:cs="Times New Roman"/>
          <w:sz w:val="24"/>
          <w:szCs w:val="24"/>
        </w:rPr>
        <w:t>Executive Associate to the Chief Justice</w:t>
      </w:r>
    </w:p>
    <w:p w:rsidR="00035740" w:rsidRPr="00275FB4" w:rsidRDefault="00844675" w:rsidP="00035740">
      <w:pPr>
        <w:spacing w:before="120" w:after="120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3BFBA0D" w:rsidRPr="00844675">
        <w:rPr>
          <w:rFonts w:ascii="Times New Roman" w:hAnsi="Times New Roman" w:cs="Times New Roman"/>
          <w:sz w:val="24"/>
          <w:szCs w:val="24"/>
        </w:rPr>
        <w:t xml:space="preserve"> </w:t>
      </w:r>
      <w:r w:rsidR="002E65D2" w:rsidRPr="00844675">
        <w:rPr>
          <w:rFonts w:ascii="Times New Roman" w:hAnsi="Times New Roman" w:cs="Times New Roman"/>
          <w:sz w:val="24"/>
          <w:szCs w:val="24"/>
        </w:rPr>
        <w:t xml:space="preserve">December </w:t>
      </w:r>
      <w:r w:rsidR="00372427" w:rsidRPr="00844675">
        <w:rPr>
          <w:rFonts w:ascii="Times New Roman" w:hAnsi="Times New Roman" w:cs="Times New Roman"/>
          <w:sz w:val="24"/>
          <w:szCs w:val="24"/>
        </w:rPr>
        <w:t>2020</w:t>
      </w:r>
    </w:p>
    <w:sectPr w:rsidR="00035740" w:rsidRPr="00275FB4" w:rsidSect="00F027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43" w:bottom="1418" w:left="1440" w:header="709" w:footer="851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3A8EB6" w16cex:dateUtc="2020-09-23T06:10:06.857Z"/>
  <w16cex:commentExtensible w16cex:durableId="49D0ADFF" w16cex:dateUtc="2020-09-23T08:04:33.598Z"/>
  <w16cex:commentExtensible w16cex:durableId="027B4DB6" w16cex:dateUtc="2020-09-23T23:37:38.905Z"/>
  <w16cex:commentExtensible w16cex:durableId="7199D522" w16cex:dateUtc="2020-09-24T01:45:01.4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098175C" w16cid:durableId="0E3A8EB6"/>
  <w16cid:commentId w16cid:paraId="3A13A475" w16cid:durableId="49D0ADFF"/>
  <w16cid:commentId w16cid:paraId="5801E46C" w16cid:durableId="027B4DB6"/>
  <w16cid:commentId w16cid:paraId="003609B5" w16cid:durableId="7199D5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84" w:rsidRDefault="008E4084" w:rsidP="00787DA7">
      <w:pPr>
        <w:spacing w:after="0" w:line="240" w:lineRule="auto"/>
      </w:pPr>
      <w:r>
        <w:separator/>
      </w:r>
    </w:p>
  </w:endnote>
  <w:endnote w:type="continuationSeparator" w:id="0">
    <w:p w:rsidR="008E4084" w:rsidRDefault="008E4084" w:rsidP="0078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B" w:rsidRDefault="00067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A" w:rsidRDefault="008E4084" w:rsidP="00BF1BCC">
    <w:pPr>
      <w:pStyle w:val="Footer"/>
      <w:tabs>
        <w:tab w:val="right" w:pos="9360"/>
      </w:tabs>
      <w:rPr>
        <w:noProof/>
        <w:lang w:eastAsia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B" w:rsidRDefault="00067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84" w:rsidRDefault="008E4084" w:rsidP="00787DA7">
      <w:pPr>
        <w:spacing w:after="0" w:line="240" w:lineRule="auto"/>
      </w:pPr>
      <w:r>
        <w:separator/>
      </w:r>
    </w:p>
  </w:footnote>
  <w:footnote w:type="continuationSeparator" w:id="0">
    <w:p w:rsidR="008E4084" w:rsidRDefault="008E4084" w:rsidP="00787DA7">
      <w:pPr>
        <w:spacing w:after="0" w:line="240" w:lineRule="auto"/>
      </w:pPr>
      <w:r>
        <w:continuationSeparator/>
      </w:r>
    </w:p>
  </w:footnote>
  <w:footnote w:id="1">
    <w:p w:rsidR="003154B6" w:rsidRPr="0092256A" w:rsidRDefault="003154B6" w:rsidP="009225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256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2256A">
        <w:rPr>
          <w:rFonts w:ascii="Times New Roman" w:hAnsi="Times New Roman" w:cs="Times New Roman"/>
          <w:sz w:val="16"/>
          <w:szCs w:val="16"/>
        </w:rPr>
        <w:t xml:space="preserve"> </w:t>
      </w:r>
      <w:r w:rsidRPr="0092256A">
        <w:rPr>
          <w:rFonts w:ascii="Times New Roman" w:eastAsia="Times New Roman" w:hAnsi="Times New Roman" w:cs="Times New Roman"/>
          <w:sz w:val="16"/>
          <w:szCs w:val="16"/>
          <w:lang w:eastAsia="en-AU"/>
        </w:rPr>
        <w:t>The Corporations List is suitable for applications including those brought under the </w:t>
      </w:r>
      <w:r w:rsidRPr="0092256A">
        <w:rPr>
          <w:rFonts w:ascii="Times New Roman" w:eastAsia="Times New Roman" w:hAnsi="Times New Roman" w:cs="Times New Roman"/>
          <w:i/>
          <w:iCs/>
          <w:sz w:val="16"/>
          <w:szCs w:val="16"/>
          <w:lang w:eastAsia="en-AU"/>
        </w:rPr>
        <w:t>Corporations Act 2001 </w:t>
      </w:r>
      <w:r w:rsidRPr="0092256A">
        <w:rPr>
          <w:rFonts w:ascii="Times New Roman" w:eastAsia="Times New Roman" w:hAnsi="Times New Roman" w:cs="Times New Roman"/>
          <w:sz w:val="16"/>
          <w:szCs w:val="16"/>
          <w:lang w:eastAsia="en-AU"/>
        </w:rPr>
        <w:t>(Cth), the </w:t>
      </w:r>
      <w:r w:rsidRPr="0092256A">
        <w:rPr>
          <w:rFonts w:ascii="Times New Roman" w:eastAsia="Times New Roman" w:hAnsi="Times New Roman" w:cs="Times New Roman"/>
          <w:i/>
          <w:iCs/>
          <w:sz w:val="16"/>
          <w:szCs w:val="16"/>
          <w:lang w:eastAsia="en-AU"/>
        </w:rPr>
        <w:t>Australian Securities and Investments Commission Act 2001 </w:t>
      </w:r>
      <w:r w:rsidRPr="0092256A">
        <w:rPr>
          <w:rFonts w:ascii="Times New Roman" w:eastAsia="Times New Roman" w:hAnsi="Times New Roman" w:cs="Times New Roman"/>
          <w:sz w:val="16"/>
          <w:szCs w:val="16"/>
          <w:lang w:eastAsia="en-AU"/>
        </w:rPr>
        <w:t>(Cth), and the </w:t>
      </w:r>
      <w:r w:rsidRPr="0092256A">
        <w:rPr>
          <w:rFonts w:ascii="Times New Roman" w:eastAsia="Times New Roman" w:hAnsi="Times New Roman" w:cs="Times New Roman"/>
          <w:i/>
          <w:iCs/>
          <w:sz w:val="16"/>
          <w:szCs w:val="16"/>
          <w:lang w:eastAsia="en-AU"/>
        </w:rPr>
        <w:t>Cross-Border Insolvency Act 2008</w:t>
      </w:r>
      <w:r w:rsidRPr="0092256A">
        <w:rPr>
          <w:rFonts w:ascii="Times New Roman" w:eastAsia="Times New Roman" w:hAnsi="Times New Roman" w:cs="Times New Roman"/>
          <w:sz w:val="16"/>
          <w:szCs w:val="16"/>
          <w:lang w:eastAsia="en-AU"/>
        </w:rPr>
        <w:t> (Cth).</w:t>
      </w:r>
    </w:p>
  </w:footnote>
  <w:footnote w:id="2">
    <w:p w:rsidR="003415A7" w:rsidRPr="003903C0" w:rsidRDefault="003415A7">
      <w:pPr>
        <w:pStyle w:val="FootnoteText"/>
        <w:rPr>
          <w:rFonts w:ascii="Times New Roman" w:hAnsi="Times New Roman"/>
          <w:sz w:val="16"/>
          <w:szCs w:val="16"/>
        </w:rPr>
      </w:pPr>
      <w:r w:rsidRPr="0092256A">
        <w:rPr>
          <w:rStyle w:val="FootnoteReference"/>
          <w:rFonts w:ascii="Times New Roman" w:hAnsi="Times New Roman"/>
          <w:color w:val="auto"/>
          <w:sz w:val="16"/>
          <w:szCs w:val="16"/>
        </w:rPr>
        <w:footnoteRef/>
      </w:r>
      <w:r w:rsidRPr="0092256A">
        <w:rPr>
          <w:rFonts w:ascii="Times New Roman" w:hAnsi="Times New Roman"/>
          <w:color w:val="auto"/>
          <w:sz w:val="16"/>
          <w:szCs w:val="16"/>
        </w:rPr>
        <w:t xml:space="preserve"> Practitioners are not entitled to a refund on Oppression Proceeding Program matters as, while they may be initially referred to an Associate Judge or Judicial Registrar, they remain under the management of </w:t>
      </w:r>
      <w:r w:rsidR="00697A5B" w:rsidRPr="0092256A">
        <w:rPr>
          <w:rFonts w:ascii="Times New Roman" w:hAnsi="Times New Roman"/>
          <w:color w:val="auto"/>
          <w:sz w:val="16"/>
          <w:szCs w:val="16"/>
        </w:rPr>
        <w:t xml:space="preserve">the Corporations List Managing </w:t>
      </w:r>
      <w:r w:rsidRPr="0092256A">
        <w:rPr>
          <w:rFonts w:ascii="Times New Roman" w:hAnsi="Times New Roman"/>
          <w:color w:val="auto"/>
          <w:sz w:val="16"/>
          <w:szCs w:val="16"/>
        </w:rPr>
        <w:t>Judge.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B" w:rsidRDefault="00067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3A" w:rsidRPr="005E5367" w:rsidRDefault="00690574" w:rsidP="33A5F0C2">
    <w:pPr>
      <w:pStyle w:val="Header"/>
      <w:jc w:val="right"/>
      <w:rPr>
        <w:sz w:val="18"/>
        <w:szCs w:val="18"/>
      </w:rPr>
    </w:pPr>
    <w:bookmarkStart w:id="1" w:name="OLE_LINK1"/>
    <w:bookmarkStart w:id="2" w:name="OLE_LINK2"/>
    <w:bookmarkStart w:id="3" w:name="_Hlk362347926"/>
    <w:r>
      <w:rPr>
        <w:sz w:val="20"/>
        <w:szCs w:val="20"/>
      </w:rPr>
      <w:t xml:space="preserve">      </w:t>
    </w:r>
    <w:r w:rsidRPr="005E5367">
      <w:rPr>
        <w:sz w:val="18"/>
        <w:szCs w:val="18"/>
      </w:rPr>
      <w:t xml:space="preserve">Supreme Court of </w:t>
    </w:r>
    <w:smartTag w:uri="urn:schemas-microsoft-com:office:smarttags" w:element="place">
      <w:smartTag w:uri="urn:schemas-microsoft-com:office:smarttags" w:element="State">
        <w:r w:rsidRPr="005E5367">
          <w:rPr>
            <w:sz w:val="18"/>
            <w:szCs w:val="18"/>
          </w:rPr>
          <w:t>Victoria</w:t>
        </w:r>
      </w:smartTag>
    </w:smartTag>
  </w:p>
  <w:p w:rsidR="008B163A" w:rsidRPr="00834F25" w:rsidRDefault="00690574" w:rsidP="00536815">
    <w:pPr>
      <w:pStyle w:val="Header"/>
      <w:jc w:val="right"/>
      <w:rPr>
        <w:sz w:val="20"/>
        <w:szCs w:val="20"/>
      </w:rPr>
    </w:pPr>
    <w:r>
      <w:rPr>
        <w:noProof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E0EFEA6" wp14:editId="504C1D4A">
              <wp:simplePos x="0" y="0"/>
              <wp:positionH relativeFrom="column">
                <wp:posOffset>0</wp:posOffset>
              </wp:positionH>
              <wp:positionV relativeFrom="page">
                <wp:posOffset>685165</wp:posOffset>
              </wp:positionV>
              <wp:extent cx="6172200" cy="0"/>
              <wp:effectExtent l="9525" t="8890" r="9525" b="10160"/>
              <wp:wrapSquare wrapText="bothSides"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3E473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3.95pt" to="486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" strokecolor="#981e32" strokeweight="1pt">
              <w10:wrap type="square" anchory="page"/>
              <w10:anchorlock/>
            </v:line>
          </w:pict>
        </mc:Fallback>
      </mc:AlternateContent>
    </w:r>
  </w:p>
  <w:bookmarkEnd w:id="1"/>
  <w:bookmarkEnd w:id="2"/>
  <w:bookmarkEnd w:id="3"/>
  <w:p w:rsidR="008B163A" w:rsidRPr="004D32DB" w:rsidRDefault="008E4084" w:rsidP="00F66FFB">
    <w:pPr>
      <w:pStyle w:val="Header"/>
      <w:ind w:right="-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B" w:rsidRDefault="00067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2E8"/>
    <w:multiLevelType w:val="multilevel"/>
    <w:tmpl w:val="78C0F36A"/>
    <w:lvl w:ilvl="0">
      <w:start w:val="1"/>
      <w:numFmt w:val="bullet"/>
      <w:lvlText w:val=""/>
      <w:lvlJc w:val="left"/>
      <w:pPr>
        <w:ind w:left="1224" w:hanging="432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56" w:hanging="86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8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8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76" w:hanging="1584"/>
      </w:pPr>
      <w:rPr>
        <w:rFonts w:cs="Times New Roman" w:hint="default"/>
      </w:rPr>
    </w:lvl>
  </w:abstractNum>
  <w:abstractNum w:abstractNumId="1" w15:restartNumberingAfterBreak="0">
    <w:nsid w:val="50742DB9"/>
    <w:multiLevelType w:val="multilevel"/>
    <w:tmpl w:val="B66CDFE0"/>
    <w:lvl w:ilvl="0">
      <w:start w:val="1"/>
      <w:numFmt w:val="bullet"/>
      <w:lvlText w:val="o"/>
      <w:lvlJc w:val="left"/>
      <w:pPr>
        <w:ind w:left="1656" w:hanging="432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80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8" w:hanging="86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2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08" w:hanging="1584"/>
      </w:pPr>
      <w:rPr>
        <w:rFonts w:cs="Times New Roman" w:hint="default"/>
      </w:rPr>
    </w:lvl>
  </w:abstractNum>
  <w:abstractNum w:abstractNumId="2" w15:restartNumberingAfterBreak="0">
    <w:nsid w:val="745C452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7"/>
    <w:rsid w:val="000007B6"/>
    <w:rsid w:val="00026E89"/>
    <w:rsid w:val="00035740"/>
    <w:rsid w:val="00062A1E"/>
    <w:rsid w:val="0006745B"/>
    <w:rsid w:val="00081054"/>
    <w:rsid w:val="0010102E"/>
    <w:rsid w:val="0010541D"/>
    <w:rsid w:val="00142440"/>
    <w:rsid w:val="0019398C"/>
    <w:rsid w:val="001B7336"/>
    <w:rsid w:val="00211486"/>
    <w:rsid w:val="00215575"/>
    <w:rsid w:val="0026357E"/>
    <w:rsid w:val="00275FB4"/>
    <w:rsid w:val="002A008E"/>
    <w:rsid w:val="002B26BB"/>
    <w:rsid w:val="002E65D2"/>
    <w:rsid w:val="002F0ED9"/>
    <w:rsid w:val="002F5638"/>
    <w:rsid w:val="00303156"/>
    <w:rsid w:val="003154B6"/>
    <w:rsid w:val="003342AB"/>
    <w:rsid w:val="003415A7"/>
    <w:rsid w:val="003530EC"/>
    <w:rsid w:val="003561EE"/>
    <w:rsid w:val="00372427"/>
    <w:rsid w:val="0038107B"/>
    <w:rsid w:val="003903C0"/>
    <w:rsid w:val="003B1189"/>
    <w:rsid w:val="003B24EB"/>
    <w:rsid w:val="003D690D"/>
    <w:rsid w:val="00425FCD"/>
    <w:rsid w:val="00435B2F"/>
    <w:rsid w:val="00454CDA"/>
    <w:rsid w:val="004A2FE7"/>
    <w:rsid w:val="004D449B"/>
    <w:rsid w:val="004D6675"/>
    <w:rsid w:val="004F350C"/>
    <w:rsid w:val="005032EF"/>
    <w:rsid w:val="0055542F"/>
    <w:rsid w:val="00591D08"/>
    <w:rsid w:val="005C3F38"/>
    <w:rsid w:val="00604CF7"/>
    <w:rsid w:val="00632985"/>
    <w:rsid w:val="00636504"/>
    <w:rsid w:val="00641E27"/>
    <w:rsid w:val="00646BB9"/>
    <w:rsid w:val="00665999"/>
    <w:rsid w:val="00690574"/>
    <w:rsid w:val="00697A5B"/>
    <w:rsid w:val="007068A3"/>
    <w:rsid w:val="00710BE3"/>
    <w:rsid w:val="00764A8B"/>
    <w:rsid w:val="007818D5"/>
    <w:rsid w:val="00787DA7"/>
    <w:rsid w:val="007A1E42"/>
    <w:rsid w:val="007C4B00"/>
    <w:rsid w:val="007E0013"/>
    <w:rsid w:val="00804675"/>
    <w:rsid w:val="008342D2"/>
    <w:rsid w:val="00842DFA"/>
    <w:rsid w:val="00844675"/>
    <w:rsid w:val="00870492"/>
    <w:rsid w:val="008932FC"/>
    <w:rsid w:val="008D5787"/>
    <w:rsid w:val="008E1EB0"/>
    <w:rsid w:val="008E4084"/>
    <w:rsid w:val="008F2188"/>
    <w:rsid w:val="00916F71"/>
    <w:rsid w:val="0092256A"/>
    <w:rsid w:val="00950F0F"/>
    <w:rsid w:val="009535AA"/>
    <w:rsid w:val="00955509"/>
    <w:rsid w:val="009865FB"/>
    <w:rsid w:val="009873D3"/>
    <w:rsid w:val="00995351"/>
    <w:rsid w:val="009B292F"/>
    <w:rsid w:val="009E2D25"/>
    <w:rsid w:val="009E7C13"/>
    <w:rsid w:val="009F020A"/>
    <w:rsid w:val="009F643F"/>
    <w:rsid w:val="00A37633"/>
    <w:rsid w:val="00A71862"/>
    <w:rsid w:val="00A80A23"/>
    <w:rsid w:val="00A869C0"/>
    <w:rsid w:val="00A95025"/>
    <w:rsid w:val="00AB0968"/>
    <w:rsid w:val="00AC1EF3"/>
    <w:rsid w:val="00AF640D"/>
    <w:rsid w:val="00B0297A"/>
    <w:rsid w:val="00B13B90"/>
    <w:rsid w:val="00B7502B"/>
    <w:rsid w:val="00BA34F4"/>
    <w:rsid w:val="00BB2E57"/>
    <w:rsid w:val="00C13F19"/>
    <w:rsid w:val="00C33CE0"/>
    <w:rsid w:val="00CD384A"/>
    <w:rsid w:val="00CE0B5D"/>
    <w:rsid w:val="00D10272"/>
    <w:rsid w:val="00E14919"/>
    <w:rsid w:val="00E176F0"/>
    <w:rsid w:val="00E21E03"/>
    <w:rsid w:val="00E94CB7"/>
    <w:rsid w:val="00EC15A0"/>
    <w:rsid w:val="00F0492B"/>
    <w:rsid w:val="00F361FA"/>
    <w:rsid w:val="00F809E6"/>
    <w:rsid w:val="00F8509B"/>
    <w:rsid w:val="00F950EA"/>
    <w:rsid w:val="00FA560F"/>
    <w:rsid w:val="00FF22CF"/>
    <w:rsid w:val="03BFBA0D"/>
    <w:rsid w:val="1EAA9652"/>
    <w:rsid w:val="1FD570BF"/>
    <w:rsid w:val="22439B6D"/>
    <w:rsid w:val="29828382"/>
    <w:rsid w:val="30ED971C"/>
    <w:rsid w:val="3EFB7EFF"/>
    <w:rsid w:val="4283E419"/>
    <w:rsid w:val="42ECFD4A"/>
    <w:rsid w:val="49BBF1F4"/>
    <w:rsid w:val="4A7831D3"/>
    <w:rsid w:val="4B68EFB8"/>
    <w:rsid w:val="4C073284"/>
    <w:rsid w:val="5017E7DA"/>
    <w:rsid w:val="50323755"/>
    <w:rsid w:val="507A7837"/>
    <w:rsid w:val="54C19C0F"/>
    <w:rsid w:val="576E16D3"/>
    <w:rsid w:val="5C407955"/>
    <w:rsid w:val="5CD18641"/>
    <w:rsid w:val="639C8690"/>
    <w:rsid w:val="682D23C0"/>
    <w:rsid w:val="6AB6AA98"/>
    <w:rsid w:val="6EB90C0B"/>
    <w:rsid w:val="6FDD5EE8"/>
    <w:rsid w:val="71B473D2"/>
    <w:rsid w:val="78A4EB97"/>
    <w:rsid w:val="7A4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ADA55-B138-4945-94C4-95883FF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A7"/>
  </w:style>
  <w:style w:type="paragraph" w:styleId="Footer">
    <w:name w:val="footer"/>
    <w:basedOn w:val="Normal"/>
    <w:link w:val="FooterChar"/>
    <w:uiPriority w:val="99"/>
    <w:unhideWhenUsed/>
    <w:rsid w:val="00787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A7"/>
  </w:style>
  <w:style w:type="paragraph" w:styleId="FootnoteText">
    <w:name w:val="footnote text"/>
    <w:basedOn w:val="Normal"/>
    <w:link w:val="FootnoteTextChar"/>
    <w:semiHidden/>
    <w:rsid w:val="00787DA7"/>
    <w:pPr>
      <w:spacing w:after="0" w:line="240" w:lineRule="auto"/>
    </w:pPr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7DA7"/>
    <w:rPr>
      <w:rFonts w:ascii="Arial" w:eastAsia="Times New Roman" w:hAnsi="Arial" w:cs="Times New Roman"/>
      <w:color w:val="40404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D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9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0E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154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vic.gov.au/in-force/statutory-rules/supreme-court-fees-regulations-2018/00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upremecourt.vic.gov.au/law-and-practice/practice-notes/sc-cc-1-commercial-court-first-revis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8321b678dfe04cc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3dc794402b6a4fa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85d047-c88c-41a6-b8f3-9efabc51400d">
      <UserInfo>
        <DisplayName>Brooke Borghetti</DisplayName>
        <AccountId>911</AccountId>
        <AccountType/>
      </UserInfo>
      <UserInfo>
        <DisplayName>Belinda Harvey</DisplayName>
        <AccountId>584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A6A1460CFDC49A0A6EF7D0997F2FC" ma:contentTypeVersion="11" ma:contentTypeDescription="Create a new document." ma:contentTypeScope="" ma:versionID="79428542c554e3bd22d3412d99cb4158">
  <xsd:schema xmlns:xsd="http://www.w3.org/2001/XMLSchema" xmlns:xs="http://www.w3.org/2001/XMLSchema" xmlns:p="http://schemas.microsoft.com/office/2006/metadata/properties" xmlns:ns2="3bf330ff-a67c-4e2e-a2c7-c4d8290980c0" xmlns:ns3="8885d047-c88c-41a6-b8f3-9efabc51400d" targetNamespace="http://schemas.microsoft.com/office/2006/metadata/properties" ma:root="true" ma:fieldsID="d93c93565c144ad69fcba73f4ca76c33" ns2:_="" ns3:_="">
    <xsd:import namespace="3bf330ff-a67c-4e2e-a2c7-c4d8290980c0"/>
    <xsd:import namespace="8885d047-c88c-41a6-b8f3-9efabc514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30ff-a67c-4e2e-a2c7-c4d82909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D7F80-62F8-42C4-B338-30239482B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F924A-3A7B-49D9-87FD-5E0DC23F14A9}">
  <ds:schemaRefs>
    <ds:schemaRef ds:uri="http://schemas.microsoft.com/office/2006/metadata/properties"/>
    <ds:schemaRef ds:uri="http://schemas.microsoft.com/office/infopath/2007/PartnerControls"/>
    <ds:schemaRef ds:uri="8885d047-c88c-41a6-b8f3-9efabc51400d"/>
  </ds:schemaRefs>
</ds:datastoreItem>
</file>

<file path=customXml/itemProps3.xml><?xml version="1.0" encoding="utf-8"?>
<ds:datastoreItem xmlns:ds="http://schemas.openxmlformats.org/officeDocument/2006/customXml" ds:itemID="{81A98FD0-3748-4109-95F0-E3FB37A3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330ff-a67c-4e2e-a2c7-c4d8290980c0"/>
    <ds:schemaRef ds:uri="8885d047-c88c-41a6-b8f3-9efabc514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D53D3-BB28-45A7-B2FB-58A7A1E8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1723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Clark</dc:creator>
  <cp:keywords/>
  <dc:description/>
  <cp:lastModifiedBy>Louise Edwards</cp:lastModifiedBy>
  <cp:revision>2</cp:revision>
  <dcterms:created xsi:type="dcterms:W3CDTF">2020-12-15T00:11:00Z</dcterms:created>
  <dcterms:modified xsi:type="dcterms:W3CDTF">2020-12-15T00:11:00Z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0x010100AC0A6A1460CFDC49A0A6EF7D0997F2FC</vt:lpwstr>
  </property>
</Properties>
</file>