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D25" w14:textId="31056FEE" w:rsidR="00D85336" w:rsidRPr="00771C95" w:rsidRDefault="00CD0331" w:rsidP="0018380C">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18380C">
      <w:pPr>
        <w:autoSpaceDE w:val="0"/>
        <w:autoSpaceDN w:val="0"/>
        <w:adjustRightInd w:val="0"/>
        <w:spacing w:before="120" w:after="120"/>
        <w:jc w:val="center"/>
        <w:rPr>
          <w:b/>
          <w:bCs/>
          <w:color w:val="000000"/>
        </w:rPr>
      </w:pPr>
    </w:p>
    <w:p w14:paraId="7AD392FB" w14:textId="77777777" w:rsidR="00D85336" w:rsidRPr="00771C95" w:rsidRDefault="00D85336" w:rsidP="0018380C">
      <w:pPr>
        <w:autoSpaceDE w:val="0"/>
        <w:autoSpaceDN w:val="0"/>
        <w:adjustRightInd w:val="0"/>
        <w:spacing w:before="120" w:after="120"/>
        <w:jc w:val="center"/>
        <w:rPr>
          <w:b/>
          <w:bCs/>
          <w:color w:val="000000"/>
        </w:rPr>
      </w:pPr>
    </w:p>
    <w:p w14:paraId="2FAE686D" w14:textId="5F3C8D4B" w:rsidR="003817CD" w:rsidRDefault="003817CD" w:rsidP="0018380C">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18380C">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2883BB7A" w:rsidR="00271B59" w:rsidRPr="007917BE" w:rsidRDefault="00271B59" w:rsidP="0018380C">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2755F4">
        <w:rPr>
          <w:rFonts w:ascii="Book Antiqua" w:hAnsi="Book Antiqua"/>
          <w:b/>
          <w:color w:val="000000"/>
          <w:sz w:val="28"/>
        </w:rPr>
        <w:t>CR 5</w:t>
      </w:r>
    </w:p>
    <w:p w14:paraId="66779301" w14:textId="7ECBF7D1" w:rsidR="00271B59" w:rsidRPr="002755F4" w:rsidRDefault="002755F4" w:rsidP="0018380C">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 xml:space="preserve">Applications and </w:t>
      </w:r>
      <w:r w:rsidR="001D1735">
        <w:rPr>
          <w:rFonts w:ascii="Book Antiqua" w:hAnsi="Book Antiqua"/>
          <w:b/>
          <w:color w:val="000000"/>
          <w:sz w:val="28"/>
        </w:rPr>
        <w:t>R</w:t>
      </w:r>
      <w:r>
        <w:rPr>
          <w:rFonts w:ascii="Book Antiqua" w:hAnsi="Book Antiqua"/>
          <w:b/>
          <w:color w:val="000000"/>
          <w:sz w:val="28"/>
        </w:rPr>
        <w:t xml:space="preserve">eviews under the </w:t>
      </w:r>
      <w:r>
        <w:rPr>
          <w:rFonts w:ascii="Book Antiqua" w:hAnsi="Book Antiqua"/>
          <w:b/>
          <w:i/>
          <w:color w:val="000000"/>
          <w:sz w:val="28"/>
        </w:rPr>
        <w:t>Crimes (Mental Impairment and Unfitness to be Tried) Act 1997</w:t>
      </w:r>
    </w:p>
    <w:p w14:paraId="02D8B7A1" w14:textId="77777777" w:rsidR="00CD0331" w:rsidRPr="007917BE" w:rsidRDefault="00CD0331" w:rsidP="0018380C">
      <w:pPr>
        <w:autoSpaceDE w:val="0"/>
        <w:autoSpaceDN w:val="0"/>
        <w:adjustRightInd w:val="0"/>
        <w:spacing w:before="120" w:after="120"/>
        <w:jc w:val="center"/>
        <w:rPr>
          <w:rFonts w:ascii="Book Antiqua" w:hAnsi="Book Antiqua"/>
          <w:b/>
          <w:color w:val="000000"/>
          <w:sz w:val="28"/>
        </w:rPr>
      </w:pPr>
    </w:p>
    <w:p w14:paraId="0DA44EA9" w14:textId="246E089F" w:rsidR="008515EE" w:rsidRPr="007917BE" w:rsidRDefault="00A54C63" w:rsidP="0018380C">
      <w:pPr>
        <w:pStyle w:val="Heading1"/>
      </w:pPr>
      <w:r>
        <w:t>1.</w:t>
      </w:r>
      <w:r>
        <w:tab/>
      </w:r>
      <w:r w:rsidR="00C02583" w:rsidRPr="007917BE">
        <w:t>INTRODUCTION</w:t>
      </w:r>
    </w:p>
    <w:p w14:paraId="1C21A4E1" w14:textId="6B6FBFB9" w:rsidR="00B72C47" w:rsidRDefault="00B72C47" w:rsidP="0018380C">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6A93B425" w14:textId="6B175816" w:rsidR="00E02938" w:rsidRDefault="00B72C47" w:rsidP="0018380C">
      <w:pPr>
        <w:pStyle w:val="ListParagraph"/>
        <w:numPr>
          <w:ilvl w:val="1"/>
          <w:numId w:val="23"/>
        </w:numPr>
        <w:spacing w:before="120" w:after="120"/>
        <w:jc w:val="both"/>
        <w:rPr>
          <w:rFonts w:ascii="Book Antiqua" w:hAnsi="Book Antiqua"/>
          <w:sz w:val="24"/>
          <w:szCs w:val="24"/>
        </w:rPr>
      </w:pPr>
      <w:r w:rsidRPr="00651566">
        <w:rPr>
          <w:rFonts w:ascii="Book Antiqua" w:hAnsi="Book Antiqua"/>
          <w:sz w:val="24"/>
          <w:szCs w:val="24"/>
        </w:rPr>
        <w:t xml:space="preserve">The purpose of this </w:t>
      </w:r>
      <w:r w:rsidR="008846D6" w:rsidRPr="00651566">
        <w:rPr>
          <w:rFonts w:ascii="Book Antiqua" w:hAnsi="Book Antiqua"/>
          <w:sz w:val="24"/>
          <w:szCs w:val="24"/>
        </w:rPr>
        <w:t xml:space="preserve">Practice Note </w:t>
      </w:r>
      <w:r w:rsidRPr="00651566">
        <w:rPr>
          <w:rFonts w:ascii="Book Antiqua" w:hAnsi="Book Antiqua"/>
          <w:sz w:val="24"/>
          <w:szCs w:val="24"/>
        </w:rPr>
        <w:t>is t</w:t>
      </w:r>
      <w:r w:rsidR="00222544" w:rsidRPr="00651566">
        <w:rPr>
          <w:rFonts w:ascii="Book Antiqua" w:hAnsi="Book Antiqua"/>
          <w:sz w:val="24"/>
          <w:szCs w:val="24"/>
        </w:rPr>
        <w:t>o describe the pr</w:t>
      </w:r>
      <w:r w:rsidR="002755F4" w:rsidRPr="00651566">
        <w:rPr>
          <w:rFonts w:ascii="Book Antiqua" w:hAnsi="Book Antiqua"/>
          <w:sz w:val="24"/>
          <w:szCs w:val="24"/>
        </w:rPr>
        <w:t>oce</w:t>
      </w:r>
      <w:r w:rsidR="00576759">
        <w:rPr>
          <w:rFonts w:ascii="Book Antiqua" w:hAnsi="Book Antiqua"/>
          <w:sz w:val="24"/>
          <w:szCs w:val="24"/>
        </w:rPr>
        <w:t>dures to be followed in applications and reviews heard</w:t>
      </w:r>
      <w:r w:rsidR="002B1031" w:rsidRPr="00651566">
        <w:rPr>
          <w:rFonts w:ascii="Book Antiqua" w:hAnsi="Book Antiqua"/>
          <w:sz w:val="24"/>
          <w:szCs w:val="24"/>
        </w:rPr>
        <w:t xml:space="preserve"> </w:t>
      </w:r>
      <w:r w:rsidR="002755F4" w:rsidRPr="00651566">
        <w:rPr>
          <w:rFonts w:ascii="Book Antiqua" w:hAnsi="Book Antiqua"/>
          <w:sz w:val="24"/>
          <w:szCs w:val="24"/>
        </w:rPr>
        <w:t xml:space="preserve">under the </w:t>
      </w:r>
      <w:r w:rsidR="002755F4" w:rsidRPr="00651566">
        <w:rPr>
          <w:rFonts w:ascii="Book Antiqua" w:hAnsi="Book Antiqua"/>
          <w:i/>
          <w:sz w:val="24"/>
          <w:szCs w:val="24"/>
        </w:rPr>
        <w:t>Crimes (Mental Impairment and Unfitness to be Tried) Act 1997</w:t>
      </w:r>
      <w:r w:rsidR="00E02938" w:rsidRPr="00651566">
        <w:rPr>
          <w:rFonts w:ascii="Book Antiqua" w:hAnsi="Book Antiqua"/>
          <w:sz w:val="24"/>
          <w:szCs w:val="24"/>
        </w:rPr>
        <w:t>.</w:t>
      </w:r>
    </w:p>
    <w:p w14:paraId="1A19A576" w14:textId="22247443" w:rsidR="00277B7B" w:rsidRDefault="00651566" w:rsidP="0018380C">
      <w:pPr>
        <w:pStyle w:val="ListParagraph"/>
        <w:numPr>
          <w:ilvl w:val="1"/>
          <w:numId w:val="23"/>
        </w:numPr>
        <w:spacing w:before="120" w:after="120"/>
        <w:jc w:val="both"/>
        <w:rPr>
          <w:rFonts w:ascii="Book Antiqua" w:hAnsi="Book Antiqua"/>
          <w:sz w:val="24"/>
          <w:szCs w:val="24"/>
        </w:rPr>
      </w:pPr>
      <w:r w:rsidRPr="00651566">
        <w:rPr>
          <w:rFonts w:ascii="Book Antiqua" w:hAnsi="Book Antiqua"/>
          <w:sz w:val="24"/>
          <w:szCs w:val="24"/>
        </w:rPr>
        <w:t xml:space="preserve">Applications and reviews under the CMIA are matters heard in the Common Law Division. </w:t>
      </w:r>
    </w:p>
    <w:p w14:paraId="2C0A2D84" w14:textId="77777777" w:rsidR="007E01F4" w:rsidRPr="007E01F4" w:rsidRDefault="007E01F4" w:rsidP="0018380C">
      <w:pPr>
        <w:pStyle w:val="ListParagraph"/>
        <w:spacing w:before="120" w:after="120"/>
        <w:jc w:val="both"/>
        <w:rPr>
          <w:rFonts w:ascii="Book Antiqua" w:hAnsi="Book Antiqua"/>
          <w:sz w:val="24"/>
          <w:szCs w:val="24"/>
        </w:rPr>
      </w:pPr>
    </w:p>
    <w:p w14:paraId="634B9528" w14:textId="2C4D948E" w:rsidR="00277B7B" w:rsidRPr="00277B7B" w:rsidRDefault="00A54C63" w:rsidP="0018380C">
      <w:pPr>
        <w:pStyle w:val="Heading1"/>
      </w:pPr>
      <w:r>
        <w:t>2.</w:t>
      </w:r>
      <w:r>
        <w:tab/>
      </w:r>
      <w:r w:rsidR="00277B7B">
        <w:t>COMMENCEMENT</w:t>
      </w:r>
    </w:p>
    <w:p w14:paraId="40143244" w14:textId="1A1467E0" w:rsidR="00FD72DE" w:rsidRPr="002755F4" w:rsidRDefault="002755F4" w:rsidP="0018380C">
      <w:pPr>
        <w:spacing w:before="120" w:after="120"/>
        <w:ind w:left="720" w:hanging="720"/>
        <w:jc w:val="both"/>
        <w:rPr>
          <w:rFonts w:ascii="Book Antiqua" w:hAnsi="Book Antiqua"/>
        </w:rPr>
      </w:pPr>
      <w:r>
        <w:rPr>
          <w:rFonts w:ascii="Book Antiqua" w:hAnsi="Book Antiqua"/>
        </w:rPr>
        <w:t>2.1</w:t>
      </w:r>
      <w:r>
        <w:rPr>
          <w:rFonts w:ascii="Book Antiqua" w:hAnsi="Book Antiqua"/>
        </w:rPr>
        <w:tab/>
      </w:r>
      <w:r w:rsidR="00B72C47" w:rsidRPr="002755F4">
        <w:rPr>
          <w:rFonts w:ascii="Book Antiqua" w:hAnsi="Book Antiqua"/>
        </w:rPr>
        <w:t>This Practice Note</w:t>
      </w:r>
      <w:r w:rsidR="00600551">
        <w:rPr>
          <w:rFonts w:ascii="Book Antiqua" w:hAnsi="Book Antiqua"/>
        </w:rPr>
        <w:t xml:space="preserve"> was issued on 30</w:t>
      </w:r>
      <w:r w:rsidR="008570C4">
        <w:rPr>
          <w:rFonts w:ascii="Book Antiqua" w:hAnsi="Book Antiqua"/>
        </w:rPr>
        <w:t xml:space="preserve"> January 2017 and</w:t>
      </w:r>
      <w:r w:rsidR="00B72C47" w:rsidRPr="002755F4">
        <w:rPr>
          <w:rFonts w:ascii="Book Antiqua" w:hAnsi="Book Antiqua"/>
        </w:rPr>
        <w:t xml:space="preserve"> commences on </w:t>
      </w:r>
      <w:r w:rsidR="00600551">
        <w:rPr>
          <w:rFonts w:ascii="Book Antiqua" w:hAnsi="Book Antiqua"/>
        </w:rPr>
        <w:t>30</w:t>
      </w:r>
      <w:r>
        <w:rPr>
          <w:rFonts w:ascii="Book Antiqua" w:hAnsi="Book Antiqua"/>
        </w:rPr>
        <w:t xml:space="preserve"> January 2017 and will apply to </w:t>
      </w:r>
      <w:r w:rsidR="00B72C47" w:rsidRPr="002755F4">
        <w:rPr>
          <w:rFonts w:ascii="Book Antiqua" w:hAnsi="Book Antiqua"/>
        </w:rPr>
        <w:t xml:space="preserve">all </w:t>
      </w:r>
      <w:r>
        <w:rPr>
          <w:rFonts w:ascii="Book Antiqua" w:hAnsi="Book Antiqua"/>
        </w:rPr>
        <w:t xml:space="preserve">crimes mental impairment </w:t>
      </w:r>
      <w:r w:rsidR="002B1031">
        <w:rPr>
          <w:rFonts w:ascii="Book Antiqua" w:hAnsi="Book Antiqua"/>
        </w:rPr>
        <w:t xml:space="preserve">applications and reviews </w:t>
      </w:r>
      <w:r w:rsidR="00B72C47" w:rsidRPr="002755F4">
        <w:rPr>
          <w:rFonts w:ascii="Book Antiqua" w:hAnsi="Book Antiqua"/>
        </w:rPr>
        <w:t xml:space="preserve">commenced </w:t>
      </w:r>
      <w:r>
        <w:rPr>
          <w:rFonts w:ascii="Book Antiqua" w:hAnsi="Book Antiqua"/>
        </w:rPr>
        <w:t>on or after that date.</w:t>
      </w:r>
    </w:p>
    <w:p w14:paraId="3555EE5D" w14:textId="77777777" w:rsidR="006C550C" w:rsidRPr="007917BE" w:rsidRDefault="006C550C" w:rsidP="0018380C">
      <w:pPr>
        <w:spacing w:before="120" w:after="120"/>
        <w:ind w:left="720" w:hanging="720"/>
        <w:jc w:val="both"/>
        <w:rPr>
          <w:rFonts w:ascii="Book Antiqua" w:hAnsi="Book Antiqua"/>
        </w:rPr>
      </w:pPr>
    </w:p>
    <w:p w14:paraId="4B41410B" w14:textId="3748C86E" w:rsidR="00B72C47" w:rsidRPr="007917BE" w:rsidRDefault="00A54C63" w:rsidP="0018380C">
      <w:pPr>
        <w:pStyle w:val="Heading1"/>
      </w:pPr>
      <w:r>
        <w:t>3.</w:t>
      </w:r>
      <w:r>
        <w:tab/>
      </w:r>
      <w:r w:rsidR="00B72C47" w:rsidRPr="007917BE">
        <w:t>DEFINITIONS</w:t>
      </w:r>
    </w:p>
    <w:p w14:paraId="50FDD10D" w14:textId="61BCD617" w:rsidR="007917BE" w:rsidRPr="00A54C63" w:rsidRDefault="00A54C63" w:rsidP="0018380C">
      <w:pPr>
        <w:spacing w:before="120" w:after="120"/>
        <w:jc w:val="both"/>
        <w:rPr>
          <w:rFonts w:ascii="Book Antiqua" w:hAnsi="Book Antiqua"/>
        </w:rPr>
      </w:pPr>
      <w:r>
        <w:rPr>
          <w:rFonts w:ascii="Book Antiqua" w:hAnsi="Book Antiqua"/>
        </w:rPr>
        <w:t>3.1</w:t>
      </w:r>
      <w:r w:rsidR="002755F4" w:rsidRPr="00A54C63">
        <w:rPr>
          <w:rFonts w:ascii="Book Antiqua" w:hAnsi="Book Antiqua"/>
        </w:rPr>
        <w:t xml:space="preserve"> </w:t>
      </w:r>
      <w:r w:rsidR="002755F4" w:rsidRPr="00A54C63">
        <w:rPr>
          <w:rFonts w:ascii="Book Antiqua" w:hAnsi="Book Antiqua"/>
        </w:rPr>
        <w:tab/>
      </w:r>
      <w:r w:rsidR="006F60CF" w:rsidRPr="00A54C63">
        <w:rPr>
          <w:rFonts w:ascii="Book Antiqua" w:hAnsi="Book Antiqua"/>
        </w:rPr>
        <w:t>In this Practice Note:</w:t>
      </w:r>
    </w:p>
    <w:p w14:paraId="4531DE45" w14:textId="3F2B1F65" w:rsidR="00651566" w:rsidRDefault="00651566" w:rsidP="0018380C">
      <w:pPr>
        <w:pStyle w:val="ListParagraph"/>
        <w:spacing w:before="120" w:after="120"/>
        <w:jc w:val="both"/>
        <w:rPr>
          <w:rFonts w:ascii="Book Antiqua" w:hAnsi="Book Antiqua"/>
          <w:sz w:val="24"/>
          <w:szCs w:val="24"/>
        </w:rPr>
      </w:pPr>
      <w:r>
        <w:rPr>
          <w:rFonts w:ascii="Book Antiqua" w:hAnsi="Book Antiqua"/>
          <w:b/>
          <w:i/>
          <w:sz w:val="24"/>
          <w:szCs w:val="24"/>
        </w:rPr>
        <w:t>CMIA</w:t>
      </w:r>
      <w:r>
        <w:rPr>
          <w:rFonts w:ascii="Book Antiqua" w:hAnsi="Book Antiqua"/>
          <w:b/>
          <w:sz w:val="24"/>
          <w:szCs w:val="24"/>
        </w:rPr>
        <w:t xml:space="preserve"> </w:t>
      </w:r>
      <w:r>
        <w:rPr>
          <w:rFonts w:ascii="Book Antiqua" w:hAnsi="Book Antiqua"/>
          <w:sz w:val="24"/>
          <w:szCs w:val="24"/>
        </w:rPr>
        <w:t xml:space="preserve">means </w:t>
      </w:r>
      <w:r w:rsidR="003C31CE">
        <w:rPr>
          <w:rFonts w:ascii="Book Antiqua" w:hAnsi="Book Antiqua"/>
          <w:sz w:val="24"/>
          <w:szCs w:val="24"/>
        </w:rPr>
        <w:t xml:space="preserve">the </w:t>
      </w:r>
      <w:r>
        <w:rPr>
          <w:rFonts w:ascii="Book Antiqua" w:hAnsi="Book Antiqua"/>
          <w:i/>
          <w:sz w:val="24"/>
          <w:szCs w:val="24"/>
        </w:rPr>
        <w:t xml:space="preserve">Crimes (Mental Impairment and Unfitness to be Tried) Act 1997 </w:t>
      </w:r>
      <w:r>
        <w:rPr>
          <w:rFonts w:ascii="Book Antiqua" w:hAnsi="Book Antiqua"/>
          <w:sz w:val="24"/>
          <w:szCs w:val="24"/>
        </w:rPr>
        <w:t>(Vic)</w:t>
      </w:r>
      <w:r w:rsidR="003C31CE">
        <w:rPr>
          <w:rFonts w:ascii="Book Antiqua" w:hAnsi="Book Antiqua"/>
          <w:sz w:val="24"/>
          <w:szCs w:val="24"/>
        </w:rPr>
        <w:t>;</w:t>
      </w:r>
    </w:p>
    <w:p w14:paraId="290AA373" w14:textId="2D0483F9" w:rsidR="007942C1" w:rsidRDefault="007942C1" w:rsidP="0018380C">
      <w:pPr>
        <w:pStyle w:val="ListParagraph"/>
        <w:spacing w:before="120" w:after="120"/>
        <w:jc w:val="both"/>
        <w:rPr>
          <w:rFonts w:ascii="Book Antiqua" w:hAnsi="Book Antiqua"/>
          <w:sz w:val="24"/>
          <w:szCs w:val="24"/>
        </w:rPr>
      </w:pPr>
      <w:r w:rsidRPr="007942C1">
        <w:rPr>
          <w:rFonts w:ascii="Book Antiqua" w:hAnsi="Book Antiqua"/>
          <w:b/>
          <w:i/>
          <w:sz w:val="24"/>
          <w:szCs w:val="24"/>
        </w:rPr>
        <w:t>Common Law Division</w:t>
      </w:r>
      <w:r>
        <w:rPr>
          <w:rFonts w:ascii="Book Antiqua" w:hAnsi="Book Antiqua"/>
          <w:b/>
          <w:sz w:val="24"/>
          <w:szCs w:val="24"/>
        </w:rPr>
        <w:t xml:space="preserve"> </w:t>
      </w:r>
      <w:r>
        <w:rPr>
          <w:rFonts w:ascii="Book Antiqua" w:hAnsi="Book Antiqua"/>
          <w:sz w:val="24"/>
          <w:szCs w:val="24"/>
        </w:rPr>
        <w:t>means the Common Law Division of the Supreme Court of Victoria</w:t>
      </w:r>
      <w:r w:rsidR="003C31CE">
        <w:rPr>
          <w:rFonts w:ascii="Book Antiqua" w:hAnsi="Book Antiqua"/>
          <w:sz w:val="24"/>
          <w:szCs w:val="24"/>
        </w:rPr>
        <w:t>;</w:t>
      </w:r>
    </w:p>
    <w:p w14:paraId="50D6E3EA" w14:textId="4DFA802B" w:rsidR="006F60CF" w:rsidRDefault="006F60CF" w:rsidP="0018380C">
      <w:pPr>
        <w:pStyle w:val="ListParagraph"/>
        <w:spacing w:before="120" w:after="120"/>
        <w:ind w:left="360" w:firstLine="360"/>
        <w:jc w:val="both"/>
        <w:rPr>
          <w:rFonts w:ascii="Book Antiqua" w:hAnsi="Book Antiqua"/>
          <w:sz w:val="24"/>
          <w:szCs w:val="24"/>
        </w:rPr>
      </w:pPr>
      <w:r>
        <w:rPr>
          <w:rFonts w:ascii="Book Antiqua" w:hAnsi="Book Antiqua"/>
          <w:b/>
          <w:i/>
          <w:sz w:val="24"/>
          <w:szCs w:val="24"/>
        </w:rPr>
        <w:t xml:space="preserve">Judge </w:t>
      </w:r>
      <w:r w:rsidR="002755F4">
        <w:rPr>
          <w:rFonts w:ascii="Book Antiqua" w:hAnsi="Book Antiqua"/>
          <w:sz w:val="24"/>
          <w:szCs w:val="24"/>
        </w:rPr>
        <w:t>means a judge o</w:t>
      </w:r>
      <w:r w:rsidR="003C31CE">
        <w:rPr>
          <w:rFonts w:ascii="Book Antiqua" w:hAnsi="Book Antiqua"/>
          <w:sz w:val="24"/>
          <w:szCs w:val="24"/>
        </w:rPr>
        <w:t>f the Supreme Court of Victoria;</w:t>
      </w:r>
    </w:p>
    <w:p w14:paraId="08FFF607" w14:textId="1E13DD38" w:rsidR="00651566" w:rsidRPr="00651566" w:rsidRDefault="00651566" w:rsidP="0018380C">
      <w:pPr>
        <w:pStyle w:val="ListParagraph"/>
        <w:spacing w:before="120" w:after="120"/>
        <w:ind w:left="360" w:firstLine="360"/>
        <w:jc w:val="both"/>
        <w:rPr>
          <w:rFonts w:ascii="Book Antiqua" w:hAnsi="Book Antiqua"/>
          <w:sz w:val="24"/>
          <w:szCs w:val="24"/>
        </w:rPr>
      </w:pPr>
      <w:r>
        <w:rPr>
          <w:rFonts w:ascii="Book Antiqua" w:hAnsi="Book Antiqua"/>
          <w:b/>
          <w:i/>
          <w:sz w:val="24"/>
          <w:szCs w:val="24"/>
        </w:rPr>
        <w:t>Registry</w:t>
      </w:r>
      <w:r>
        <w:rPr>
          <w:rFonts w:ascii="Book Antiqua" w:hAnsi="Book Antiqua"/>
          <w:sz w:val="24"/>
          <w:szCs w:val="24"/>
        </w:rPr>
        <w:t xml:space="preserve"> means the Principal Registry of the Supreme Court of Victoria</w:t>
      </w:r>
      <w:r w:rsidR="003C31CE">
        <w:rPr>
          <w:rFonts w:ascii="Book Antiqua" w:hAnsi="Book Antiqua"/>
          <w:sz w:val="24"/>
          <w:szCs w:val="24"/>
        </w:rPr>
        <w:t>.</w:t>
      </w:r>
    </w:p>
    <w:p w14:paraId="65FDDDB5" w14:textId="77777777" w:rsidR="00B72C47" w:rsidRPr="007917BE" w:rsidRDefault="00B72C47" w:rsidP="0018380C">
      <w:pPr>
        <w:spacing w:before="120" w:after="120"/>
        <w:jc w:val="both"/>
        <w:rPr>
          <w:rFonts w:ascii="Book Antiqua" w:hAnsi="Book Antiqua"/>
        </w:rPr>
      </w:pPr>
    </w:p>
    <w:p w14:paraId="42CF729C" w14:textId="2B6CA51D" w:rsidR="003C31CE" w:rsidRPr="003C31CE" w:rsidRDefault="00A54C63" w:rsidP="0018380C">
      <w:pPr>
        <w:pStyle w:val="Heading1"/>
      </w:pPr>
      <w:r>
        <w:t>4.</w:t>
      </w:r>
      <w:r>
        <w:tab/>
      </w:r>
      <w:r w:rsidR="00E02938" w:rsidRPr="00A54C63">
        <w:t xml:space="preserve">FILING AND SERVICE </w:t>
      </w:r>
    </w:p>
    <w:p w14:paraId="1BFC4D5E" w14:textId="104ECBA7" w:rsidR="002755F4" w:rsidRPr="0018380C" w:rsidRDefault="00E02938" w:rsidP="0018380C">
      <w:pPr>
        <w:pStyle w:val="Heading1"/>
      </w:pPr>
      <w:r w:rsidRPr="0018380C">
        <w:t xml:space="preserve">Applications </w:t>
      </w:r>
      <w:r w:rsidR="002755F4" w:rsidRPr="0018380C">
        <w:t xml:space="preserve"> </w:t>
      </w:r>
    </w:p>
    <w:p w14:paraId="505BBEDF" w14:textId="1FAB6D0A" w:rsidR="002755F4" w:rsidRDefault="002755F4" w:rsidP="0018380C">
      <w:pPr>
        <w:spacing w:before="120" w:after="120"/>
        <w:ind w:left="720" w:hanging="720"/>
        <w:jc w:val="both"/>
        <w:rPr>
          <w:rFonts w:ascii="Book Antiqua" w:hAnsi="Book Antiqua"/>
        </w:rPr>
      </w:pPr>
      <w:r>
        <w:rPr>
          <w:rFonts w:ascii="Book Antiqua" w:hAnsi="Book Antiqua"/>
        </w:rPr>
        <w:t>4.</w:t>
      </w:r>
      <w:r w:rsidR="00E02938">
        <w:rPr>
          <w:rFonts w:ascii="Book Antiqua" w:hAnsi="Book Antiqua"/>
        </w:rPr>
        <w:t>1</w:t>
      </w:r>
      <w:r>
        <w:rPr>
          <w:rFonts w:ascii="Book Antiqua" w:hAnsi="Book Antiqua"/>
        </w:rPr>
        <w:tab/>
        <w:t>A</w:t>
      </w:r>
      <w:r w:rsidR="005F54F7">
        <w:rPr>
          <w:rFonts w:ascii="Book Antiqua" w:hAnsi="Book Antiqua"/>
        </w:rPr>
        <w:t>ny notice of</w:t>
      </w:r>
      <w:r w:rsidR="00C16178">
        <w:rPr>
          <w:rFonts w:ascii="Book Antiqua" w:hAnsi="Book Antiqua"/>
        </w:rPr>
        <w:t xml:space="preserve"> an</w:t>
      </w:r>
      <w:r w:rsidR="005F54F7">
        <w:rPr>
          <w:rFonts w:ascii="Book Antiqua" w:hAnsi="Book Antiqua"/>
        </w:rPr>
        <w:t xml:space="preserve"> a</w:t>
      </w:r>
      <w:r>
        <w:rPr>
          <w:rFonts w:ascii="Book Antiqua" w:hAnsi="Book Antiqua"/>
        </w:rPr>
        <w:t>pplication for extended leave (s 57)</w:t>
      </w:r>
      <w:r w:rsidR="00C16178">
        <w:rPr>
          <w:rFonts w:ascii="Book Antiqua" w:hAnsi="Book Antiqua"/>
        </w:rPr>
        <w:t xml:space="preserve"> or a</w:t>
      </w:r>
      <w:r>
        <w:rPr>
          <w:rFonts w:ascii="Book Antiqua" w:hAnsi="Book Antiqua"/>
        </w:rPr>
        <w:t xml:space="preserve"> variation </w:t>
      </w:r>
      <w:r w:rsidR="00DA47B2">
        <w:rPr>
          <w:rFonts w:ascii="Book Antiqua" w:hAnsi="Book Antiqua"/>
        </w:rPr>
        <w:t xml:space="preserve">or revocation of a </w:t>
      </w:r>
      <w:r>
        <w:rPr>
          <w:rFonts w:ascii="Book Antiqua" w:hAnsi="Book Antiqua"/>
        </w:rPr>
        <w:t xml:space="preserve">supervision order </w:t>
      </w:r>
      <w:r w:rsidR="00DA47B2">
        <w:rPr>
          <w:rFonts w:ascii="Book Antiqua" w:hAnsi="Book Antiqua"/>
        </w:rPr>
        <w:t xml:space="preserve">(s 31) </w:t>
      </w:r>
      <w:r w:rsidR="00E02938">
        <w:rPr>
          <w:rFonts w:ascii="Book Antiqua" w:hAnsi="Book Antiqua"/>
        </w:rPr>
        <w:t>must be</w:t>
      </w:r>
      <w:r w:rsidR="00DA47B2">
        <w:rPr>
          <w:rFonts w:ascii="Book Antiqua" w:hAnsi="Book Antiqua"/>
        </w:rPr>
        <w:t xml:space="preserve"> filed with the </w:t>
      </w:r>
      <w:r w:rsidR="00576759">
        <w:rPr>
          <w:rFonts w:ascii="Book Antiqua" w:hAnsi="Book Antiqua"/>
        </w:rPr>
        <w:t>Registry no later than</w:t>
      </w:r>
      <w:r w:rsidR="00DC5DED">
        <w:rPr>
          <w:rFonts w:ascii="Book Antiqua" w:hAnsi="Book Antiqua"/>
        </w:rPr>
        <w:t xml:space="preserve"> ten</w:t>
      </w:r>
      <w:r w:rsidR="00DA47B2">
        <w:rPr>
          <w:rFonts w:ascii="Book Antiqua" w:hAnsi="Book Antiqua"/>
        </w:rPr>
        <w:t xml:space="preserve"> weeks (excluding Court holiday periods) before any expiry date that may be in existence </w:t>
      </w:r>
      <w:r w:rsidR="00E02938">
        <w:rPr>
          <w:rFonts w:ascii="Book Antiqua" w:hAnsi="Book Antiqua"/>
        </w:rPr>
        <w:t>at the time of the application.</w:t>
      </w:r>
    </w:p>
    <w:p w14:paraId="7B1A80E3" w14:textId="77777777" w:rsidR="003C31CE" w:rsidRDefault="003C31CE" w:rsidP="0018380C">
      <w:pPr>
        <w:spacing w:before="120" w:after="120"/>
        <w:ind w:left="720" w:hanging="720"/>
        <w:jc w:val="both"/>
        <w:rPr>
          <w:rFonts w:ascii="Book Antiqua" w:hAnsi="Book Antiqua"/>
        </w:rPr>
      </w:pPr>
    </w:p>
    <w:p w14:paraId="0207063B" w14:textId="743A10DE" w:rsidR="003C31CE" w:rsidRDefault="005F54F7" w:rsidP="0018380C">
      <w:pPr>
        <w:spacing w:before="120" w:after="120"/>
        <w:ind w:left="1440" w:hanging="720"/>
        <w:jc w:val="both"/>
        <w:rPr>
          <w:rFonts w:ascii="Book Antiqua" w:hAnsi="Book Antiqua"/>
        </w:rPr>
      </w:pPr>
      <w:r>
        <w:rPr>
          <w:rFonts w:ascii="Book Antiqua" w:hAnsi="Book Antiqua"/>
        </w:rPr>
        <w:t>4.1.1</w:t>
      </w:r>
      <w:r>
        <w:rPr>
          <w:rFonts w:ascii="Book Antiqua" w:hAnsi="Book Antiqua"/>
        </w:rPr>
        <w:tab/>
      </w:r>
      <w:r w:rsidR="0007053B">
        <w:rPr>
          <w:rFonts w:ascii="Book Antiqua" w:hAnsi="Book Antiqua"/>
        </w:rPr>
        <w:t xml:space="preserve">Applicants should comply with Order 28, Part 1 of the </w:t>
      </w:r>
      <w:r w:rsidR="0007053B">
        <w:rPr>
          <w:rFonts w:ascii="Book Antiqua" w:hAnsi="Book Antiqua"/>
          <w:i/>
        </w:rPr>
        <w:t>Supreme Court (General Civil Procedure) Rules 2005</w:t>
      </w:r>
      <w:r w:rsidR="0007053B">
        <w:rPr>
          <w:rFonts w:ascii="Book Antiqua" w:hAnsi="Book Antiqua"/>
        </w:rPr>
        <w:t xml:space="preserve"> regarding the filing and sealing of an application and </w:t>
      </w:r>
      <w:r w:rsidR="00C16178">
        <w:rPr>
          <w:rFonts w:ascii="Book Antiqua" w:hAnsi="Book Antiqua"/>
        </w:rPr>
        <w:t xml:space="preserve">accompanying </w:t>
      </w:r>
      <w:r w:rsidR="0007053B">
        <w:rPr>
          <w:rFonts w:ascii="Book Antiqua" w:hAnsi="Book Antiqua"/>
        </w:rPr>
        <w:t xml:space="preserve">material.  </w:t>
      </w:r>
    </w:p>
    <w:p w14:paraId="6286BDDA" w14:textId="2BF866EB" w:rsidR="003C31CE" w:rsidRPr="005F54F7" w:rsidRDefault="0007053B" w:rsidP="0018380C">
      <w:pPr>
        <w:spacing w:before="120" w:after="120"/>
        <w:ind w:left="1440" w:hanging="720"/>
        <w:jc w:val="both"/>
        <w:rPr>
          <w:rFonts w:ascii="Book Antiqua" w:hAnsi="Book Antiqua"/>
        </w:rPr>
      </w:pPr>
      <w:r>
        <w:rPr>
          <w:rFonts w:ascii="Book Antiqua" w:hAnsi="Book Antiqua"/>
        </w:rPr>
        <w:t>4.1.2</w:t>
      </w:r>
      <w:r>
        <w:rPr>
          <w:rFonts w:ascii="Book Antiqua" w:hAnsi="Book Antiqua"/>
        </w:rPr>
        <w:tab/>
      </w:r>
      <w:r w:rsidR="00E02938" w:rsidRPr="005F54F7">
        <w:rPr>
          <w:rFonts w:ascii="Book Antiqua" w:hAnsi="Book Antiqua"/>
        </w:rPr>
        <w:t xml:space="preserve">Filing may be either by submitting these materials to </w:t>
      </w:r>
      <w:r w:rsidR="005F54F7" w:rsidRPr="005F54F7">
        <w:rPr>
          <w:rFonts w:ascii="Book Antiqua" w:hAnsi="Book Antiqua"/>
        </w:rPr>
        <w:t xml:space="preserve">the Registry in person </w:t>
      </w:r>
      <w:r w:rsidR="001456D8">
        <w:rPr>
          <w:rFonts w:ascii="Book Antiqua" w:hAnsi="Book Antiqua"/>
        </w:rPr>
        <w:t xml:space="preserve">at, </w:t>
      </w:r>
      <w:r w:rsidR="005F54F7" w:rsidRPr="005F54F7">
        <w:rPr>
          <w:rFonts w:ascii="Book Antiqua" w:hAnsi="Book Antiqua"/>
        </w:rPr>
        <w:t>or by</w:t>
      </w:r>
      <w:r w:rsidR="00E02938" w:rsidRPr="005F54F7">
        <w:rPr>
          <w:rFonts w:ascii="Book Antiqua" w:hAnsi="Book Antiqua"/>
        </w:rPr>
        <w:t xml:space="preserve"> post </w:t>
      </w:r>
      <w:r w:rsidR="001456D8">
        <w:rPr>
          <w:rFonts w:ascii="Book Antiqua" w:hAnsi="Book Antiqua"/>
        </w:rPr>
        <w:t xml:space="preserve">to, </w:t>
      </w:r>
      <w:r w:rsidR="00FE0EB4">
        <w:rPr>
          <w:rFonts w:ascii="Book Antiqua" w:hAnsi="Book Antiqua"/>
        </w:rPr>
        <w:t>450 Lt Bourke</w:t>
      </w:r>
      <w:bookmarkStart w:id="0" w:name="_GoBack"/>
      <w:bookmarkEnd w:id="0"/>
      <w:r w:rsidR="00E02938" w:rsidRPr="005F54F7">
        <w:rPr>
          <w:rFonts w:ascii="Book Antiqua" w:hAnsi="Book Antiqua"/>
        </w:rPr>
        <w:t xml:space="preserve"> Street, Melbourne </w:t>
      </w:r>
      <w:r w:rsidR="005F54F7" w:rsidRPr="005F54F7">
        <w:rPr>
          <w:rFonts w:ascii="Book Antiqua" w:hAnsi="Book Antiqua"/>
        </w:rPr>
        <w:t xml:space="preserve">VIC </w:t>
      </w:r>
      <w:r w:rsidR="00E02938" w:rsidRPr="005F54F7">
        <w:rPr>
          <w:rFonts w:ascii="Book Antiqua" w:hAnsi="Book Antiqua"/>
        </w:rPr>
        <w:t xml:space="preserve">3000.  </w:t>
      </w:r>
    </w:p>
    <w:p w14:paraId="631E25CA" w14:textId="210DC9C2" w:rsidR="00E02938" w:rsidRDefault="00E02938" w:rsidP="0018380C">
      <w:pPr>
        <w:spacing w:before="120" w:after="120"/>
        <w:ind w:left="1440" w:hanging="720"/>
        <w:jc w:val="both"/>
        <w:rPr>
          <w:rFonts w:ascii="Book Antiqua" w:hAnsi="Book Antiqua"/>
        </w:rPr>
      </w:pPr>
      <w:r>
        <w:rPr>
          <w:rFonts w:ascii="Book Antiqua" w:hAnsi="Book Antiqua"/>
        </w:rPr>
        <w:t>4</w:t>
      </w:r>
      <w:r w:rsidR="0007053B">
        <w:rPr>
          <w:rFonts w:ascii="Book Antiqua" w:hAnsi="Book Antiqua"/>
        </w:rPr>
        <w:t>.1.3</w:t>
      </w:r>
      <w:r w:rsidR="005F54F7">
        <w:rPr>
          <w:rFonts w:ascii="Book Antiqua" w:hAnsi="Book Antiqua"/>
        </w:rPr>
        <w:tab/>
      </w:r>
      <w:r>
        <w:rPr>
          <w:rFonts w:ascii="Book Antiqua" w:hAnsi="Book Antiqua"/>
        </w:rPr>
        <w:t>Subject to an explicit order to the contrary, no application shoul</w:t>
      </w:r>
      <w:r w:rsidR="00DC5DED">
        <w:rPr>
          <w:rFonts w:ascii="Book Antiqua" w:hAnsi="Book Antiqua"/>
        </w:rPr>
        <w:t>d be filed with any individual J</w:t>
      </w:r>
      <w:r>
        <w:rPr>
          <w:rFonts w:ascii="Book Antiqua" w:hAnsi="Book Antiqua"/>
        </w:rPr>
        <w:t xml:space="preserve">udge of the Court or a staff member of the Court.  </w:t>
      </w:r>
    </w:p>
    <w:p w14:paraId="44E15216" w14:textId="59BACFB9" w:rsidR="00576759" w:rsidRDefault="00DA47B2" w:rsidP="0018380C">
      <w:pPr>
        <w:spacing w:before="120" w:after="120"/>
        <w:ind w:left="720" w:hanging="720"/>
        <w:jc w:val="both"/>
        <w:rPr>
          <w:rFonts w:ascii="Book Antiqua" w:hAnsi="Book Antiqua"/>
        </w:rPr>
      </w:pPr>
      <w:r>
        <w:rPr>
          <w:rFonts w:ascii="Book Antiqua" w:hAnsi="Book Antiqua"/>
        </w:rPr>
        <w:t>4.</w:t>
      </w:r>
      <w:r w:rsidR="00576759">
        <w:rPr>
          <w:rFonts w:ascii="Book Antiqua" w:hAnsi="Book Antiqua"/>
        </w:rPr>
        <w:t>2</w:t>
      </w:r>
      <w:r>
        <w:rPr>
          <w:rFonts w:ascii="Book Antiqua" w:hAnsi="Book Antiqua"/>
        </w:rPr>
        <w:tab/>
      </w:r>
      <w:r w:rsidR="000D59AE">
        <w:rPr>
          <w:rFonts w:ascii="Book Antiqua" w:hAnsi="Book Antiqua"/>
        </w:rPr>
        <w:t>A</w:t>
      </w:r>
      <w:r w:rsidR="00576759">
        <w:rPr>
          <w:rFonts w:ascii="Book Antiqua" w:hAnsi="Book Antiqua"/>
        </w:rPr>
        <w:t xml:space="preserve"> notice of</w:t>
      </w:r>
      <w:r w:rsidR="00C16178">
        <w:rPr>
          <w:rFonts w:ascii="Book Antiqua" w:hAnsi="Book Antiqua"/>
        </w:rPr>
        <w:t xml:space="preserve"> an</w:t>
      </w:r>
      <w:r w:rsidR="00576759">
        <w:rPr>
          <w:rFonts w:ascii="Book Antiqua" w:hAnsi="Book Antiqua"/>
        </w:rPr>
        <w:t xml:space="preserve"> application </w:t>
      </w:r>
      <w:r w:rsidR="00830F3F">
        <w:rPr>
          <w:rFonts w:ascii="Book Antiqua" w:hAnsi="Book Antiqua"/>
        </w:rPr>
        <w:t>for extended leave</w:t>
      </w:r>
      <w:r w:rsidR="00C16178">
        <w:rPr>
          <w:rFonts w:ascii="Book Antiqua" w:hAnsi="Book Antiqua"/>
        </w:rPr>
        <w:t xml:space="preserve"> or a</w:t>
      </w:r>
      <w:r w:rsidR="00830F3F">
        <w:rPr>
          <w:rFonts w:ascii="Book Antiqua" w:hAnsi="Book Antiqua"/>
        </w:rPr>
        <w:t xml:space="preserve"> variation or revocation of a supervision order must be given to the Director of Public Prosecutions, the Attorney-General, the Secretary to the Department of Health and Human Services and the person having the custody, care, control or supervision of the person subject to the supe</w:t>
      </w:r>
      <w:r w:rsidR="005E0635">
        <w:rPr>
          <w:rFonts w:ascii="Book Antiqua" w:hAnsi="Book Antiqua"/>
        </w:rPr>
        <w:t xml:space="preserve">rvision order by the applicant, within two days of filing with the Registry.  </w:t>
      </w:r>
    </w:p>
    <w:p w14:paraId="3C6AA916" w14:textId="6F8707C4" w:rsidR="00DA47B2" w:rsidRDefault="00830F3F" w:rsidP="0018380C">
      <w:pPr>
        <w:spacing w:before="120" w:after="120"/>
        <w:ind w:left="720" w:hanging="720"/>
        <w:jc w:val="both"/>
        <w:rPr>
          <w:rFonts w:ascii="Book Antiqua" w:hAnsi="Book Antiqua"/>
        </w:rPr>
      </w:pPr>
      <w:r>
        <w:rPr>
          <w:rFonts w:ascii="Book Antiqua" w:hAnsi="Book Antiqua"/>
        </w:rPr>
        <w:t>4.3</w:t>
      </w:r>
      <w:r>
        <w:rPr>
          <w:rFonts w:ascii="Book Antiqua" w:hAnsi="Book Antiqua"/>
        </w:rPr>
        <w:tab/>
      </w:r>
      <w:r w:rsidR="00DA47B2">
        <w:rPr>
          <w:rFonts w:ascii="Book Antiqua" w:hAnsi="Book Antiqua"/>
        </w:rPr>
        <w:t xml:space="preserve">Once an application is filed, the solicitor for </w:t>
      </w:r>
      <w:r w:rsidR="00C16178">
        <w:rPr>
          <w:rFonts w:ascii="Book Antiqua" w:hAnsi="Book Antiqua"/>
        </w:rPr>
        <w:t xml:space="preserve">the </w:t>
      </w:r>
      <w:r>
        <w:rPr>
          <w:rFonts w:ascii="Book Antiqua" w:hAnsi="Book Antiqua"/>
        </w:rPr>
        <w:t xml:space="preserve">Secretary to </w:t>
      </w:r>
      <w:r w:rsidR="00DA47B2">
        <w:rPr>
          <w:rFonts w:ascii="Book Antiqua" w:hAnsi="Book Antiqua"/>
        </w:rPr>
        <w:t>the Departme</w:t>
      </w:r>
      <w:r w:rsidR="0007053B">
        <w:rPr>
          <w:rFonts w:ascii="Book Antiqua" w:hAnsi="Book Antiqua"/>
        </w:rPr>
        <w:t>nt of Health and Human Services should</w:t>
      </w:r>
      <w:r w:rsidR="005F54F7">
        <w:rPr>
          <w:rFonts w:ascii="Book Antiqua" w:hAnsi="Book Antiqua"/>
        </w:rPr>
        <w:t xml:space="preserve"> </w:t>
      </w:r>
      <w:r w:rsidR="00DA47B2">
        <w:rPr>
          <w:rFonts w:ascii="Book Antiqua" w:hAnsi="Book Antiqua"/>
        </w:rPr>
        <w:t xml:space="preserve">advise </w:t>
      </w:r>
      <w:r w:rsidR="005F54F7">
        <w:rPr>
          <w:rFonts w:ascii="Book Antiqua" w:hAnsi="Book Antiqua"/>
        </w:rPr>
        <w:t>the Criminal Division Legal Officer</w:t>
      </w:r>
      <w:r w:rsidR="00DA47B2">
        <w:rPr>
          <w:rFonts w:ascii="Book Antiqua" w:hAnsi="Book Antiqua"/>
        </w:rPr>
        <w:t xml:space="preserve"> of the treating clinicians’ availabilities as soon as practicable. </w:t>
      </w:r>
    </w:p>
    <w:p w14:paraId="0CFB45E6" w14:textId="330DC993" w:rsidR="00DA47B2" w:rsidRDefault="00273AC4" w:rsidP="0018380C">
      <w:pPr>
        <w:spacing w:before="120" w:after="120"/>
        <w:ind w:left="720" w:hanging="720"/>
        <w:jc w:val="both"/>
        <w:rPr>
          <w:rFonts w:ascii="Book Antiqua" w:hAnsi="Book Antiqua"/>
        </w:rPr>
      </w:pPr>
      <w:r>
        <w:rPr>
          <w:rFonts w:ascii="Book Antiqua" w:hAnsi="Book Antiqua"/>
        </w:rPr>
        <w:t>4.4</w:t>
      </w:r>
      <w:r w:rsidR="00DA47B2">
        <w:rPr>
          <w:rFonts w:ascii="Book Antiqua" w:hAnsi="Book Antiqua"/>
        </w:rPr>
        <w:tab/>
        <w:t xml:space="preserve">The </w:t>
      </w:r>
      <w:r w:rsidR="00830F3F">
        <w:rPr>
          <w:rFonts w:ascii="Book Antiqua" w:hAnsi="Book Antiqua"/>
        </w:rPr>
        <w:t>Criminal Division Legal Officer</w:t>
      </w:r>
      <w:r w:rsidR="00DA47B2">
        <w:rPr>
          <w:rFonts w:ascii="Book Antiqua" w:hAnsi="Book Antiqua"/>
        </w:rPr>
        <w:t xml:space="preserve"> will advise</w:t>
      </w:r>
      <w:r w:rsidR="00830F3F">
        <w:rPr>
          <w:rFonts w:ascii="Book Antiqua" w:hAnsi="Book Antiqua"/>
        </w:rPr>
        <w:t xml:space="preserve"> the parties of the</w:t>
      </w:r>
      <w:r w:rsidR="00DA47B2">
        <w:rPr>
          <w:rFonts w:ascii="Book Antiqua" w:hAnsi="Book Antiqua"/>
        </w:rPr>
        <w:t xml:space="preserve"> hearing d</w:t>
      </w:r>
      <w:r w:rsidR="00830F3F">
        <w:rPr>
          <w:rFonts w:ascii="Book Antiqua" w:hAnsi="Book Antiqua"/>
        </w:rPr>
        <w:t>ate and issue directions for</w:t>
      </w:r>
      <w:r w:rsidR="00DA47B2">
        <w:rPr>
          <w:rFonts w:ascii="Book Antiqua" w:hAnsi="Book Antiqua"/>
        </w:rPr>
        <w:t xml:space="preserve"> filing of material.  </w:t>
      </w:r>
    </w:p>
    <w:p w14:paraId="28823F74" w14:textId="62BE41F4" w:rsidR="00DA47B2" w:rsidRPr="002755F4" w:rsidRDefault="00DA47B2" w:rsidP="0018380C">
      <w:pPr>
        <w:spacing w:before="120" w:after="120"/>
        <w:ind w:left="720" w:hanging="720"/>
        <w:jc w:val="both"/>
        <w:rPr>
          <w:rFonts w:ascii="Book Antiqua" w:hAnsi="Book Antiqua"/>
        </w:rPr>
      </w:pPr>
      <w:r>
        <w:rPr>
          <w:rFonts w:ascii="Book Antiqua" w:hAnsi="Book Antiqua"/>
        </w:rPr>
        <w:t>4.</w:t>
      </w:r>
      <w:r w:rsidR="00273AC4">
        <w:rPr>
          <w:rFonts w:ascii="Book Antiqua" w:hAnsi="Book Antiqua"/>
        </w:rPr>
        <w:t>5</w:t>
      </w:r>
      <w:r>
        <w:rPr>
          <w:rFonts w:ascii="Book Antiqua" w:hAnsi="Book Antiqua"/>
        </w:rPr>
        <w:tab/>
        <w:t>Urgent app</w:t>
      </w:r>
      <w:r w:rsidR="00830F3F">
        <w:rPr>
          <w:rFonts w:ascii="Book Antiqua" w:hAnsi="Book Antiqua"/>
        </w:rPr>
        <w:t xml:space="preserve">lications such as </w:t>
      </w:r>
      <w:r w:rsidR="00C16178">
        <w:rPr>
          <w:rFonts w:ascii="Book Antiqua" w:hAnsi="Book Antiqua"/>
        </w:rPr>
        <w:t xml:space="preserve">an </w:t>
      </w:r>
      <w:r w:rsidR="00830F3F">
        <w:rPr>
          <w:rFonts w:ascii="Book Antiqua" w:hAnsi="Book Antiqua"/>
        </w:rPr>
        <w:t>application for revocation of</w:t>
      </w:r>
      <w:r w:rsidR="0018380C">
        <w:rPr>
          <w:rFonts w:ascii="Book Antiqua" w:hAnsi="Book Antiqua"/>
        </w:rPr>
        <w:t xml:space="preserve"> extended leave (s </w:t>
      </w:r>
      <w:r>
        <w:rPr>
          <w:rFonts w:ascii="Book Antiqua" w:hAnsi="Book Antiqua"/>
        </w:rPr>
        <w:t xml:space="preserve">58) will be given a hearing date as a matter of urgency and directions for filing of material will be issued accordingly. </w:t>
      </w:r>
    </w:p>
    <w:p w14:paraId="438307D0" w14:textId="77777777" w:rsidR="00582DAF" w:rsidRPr="007917BE" w:rsidRDefault="00582DAF" w:rsidP="0018380C">
      <w:pPr>
        <w:spacing w:before="120" w:after="120"/>
        <w:ind w:left="720" w:hanging="720"/>
        <w:jc w:val="both"/>
        <w:rPr>
          <w:rFonts w:ascii="Book Antiqua" w:hAnsi="Book Antiqua"/>
          <w:b/>
        </w:rPr>
      </w:pPr>
    </w:p>
    <w:p w14:paraId="35E2AA22" w14:textId="1D72B036" w:rsidR="00BB44DE" w:rsidRPr="0018380C" w:rsidRDefault="00273AC4" w:rsidP="0018380C">
      <w:pPr>
        <w:pStyle w:val="Heading1"/>
      </w:pPr>
      <w:r w:rsidRPr="0018380C">
        <w:t>Reviews</w:t>
      </w:r>
    </w:p>
    <w:p w14:paraId="57CC163E" w14:textId="1CDEE047" w:rsidR="009830B8" w:rsidRDefault="00273AC4" w:rsidP="0018380C">
      <w:pPr>
        <w:spacing w:before="120" w:after="120"/>
        <w:ind w:left="720" w:hanging="720"/>
        <w:jc w:val="both"/>
        <w:rPr>
          <w:rFonts w:ascii="Book Antiqua" w:hAnsi="Book Antiqua"/>
        </w:rPr>
      </w:pPr>
      <w:r>
        <w:rPr>
          <w:rFonts w:ascii="Book Antiqua" w:hAnsi="Book Antiqua"/>
        </w:rPr>
        <w:t>4.6</w:t>
      </w:r>
      <w:r w:rsidR="00DA47B2">
        <w:rPr>
          <w:rFonts w:ascii="Book Antiqua" w:hAnsi="Book Antiqua"/>
        </w:rPr>
        <w:tab/>
      </w:r>
      <w:r>
        <w:rPr>
          <w:rFonts w:ascii="Book Antiqua" w:hAnsi="Book Antiqua"/>
        </w:rPr>
        <w:t>In the case of a major review under ss</w:t>
      </w:r>
      <w:r w:rsidR="00C16178">
        <w:rPr>
          <w:rFonts w:ascii="Book Antiqua" w:hAnsi="Book Antiqua"/>
        </w:rPr>
        <w:t xml:space="preserve"> </w:t>
      </w:r>
      <w:r>
        <w:rPr>
          <w:rFonts w:ascii="Book Antiqua" w:hAnsi="Book Antiqua"/>
        </w:rPr>
        <w:t xml:space="preserve">35(1)(a) or 35(1)(b) or </w:t>
      </w:r>
      <w:r w:rsidR="00DA47B2">
        <w:rPr>
          <w:rFonts w:ascii="Book Antiqua" w:hAnsi="Book Antiqua"/>
        </w:rPr>
        <w:t>a review</w:t>
      </w:r>
      <w:r w:rsidR="0007053B">
        <w:rPr>
          <w:rFonts w:ascii="Book Antiqua" w:hAnsi="Book Antiqua"/>
        </w:rPr>
        <w:t xml:space="preserve"> </w:t>
      </w:r>
      <w:r>
        <w:rPr>
          <w:rFonts w:ascii="Book Antiqua" w:hAnsi="Book Antiqua"/>
        </w:rPr>
        <w:t>directly by</w:t>
      </w:r>
      <w:r w:rsidR="00DC5DED">
        <w:rPr>
          <w:rFonts w:ascii="Book Antiqua" w:hAnsi="Book Antiqua"/>
        </w:rPr>
        <w:t xml:space="preserve"> a J</w:t>
      </w:r>
      <w:r>
        <w:rPr>
          <w:rFonts w:ascii="Book Antiqua" w:hAnsi="Book Antiqua"/>
        </w:rPr>
        <w:t>udge under s</w:t>
      </w:r>
      <w:r w:rsidR="00DA47B2">
        <w:rPr>
          <w:rFonts w:ascii="Book Antiqua" w:hAnsi="Book Antiqua"/>
        </w:rPr>
        <w:t>s 27(2), 32(5) or</w:t>
      </w:r>
      <w:r w:rsidR="00DA47B2" w:rsidRPr="00DA47B2">
        <w:rPr>
          <w:rFonts w:ascii="Book Antiqua" w:hAnsi="Book Antiqua"/>
        </w:rPr>
        <w:t xml:space="preserve"> 33(2</w:t>
      </w:r>
      <w:r>
        <w:rPr>
          <w:rFonts w:ascii="Book Antiqua" w:hAnsi="Book Antiqua"/>
        </w:rPr>
        <w:t>)</w:t>
      </w:r>
      <w:r w:rsidR="00DA47B2">
        <w:rPr>
          <w:rFonts w:ascii="Book Antiqua" w:hAnsi="Book Antiqua"/>
        </w:rPr>
        <w:t xml:space="preserve">, the </w:t>
      </w:r>
      <w:r>
        <w:rPr>
          <w:rFonts w:ascii="Book Antiqua" w:hAnsi="Book Antiqua"/>
        </w:rPr>
        <w:t xml:space="preserve">Criminal Division Legal Officer </w:t>
      </w:r>
      <w:r w:rsidR="00DA47B2">
        <w:rPr>
          <w:rFonts w:ascii="Book Antiqua" w:hAnsi="Book Antiqua"/>
        </w:rPr>
        <w:t xml:space="preserve">will issue a notice advising the parties of the hearing date and issue directions for </w:t>
      </w:r>
      <w:r>
        <w:rPr>
          <w:rFonts w:ascii="Book Antiqua" w:hAnsi="Book Antiqua"/>
        </w:rPr>
        <w:t>filing</w:t>
      </w:r>
      <w:r w:rsidR="00BC4BB2">
        <w:rPr>
          <w:rFonts w:ascii="Book Antiqua" w:hAnsi="Book Antiqua"/>
        </w:rPr>
        <w:t xml:space="preserve"> </w:t>
      </w:r>
      <w:r w:rsidR="00DC5DED">
        <w:rPr>
          <w:rFonts w:ascii="Book Antiqua" w:hAnsi="Book Antiqua"/>
        </w:rPr>
        <w:t>no later than ten</w:t>
      </w:r>
      <w:r>
        <w:rPr>
          <w:rFonts w:ascii="Book Antiqua" w:hAnsi="Book Antiqua"/>
        </w:rPr>
        <w:t xml:space="preserve"> weeks before the day of the hearing</w:t>
      </w:r>
      <w:r w:rsidR="00DA47B2">
        <w:rPr>
          <w:rFonts w:ascii="Book Antiqua" w:hAnsi="Book Antiqua"/>
        </w:rPr>
        <w:t>.</w:t>
      </w:r>
    </w:p>
    <w:p w14:paraId="1861F906" w14:textId="77777777" w:rsidR="0007053B" w:rsidRDefault="0007053B" w:rsidP="0018380C">
      <w:pPr>
        <w:spacing w:before="120" w:after="120"/>
        <w:ind w:left="720" w:hanging="720"/>
        <w:jc w:val="both"/>
        <w:rPr>
          <w:rFonts w:ascii="Book Antiqua" w:hAnsi="Book Antiqua"/>
          <w:b/>
        </w:rPr>
      </w:pPr>
    </w:p>
    <w:p w14:paraId="4D1F76B5" w14:textId="6528E0AC" w:rsidR="009830B8" w:rsidRPr="0018380C" w:rsidRDefault="00A54C63" w:rsidP="0018380C">
      <w:pPr>
        <w:spacing w:before="120" w:after="120"/>
        <w:ind w:left="720" w:hanging="720"/>
        <w:jc w:val="both"/>
        <w:rPr>
          <w:rFonts w:ascii="Book Antiqua" w:hAnsi="Book Antiqua"/>
          <w:b/>
          <w:i/>
        </w:rPr>
      </w:pPr>
      <w:r>
        <w:rPr>
          <w:rFonts w:ascii="Book Antiqua" w:hAnsi="Book Antiqua"/>
          <w:b/>
        </w:rPr>
        <w:tab/>
      </w:r>
      <w:r w:rsidRPr="0018380C">
        <w:rPr>
          <w:rFonts w:ascii="Book Antiqua" w:hAnsi="Book Antiqua"/>
          <w:b/>
          <w:i/>
        </w:rPr>
        <w:t>Timeframe for filing</w:t>
      </w:r>
      <w:r w:rsidR="000A4A94" w:rsidRPr="0018380C">
        <w:rPr>
          <w:rFonts w:ascii="Book Antiqua" w:hAnsi="Book Antiqua"/>
          <w:b/>
          <w:i/>
        </w:rPr>
        <w:t xml:space="preserve"> of materials</w:t>
      </w:r>
    </w:p>
    <w:p w14:paraId="130C4D12" w14:textId="2DAA26C3" w:rsidR="00DC24A7" w:rsidRDefault="00A54C63" w:rsidP="0018380C">
      <w:pPr>
        <w:spacing w:before="120" w:after="120"/>
        <w:ind w:left="720" w:hanging="720"/>
        <w:jc w:val="both"/>
        <w:rPr>
          <w:rFonts w:ascii="Book Antiqua" w:hAnsi="Book Antiqua"/>
        </w:rPr>
      </w:pPr>
      <w:r>
        <w:rPr>
          <w:rFonts w:ascii="Book Antiqua" w:hAnsi="Book Antiqua"/>
        </w:rPr>
        <w:t>4.7</w:t>
      </w:r>
      <w:r w:rsidR="009830B8">
        <w:rPr>
          <w:rFonts w:ascii="Book Antiqua" w:hAnsi="Book Antiqua"/>
        </w:rPr>
        <w:tab/>
        <w:t xml:space="preserve">Below is a list of the usual directions that the </w:t>
      </w:r>
      <w:r w:rsidR="0007053B">
        <w:rPr>
          <w:rFonts w:ascii="Book Antiqua" w:hAnsi="Book Antiqua"/>
        </w:rPr>
        <w:t>Criminal Division Legal Officer</w:t>
      </w:r>
      <w:r w:rsidR="009830B8">
        <w:rPr>
          <w:rFonts w:ascii="Book Antiqua" w:hAnsi="Book Antiqua"/>
        </w:rPr>
        <w:t xml:space="preserve"> issues for applications and reviews.  The timeframes for compliance indicated below are </w:t>
      </w:r>
      <w:r w:rsidR="00DC5DED">
        <w:rPr>
          <w:rFonts w:ascii="Book Antiqua" w:hAnsi="Book Antiqua"/>
        </w:rPr>
        <w:t>based on an application filed ten</w:t>
      </w:r>
      <w:r w:rsidR="009830B8">
        <w:rPr>
          <w:rFonts w:ascii="Book Antiqua" w:hAnsi="Book Antiqua"/>
        </w:rPr>
        <w:t xml:space="preserve"> weeks prior to the expi</w:t>
      </w:r>
      <w:r w:rsidR="00BC4BB2">
        <w:rPr>
          <w:rFonts w:ascii="Book Antiqua" w:hAnsi="Book Antiqua"/>
        </w:rPr>
        <w:t>ry of an order.  Timeframes can</w:t>
      </w:r>
      <w:r w:rsidR="009830B8">
        <w:rPr>
          <w:rFonts w:ascii="Book Antiqua" w:hAnsi="Book Antiqua"/>
        </w:rPr>
        <w:t xml:space="preserve"> vary depen</w:t>
      </w:r>
      <w:r w:rsidR="00BC4BB2">
        <w:rPr>
          <w:rFonts w:ascii="Book Antiqua" w:hAnsi="Book Antiqua"/>
        </w:rPr>
        <w:t>ding on the circumstances of each</w:t>
      </w:r>
      <w:r w:rsidR="009830B8">
        <w:rPr>
          <w:rFonts w:ascii="Book Antiqua" w:hAnsi="Book Antiqua"/>
        </w:rPr>
        <w:t xml:space="preserve"> case. </w:t>
      </w:r>
    </w:p>
    <w:p w14:paraId="11473757" w14:textId="43F70F2B" w:rsidR="009830B8" w:rsidRPr="0073125F" w:rsidRDefault="009830B8" w:rsidP="0018380C">
      <w:pPr>
        <w:pStyle w:val="ListParagraph"/>
        <w:numPr>
          <w:ilvl w:val="0"/>
          <w:numId w:val="28"/>
        </w:numPr>
        <w:spacing w:before="120" w:after="120"/>
        <w:jc w:val="both"/>
        <w:rPr>
          <w:rFonts w:ascii="Book Antiqua" w:hAnsi="Book Antiqua"/>
        </w:rPr>
      </w:pPr>
      <w:r>
        <w:rPr>
          <w:rFonts w:ascii="Book Antiqua" w:hAnsi="Book Antiqua"/>
          <w:sz w:val="24"/>
          <w:szCs w:val="24"/>
        </w:rPr>
        <w:t>The solicitor for the Secretary to the Department of Health and Human Services</w:t>
      </w:r>
      <w:r w:rsidR="00332418">
        <w:rPr>
          <w:rFonts w:ascii="Book Antiqua" w:hAnsi="Book Antiqua"/>
          <w:sz w:val="24"/>
          <w:szCs w:val="24"/>
        </w:rPr>
        <w:t xml:space="preserve"> is</w:t>
      </w:r>
      <w:r>
        <w:rPr>
          <w:rFonts w:ascii="Book Antiqua" w:hAnsi="Book Antiqua"/>
          <w:sz w:val="24"/>
          <w:szCs w:val="24"/>
        </w:rPr>
        <w:t xml:space="preserve"> to file and serve copies of medical and psychiatric reports </w:t>
      </w:r>
      <w:r w:rsidR="00BC4BB2">
        <w:rPr>
          <w:rFonts w:ascii="Book Antiqua" w:hAnsi="Book Antiqua"/>
          <w:sz w:val="24"/>
          <w:szCs w:val="24"/>
        </w:rPr>
        <w:t>it intends to rely on within 6-7</w:t>
      </w:r>
      <w:r w:rsidR="00A26CDF">
        <w:rPr>
          <w:rFonts w:ascii="Book Antiqua" w:hAnsi="Book Antiqua"/>
          <w:sz w:val="24"/>
          <w:szCs w:val="24"/>
        </w:rPr>
        <w:t xml:space="preserve"> weeks from receiving the</w:t>
      </w:r>
      <w:r w:rsidR="008D1160">
        <w:rPr>
          <w:rFonts w:ascii="Book Antiqua" w:hAnsi="Book Antiqua"/>
          <w:sz w:val="24"/>
          <w:szCs w:val="24"/>
        </w:rPr>
        <w:t xml:space="preserve"> </w:t>
      </w:r>
      <w:r>
        <w:rPr>
          <w:rFonts w:ascii="Book Antiqua" w:hAnsi="Book Antiqua"/>
          <w:sz w:val="24"/>
          <w:szCs w:val="24"/>
        </w:rPr>
        <w:t xml:space="preserve">notification of the hearing date. </w:t>
      </w:r>
    </w:p>
    <w:p w14:paraId="4C3C9974" w14:textId="16BF64FA" w:rsidR="009830B8" w:rsidRPr="0073125F" w:rsidRDefault="009830B8" w:rsidP="0018380C">
      <w:pPr>
        <w:pStyle w:val="ListParagraph"/>
        <w:numPr>
          <w:ilvl w:val="0"/>
          <w:numId w:val="28"/>
        </w:numPr>
        <w:spacing w:before="120" w:after="120"/>
        <w:jc w:val="both"/>
        <w:rPr>
          <w:rFonts w:ascii="Book Antiqua" w:hAnsi="Book Antiqua"/>
        </w:rPr>
      </w:pPr>
      <w:r>
        <w:rPr>
          <w:rFonts w:ascii="Book Antiqua" w:hAnsi="Book Antiqua"/>
          <w:sz w:val="24"/>
          <w:szCs w:val="24"/>
        </w:rPr>
        <w:t xml:space="preserve">The solicitor for the person subject to the supervision order is to notify the parties of any intention to obtain further medical and/or psychiatric reports </w:t>
      </w:r>
      <w:r w:rsidR="00DC5DED">
        <w:rPr>
          <w:rFonts w:ascii="Book Antiqua" w:hAnsi="Book Antiqua"/>
          <w:sz w:val="24"/>
          <w:szCs w:val="24"/>
        </w:rPr>
        <w:lastRenderedPageBreak/>
        <w:t>within one</w:t>
      </w:r>
      <w:r>
        <w:rPr>
          <w:rFonts w:ascii="Book Antiqua" w:hAnsi="Book Antiqua"/>
          <w:sz w:val="24"/>
          <w:szCs w:val="24"/>
        </w:rPr>
        <w:t xml:space="preserve"> week </w:t>
      </w:r>
      <w:r w:rsidR="00A26CDF">
        <w:rPr>
          <w:rFonts w:ascii="Book Antiqua" w:hAnsi="Book Antiqua"/>
          <w:sz w:val="24"/>
          <w:szCs w:val="24"/>
        </w:rPr>
        <w:t>from receiving t</w:t>
      </w:r>
      <w:r>
        <w:rPr>
          <w:rFonts w:ascii="Book Antiqua" w:hAnsi="Book Antiqua"/>
          <w:sz w:val="24"/>
          <w:szCs w:val="24"/>
        </w:rPr>
        <w:t xml:space="preserve">he medical and psychiatric reports from the Department of Health and Human Services. </w:t>
      </w:r>
    </w:p>
    <w:p w14:paraId="689AB0C4" w14:textId="780DB3D1" w:rsidR="009830B8" w:rsidRPr="0073125F" w:rsidRDefault="009830B8" w:rsidP="0018380C">
      <w:pPr>
        <w:pStyle w:val="ListParagraph"/>
        <w:numPr>
          <w:ilvl w:val="0"/>
          <w:numId w:val="28"/>
        </w:numPr>
        <w:spacing w:before="120" w:after="120"/>
        <w:jc w:val="both"/>
        <w:rPr>
          <w:rFonts w:ascii="Book Antiqua" w:hAnsi="Book Antiqua"/>
        </w:rPr>
      </w:pPr>
      <w:r>
        <w:rPr>
          <w:rFonts w:ascii="Book Antiqua" w:hAnsi="Book Antiqua"/>
          <w:sz w:val="24"/>
          <w:szCs w:val="24"/>
        </w:rPr>
        <w:t xml:space="preserve">The solicitor for the person subject to the supervision order </w:t>
      </w:r>
      <w:r w:rsidR="00332418">
        <w:rPr>
          <w:rFonts w:ascii="Book Antiqua" w:hAnsi="Book Antiqua"/>
          <w:sz w:val="24"/>
          <w:szCs w:val="24"/>
        </w:rPr>
        <w:t xml:space="preserve">is </w:t>
      </w:r>
      <w:r>
        <w:rPr>
          <w:rFonts w:ascii="Book Antiqua" w:hAnsi="Book Antiqua"/>
          <w:sz w:val="24"/>
          <w:szCs w:val="24"/>
        </w:rPr>
        <w:t xml:space="preserve">to file and serve any further medical or psychiatric reports within 3-4 weeks from </w:t>
      </w:r>
      <w:r w:rsidR="00A26CDF">
        <w:rPr>
          <w:rFonts w:ascii="Book Antiqua" w:hAnsi="Book Antiqua"/>
          <w:sz w:val="24"/>
          <w:szCs w:val="24"/>
        </w:rPr>
        <w:t>receiving the</w:t>
      </w:r>
      <w:r>
        <w:rPr>
          <w:rFonts w:ascii="Book Antiqua" w:hAnsi="Book Antiqua"/>
          <w:sz w:val="24"/>
          <w:szCs w:val="24"/>
        </w:rPr>
        <w:t xml:space="preserve"> reports from the Department of Health and Human Services.</w:t>
      </w:r>
    </w:p>
    <w:p w14:paraId="4BDDF705" w14:textId="4D22070B" w:rsidR="009830B8" w:rsidRPr="008D1160" w:rsidRDefault="009830B8" w:rsidP="0018380C">
      <w:pPr>
        <w:pStyle w:val="ListParagraph"/>
        <w:numPr>
          <w:ilvl w:val="0"/>
          <w:numId w:val="28"/>
        </w:numPr>
        <w:spacing w:before="120" w:after="120"/>
        <w:jc w:val="both"/>
        <w:rPr>
          <w:rFonts w:ascii="Book Antiqua" w:hAnsi="Book Antiqua"/>
        </w:rPr>
      </w:pPr>
      <w:r>
        <w:rPr>
          <w:rFonts w:ascii="Book Antiqua" w:hAnsi="Book Antiqua"/>
          <w:sz w:val="24"/>
          <w:szCs w:val="24"/>
        </w:rPr>
        <w:t xml:space="preserve">The solicitor for the Director of Public Prosecutions </w:t>
      </w:r>
      <w:r w:rsidR="00332418">
        <w:rPr>
          <w:rFonts w:ascii="Book Antiqua" w:hAnsi="Book Antiqua"/>
          <w:sz w:val="24"/>
          <w:szCs w:val="24"/>
        </w:rPr>
        <w:t xml:space="preserve">is </w:t>
      </w:r>
      <w:r>
        <w:rPr>
          <w:rFonts w:ascii="Book Antiqua" w:hAnsi="Book Antiqua"/>
          <w:sz w:val="24"/>
          <w:szCs w:val="24"/>
        </w:rPr>
        <w:t>to file and serve the summary of proceedings and summary of facts o</w:t>
      </w:r>
      <w:r w:rsidR="00DC5DED">
        <w:rPr>
          <w:rFonts w:ascii="Book Antiqua" w:hAnsi="Book Antiqua"/>
          <w:sz w:val="24"/>
          <w:szCs w:val="24"/>
        </w:rPr>
        <w:t>f the case within six</w:t>
      </w:r>
      <w:r w:rsidR="008D1160">
        <w:rPr>
          <w:rFonts w:ascii="Book Antiqua" w:hAnsi="Book Antiqua"/>
          <w:sz w:val="24"/>
          <w:szCs w:val="24"/>
        </w:rPr>
        <w:t xml:space="preserve"> weeks </w:t>
      </w:r>
      <w:r w:rsidR="00A26CDF">
        <w:rPr>
          <w:rFonts w:ascii="Book Antiqua" w:hAnsi="Book Antiqua"/>
          <w:sz w:val="24"/>
          <w:szCs w:val="24"/>
        </w:rPr>
        <w:t xml:space="preserve">from receiving </w:t>
      </w:r>
      <w:r w:rsidR="008D1160">
        <w:rPr>
          <w:rFonts w:ascii="Book Antiqua" w:hAnsi="Book Antiqua"/>
          <w:sz w:val="24"/>
          <w:szCs w:val="24"/>
        </w:rPr>
        <w:t xml:space="preserve">the </w:t>
      </w:r>
      <w:r>
        <w:rPr>
          <w:rFonts w:ascii="Book Antiqua" w:hAnsi="Book Antiqua"/>
          <w:sz w:val="24"/>
          <w:szCs w:val="24"/>
        </w:rPr>
        <w:t xml:space="preserve">notification of the hearing date.  </w:t>
      </w:r>
    </w:p>
    <w:p w14:paraId="36E94BC4" w14:textId="5E47660A" w:rsidR="008D1160" w:rsidRPr="008D1160" w:rsidRDefault="008D1160" w:rsidP="0018380C">
      <w:pPr>
        <w:pStyle w:val="ListParagraph"/>
        <w:numPr>
          <w:ilvl w:val="0"/>
          <w:numId w:val="28"/>
        </w:numPr>
        <w:spacing w:before="120" w:after="120"/>
        <w:jc w:val="both"/>
        <w:rPr>
          <w:rFonts w:ascii="Book Antiqua" w:hAnsi="Book Antiqua"/>
        </w:rPr>
      </w:pPr>
      <w:r>
        <w:rPr>
          <w:rFonts w:ascii="Book Antiqua" w:hAnsi="Book Antiqua"/>
          <w:sz w:val="24"/>
          <w:szCs w:val="24"/>
        </w:rPr>
        <w:t>The solicitor for</w:t>
      </w:r>
      <w:r w:rsidR="0015356B">
        <w:rPr>
          <w:rFonts w:ascii="Book Antiqua" w:hAnsi="Book Antiqua"/>
          <w:sz w:val="24"/>
          <w:szCs w:val="24"/>
        </w:rPr>
        <w:t xml:space="preserve"> the</w:t>
      </w:r>
      <w:r>
        <w:rPr>
          <w:rFonts w:ascii="Book Antiqua" w:hAnsi="Book Antiqua"/>
          <w:sz w:val="24"/>
          <w:szCs w:val="24"/>
        </w:rPr>
        <w:t xml:space="preserve"> Secretary to the Department of Health and Human Services and the solicitor for the Attorney-General </w:t>
      </w:r>
      <w:r w:rsidR="001456D8">
        <w:rPr>
          <w:rFonts w:ascii="Book Antiqua" w:hAnsi="Book Antiqua"/>
          <w:sz w:val="24"/>
          <w:szCs w:val="24"/>
        </w:rPr>
        <w:t>are</w:t>
      </w:r>
      <w:r w:rsidR="0015356B">
        <w:rPr>
          <w:rFonts w:ascii="Book Antiqua" w:hAnsi="Book Antiqua"/>
          <w:sz w:val="24"/>
          <w:szCs w:val="24"/>
        </w:rPr>
        <w:t xml:space="preserve"> </w:t>
      </w:r>
      <w:r>
        <w:rPr>
          <w:rFonts w:ascii="Book Antiqua" w:hAnsi="Book Antiqua"/>
          <w:sz w:val="24"/>
          <w:szCs w:val="24"/>
        </w:rPr>
        <w:t>to notify the Court and other parties of their respective positions in relati</w:t>
      </w:r>
      <w:r w:rsidR="00DC5DED">
        <w:rPr>
          <w:rFonts w:ascii="Book Antiqua" w:hAnsi="Book Antiqua"/>
          <w:sz w:val="24"/>
          <w:szCs w:val="24"/>
        </w:rPr>
        <w:t>on to the application at least one</w:t>
      </w:r>
      <w:r>
        <w:rPr>
          <w:rFonts w:ascii="Book Antiqua" w:hAnsi="Book Antiqua"/>
          <w:sz w:val="24"/>
          <w:szCs w:val="24"/>
        </w:rPr>
        <w:t xml:space="preserve"> week prior to the hearing date. </w:t>
      </w:r>
    </w:p>
    <w:p w14:paraId="0C1B0616" w14:textId="7C73971B" w:rsidR="009830B8" w:rsidRPr="0073125F" w:rsidRDefault="009830B8" w:rsidP="0018380C">
      <w:pPr>
        <w:pStyle w:val="ListParagraph"/>
        <w:numPr>
          <w:ilvl w:val="0"/>
          <w:numId w:val="28"/>
        </w:numPr>
        <w:spacing w:before="120" w:after="120"/>
        <w:jc w:val="both"/>
        <w:rPr>
          <w:rFonts w:ascii="Book Antiqua" w:hAnsi="Book Antiqua"/>
        </w:rPr>
      </w:pPr>
      <w:r>
        <w:rPr>
          <w:rFonts w:ascii="Book Antiqua" w:hAnsi="Book Antiqua"/>
          <w:sz w:val="24"/>
          <w:szCs w:val="24"/>
        </w:rPr>
        <w:t xml:space="preserve">The solicitor for the Director of Public Prosecutions </w:t>
      </w:r>
      <w:r w:rsidR="0015356B">
        <w:rPr>
          <w:rFonts w:ascii="Book Antiqua" w:hAnsi="Book Antiqua"/>
          <w:sz w:val="24"/>
          <w:szCs w:val="24"/>
        </w:rPr>
        <w:t xml:space="preserve">is </w:t>
      </w:r>
      <w:r>
        <w:rPr>
          <w:rFonts w:ascii="Book Antiqua" w:hAnsi="Book Antiqua"/>
          <w:sz w:val="24"/>
          <w:szCs w:val="24"/>
        </w:rPr>
        <w:t xml:space="preserve">to file an affidavit of service directed to the family members of the applicant and the victims in this matter advising of the date of hearing and outlining their rights </w:t>
      </w:r>
      <w:r w:rsidR="00EB7E59">
        <w:rPr>
          <w:rFonts w:ascii="Book Antiqua" w:hAnsi="Book Antiqua"/>
          <w:sz w:val="24"/>
          <w:szCs w:val="24"/>
        </w:rPr>
        <w:t xml:space="preserve">at least </w:t>
      </w:r>
      <w:r w:rsidR="00226236">
        <w:rPr>
          <w:rFonts w:ascii="Book Antiqua" w:hAnsi="Book Antiqua"/>
          <w:sz w:val="24"/>
          <w:szCs w:val="24"/>
        </w:rPr>
        <w:t>two days</w:t>
      </w:r>
      <w:r w:rsidR="00E22DBE">
        <w:rPr>
          <w:rFonts w:ascii="Book Antiqua" w:hAnsi="Book Antiqua"/>
          <w:sz w:val="24"/>
          <w:szCs w:val="24"/>
        </w:rPr>
        <w:t xml:space="preserve"> </w:t>
      </w:r>
      <w:r w:rsidR="00EB7E59">
        <w:rPr>
          <w:rFonts w:ascii="Book Antiqua" w:hAnsi="Book Antiqua"/>
          <w:sz w:val="24"/>
          <w:szCs w:val="24"/>
        </w:rPr>
        <w:t>prior to the</w:t>
      </w:r>
      <w:r>
        <w:rPr>
          <w:rFonts w:ascii="Book Antiqua" w:hAnsi="Book Antiqua"/>
          <w:sz w:val="24"/>
          <w:szCs w:val="24"/>
        </w:rPr>
        <w:t xml:space="preserve"> hearing date.  </w:t>
      </w:r>
    </w:p>
    <w:p w14:paraId="09C37F56" w14:textId="0E590EB6" w:rsidR="000401E3" w:rsidRPr="003C31CE" w:rsidRDefault="009830B8" w:rsidP="0018380C">
      <w:pPr>
        <w:pStyle w:val="ListParagraph"/>
        <w:numPr>
          <w:ilvl w:val="0"/>
          <w:numId w:val="28"/>
        </w:numPr>
        <w:spacing w:before="120" w:after="120"/>
        <w:jc w:val="both"/>
        <w:rPr>
          <w:rFonts w:ascii="Book Antiqua" w:hAnsi="Book Antiqua"/>
        </w:rPr>
      </w:pPr>
      <w:r>
        <w:rPr>
          <w:rFonts w:ascii="Book Antiqua" w:hAnsi="Book Antiqua"/>
          <w:sz w:val="24"/>
          <w:szCs w:val="24"/>
        </w:rPr>
        <w:t>If, at the hearing of a review, the solicitor for the person subject to the supervision order intends to apply for extended leave</w:t>
      </w:r>
      <w:r w:rsidR="008D1160">
        <w:rPr>
          <w:rFonts w:ascii="Book Antiqua" w:hAnsi="Book Antiqua"/>
          <w:sz w:val="24"/>
          <w:szCs w:val="24"/>
        </w:rPr>
        <w:t>,</w:t>
      </w:r>
      <w:r>
        <w:rPr>
          <w:rFonts w:ascii="Book Antiqua" w:hAnsi="Book Antiqua"/>
          <w:sz w:val="24"/>
          <w:szCs w:val="24"/>
        </w:rPr>
        <w:t xml:space="preserve"> or any variation to or revocation of the supervision order, the solicitor </w:t>
      </w:r>
      <w:r w:rsidR="00A276BA">
        <w:rPr>
          <w:rFonts w:ascii="Book Antiqua" w:hAnsi="Book Antiqua"/>
          <w:sz w:val="24"/>
          <w:szCs w:val="24"/>
        </w:rPr>
        <w:t>is to</w:t>
      </w:r>
      <w:r>
        <w:rPr>
          <w:rFonts w:ascii="Book Antiqua" w:hAnsi="Book Antiqua"/>
          <w:sz w:val="24"/>
          <w:szCs w:val="24"/>
        </w:rPr>
        <w:t xml:space="preserve"> notify the </w:t>
      </w:r>
      <w:r w:rsidR="000401E3">
        <w:rPr>
          <w:rFonts w:ascii="Book Antiqua" w:hAnsi="Book Antiqua"/>
          <w:sz w:val="24"/>
          <w:szCs w:val="24"/>
        </w:rPr>
        <w:t>Co</w:t>
      </w:r>
      <w:r w:rsidR="00EB7E59">
        <w:rPr>
          <w:rFonts w:ascii="Book Antiqua" w:hAnsi="Book Antiqua"/>
          <w:sz w:val="24"/>
          <w:szCs w:val="24"/>
        </w:rPr>
        <w:t xml:space="preserve">urt and other parties </w:t>
      </w:r>
      <w:r w:rsidR="008D1160">
        <w:rPr>
          <w:rFonts w:ascii="Book Antiqua" w:hAnsi="Book Antiqua"/>
          <w:sz w:val="24"/>
          <w:szCs w:val="24"/>
        </w:rPr>
        <w:t xml:space="preserve">within </w:t>
      </w:r>
      <w:r w:rsidR="00DC5DED">
        <w:rPr>
          <w:rFonts w:ascii="Book Antiqua" w:hAnsi="Book Antiqua"/>
          <w:sz w:val="24"/>
          <w:szCs w:val="24"/>
        </w:rPr>
        <w:t>one</w:t>
      </w:r>
      <w:r w:rsidR="00A26CDF">
        <w:rPr>
          <w:rFonts w:ascii="Book Antiqua" w:hAnsi="Book Antiqua"/>
          <w:sz w:val="24"/>
          <w:szCs w:val="24"/>
        </w:rPr>
        <w:t xml:space="preserve"> week from receiving the reports from the Department of Health and Human Services</w:t>
      </w:r>
      <w:r w:rsidR="000401E3">
        <w:rPr>
          <w:rFonts w:ascii="Book Antiqua" w:hAnsi="Book Antiqua"/>
          <w:sz w:val="24"/>
          <w:szCs w:val="24"/>
        </w:rPr>
        <w:t xml:space="preserve">.  </w:t>
      </w:r>
    </w:p>
    <w:p w14:paraId="2C81377A" w14:textId="77777777" w:rsidR="003C31CE" w:rsidRPr="000401E3" w:rsidRDefault="003C31CE" w:rsidP="0018380C">
      <w:pPr>
        <w:pStyle w:val="ListParagraph"/>
        <w:spacing w:before="120" w:after="120"/>
        <w:ind w:left="1080"/>
        <w:jc w:val="both"/>
        <w:rPr>
          <w:rFonts w:ascii="Book Antiqua" w:hAnsi="Book Antiqua"/>
        </w:rPr>
      </w:pPr>
    </w:p>
    <w:p w14:paraId="4299AA48" w14:textId="645F0BAE" w:rsidR="009830B8" w:rsidRPr="000401E3" w:rsidRDefault="009D5ADF" w:rsidP="0018380C">
      <w:pPr>
        <w:spacing w:before="120" w:after="120"/>
        <w:ind w:left="720" w:hanging="720"/>
        <w:jc w:val="both"/>
        <w:rPr>
          <w:rFonts w:ascii="Book Antiqua" w:hAnsi="Book Antiqua"/>
        </w:rPr>
      </w:pPr>
      <w:r>
        <w:rPr>
          <w:rFonts w:ascii="Book Antiqua" w:hAnsi="Book Antiqua"/>
        </w:rPr>
        <w:t>4.8</w:t>
      </w:r>
      <w:r w:rsidR="000401E3">
        <w:rPr>
          <w:rFonts w:ascii="Book Antiqua" w:hAnsi="Book Antiqua"/>
        </w:rPr>
        <w:tab/>
        <w:t>Practitioners should contact the Criminal Division Legal Officer for any queries in relation to</w:t>
      </w:r>
      <w:r w:rsidR="00EB7E59">
        <w:rPr>
          <w:rFonts w:ascii="Book Antiqua" w:hAnsi="Book Antiqua"/>
        </w:rPr>
        <w:t xml:space="preserve"> </w:t>
      </w:r>
      <w:r w:rsidR="000C33AA">
        <w:rPr>
          <w:rFonts w:ascii="Book Antiqua" w:hAnsi="Book Antiqua"/>
        </w:rPr>
        <w:t xml:space="preserve">the </w:t>
      </w:r>
      <w:r w:rsidR="00EB7E59">
        <w:rPr>
          <w:rFonts w:ascii="Book Antiqua" w:hAnsi="Book Antiqua"/>
        </w:rPr>
        <w:t xml:space="preserve">hearing of applications and reviews under the CMIA.  If the Criminal Division Legal Officer is unavailable for any reason, practitioners may contact the Associate to the Principal Judge of the Criminal Division.  </w:t>
      </w:r>
      <w:r w:rsidR="000401E3" w:rsidRPr="000401E3">
        <w:rPr>
          <w:rFonts w:ascii="Book Antiqua" w:hAnsi="Book Antiqua"/>
        </w:rPr>
        <w:t xml:space="preserve">  </w:t>
      </w:r>
    </w:p>
    <w:p w14:paraId="0561F72D" w14:textId="77777777" w:rsidR="00DC24A7" w:rsidRPr="007917BE" w:rsidRDefault="00DC24A7" w:rsidP="0018380C">
      <w:pPr>
        <w:spacing w:before="120" w:after="120"/>
        <w:ind w:left="720" w:hanging="720"/>
        <w:jc w:val="both"/>
        <w:rPr>
          <w:rFonts w:ascii="Book Antiqua" w:hAnsi="Book Antiqua"/>
        </w:rPr>
      </w:pPr>
    </w:p>
    <w:p w14:paraId="580E64F4" w14:textId="77777777" w:rsidR="00447C2E" w:rsidRDefault="00447C2E" w:rsidP="00447C2E">
      <w:pPr>
        <w:pStyle w:val="ListParagraph"/>
        <w:spacing w:before="120" w:after="120"/>
        <w:ind w:hanging="720"/>
        <w:jc w:val="both"/>
        <w:rPr>
          <w:rFonts w:ascii="Book Antiqua" w:hAnsi="Book Antiqua"/>
          <w:b/>
          <w:sz w:val="24"/>
          <w:szCs w:val="24"/>
        </w:rPr>
      </w:pPr>
      <w:r>
        <w:rPr>
          <w:rFonts w:ascii="Book Antiqua" w:hAnsi="Book Antiqua"/>
          <w:b/>
          <w:sz w:val="24"/>
          <w:szCs w:val="24"/>
        </w:rPr>
        <w:t>AMENDMENT HISTORY</w:t>
      </w:r>
    </w:p>
    <w:p w14:paraId="3B43DB1A" w14:textId="77777777" w:rsidR="00447C2E" w:rsidRDefault="00447C2E" w:rsidP="00447C2E">
      <w:pPr>
        <w:pStyle w:val="ListParagraph"/>
        <w:spacing w:before="120" w:after="120"/>
        <w:ind w:hanging="720"/>
        <w:jc w:val="both"/>
        <w:rPr>
          <w:rFonts w:ascii="Book Antiqua" w:hAnsi="Book Antiqua"/>
          <w:b/>
          <w:sz w:val="24"/>
          <w:szCs w:val="24"/>
        </w:rPr>
      </w:pPr>
    </w:p>
    <w:p w14:paraId="353954F4" w14:textId="1E5F0A99" w:rsidR="00447C2E" w:rsidRDefault="00600551" w:rsidP="00447C2E">
      <w:pPr>
        <w:pStyle w:val="ListParagraph"/>
        <w:spacing w:before="120" w:after="120"/>
        <w:ind w:left="0"/>
        <w:jc w:val="both"/>
        <w:rPr>
          <w:rFonts w:ascii="Book Antiqua" w:hAnsi="Book Antiqua"/>
          <w:sz w:val="24"/>
          <w:szCs w:val="24"/>
        </w:rPr>
      </w:pPr>
      <w:r>
        <w:rPr>
          <w:rFonts w:ascii="Book Antiqua" w:hAnsi="Book Antiqua"/>
          <w:sz w:val="24"/>
          <w:szCs w:val="24"/>
        </w:rPr>
        <w:t xml:space="preserve">30 </w:t>
      </w:r>
      <w:r w:rsidR="00447C2E">
        <w:rPr>
          <w:rFonts w:ascii="Book Antiqua" w:hAnsi="Book Antiqua"/>
          <w:sz w:val="24"/>
          <w:szCs w:val="24"/>
        </w:rPr>
        <w:t>January 2017:  Th</w:t>
      </w:r>
      <w:r>
        <w:rPr>
          <w:rFonts w:ascii="Book Antiqua" w:hAnsi="Book Antiqua"/>
          <w:sz w:val="24"/>
          <w:szCs w:val="24"/>
        </w:rPr>
        <w:t>is Practice Note was issued on 30</w:t>
      </w:r>
      <w:r w:rsidR="00447C2E">
        <w:rPr>
          <w:rFonts w:ascii="Book Antiqua" w:hAnsi="Book Antiqua"/>
          <w:sz w:val="24"/>
          <w:szCs w:val="24"/>
        </w:rPr>
        <w:t xml:space="preserve"> January 2017.  </w:t>
      </w:r>
    </w:p>
    <w:p w14:paraId="737CECAE" w14:textId="77777777" w:rsidR="00447C2E" w:rsidRDefault="00447C2E" w:rsidP="00447C2E">
      <w:pPr>
        <w:pStyle w:val="ListParagraph"/>
        <w:spacing w:before="120" w:after="120"/>
        <w:ind w:left="0"/>
        <w:jc w:val="both"/>
        <w:rPr>
          <w:rFonts w:ascii="Book Antiqua" w:hAnsi="Book Antiqua"/>
          <w:sz w:val="24"/>
          <w:szCs w:val="24"/>
        </w:rPr>
      </w:pPr>
    </w:p>
    <w:p w14:paraId="1A90B976" w14:textId="77777777" w:rsidR="00447C2E" w:rsidRPr="00DD45B9" w:rsidRDefault="00447C2E" w:rsidP="00447C2E">
      <w:pPr>
        <w:pStyle w:val="List"/>
        <w:spacing w:before="120" w:after="120"/>
        <w:ind w:left="0" w:firstLine="0"/>
        <w:jc w:val="right"/>
      </w:pPr>
    </w:p>
    <w:p w14:paraId="3D27AD39" w14:textId="77777777" w:rsidR="00447C2E" w:rsidRPr="006D3550" w:rsidRDefault="00447C2E" w:rsidP="00447C2E">
      <w:pPr>
        <w:pStyle w:val="List"/>
        <w:spacing w:before="120" w:after="120"/>
        <w:ind w:left="0" w:firstLine="0"/>
        <w:jc w:val="right"/>
        <w:rPr>
          <w:rFonts w:ascii="Book Antiqua" w:hAnsi="Book Antiqua"/>
        </w:rPr>
      </w:pPr>
      <w:r w:rsidRPr="006D3550">
        <w:rPr>
          <w:rFonts w:ascii="Book Antiqua" w:hAnsi="Book Antiqua"/>
        </w:rPr>
        <w:t>Vivienne Macgillivray</w:t>
      </w:r>
    </w:p>
    <w:p w14:paraId="362D36E1" w14:textId="77777777" w:rsidR="00447C2E" w:rsidRPr="006D3550" w:rsidRDefault="00447C2E" w:rsidP="00447C2E">
      <w:pPr>
        <w:pStyle w:val="List"/>
        <w:spacing w:before="120" w:after="120"/>
        <w:ind w:left="0" w:firstLine="0"/>
        <w:jc w:val="right"/>
        <w:rPr>
          <w:rFonts w:ascii="Book Antiqua" w:hAnsi="Book Antiqua"/>
        </w:rPr>
      </w:pPr>
      <w:r w:rsidRPr="006D3550">
        <w:rPr>
          <w:rFonts w:ascii="Book Antiqua" w:hAnsi="Book Antiqua"/>
        </w:rPr>
        <w:t>Executive Associate to the Chief Justice</w:t>
      </w:r>
    </w:p>
    <w:p w14:paraId="7F9F210A" w14:textId="5DC40966" w:rsidR="00447C2E" w:rsidRPr="006D3550" w:rsidRDefault="00600551" w:rsidP="00447C2E">
      <w:pPr>
        <w:pStyle w:val="List"/>
        <w:spacing w:before="120" w:after="120"/>
        <w:ind w:left="0" w:firstLine="0"/>
        <w:jc w:val="right"/>
        <w:rPr>
          <w:rFonts w:ascii="Book Antiqua" w:hAnsi="Book Antiqua"/>
        </w:rPr>
      </w:pPr>
      <w:r>
        <w:rPr>
          <w:rFonts w:ascii="Book Antiqua" w:hAnsi="Book Antiqua"/>
        </w:rPr>
        <w:t>30</w:t>
      </w:r>
      <w:r w:rsidR="00447C2E">
        <w:rPr>
          <w:rFonts w:ascii="Book Antiqua" w:hAnsi="Book Antiqua"/>
        </w:rPr>
        <w:t xml:space="preserve"> January 2017</w:t>
      </w:r>
    </w:p>
    <w:sectPr w:rsidR="00447C2E" w:rsidRPr="006D3550" w:rsidSect="003817C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B3520" w14:textId="77777777" w:rsidR="00F913D4" w:rsidRDefault="00F913D4">
      <w:r>
        <w:separator/>
      </w:r>
    </w:p>
  </w:endnote>
  <w:endnote w:type="continuationSeparator" w:id="0">
    <w:p w14:paraId="267A594E" w14:textId="77777777" w:rsidR="00F913D4" w:rsidRDefault="00F913D4">
      <w:r>
        <w:continuationSeparator/>
      </w:r>
    </w:p>
  </w:endnote>
  <w:endnote w:type="continuationNotice" w:id="1">
    <w:p w14:paraId="038D0915" w14:textId="77777777" w:rsidR="00F913D4" w:rsidRDefault="00F91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1390C5E8" w:rsidR="002D6E79" w:rsidRDefault="002D6E79">
    <w:pPr>
      <w:pStyle w:val="Footer"/>
      <w:jc w:val="right"/>
    </w:pPr>
    <w:r>
      <w:fldChar w:fldCharType="begin"/>
    </w:r>
    <w:r>
      <w:instrText xml:space="preserve"> PAGE   \* MERGEFORMAT </w:instrText>
    </w:r>
    <w:r>
      <w:fldChar w:fldCharType="separate"/>
    </w:r>
    <w:r w:rsidR="00FE0EB4">
      <w:rPr>
        <w:noProof/>
      </w:rPr>
      <w:t>2</w:t>
    </w:r>
    <w:r>
      <w:rPr>
        <w:noProof/>
      </w:rPr>
      <w:fldChar w:fldCharType="end"/>
    </w:r>
  </w:p>
  <w:p w14:paraId="77F17E56"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D4175" w14:textId="77777777" w:rsidR="00F913D4" w:rsidRDefault="00F913D4">
      <w:r>
        <w:separator/>
      </w:r>
    </w:p>
  </w:footnote>
  <w:footnote w:type="continuationSeparator" w:id="0">
    <w:p w14:paraId="4D38202C" w14:textId="77777777" w:rsidR="00F913D4" w:rsidRDefault="00F913D4">
      <w:r>
        <w:continuationSeparator/>
      </w:r>
    </w:p>
  </w:footnote>
  <w:footnote w:type="continuationNotice" w:id="1">
    <w:p w14:paraId="460F6DAD" w14:textId="77777777" w:rsidR="00F913D4" w:rsidRDefault="00F913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3C9A2" w14:textId="5E20EFD0" w:rsidR="00F24BD7" w:rsidRDefault="00F24B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A0E6C61"/>
    <w:multiLevelType w:val="hybridMultilevel"/>
    <w:tmpl w:val="2AF66A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E10646"/>
    <w:multiLevelType w:val="hybridMultilevel"/>
    <w:tmpl w:val="AC7EE332"/>
    <w:lvl w:ilvl="0" w:tplc="0C090013">
      <w:start w:val="1"/>
      <w:numFmt w:val="upp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5"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5CA169A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2A2AA5"/>
    <w:multiLevelType w:val="hybridMultilevel"/>
    <w:tmpl w:val="7C9004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593725F"/>
    <w:multiLevelType w:val="hybridMultilevel"/>
    <w:tmpl w:val="F0187E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4217665"/>
    <w:multiLevelType w:val="hybridMultilevel"/>
    <w:tmpl w:val="B68CB5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27"/>
  </w:num>
  <w:num w:numId="2">
    <w:abstractNumId w:val="10"/>
  </w:num>
  <w:num w:numId="3">
    <w:abstractNumId w:val="21"/>
  </w:num>
  <w:num w:numId="4">
    <w:abstractNumId w:val="29"/>
  </w:num>
  <w:num w:numId="5">
    <w:abstractNumId w:val="8"/>
  </w:num>
  <w:num w:numId="6">
    <w:abstractNumId w:val="24"/>
  </w:num>
  <w:num w:numId="7">
    <w:abstractNumId w:val="26"/>
  </w:num>
  <w:num w:numId="8">
    <w:abstractNumId w:val="17"/>
  </w:num>
  <w:num w:numId="9">
    <w:abstractNumId w:val="2"/>
  </w:num>
  <w:num w:numId="10">
    <w:abstractNumId w:val="15"/>
  </w:num>
  <w:num w:numId="11">
    <w:abstractNumId w:val="18"/>
  </w:num>
  <w:num w:numId="12">
    <w:abstractNumId w:val="22"/>
  </w:num>
  <w:num w:numId="13">
    <w:abstractNumId w:val="4"/>
  </w:num>
  <w:num w:numId="14">
    <w:abstractNumId w:val="3"/>
  </w:num>
  <w:num w:numId="15">
    <w:abstractNumId w:val="11"/>
  </w:num>
  <w:num w:numId="16">
    <w:abstractNumId w:val="0"/>
  </w:num>
  <w:num w:numId="17">
    <w:abstractNumId w:val="9"/>
  </w:num>
  <w:num w:numId="18">
    <w:abstractNumId w:val="25"/>
  </w:num>
  <w:num w:numId="19">
    <w:abstractNumId w:val="7"/>
  </w:num>
  <w:num w:numId="20">
    <w:abstractNumId w:val="6"/>
  </w:num>
  <w:num w:numId="21">
    <w:abstractNumId w:val="14"/>
  </w:num>
  <w:num w:numId="22">
    <w:abstractNumId w:val="13"/>
  </w:num>
  <w:num w:numId="23">
    <w:abstractNumId w:val="16"/>
  </w:num>
  <w:num w:numId="24">
    <w:abstractNumId w:val="1"/>
  </w:num>
  <w:num w:numId="25">
    <w:abstractNumId w:val="23"/>
  </w:num>
  <w:num w:numId="26">
    <w:abstractNumId w:val="20"/>
  </w:num>
  <w:num w:numId="27">
    <w:abstractNumId w:val="5"/>
  </w:num>
  <w:num w:numId="28">
    <w:abstractNumId w:val="28"/>
  </w:num>
  <w:num w:numId="29">
    <w:abstractNumId w:val="1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6EBF"/>
    <w:rsid w:val="00037D26"/>
    <w:rsid w:val="000401E3"/>
    <w:rsid w:val="00043448"/>
    <w:rsid w:val="00055F43"/>
    <w:rsid w:val="000566C3"/>
    <w:rsid w:val="0007053B"/>
    <w:rsid w:val="00070CA2"/>
    <w:rsid w:val="00070D66"/>
    <w:rsid w:val="00071A96"/>
    <w:rsid w:val="00073139"/>
    <w:rsid w:val="00073769"/>
    <w:rsid w:val="00077863"/>
    <w:rsid w:val="00081A41"/>
    <w:rsid w:val="00095BA5"/>
    <w:rsid w:val="000A1DE7"/>
    <w:rsid w:val="000A4A94"/>
    <w:rsid w:val="000A4F62"/>
    <w:rsid w:val="000A553C"/>
    <w:rsid w:val="000A6B76"/>
    <w:rsid w:val="000B2E54"/>
    <w:rsid w:val="000B5F50"/>
    <w:rsid w:val="000C0998"/>
    <w:rsid w:val="000C1777"/>
    <w:rsid w:val="000C2CE1"/>
    <w:rsid w:val="000C33AA"/>
    <w:rsid w:val="000C5F4B"/>
    <w:rsid w:val="000C75E1"/>
    <w:rsid w:val="000D07F1"/>
    <w:rsid w:val="000D3250"/>
    <w:rsid w:val="000D59AE"/>
    <w:rsid w:val="000D5E28"/>
    <w:rsid w:val="000D7A64"/>
    <w:rsid w:val="000E12FA"/>
    <w:rsid w:val="000E524A"/>
    <w:rsid w:val="000F3B18"/>
    <w:rsid w:val="000F6EA7"/>
    <w:rsid w:val="00100006"/>
    <w:rsid w:val="00101EC5"/>
    <w:rsid w:val="001033CC"/>
    <w:rsid w:val="00121C72"/>
    <w:rsid w:val="00125C07"/>
    <w:rsid w:val="00133A51"/>
    <w:rsid w:val="001344BA"/>
    <w:rsid w:val="00140683"/>
    <w:rsid w:val="00143136"/>
    <w:rsid w:val="00143818"/>
    <w:rsid w:val="00144DAA"/>
    <w:rsid w:val="001456D8"/>
    <w:rsid w:val="00145C92"/>
    <w:rsid w:val="00145D28"/>
    <w:rsid w:val="0014603C"/>
    <w:rsid w:val="0015063E"/>
    <w:rsid w:val="0015356B"/>
    <w:rsid w:val="00155A8E"/>
    <w:rsid w:val="0015650D"/>
    <w:rsid w:val="0016054E"/>
    <w:rsid w:val="00161B6C"/>
    <w:rsid w:val="00161CA2"/>
    <w:rsid w:val="001716EF"/>
    <w:rsid w:val="0018061B"/>
    <w:rsid w:val="0018380C"/>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D1735"/>
    <w:rsid w:val="001E0318"/>
    <w:rsid w:val="00207367"/>
    <w:rsid w:val="00216DCF"/>
    <w:rsid w:val="00217758"/>
    <w:rsid w:val="00217E88"/>
    <w:rsid w:val="002218C5"/>
    <w:rsid w:val="00222544"/>
    <w:rsid w:val="00226236"/>
    <w:rsid w:val="0022666D"/>
    <w:rsid w:val="0023426A"/>
    <w:rsid w:val="00234B7B"/>
    <w:rsid w:val="00241A4E"/>
    <w:rsid w:val="00245746"/>
    <w:rsid w:val="00247F50"/>
    <w:rsid w:val="002572C2"/>
    <w:rsid w:val="0026005D"/>
    <w:rsid w:val="00265BF9"/>
    <w:rsid w:val="00271B59"/>
    <w:rsid w:val="00273AC4"/>
    <w:rsid w:val="002755F4"/>
    <w:rsid w:val="00275A5A"/>
    <w:rsid w:val="00277B7B"/>
    <w:rsid w:val="002812ED"/>
    <w:rsid w:val="0028130B"/>
    <w:rsid w:val="002B1031"/>
    <w:rsid w:val="002B465A"/>
    <w:rsid w:val="002C1134"/>
    <w:rsid w:val="002C56E8"/>
    <w:rsid w:val="002D0AB0"/>
    <w:rsid w:val="002D0FD3"/>
    <w:rsid w:val="002D23D8"/>
    <w:rsid w:val="002D3331"/>
    <w:rsid w:val="002D4ACC"/>
    <w:rsid w:val="002D6E79"/>
    <w:rsid w:val="002D7284"/>
    <w:rsid w:val="002E0F6B"/>
    <w:rsid w:val="002E6B43"/>
    <w:rsid w:val="002E7FD2"/>
    <w:rsid w:val="002F4D7F"/>
    <w:rsid w:val="00300F4B"/>
    <w:rsid w:val="00302981"/>
    <w:rsid w:val="003030E3"/>
    <w:rsid w:val="0030352D"/>
    <w:rsid w:val="00305761"/>
    <w:rsid w:val="00307B60"/>
    <w:rsid w:val="00310655"/>
    <w:rsid w:val="00310A32"/>
    <w:rsid w:val="00311051"/>
    <w:rsid w:val="0031222C"/>
    <w:rsid w:val="003166D1"/>
    <w:rsid w:val="00321C75"/>
    <w:rsid w:val="0032286C"/>
    <w:rsid w:val="00332418"/>
    <w:rsid w:val="00334DD3"/>
    <w:rsid w:val="00340257"/>
    <w:rsid w:val="003421C6"/>
    <w:rsid w:val="0034260E"/>
    <w:rsid w:val="00343C3C"/>
    <w:rsid w:val="00350055"/>
    <w:rsid w:val="003500B9"/>
    <w:rsid w:val="003508E0"/>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31CE"/>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47C2E"/>
    <w:rsid w:val="00454495"/>
    <w:rsid w:val="00455D46"/>
    <w:rsid w:val="00457353"/>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01B8"/>
    <w:rsid w:val="0050429E"/>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61105"/>
    <w:rsid w:val="0056389E"/>
    <w:rsid w:val="00565B62"/>
    <w:rsid w:val="00571758"/>
    <w:rsid w:val="00571E15"/>
    <w:rsid w:val="005734DA"/>
    <w:rsid w:val="00575849"/>
    <w:rsid w:val="00576759"/>
    <w:rsid w:val="005825BE"/>
    <w:rsid w:val="00582DAF"/>
    <w:rsid w:val="00593530"/>
    <w:rsid w:val="005A291A"/>
    <w:rsid w:val="005A386C"/>
    <w:rsid w:val="005A4134"/>
    <w:rsid w:val="005A59BA"/>
    <w:rsid w:val="005A68BF"/>
    <w:rsid w:val="005A6984"/>
    <w:rsid w:val="005B3FF4"/>
    <w:rsid w:val="005B499F"/>
    <w:rsid w:val="005B5CFE"/>
    <w:rsid w:val="005B7E00"/>
    <w:rsid w:val="005C542A"/>
    <w:rsid w:val="005C7F57"/>
    <w:rsid w:val="005D3383"/>
    <w:rsid w:val="005E04B4"/>
    <w:rsid w:val="005E0635"/>
    <w:rsid w:val="005E14C2"/>
    <w:rsid w:val="005E3BB5"/>
    <w:rsid w:val="005E5273"/>
    <w:rsid w:val="005E704A"/>
    <w:rsid w:val="005F02B1"/>
    <w:rsid w:val="005F067C"/>
    <w:rsid w:val="005F54F7"/>
    <w:rsid w:val="00600551"/>
    <w:rsid w:val="00606E4F"/>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1566"/>
    <w:rsid w:val="00655347"/>
    <w:rsid w:val="006613C4"/>
    <w:rsid w:val="00666E4A"/>
    <w:rsid w:val="00666F54"/>
    <w:rsid w:val="006676CA"/>
    <w:rsid w:val="006710C3"/>
    <w:rsid w:val="0067315A"/>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74A"/>
    <w:rsid w:val="00704897"/>
    <w:rsid w:val="007068FC"/>
    <w:rsid w:val="007107C6"/>
    <w:rsid w:val="007109D8"/>
    <w:rsid w:val="00715F27"/>
    <w:rsid w:val="0071797E"/>
    <w:rsid w:val="00720BE1"/>
    <w:rsid w:val="00722648"/>
    <w:rsid w:val="0073125F"/>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11C7"/>
    <w:rsid w:val="00784717"/>
    <w:rsid w:val="007917BE"/>
    <w:rsid w:val="007942C1"/>
    <w:rsid w:val="007951CA"/>
    <w:rsid w:val="00796E2E"/>
    <w:rsid w:val="007A0780"/>
    <w:rsid w:val="007A1449"/>
    <w:rsid w:val="007A1D8C"/>
    <w:rsid w:val="007B1869"/>
    <w:rsid w:val="007B3902"/>
    <w:rsid w:val="007C0A8F"/>
    <w:rsid w:val="007C6118"/>
    <w:rsid w:val="007D0506"/>
    <w:rsid w:val="007D1D95"/>
    <w:rsid w:val="007D42ED"/>
    <w:rsid w:val="007E01F4"/>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0F3F"/>
    <w:rsid w:val="00831D0F"/>
    <w:rsid w:val="00834079"/>
    <w:rsid w:val="00835C7C"/>
    <w:rsid w:val="00836099"/>
    <w:rsid w:val="008429C5"/>
    <w:rsid w:val="008434C3"/>
    <w:rsid w:val="00843503"/>
    <w:rsid w:val="008445D3"/>
    <w:rsid w:val="00845023"/>
    <w:rsid w:val="00850A46"/>
    <w:rsid w:val="008515EE"/>
    <w:rsid w:val="00854FD4"/>
    <w:rsid w:val="008570C4"/>
    <w:rsid w:val="0086055D"/>
    <w:rsid w:val="008726E2"/>
    <w:rsid w:val="00872BAD"/>
    <w:rsid w:val="00880069"/>
    <w:rsid w:val="0088136E"/>
    <w:rsid w:val="008829F2"/>
    <w:rsid w:val="008846D6"/>
    <w:rsid w:val="00892D21"/>
    <w:rsid w:val="00892FF7"/>
    <w:rsid w:val="008936D1"/>
    <w:rsid w:val="008942F1"/>
    <w:rsid w:val="008A4768"/>
    <w:rsid w:val="008A636D"/>
    <w:rsid w:val="008B0EC2"/>
    <w:rsid w:val="008B1575"/>
    <w:rsid w:val="008B3490"/>
    <w:rsid w:val="008B47EA"/>
    <w:rsid w:val="008C027C"/>
    <w:rsid w:val="008C41FA"/>
    <w:rsid w:val="008D1160"/>
    <w:rsid w:val="008D6EBF"/>
    <w:rsid w:val="008E2F41"/>
    <w:rsid w:val="008E38AA"/>
    <w:rsid w:val="0091164B"/>
    <w:rsid w:val="00916516"/>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30B8"/>
    <w:rsid w:val="00984A84"/>
    <w:rsid w:val="00987FD8"/>
    <w:rsid w:val="00990B3C"/>
    <w:rsid w:val="00993D8D"/>
    <w:rsid w:val="009956C6"/>
    <w:rsid w:val="00996F81"/>
    <w:rsid w:val="009A16DD"/>
    <w:rsid w:val="009A45B0"/>
    <w:rsid w:val="009B1B66"/>
    <w:rsid w:val="009B3159"/>
    <w:rsid w:val="009B7708"/>
    <w:rsid w:val="009C3906"/>
    <w:rsid w:val="009C393F"/>
    <w:rsid w:val="009C6B44"/>
    <w:rsid w:val="009D1753"/>
    <w:rsid w:val="009D5ADF"/>
    <w:rsid w:val="009E4C0D"/>
    <w:rsid w:val="009E5E09"/>
    <w:rsid w:val="009E714C"/>
    <w:rsid w:val="009F27F0"/>
    <w:rsid w:val="009F587A"/>
    <w:rsid w:val="009F7C7A"/>
    <w:rsid w:val="00A02D5F"/>
    <w:rsid w:val="00A03CC1"/>
    <w:rsid w:val="00A04BF1"/>
    <w:rsid w:val="00A13D3C"/>
    <w:rsid w:val="00A16095"/>
    <w:rsid w:val="00A1734D"/>
    <w:rsid w:val="00A222B3"/>
    <w:rsid w:val="00A26A27"/>
    <w:rsid w:val="00A26CDF"/>
    <w:rsid w:val="00A276BA"/>
    <w:rsid w:val="00A54C63"/>
    <w:rsid w:val="00A64EE1"/>
    <w:rsid w:val="00A67FC3"/>
    <w:rsid w:val="00A715A8"/>
    <w:rsid w:val="00A7773B"/>
    <w:rsid w:val="00A7779A"/>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61C0"/>
    <w:rsid w:val="00B57556"/>
    <w:rsid w:val="00B6220E"/>
    <w:rsid w:val="00B65F05"/>
    <w:rsid w:val="00B72C47"/>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4BB2"/>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07895"/>
    <w:rsid w:val="00C16178"/>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92881"/>
    <w:rsid w:val="00C96FB5"/>
    <w:rsid w:val="00C979D7"/>
    <w:rsid w:val="00CB2437"/>
    <w:rsid w:val="00CB2EDD"/>
    <w:rsid w:val="00CC2810"/>
    <w:rsid w:val="00CC6705"/>
    <w:rsid w:val="00CD0331"/>
    <w:rsid w:val="00CD3768"/>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61E3"/>
    <w:rsid w:val="00D97628"/>
    <w:rsid w:val="00DA0491"/>
    <w:rsid w:val="00DA1E21"/>
    <w:rsid w:val="00DA284A"/>
    <w:rsid w:val="00DA47B2"/>
    <w:rsid w:val="00DA56E9"/>
    <w:rsid w:val="00DB304D"/>
    <w:rsid w:val="00DB6F51"/>
    <w:rsid w:val="00DB7EBE"/>
    <w:rsid w:val="00DC0370"/>
    <w:rsid w:val="00DC0ABE"/>
    <w:rsid w:val="00DC1D8A"/>
    <w:rsid w:val="00DC24A7"/>
    <w:rsid w:val="00DC3601"/>
    <w:rsid w:val="00DC5BE7"/>
    <w:rsid w:val="00DC5DED"/>
    <w:rsid w:val="00DC66BB"/>
    <w:rsid w:val="00DC6E74"/>
    <w:rsid w:val="00DD1823"/>
    <w:rsid w:val="00DE2909"/>
    <w:rsid w:val="00DE6424"/>
    <w:rsid w:val="00DE6CBB"/>
    <w:rsid w:val="00DF032B"/>
    <w:rsid w:val="00DF1F28"/>
    <w:rsid w:val="00DF4878"/>
    <w:rsid w:val="00DF52D4"/>
    <w:rsid w:val="00DF5604"/>
    <w:rsid w:val="00E0124F"/>
    <w:rsid w:val="00E02938"/>
    <w:rsid w:val="00E05506"/>
    <w:rsid w:val="00E0551B"/>
    <w:rsid w:val="00E11319"/>
    <w:rsid w:val="00E15CF5"/>
    <w:rsid w:val="00E16169"/>
    <w:rsid w:val="00E20381"/>
    <w:rsid w:val="00E2055A"/>
    <w:rsid w:val="00E22DBE"/>
    <w:rsid w:val="00E23A7E"/>
    <w:rsid w:val="00E25646"/>
    <w:rsid w:val="00E27289"/>
    <w:rsid w:val="00E2776C"/>
    <w:rsid w:val="00E27982"/>
    <w:rsid w:val="00E52E8C"/>
    <w:rsid w:val="00E54AD4"/>
    <w:rsid w:val="00E61AA5"/>
    <w:rsid w:val="00E62BC4"/>
    <w:rsid w:val="00E66EDC"/>
    <w:rsid w:val="00E74D52"/>
    <w:rsid w:val="00E77EA2"/>
    <w:rsid w:val="00E90334"/>
    <w:rsid w:val="00EA0DB8"/>
    <w:rsid w:val="00EA141C"/>
    <w:rsid w:val="00EA2EB9"/>
    <w:rsid w:val="00EA6CDF"/>
    <w:rsid w:val="00EB7E59"/>
    <w:rsid w:val="00EC0977"/>
    <w:rsid w:val="00EC4249"/>
    <w:rsid w:val="00EC4A6A"/>
    <w:rsid w:val="00EC6B3A"/>
    <w:rsid w:val="00ED25C1"/>
    <w:rsid w:val="00ED61FE"/>
    <w:rsid w:val="00EE6009"/>
    <w:rsid w:val="00EF154D"/>
    <w:rsid w:val="00EF1683"/>
    <w:rsid w:val="00EF2F58"/>
    <w:rsid w:val="00EF5C7D"/>
    <w:rsid w:val="00F0009F"/>
    <w:rsid w:val="00F0621A"/>
    <w:rsid w:val="00F07C59"/>
    <w:rsid w:val="00F24BD7"/>
    <w:rsid w:val="00F24E6E"/>
    <w:rsid w:val="00F25EF5"/>
    <w:rsid w:val="00F33797"/>
    <w:rsid w:val="00F43EC5"/>
    <w:rsid w:val="00F521A3"/>
    <w:rsid w:val="00F52A10"/>
    <w:rsid w:val="00F630C6"/>
    <w:rsid w:val="00F66463"/>
    <w:rsid w:val="00F80F7B"/>
    <w:rsid w:val="00F85CC5"/>
    <w:rsid w:val="00F913D4"/>
    <w:rsid w:val="00F96197"/>
    <w:rsid w:val="00FA51CA"/>
    <w:rsid w:val="00FA7259"/>
    <w:rsid w:val="00FA726D"/>
    <w:rsid w:val="00FA7381"/>
    <w:rsid w:val="00FA7B26"/>
    <w:rsid w:val="00FB60BC"/>
    <w:rsid w:val="00FC0EA9"/>
    <w:rsid w:val="00FC2D90"/>
    <w:rsid w:val="00FC350B"/>
    <w:rsid w:val="00FC4A80"/>
    <w:rsid w:val="00FC697E"/>
    <w:rsid w:val="00FC7E16"/>
    <w:rsid w:val="00FD0B7E"/>
    <w:rsid w:val="00FD2962"/>
    <w:rsid w:val="00FD2DBF"/>
    <w:rsid w:val="00FD41F1"/>
    <w:rsid w:val="00FD4655"/>
    <w:rsid w:val="00FD6D10"/>
    <w:rsid w:val="00FD72DE"/>
    <w:rsid w:val="00FE0EB4"/>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18380C"/>
    <w:pPr>
      <w:keepNext/>
      <w:spacing w:before="120" w:after="120"/>
      <w:ind w:left="720"/>
      <w:outlineLvl w:val="0"/>
    </w:pPr>
    <w:rPr>
      <w:rFonts w:ascii="Book Antiqua" w:hAnsi="Book Antiqua"/>
      <w:b/>
      <w:bCs/>
      <w:i/>
      <w:kern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18380C"/>
    <w:rPr>
      <w:rFonts w:ascii="Book Antiqua" w:hAnsi="Book Antiqua"/>
      <w:b/>
      <w:bCs/>
      <w:i/>
      <w:kern w:val="32"/>
      <w:sz w:val="24"/>
      <w:szCs w:val="24"/>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3" ma:contentTypeDescription="Create a new document." ma:contentTypeScope="" ma:versionID="ca1a40c7d5a2c5f027e1d5791fc28b6c">
  <xsd:schema xmlns:xsd="http://www.w3.org/2001/XMLSchema" xmlns:xs="http://www.w3.org/2001/XMLSchema" xmlns:p="http://schemas.microsoft.com/office/2006/metadata/properties" xmlns:ns2="3bf330ff-a67c-4e2e-a2c7-c4d8290980c0" xmlns:ns3="8885d047-c88c-41a6-b8f3-9efabc51400d" targetNamespace="http://schemas.microsoft.com/office/2006/metadata/properties" ma:root="true" ma:fieldsID="e7dcc889e72cac23bdf93a19a1aa9bd3" ns2:_="" ns3:_="">
    <xsd:import namespace="3bf330ff-a67c-4e2e-a2c7-c4d8290980c0"/>
    <xsd:import namespace="8885d047-c88c-41a6-b8f3-9efabc514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schemas.microsoft.com/office/2006/documentManagement/types"/>
    <ds:schemaRef ds:uri="http://schemas.openxmlformats.org/package/2006/metadata/core-properties"/>
    <ds:schemaRef ds:uri="3bf330ff-a67c-4e2e-a2c7-c4d8290980c0"/>
    <ds:schemaRef ds:uri="http://purl.org/dc/elements/1.1/"/>
    <ds:schemaRef ds:uri="http://schemas.microsoft.com/office/2006/metadata/properties"/>
    <ds:schemaRef ds:uri="http://schemas.microsoft.com/office/infopath/2007/PartnerControls"/>
    <ds:schemaRef ds:uri="http://purl.org/dc/terms/"/>
    <ds:schemaRef ds:uri="8885d047-c88c-41a6-b8f3-9efabc51400d"/>
    <ds:schemaRef ds:uri="http://www.w3.org/XML/1998/namespace"/>
    <ds:schemaRef ds:uri="http://purl.org/dc/dcmitype/"/>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6E1A5ABF-41BF-40F1-8754-BA11FC9266EE}"/>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5225A1DD-57A8-413B-9571-3B45BB8DAA3B}">
  <ds:schemaRefs>
    <ds:schemaRef ds:uri="http://schemas.openxmlformats.org/officeDocument/2006/bibliography"/>
  </ds:schemaRefs>
</ds:datastoreItem>
</file>

<file path=customXml/itemProps6.xml><?xml version="1.0" encoding="utf-8"?>
<ds:datastoreItem xmlns:ds="http://schemas.openxmlformats.org/officeDocument/2006/customXml" ds:itemID="{139F01E2-3A86-488B-96C8-F73D4344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873</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Viv Macgillivray</cp:lastModifiedBy>
  <cp:revision>11</cp:revision>
  <cp:lastPrinted>2015-02-18T22:34:00Z</cp:lastPrinted>
  <dcterms:created xsi:type="dcterms:W3CDTF">2016-10-26T03:08:00Z</dcterms:created>
  <dcterms:modified xsi:type="dcterms:W3CDTF">2021-08-12T05:45:00Z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0x010100AC0A6A1460CFDC49A0A6EF7D0997F2FC</vt:lpwstr>
  </property>
</Properties>
</file>