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F2371" w14:textId="03D00D96" w:rsidR="00303225" w:rsidRDefault="00B16340" w:rsidP="00875A08">
      <w:pPr>
        <w:autoSpaceDE w:val="0"/>
        <w:autoSpaceDN w:val="0"/>
        <w:adjustRightInd w:val="0"/>
        <w:jc w:val="center"/>
        <w:rPr>
          <w:rFonts w:ascii="Arial" w:hAnsi="Arial" w:cs="Arial"/>
          <w:b/>
          <w:bCs/>
          <w:i/>
          <w:iCs/>
          <w:sz w:val="60"/>
          <w:szCs w:val="60"/>
        </w:rPr>
      </w:pPr>
      <w:r>
        <w:rPr>
          <w:rFonts w:ascii="Arial" w:hAnsi="Arial" w:cs="Arial"/>
          <w:b/>
          <w:bCs/>
          <w:i/>
          <w:iCs/>
          <w:noProof/>
          <w:sz w:val="60"/>
          <w:szCs w:val="60"/>
        </w:rPr>
        <w:drawing>
          <wp:anchor distT="0" distB="0" distL="114300" distR="114300" simplePos="0" relativeHeight="251658240" behindDoc="0" locked="0" layoutInCell="1" allowOverlap="1" wp14:anchorId="187239CD" wp14:editId="16DBA831">
            <wp:simplePos x="0" y="0"/>
            <wp:positionH relativeFrom="column">
              <wp:posOffset>1897380</wp:posOffset>
            </wp:positionH>
            <wp:positionV relativeFrom="paragraph">
              <wp:posOffset>-668655</wp:posOffset>
            </wp:positionV>
            <wp:extent cx="1419225" cy="1266825"/>
            <wp:effectExtent l="0" t="0" r="0" b="0"/>
            <wp:wrapNone/>
            <wp:docPr id="2" name="Picture 2"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V_Red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22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DF8AC1" w14:textId="77777777" w:rsidR="00B16340" w:rsidRDefault="00B16340" w:rsidP="00875A08">
      <w:pPr>
        <w:autoSpaceDE w:val="0"/>
        <w:autoSpaceDN w:val="0"/>
        <w:adjustRightInd w:val="0"/>
        <w:jc w:val="center"/>
        <w:rPr>
          <w:rFonts w:ascii="Arial" w:hAnsi="Arial" w:cs="Arial"/>
          <w:b/>
          <w:bCs/>
          <w:iCs/>
          <w:sz w:val="32"/>
          <w:szCs w:val="32"/>
        </w:rPr>
      </w:pPr>
    </w:p>
    <w:p w14:paraId="66DAECBF" w14:textId="77777777" w:rsidR="00875A08" w:rsidRPr="00303225" w:rsidRDefault="00875A08" w:rsidP="00875A08">
      <w:pPr>
        <w:autoSpaceDE w:val="0"/>
        <w:autoSpaceDN w:val="0"/>
        <w:adjustRightInd w:val="0"/>
        <w:jc w:val="center"/>
        <w:rPr>
          <w:rFonts w:ascii="Arial" w:hAnsi="Arial" w:cs="Arial"/>
          <w:b/>
          <w:bCs/>
          <w:iCs/>
          <w:sz w:val="32"/>
          <w:szCs w:val="32"/>
        </w:rPr>
      </w:pPr>
      <w:r w:rsidRPr="00303225">
        <w:rPr>
          <w:rFonts w:ascii="Arial" w:hAnsi="Arial" w:cs="Arial"/>
          <w:b/>
          <w:bCs/>
          <w:iCs/>
          <w:sz w:val="32"/>
          <w:szCs w:val="32"/>
        </w:rPr>
        <w:t xml:space="preserve">Can Australian courts get their act together on international commercial </w:t>
      </w:r>
      <w:proofErr w:type="gramStart"/>
      <w:r w:rsidRPr="00303225">
        <w:rPr>
          <w:rFonts w:ascii="Arial" w:hAnsi="Arial" w:cs="Arial"/>
          <w:b/>
          <w:bCs/>
          <w:iCs/>
          <w:sz w:val="32"/>
          <w:szCs w:val="32"/>
        </w:rPr>
        <w:t>arbitration?</w:t>
      </w:r>
      <w:r w:rsidRPr="00303225">
        <w:rPr>
          <w:rFonts w:ascii="Arial" w:hAnsi="Arial" w:cs="Arial"/>
          <w:b/>
          <w:bCs/>
          <w:iCs/>
          <w:sz w:val="32"/>
          <w:szCs w:val="32"/>
        </w:rPr>
        <w:footnoteReference w:customMarkFollows="1" w:id="1"/>
        <w:t>*</w:t>
      </w:r>
      <w:proofErr w:type="gramEnd"/>
    </w:p>
    <w:p w14:paraId="77B94508" w14:textId="77777777" w:rsidR="00875A08" w:rsidRPr="00303225" w:rsidRDefault="00875A08" w:rsidP="00875A08">
      <w:pPr>
        <w:autoSpaceDE w:val="0"/>
        <w:autoSpaceDN w:val="0"/>
        <w:adjustRightInd w:val="0"/>
        <w:jc w:val="center"/>
        <w:rPr>
          <w:rFonts w:ascii="Arial" w:hAnsi="Arial" w:cs="Arial"/>
          <w:b/>
          <w:bCs/>
          <w:i/>
          <w:iCs/>
          <w:sz w:val="22"/>
          <w:szCs w:val="22"/>
        </w:rPr>
      </w:pPr>
    </w:p>
    <w:p w14:paraId="199A4875" w14:textId="77777777" w:rsidR="00875A08" w:rsidRPr="00303225" w:rsidRDefault="00303225" w:rsidP="00303225">
      <w:pPr>
        <w:autoSpaceDE w:val="0"/>
        <w:autoSpaceDN w:val="0"/>
        <w:adjustRightInd w:val="0"/>
        <w:jc w:val="center"/>
        <w:rPr>
          <w:rFonts w:ascii="Arial" w:hAnsi="Arial" w:cs="Arial"/>
          <w:b/>
          <w:bCs/>
          <w:sz w:val="22"/>
          <w:szCs w:val="22"/>
        </w:rPr>
      </w:pPr>
      <w:r>
        <w:rPr>
          <w:rFonts w:ascii="Arial" w:hAnsi="Arial" w:cs="Arial"/>
          <w:b/>
          <w:bCs/>
          <w:sz w:val="22"/>
          <w:szCs w:val="22"/>
        </w:rPr>
        <w:t>The Hon. Justice Clyde Croft</w:t>
      </w:r>
      <w:r w:rsidR="003E186A" w:rsidRPr="00303225">
        <w:rPr>
          <w:rStyle w:val="FootnoteReference"/>
          <w:rFonts w:ascii="Arial" w:hAnsi="Arial" w:cs="Arial"/>
          <w:b/>
          <w:bCs/>
          <w:sz w:val="22"/>
          <w:szCs w:val="22"/>
        </w:rPr>
        <w:footnoteReference w:id="2"/>
      </w:r>
    </w:p>
    <w:p w14:paraId="4EDA706B" w14:textId="77777777" w:rsidR="00303225" w:rsidRDefault="00303225" w:rsidP="00303225">
      <w:pPr>
        <w:autoSpaceDE w:val="0"/>
        <w:autoSpaceDN w:val="0"/>
        <w:adjustRightInd w:val="0"/>
        <w:jc w:val="center"/>
        <w:rPr>
          <w:rFonts w:ascii="Arial" w:hAnsi="Arial" w:cs="Arial"/>
          <w:b/>
          <w:bCs/>
          <w:sz w:val="28"/>
          <w:szCs w:val="28"/>
        </w:rPr>
      </w:pPr>
    </w:p>
    <w:p w14:paraId="2D179064" w14:textId="77777777" w:rsidR="00303225" w:rsidRPr="00303225" w:rsidRDefault="00303225" w:rsidP="00303225">
      <w:pPr>
        <w:autoSpaceDE w:val="0"/>
        <w:autoSpaceDN w:val="0"/>
        <w:adjustRightInd w:val="0"/>
        <w:jc w:val="center"/>
        <w:rPr>
          <w:rFonts w:ascii="Arial" w:hAnsi="Arial" w:cs="Arial"/>
          <w:sz w:val="22"/>
          <w:szCs w:val="22"/>
        </w:rPr>
      </w:pPr>
      <w:r w:rsidRPr="00303225">
        <w:rPr>
          <w:rFonts w:ascii="Arial" w:hAnsi="Arial" w:cs="Arial"/>
          <w:sz w:val="22"/>
          <w:szCs w:val="22"/>
        </w:rPr>
        <w:t>A presentation given at the Financial Review International Dispute Resolution Conference 2010, Sydney</w:t>
      </w:r>
      <w:r w:rsidR="00B16340">
        <w:rPr>
          <w:rFonts w:ascii="Arial" w:hAnsi="Arial" w:cs="Arial"/>
          <w:sz w:val="22"/>
          <w:szCs w:val="22"/>
        </w:rPr>
        <w:t>.</w:t>
      </w:r>
    </w:p>
    <w:p w14:paraId="7C0B05CB" w14:textId="77777777" w:rsidR="00303225" w:rsidRDefault="00303225" w:rsidP="00303225">
      <w:pPr>
        <w:autoSpaceDE w:val="0"/>
        <w:autoSpaceDN w:val="0"/>
        <w:adjustRightInd w:val="0"/>
        <w:jc w:val="center"/>
      </w:pPr>
    </w:p>
    <w:p w14:paraId="4DEA4929" w14:textId="77777777" w:rsidR="00303225" w:rsidRPr="00303225" w:rsidRDefault="00303225" w:rsidP="00303225">
      <w:pPr>
        <w:autoSpaceDE w:val="0"/>
        <w:autoSpaceDN w:val="0"/>
        <w:adjustRightInd w:val="0"/>
        <w:jc w:val="center"/>
        <w:rPr>
          <w:rFonts w:ascii="Arial" w:hAnsi="Arial" w:cs="Arial"/>
          <w:b/>
          <w:bCs/>
          <w:sz w:val="22"/>
          <w:szCs w:val="22"/>
        </w:rPr>
      </w:pPr>
      <w:r w:rsidRPr="00303225">
        <w:rPr>
          <w:rFonts w:ascii="Arial" w:hAnsi="Arial" w:cs="Arial"/>
          <w:sz w:val="22"/>
          <w:szCs w:val="22"/>
        </w:rPr>
        <w:t>Friday 15 October 2010</w:t>
      </w:r>
    </w:p>
    <w:p w14:paraId="30059305" w14:textId="77777777" w:rsidR="00222189" w:rsidRPr="00303225" w:rsidRDefault="00875A08">
      <w:pPr>
        <w:pStyle w:val="TOC1"/>
        <w:rPr>
          <w:noProof/>
          <w:sz w:val="22"/>
          <w:szCs w:val="22"/>
        </w:rPr>
      </w:pPr>
      <w:r>
        <w:br w:type="page"/>
      </w:r>
      <w:r w:rsidR="00F92A83" w:rsidRPr="00303225">
        <w:rPr>
          <w:sz w:val="22"/>
          <w:szCs w:val="22"/>
        </w:rPr>
        <w:fldChar w:fldCharType="begin"/>
      </w:r>
      <w:r w:rsidR="00F92A83" w:rsidRPr="00303225">
        <w:rPr>
          <w:sz w:val="22"/>
          <w:szCs w:val="22"/>
        </w:rPr>
        <w:instrText xml:space="preserve"> TOC \o "1-4" \h \z \u </w:instrText>
      </w:r>
      <w:r w:rsidR="00F92A83" w:rsidRPr="00303225">
        <w:rPr>
          <w:sz w:val="22"/>
          <w:szCs w:val="22"/>
        </w:rPr>
        <w:fldChar w:fldCharType="separate"/>
      </w:r>
    </w:p>
    <w:p w14:paraId="60E5FA96" w14:textId="77777777" w:rsidR="00222189" w:rsidRPr="00303225" w:rsidRDefault="00AE3073">
      <w:pPr>
        <w:pStyle w:val="TOC1"/>
        <w:rPr>
          <w:b w:val="0"/>
          <w:bCs w:val="0"/>
          <w:caps w:val="0"/>
          <w:noProof/>
          <w:sz w:val="22"/>
          <w:szCs w:val="22"/>
        </w:rPr>
      </w:pPr>
      <w:hyperlink w:anchor="_Toc274907703" w:history="1">
        <w:r w:rsidR="00222189" w:rsidRPr="00303225">
          <w:rPr>
            <w:rStyle w:val="Hyperlink"/>
            <w:noProof/>
            <w:sz w:val="22"/>
            <w:szCs w:val="22"/>
          </w:rPr>
          <w:t>Introduction</w:t>
        </w:r>
        <w:r w:rsidR="00222189" w:rsidRPr="00303225">
          <w:rPr>
            <w:noProof/>
            <w:webHidden/>
            <w:sz w:val="22"/>
            <w:szCs w:val="22"/>
          </w:rPr>
          <w:tab/>
        </w:r>
        <w:r w:rsidR="00222189" w:rsidRPr="00303225">
          <w:rPr>
            <w:rStyle w:val="Hyperlink"/>
            <w:noProof/>
            <w:sz w:val="22"/>
            <w:szCs w:val="22"/>
          </w:rPr>
          <w:fldChar w:fldCharType="begin"/>
        </w:r>
        <w:r w:rsidR="00222189" w:rsidRPr="00303225">
          <w:rPr>
            <w:noProof/>
            <w:webHidden/>
            <w:sz w:val="22"/>
            <w:szCs w:val="22"/>
          </w:rPr>
          <w:instrText xml:space="preserve"> PAGEREF _Toc274907703 \h </w:instrText>
        </w:r>
        <w:r w:rsidR="00222189" w:rsidRPr="00303225">
          <w:rPr>
            <w:rStyle w:val="Hyperlink"/>
            <w:noProof/>
            <w:sz w:val="22"/>
            <w:szCs w:val="22"/>
          </w:rPr>
        </w:r>
        <w:r w:rsidR="00222189" w:rsidRPr="00303225">
          <w:rPr>
            <w:rStyle w:val="Hyperlink"/>
            <w:noProof/>
            <w:sz w:val="22"/>
            <w:szCs w:val="22"/>
          </w:rPr>
          <w:fldChar w:fldCharType="separate"/>
        </w:r>
        <w:r w:rsidR="00303225">
          <w:rPr>
            <w:noProof/>
            <w:webHidden/>
            <w:sz w:val="22"/>
            <w:szCs w:val="22"/>
          </w:rPr>
          <w:t>3</w:t>
        </w:r>
        <w:r w:rsidR="00222189" w:rsidRPr="00303225">
          <w:rPr>
            <w:rStyle w:val="Hyperlink"/>
            <w:noProof/>
            <w:sz w:val="22"/>
            <w:szCs w:val="22"/>
          </w:rPr>
          <w:fldChar w:fldCharType="end"/>
        </w:r>
      </w:hyperlink>
    </w:p>
    <w:p w14:paraId="71CB292D" w14:textId="77777777" w:rsidR="00222189" w:rsidRPr="00303225" w:rsidRDefault="00AE3073">
      <w:pPr>
        <w:pStyle w:val="TOC2"/>
        <w:tabs>
          <w:tab w:val="right" w:leader="dot" w:pos="8296"/>
        </w:tabs>
        <w:rPr>
          <w:rFonts w:ascii="Arial" w:hAnsi="Arial" w:cs="Arial"/>
          <w:smallCaps w:val="0"/>
          <w:noProof/>
          <w:sz w:val="22"/>
          <w:szCs w:val="22"/>
        </w:rPr>
      </w:pPr>
      <w:hyperlink w:anchor="_Toc274907704" w:history="1">
        <w:r w:rsidR="00222189" w:rsidRPr="00303225">
          <w:rPr>
            <w:rStyle w:val="Hyperlink"/>
            <w:rFonts w:ascii="Arial" w:hAnsi="Arial" w:cs="Arial"/>
            <w:noProof/>
            <w:sz w:val="22"/>
            <w:szCs w:val="22"/>
          </w:rPr>
          <w:t>Which Courts?</w:t>
        </w:r>
        <w:r w:rsidR="00222189" w:rsidRPr="00303225">
          <w:rPr>
            <w:rFonts w:ascii="Arial" w:hAnsi="Arial" w:cs="Arial"/>
            <w:noProof/>
            <w:webHidden/>
            <w:sz w:val="22"/>
            <w:szCs w:val="22"/>
          </w:rPr>
          <w:tab/>
        </w:r>
        <w:r w:rsidR="00222189" w:rsidRPr="00303225">
          <w:rPr>
            <w:rStyle w:val="Hyperlink"/>
            <w:rFonts w:ascii="Arial" w:hAnsi="Arial" w:cs="Arial"/>
            <w:noProof/>
            <w:sz w:val="22"/>
            <w:szCs w:val="22"/>
          </w:rPr>
          <w:fldChar w:fldCharType="begin"/>
        </w:r>
        <w:r w:rsidR="00222189" w:rsidRPr="00303225">
          <w:rPr>
            <w:rFonts w:ascii="Arial" w:hAnsi="Arial" w:cs="Arial"/>
            <w:noProof/>
            <w:webHidden/>
            <w:sz w:val="22"/>
            <w:szCs w:val="22"/>
          </w:rPr>
          <w:instrText xml:space="preserve"> PAGEREF _Toc274907704 \h </w:instrText>
        </w:r>
        <w:r w:rsidR="00222189" w:rsidRPr="00303225">
          <w:rPr>
            <w:rStyle w:val="Hyperlink"/>
            <w:rFonts w:ascii="Arial" w:hAnsi="Arial" w:cs="Arial"/>
            <w:noProof/>
            <w:sz w:val="22"/>
            <w:szCs w:val="22"/>
          </w:rPr>
        </w:r>
        <w:r w:rsidR="00222189" w:rsidRPr="00303225">
          <w:rPr>
            <w:rStyle w:val="Hyperlink"/>
            <w:rFonts w:ascii="Arial" w:hAnsi="Arial" w:cs="Arial"/>
            <w:noProof/>
            <w:sz w:val="22"/>
            <w:szCs w:val="22"/>
          </w:rPr>
          <w:fldChar w:fldCharType="separate"/>
        </w:r>
        <w:r w:rsidR="00303225">
          <w:rPr>
            <w:rFonts w:ascii="Arial" w:hAnsi="Arial" w:cs="Arial"/>
            <w:noProof/>
            <w:webHidden/>
            <w:sz w:val="22"/>
            <w:szCs w:val="22"/>
          </w:rPr>
          <w:t>5</w:t>
        </w:r>
        <w:r w:rsidR="00222189" w:rsidRPr="00303225">
          <w:rPr>
            <w:rStyle w:val="Hyperlink"/>
            <w:rFonts w:ascii="Arial" w:hAnsi="Arial" w:cs="Arial"/>
            <w:noProof/>
            <w:sz w:val="22"/>
            <w:szCs w:val="22"/>
          </w:rPr>
          <w:fldChar w:fldCharType="end"/>
        </w:r>
      </w:hyperlink>
    </w:p>
    <w:p w14:paraId="19F797A4" w14:textId="77777777" w:rsidR="00222189" w:rsidRPr="00303225" w:rsidRDefault="00AE3073">
      <w:pPr>
        <w:pStyle w:val="TOC1"/>
        <w:rPr>
          <w:b w:val="0"/>
          <w:bCs w:val="0"/>
          <w:caps w:val="0"/>
          <w:noProof/>
          <w:sz w:val="22"/>
          <w:szCs w:val="22"/>
        </w:rPr>
      </w:pPr>
      <w:hyperlink w:anchor="_Toc274907705" w:history="1">
        <w:r w:rsidR="00222189" w:rsidRPr="00303225">
          <w:rPr>
            <w:rStyle w:val="Hyperlink"/>
            <w:noProof/>
            <w:sz w:val="22"/>
            <w:szCs w:val="22"/>
          </w:rPr>
          <w:t>What are we trying to achieve?</w:t>
        </w:r>
        <w:r w:rsidR="00222189" w:rsidRPr="00303225">
          <w:rPr>
            <w:noProof/>
            <w:webHidden/>
            <w:sz w:val="22"/>
            <w:szCs w:val="22"/>
          </w:rPr>
          <w:tab/>
        </w:r>
        <w:r w:rsidR="00222189" w:rsidRPr="00303225">
          <w:rPr>
            <w:rStyle w:val="Hyperlink"/>
            <w:noProof/>
            <w:sz w:val="22"/>
            <w:szCs w:val="22"/>
          </w:rPr>
          <w:fldChar w:fldCharType="begin"/>
        </w:r>
        <w:r w:rsidR="00222189" w:rsidRPr="00303225">
          <w:rPr>
            <w:noProof/>
            <w:webHidden/>
            <w:sz w:val="22"/>
            <w:szCs w:val="22"/>
          </w:rPr>
          <w:instrText xml:space="preserve"> PAGEREF _Toc274907705 \h </w:instrText>
        </w:r>
        <w:r w:rsidR="00222189" w:rsidRPr="00303225">
          <w:rPr>
            <w:rStyle w:val="Hyperlink"/>
            <w:noProof/>
            <w:sz w:val="22"/>
            <w:szCs w:val="22"/>
          </w:rPr>
        </w:r>
        <w:r w:rsidR="00222189" w:rsidRPr="00303225">
          <w:rPr>
            <w:rStyle w:val="Hyperlink"/>
            <w:noProof/>
            <w:sz w:val="22"/>
            <w:szCs w:val="22"/>
          </w:rPr>
          <w:fldChar w:fldCharType="separate"/>
        </w:r>
        <w:r w:rsidR="00303225">
          <w:rPr>
            <w:noProof/>
            <w:webHidden/>
            <w:sz w:val="22"/>
            <w:szCs w:val="22"/>
          </w:rPr>
          <w:t>6</w:t>
        </w:r>
        <w:r w:rsidR="00222189" w:rsidRPr="00303225">
          <w:rPr>
            <w:rStyle w:val="Hyperlink"/>
            <w:noProof/>
            <w:sz w:val="22"/>
            <w:szCs w:val="22"/>
          </w:rPr>
          <w:fldChar w:fldCharType="end"/>
        </w:r>
      </w:hyperlink>
    </w:p>
    <w:p w14:paraId="4A811E75" w14:textId="77777777" w:rsidR="00222189" w:rsidRPr="00303225" w:rsidRDefault="00AE3073">
      <w:pPr>
        <w:pStyle w:val="TOC1"/>
        <w:rPr>
          <w:b w:val="0"/>
          <w:bCs w:val="0"/>
          <w:caps w:val="0"/>
          <w:noProof/>
          <w:sz w:val="22"/>
          <w:szCs w:val="22"/>
        </w:rPr>
      </w:pPr>
      <w:hyperlink w:anchor="_Toc274907706" w:history="1">
        <w:r w:rsidR="00222189" w:rsidRPr="00303225">
          <w:rPr>
            <w:rStyle w:val="Hyperlink"/>
            <w:noProof/>
            <w:sz w:val="22"/>
            <w:szCs w:val="22"/>
          </w:rPr>
          <w:t>How do we achieve it?</w:t>
        </w:r>
        <w:r w:rsidR="00222189" w:rsidRPr="00303225">
          <w:rPr>
            <w:noProof/>
            <w:webHidden/>
            <w:sz w:val="22"/>
            <w:szCs w:val="22"/>
          </w:rPr>
          <w:tab/>
        </w:r>
        <w:r w:rsidR="00222189" w:rsidRPr="00303225">
          <w:rPr>
            <w:rStyle w:val="Hyperlink"/>
            <w:noProof/>
            <w:sz w:val="22"/>
            <w:szCs w:val="22"/>
          </w:rPr>
          <w:fldChar w:fldCharType="begin"/>
        </w:r>
        <w:r w:rsidR="00222189" w:rsidRPr="00303225">
          <w:rPr>
            <w:noProof/>
            <w:webHidden/>
            <w:sz w:val="22"/>
            <w:szCs w:val="22"/>
          </w:rPr>
          <w:instrText xml:space="preserve"> PAGEREF _Toc274907706 \h </w:instrText>
        </w:r>
        <w:r w:rsidR="00222189" w:rsidRPr="00303225">
          <w:rPr>
            <w:rStyle w:val="Hyperlink"/>
            <w:noProof/>
            <w:sz w:val="22"/>
            <w:szCs w:val="22"/>
          </w:rPr>
        </w:r>
        <w:r w:rsidR="00222189" w:rsidRPr="00303225">
          <w:rPr>
            <w:rStyle w:val="Hyperlink"/>
            <w:noProof/>
            <w:sz w:val="22"/>
            <w:szCs w:val="22"/>
          </w:rPr>
          <w:fldChar w:fldCharType="separate"/>
        </w:r>
        <w:r w:rsidR="00303225">
          <w:rPr>
            <w:noProof/>
            <w:webHidden/>
            <w:sz w:val="22"/>
            <w:szCs w:val="22"/>
          </w:rPr>
          <w:t>8</w:t>
        </w:r>
        <w:r w:rsidR="00222189" w:rsidRPr="00303225">
          <w:rPr>
            <w:rStyle w:val="Hyperlink"/>
            <w:noProof/>
            <w:sz w:val="22"/>
            <w:szCs w:val="22"/>
          </w:rPr>
          <w:fldChar w:fldCharType="end"/>
        </w:r>
      </w:hyperlink>
    </w:p>
    <w:p w14:paraId="567A4AF7" w14:textId="77777777" w:rsidR="00222189" w:rsidRPr="00303225" w:rsidRDefault="00AE3073">
      <w:pPr>
        <w:pStyle w:val="TOC2"/>
        <w:tabs>
          <w:tab w:val="right" w:leader="dot" w:pos="8296"/>
        </w:tabs>
        <w:rPr>
          <w:rFonts w:ascii="Arial" w:hAnsi="Arial" w:cs="Arial"/>
          <w:smallCaps w:val="0"/>
          <w:noProof/>
          <w:sz w:val="22"/>
          <w:szCs w:val="22"/>
        </w:rPr>
      </w:pPr>
      <w:hyperlink w:anchor="_Toc274907707" w:history="1">
        <w:r w:rsidR="00222189" w:rsidRPr="00303225">
          <w:rPr>
            <w:rStyle w:val="Hyperlink"/>
            <w:rFonts w:ascii="Arial" w:hAnsi="Arial" w:cs="Arial"/>
            <w:noProof/>
            <w:sz w:val="22"/>
            <w:szCs w:val="22"/>
          </w:rPr>
          <w:t>The Model Law as the basis of the IAA and CAA</w:t>
        </w:r>
        <w:r w:rsidR="00222189" w:rsidRPr="00303225">
          <w:rPr>
            <w:rFonts w:ascii="Arial" w:hAnsi="Arial" w:cs="Arial"/>
            <w:noProof/>
            <w:webHidden/>
            <w:sz w:val="22"/>
            <w:szCs w:val="22"/>
          </w:rPr>
          <w:tab/>
        </w:r>
        <w:r w:rsidR="00222189" w:rsidRPr="00303225">
          <w:rPr>
            <w:rStyle w:val="Hyperlink"/>
            <w:rFonts w:ascii="Arial" w:hAnsi="Arial" w:cs="Arial"/>
            <w:noProof/>
            <w:sz w:val="22"/>
            <w:szCs w:val="22"/>
          </w:rPr>
          <w:fldChar w:fldCharType="begin"/>
        </w:r>
        <w:r w:rsidR="00222189" w:rsidRPr="00303225">
          <w:rPr>
            <w:rFonts w:ascii="Arial" w:hAnsi="Arial" w:cs="Arial"/>
            <w:noProof/>
            <w:webHidden/>
            <w:sz w:val="22"/>
            <w:szCs w:val="22"/>
          </w:rPr>
          <w:instrText xml:space="preserve"> PAGEREF _Toc274907707 \h </w:instrText>
        </w:r>
        <w:r w:rsidR="00222189" w:rsidRPr="00303225">
          <w:rPr>
            <w:rStyle w:val="Hyperlink"/>
            <w:rFonts w:ascii="Arial" w:hAnsi="Arial" w:cs="Arial"/>
            <w:noProof/>
            <w:sz w:val="22"/>
            <w:szCs w:val="22"/>
          </w:rPr>
        </w:r>
        <w:r w:rsidR="00222189" w:rsidRPr="00303225">
          <w:rPr>
            <w:rStyle w:val="Hyperlink"/>
            <w:rFonts w:ascii="Arial" w:hAnsi="Arial" w:cs="Arial"/>
            <w:noProof/>
            <w:sz w:val="22"/>
            <w:szCs w:val="22"/>
          </w:rPr>
          <w:fldChar w:fldCharType="separate"/>
        </w:r>
        <w:r w:rsidR="00303225">
          <w:rPr>
            <w:rFonts w:ascii="Arial" w:hAnsi="Arial" w:cs="Arial"/>
            <w:noProof/>
            <w:webHidden/>
            <w:sz w:val="22"/>
            <w:szCs w:val="22"/>
          </w:rPr>
          <w:t>8</w:t>
        </w:r>
        <w:r w:rsidR="00222189" w:rsidRPr="00303225">
          <w:rPr>
            <w:rStyle w:val="Hyperlink"/>
            <w:rFonts w:ascii="Arial" w:hAnsi="Arial" w:cs="Arial"/>
            <w:noProof/>
            <w:sz w:val="22"/>
            <w:szCs w:val="22"/>
          </w:rPr>
          <w:fldChar w:fldCharType="end"/>
        </w:r>
      </w:hyperlink>
    </w:p>
    <w:p w14:paraId="2C9AC51E" w14:textId="77777777" w:rsidR="00222189" w:rsidRPr="00303225" w:rsidRDefault="00AE3073">
      <w:pPr>
        <w:pStyle w:val="TOC2"/>
        <w:tabs>
          <w:tab w:val="right" w:leader="dot" w:pos="8296"/>
        </w:tabs>
        <w:rPr>
          <w:rFonts w:ascii="Arial" w:hAnsi="Arial" w:cs="Arial"/>
          <w:smallCaps w:val="0"/>
          <w:noProof/>
          <w:sz w:val="22"/>
          <w:szCs w:val="22"/>
        </w:rPr>
      </w:pPr>
      <w:hyperlink w:anchor="_Toc274907708" w:history="1">
        <w:r w:rsidR="00222189" w:rsidRPr="00303225">
          <w:rPr>
            <w:rStyle w:val="Hyperlink"/>
            <w:rFonts w:ascii="Arial" w:hAnsi="Arial" w:cs="Arial"/>
            <w:noProof/>
            <w:sz w:val="22"/>
            <w:szCs w:val="22"/>
          </w:rPr>
          <w:t>Interpretation</w:t>
        </w:r>
        <w:r w:rsidR="00222189" w:rsidRPr="00303225">
          <w:rPr>
            <w:rFonts w:ascii="Arial" w:hAnsi="Arial" w:cs="Arial"/>
            <w:noProof/>
            <w:webHidden/>
            <w:sz w:val="22"/>
            <w:szCs w:val="22"/>
          </w:rPr>
          <w:tab/>
        </w:r>
        <w:r w:rsidR="00222189" w:rsidRPr="00303225">
          <w:rPr>
            <w:rStyle w:val="Hyperlink"/>
            <w:rFonts w:ascii="Arial" w:hAnsi="Arial" w:cs="Arial"/>
            <w:noProof/>
            <w:sz w:val="22"/>
            <w:szCs w:val="22"/>
          </w:rPr>
          <w:fldChar w:fldCharType="begin"/>
        </w:r>
        <w:r w:rsidR="00222189" w:rsidRPr="00303225">
          <w:rPr>
            <w:rFonts w:ascii="Arial" w:hAnsi="Arial" w:cs="Arial"/>
            <w:noProof/>
            <w:webHidden/>
            <w:sz w:val="22"/>
            <w:szCs w:val="22"/>
          </w:rPr>
          <w:instrText xml:space="preserve"> PAGEREF _Toc274907708 \h </w:instrText>
        </w:r>
        <w:r w:rsidR="00222189" w:rsidRPr="00303225">
          <w:rPr>
            <w:rStyle w:val="Hyperlink"/>
            <w:rFonts w:ascii="Arial" w:hAnsi="Arial" w:cs="Arial"/>
            <w:noProof/>
            <w:sz w:val="22"/>
            <w:szCs w:val="22"/>
          </w:rPr>
        </w:r>
        <w:r w:rsidR="00222189" w:rsidRPr="00303225">
          <w:rPr>
            <w:rStyle w:val="Hyperlink"/>
            <w:rFonts w:ascii="Arial" w:hAnsi="Arial" w:cs="Arial"/>
            <w:noProof/>
            <w:sz w:val="22"/>
            <w:szCs w:val="22"/>
          </w:rPr>
          <w:fldChar w:fldCharType="separate"/>
        </w:r>
        <w:r w:rsidR="00303225">
          <w:rPr>
            <w:rFonts w:ascii="Arial" w:hAnsi="Arial" w:cs="Arial"/>
            <w:noProof/>
            <w:webHidden/>
            <w:sz w:val="22"/>
            <w:szCs w:val="22"/>
          </w:rPr>
          <w:t>10</w:t>
        </w:r>
        <w:r w:rsidR="00222189" w:rsidRPr="00303225">
          <w:rPr>
            <w:rStyle w:val="Hyperlink"/>
            <w:rFonts w:ascii="Arial" w:hAnsi="Arial" w:cs="Arial"/>
            <w:noProof/>
            <w:sz w:val="22"/>
            <w:szCs w:val="22"/>
          </w:rPr>
          <w:fldChar w:fldCharType="end"/>
        </w:r>
      </w:hyperlink>
    </w:p>
    <w:p w14:paraId="4888CC24" w14:textId="77777777" w:rsidR="00222189" w:rsidRPr="00303225" w:rsidRDefault="00AE3073">
      <w:pPr>
        <w:pStyle w:val="TOC3"/>
        <w:tabs>
          <w:tab w:val="right" w:leader="dot" w:pos="8296"/>
        </w:tabs>
        <w:rPr>
          <w:rFonts w:ascii="Arial" w:hAnsi="Arial" w:cs="Arial"/>
          <w:i w:val="0"/>
          <w:iCs w:val="0"/>
          <w:noProof/>
          <w:sz w:val="22"/>
          <w:szCs w:val="22"/>
        </w:rPr>
      </w:pPr>
      <w:hyperlink w:anchor="_Toc274907709" w:history="1">
        <w:r w:rsidR="00222189" w:rsidRPr="00303225">
          <w:rPr>
            <w:rStyle w:val="Hyperlink"/>
            <w:rFonts w:ascii="Arial" w:hAnsi="Arial" w:cs="Arial"/>
            <w:noProof/>
            <w:sz w:val="22"/>
            <w:szCs w:val="22"/>
          </w:rPr>
          <w:t>(a) Interpretation provisions in the CAA and the IAA</w:t>
        </w:r>
        <w:r w:rsidR="00222189" w:rsidRPr="00303225">
          <w:rPr>
            <w:rFonts w:ascii="Arial" w:hAnsi="Arial" w:cs="Arial"/>
            <w:noProof/>
            <w:webHidden/>
            <w:sz w:val="22"/>
            <w:szCs w:val="22"/>
          </w:rPr>
          <w:tab/>
        </w:r>
        <w:r w:rsidR="00222189" w:rsidRPr="00303225">
          <w:rPr>
            <w:rStyle w:val="Hyperlink"/>
            <w:rFonts w:ascii="Arial" w:hAnsi="Arial" w:cs="Arial"/>
            <w:noProof/>
            <w:sz w:val="22"/>
            <w:szCs w:val="22"/>
          </w:rPr>
          <w:fldChar w:fldCharType="begin"/>
        </w:r>
        <w:r w:rsidR="00222189" w:rsidRPr="00303225">
          <w:rPr>
            <w:rFonts w:ascii="Arial" w:hAnsi="Arial" w:cs="Arial"/>
            <w:noProof/>
            <w:webHidden/>
            <w:sz w:val="22"/>
            <w:szCs w:val="22"/>
          </w:rPr>
          <w:instrText xml:space="preserve"> PAGEREF _Toc274907709 \h </w:instrText>
        </w:r>
        <w:r w:rsidR="00222189" w:rsidRPr="00303225">
          <w:rPr>
            <w:rStyle w:val="Hyperlink"/>
            <w:rFonts w:ascii="Arial" w:hAnsi="Arial" w:cs="Arial"/>
            <w:noProof/>
            <w:sz w:val="22"/>
            <w:szCs w:val="22"/>
          </w:rPr>
        </w:r>
        <w:r w:rsidR="00222189" w:rsidRPr="00303225">
          <w:rPr>
            <w:rStyle w:val="Hyperlink"/>
            <w:rFonts w:ascii="Arial" w:hAnsi="Arial" w:cs="Arial"/>
            <w:noProof/>
            <w:sz w:val="22"/>
            <w:szCs w:val="22"/>
          </w:rPr>
          <w:fldChar w:fldCharType="separate"/>
        </w:r>
        <w:r w:rsidR="00303225">
          <w:rPr>
            <w:rFonts w:ascii="Arial" w:hAnsi="Arial" w:cs="Arial"/>
            <w:noProof/>
            <w:webHidden/>
            <w:sz w:val="22"/>
            <w:szCs w:val="22"/>
          </w:rPr>
          <w:t>10</w:t>
        </w:r>
        <w:r w:rsidR="00222189" w:rsidRPr="00303225">
          <w:rPr>
            <w:rStyle w:val="Hyperlink"/>
            <w:rFonts w:ascii="Arial" w:hAnsi="Arial" w:cs="Arial"/>
            <w:noProof/>
            <w:sz w:val="22"/>
            <w:szCs w:val="22"/>
          </w:rPr>
          <w:fldChar w:fldCharType="end"/>
        </w:r>
      </w:hyperlink>
    </w:p>
    <w:p w14:paraId="430C5C6A" w14:textId="77777777" w:rsidR="00222189" w:rsidRPr="00303225" w:rsidRDefault="00AE3073">
      <w:pPr>
        <w:pStyle w:val="TOC4"/>
        <w:tabs>
          <w:tab w:val="right" w:leader="dot" w:pos="8296"/>
        </w:tabs>
        <w:rPr>
          <w:rFonts w:ascii="Arial" w:hAnsi="Arial" w:cs="Arial"/>
          <w:noProof/>
          <w:sz w:val="22"/>
          <w:szCs w:val="22"/>
        </w:rPr>
      </w:pPr>
      <w:hyperlink w:anchor="_Toc274907710" w:history="1">
        <w:r w:rsidR="00222189" w:rsidRPr="00303225">
          <w:rPr>
            <w:rStyle w:val="Hyperlink"/>
            <w:rFonts w:ascii="Arial" w:hAnsi="Arial" w:cs="Arial"/>
            <w:b/>
            <w:noProof/>
            <w:sz w:val="22"/>
            <w:szCs w:val="22"/>
          </w:rPr>
          <w:t>CAA - Section 1AC – Paramount object of Act</w:t>
        </w:r>
        <w:r w:rsidR="00222189" w:rsidRPr="00303225">
          <w:rPr>
            <w:rFonts w:ascii="Arial" w:hAnsi="Arial" w:cs="Arial"/>
            <w:noProof/>
            <w:webHidden/>
            <w:sz w:val="22"/>
            <w:szCs w:val="22"/>
          </w:rPr>
          <w:tab/>
        </w:r>
        <w:r w:rsidR="00222189" w:rsidRPr="00303225">
          <w:rPr>
            <w:rStyle w:val="Hyperlink"/>
            <w:rFonts w:ascii="Arial" w:hAnsi="Arial" w:cs="Arial"/>
            <w:noProof/>
            <w:sz w:val="22"/>
            <w:szCs w:val="22"/>
          </w:rPr>
          <w:fldChar w:fldCharType="begin"/>
        </w:r>
        <w:r w:rsidR="00222189" w:rsidRPr="00303225">
          <w:rPr>
            <w:rFonts w:ascii="Arial" w:hAnsi="Arial" w:cs="Arial"/>
            <w:noProof/>
            <w:webHidden/>
            <w:sz w:val="22"/>
            <w:szCs w:val="22"/>
          </w:rPr>
          <w:instrText xml:space="preserve"> PAGEREF _Toc274907710 \h </w:instrText>
        </w:r>
        <w:r w:rsidR="00222189" w:rsidRPr="00303225">
          <w:rPr>
            <w:rStyle w:val="Hyperlink"/>
            <w:rFonts w:ascii="Arial" w:hAnsi="Arial" w:cs="Arial"/>
            <w:noProof/>
            <w:sz w:val="22"/>
            <w:szCs w:val="22"/>
          </w:rPr>
        </w:r>
        <w:r w:rsidR="00222189" w:rsidRPr="00303225">
          <w:rPr>
            <w:rStyle w:val="Hyperlink"/>
            <w:rFonts w:ascii="Arial" w:hAnsi="Arial" w:cs="Arial"/>
            <w:noProof/>
            <w:sz w:val="22"/>
            <w:szCs w:val="22"/>
          </w:rPr>
          <w:fldChar w:fldCharType="separate"/>
        </w:r>
        <w:r w:rsidR="00303225">
          <w:rPr>
            <w:rFonts w:ascii="Arial" w:hAnsi="Arial" w:cs="Arial"/>
            <w:noProof/>
            <w:webHidden/>
            <w:sz w:val="22"/>
            <w:szCs w:val="22"/>
          </w:rPr>
          <w:t>10</w:t>
        </w:r>
        <w:r w:rsidR="00222189" w:rsidRPr="00303225">
          <w:rPr>
            <w:rStyle w:val="Hyperlink"/>
            <w:rFonts w:ascii="Arial" w:hAnsi="Arial" w:cs="Arial"/>
            <w:noProof/>
            <w:sz w:val="22"/>
            <w:szCs w:val="22"/>
          </w:rPr>
          <w:fldChar w:fldCharType="end"/>
        </w:r>
      </w:hyperlink>
    </w:p>
    <w:p w14:paraId="4C423875" w14:textId="77777777" w:rsidR="00222189" w:rsidRPr="00303225" w:rsidRDefault="00AE3073">
      <w:pPr>
        <w:pStyle w:val="TOC4"/>
        <w:tabs>
          <w:tab w:val="right" w:leader="dot" w:pos="8296"/>
        </w:tabs>
        <w:rPr>
          <w:rFonts w:ascii="Arial" w:hAnsi="Arial" w:cs="Arial"/>
          <w:noProof/>
          <w:sz w:val="22"/>
          <w:szCs w:val="22"/>
        </w:rPr>
      </w:pPr>
      <w:hyperlink w:anchor="_Toc274907711" w:history="1">
        <w:r w:rsidR="00222189" w:rsidRPr="00303225">
          <w:rPr>
            <w:rStyle w:val="Hyperlink"/>
            <w:rFonts w:ascii="Arial" w:hAnsi="Arial" w:cs="Arial"/>
            <w:b/>
            <w:noProof/>
            <w:sz w:val="22"/>
            <w:szCs w:val="22"/>
          </w:rPr>
          <w:t>IAA – Matters to which the court must have regard; objects of the Act</w:t>
        </w:r>
        <w:r w:rsidR="00222189" w:rsidRPr="00303225">
          <w:rPr>
            <w:rFonts w:ascii="Arial" w:hAnsi="Arial" w:cs="Arial"/>
            <w:noProof/>
            <w:webHidden/>
            <w:sz w:val="22"/>
            <w:szCs w:val="22"/>
          </w:rPr>
          <w:tab/>
        </w:r>
        <w:r w:rsidR="00222189" w:rsidRPr="00303225">
          <w:rPr>
            <w:rStyle w:val="Hyperlink"/>
            <w:rFonts w:ascii="Arial" w:hAnsi="Arial" w:cs="Arial"/>
            <w:noProof/>
            <w:sz w:val="22"/>
            <w:szCs w:val="22"/>
          </w:rPr>
          <w:fldChar w:fldCharType="begin"/>
        </w:r>
        <w:r w:rsidR="00222189" w:rsidRPr="00303225">
          <w:rPr>
            <w:rFonts w:ascii="Arial" w:hAnsi="Arial" w:cs="Arial"/>
            <w:noProof/>
            <w:webHidden/>
            <w:sz w:val="22"/>
            <w:szCs w:val="22"/>
          </w:rPr>
          <w:instrText xml:space="preserve"> PAGEREF _Toc274907711 \h </w:instrText>
        </w:r>
        <w:r w:rsidR="00222189" w:rsidRPr="00303225">
          <w:rPr>
            <w:rStyle w:val="Hyperlink"/>
            <w:rFonts w:ascii="Arial" w:hAnsi="Arial" w:cs="Arial"/>
            <w:noProof/>
            <w:sz w:val="22"/>
            <w:szCs w:val="22"/>
          </w:rPr>
        </w:r>
        <w:r w:rsidR="00222189" w:rsidRPr="00303225">
          <w:rPr>
            <w:rStyle w:val="Hyperlink"/>
            <w:rFonts w:ascii="Arial" w:hAnsi="Arial" w:cs="Arial"/>
            <w:noProof/>
            <w:sz w:val="22"/>
            <w:szCs w:val="22"/>
          </w:rPr>
          <w:fldChar w:fldCharType="separate"/>
        </w:r>
        <w:r w:rsidR="00303225">
          <w:rPr>
            <w:rFonts w:ascii="Arial" w:hAnsi="Arial" w:cs="Arial"/>
            <w:noProof/>
            <w:webHidden/>
            <w:sz w:val="22"/>
            <w:szCs w:val="22"/>
          </w:rPr>
          <w:t>11</w:t>
        </w:r>
        <w:r w:rsidR="00222189" w:rsidRPr="00303225">
          <w:rPr>
            <w:rStyle w:val="Hyperlink"/>
            <w:rFonts w:ascii="Arial" w:hAnsi="Arial" w:cs="Arial"/>
            <w:noProof/>
            <w:sz w:val="22"/>
            <w:szCs w:val="22"/>
          </w:rPr>
          <w:fldChar w:fldCharType="end"/>
        </w:r>
      </w:hyperlink>
    </w:p>
    <w:p w14:paraId="237CB433" w14:textId="77777777" w:rsidR="00222189" w:rsidRPr="00303225" w:rsidRDefault="00AE3073">
      <w:pPr>
        <w:pStyle w:val="TOC3"/>
        <w:tabs>
          <w:tab w:val="right" w:leader="dot" w:pos="8296"/>
        </w:tabs>
        <w:rPr>
          <w:rFonts w:ascii="Arial" w:hAnsi="Arial" w:cs="Arial"/>
          <w:i w:val="0"/>
          <w:iCs w:val="0"/>
          <w:noProof/>
          <w:sz w:val="22"/>
          <w:szCs w:val="22"/>
        </w:rPr>
      </w:pPr>
      <w:hyperlink w:anchor="_Toc274907712" w:history="1">
        <w:r w:rsidR="00222189" w:rsidRPr="00303225">
          <w:rPr>
            <w:rStyle w:val="Hyperlink"/>
            <w:rFonts w:ascii="Arial" w:hAnsi="Arial" w:cs="Arial"/>
            <w:noProof/>
            <w:sz w:val="22"/>
            <w:szCs w:val="22"/>
          </w:rPr>
          <w:t>(b) Consistency in the interpretation of the CAA and IAA</w:t>
        </w:r>
        <w:r w:rsidR="00222189" w:rsidRPr="00303225">
          <w:rPr>
            <w:rFonts w:ascii="Arial" w:hAnsi="Arial" w:cs="Arial"/>
            <w:noProof/>
            <w:webHidden/>
            <w:sz w:val="22"/>
            <w:szCs w:val="22"/>
          </w:rPr>
          <w:tab/>
        </w:r>
        <w:r w:rsidR="00222189" w:rsidRPr="00303225">
          <w:rPr>
            <w:rStyle w:val="Hyperlink"/>
            <w:rFonts w:ascii="Arial" w:hAnsi="Arial" w:cs="Arial"/>
            <w:noProof/>
            <w:sz w:val="22"/>
            <w:szCs w:val="22"/>
          </w:rPr>
          <w:fldChar w:fldCharType="begin"/>
        </w:r>
        <w:r w:rsidR="00222189" w:rsidRPr="00303225">
          <w:rPr>
            <w:rFonts w:ascii="Arial" w:hAnsi="Arial" w:cs="Arial"/>
            <w:noProof/>
            <w:webHidden/>
            <w:sz w:val="22"/>
            <w:szCs w:val="22"/>
          </w:rPr>
          <w:instrText xml:space="preserve"> PAGEREF _Toc274907712 \h </w:instrText>
        </w:r>
        <w:r w:rsidR="00222189" w:rsidRPr="00303225">
          <w:rPr>
            <w:rStyle w:val="Hyperlink"/>
            <w:rFonts w:ascii="Arial" w:hAnsi="Arial" w:cs="Arial"/>
            <w:noProof/>
            <w:sz w:val="22"/>
            <w:szCs w:val="22"/>
          </w:rPr>
        </w:r>
        <w:r w:rsidR="00222189" w:rsidRPr="00303225">
          <w:rPr>
            <w:rStyle w:val="Hyperlink"/>
            <w:rFonts w:ascii="Arial" w:hAnsi="Arial" w:cs="Arial"/>
            <w:noProof/>
            <w:sz w:val="22"/>
            <w:szCs w:val="22"/>
          </w:rPr>
          <w:fldChar w:fldCharType="separate"/>
        </w:r>
        <w:r w:rsidR="00303225">
          <w:rPr>
            <w:rFonts w:ascii="Arial" w:hAnsi="Arial" w:cs="Arial"/>
            <w:noProof/>
            <w:webHidden/>
            <w:sz w:val="22"/>
            <w:szCs w:val="22"/>
          </w:rPr>
          <w:t>13</w:t>
        </w:r>
        <w:r w:rsidR="00222189" w:rsidRPr="00303225">
          <w:rPr>
            <w:rStyle w:val="Hyperlink"/>
            <w:rFonts w:ascii="Arial" w:hAnsi="Arial" w:cs="Arial"/>
            <w:noProof/>
            <w:sz w:val="22"/>
            <w:szCs w:val="22"/>
          </w:rPr>
          <w:fldChar w:fldCharType="end"/>
        </w:r>
      </w:hyperlink>
    </w:p>
    <w:p w14:paraId="0219DE40" w14:textId="77777777" w:rsidR="00222189" w:rsidRPr="00303225" w:rsidRDefault="00AE3073">
      <w:pPr>
        <w:pStyle w:val="TOC3"/>
        <w:tabs>
          <w:tab w:val="right" w:leader="dot" w:pos="8296"/>
        </w:tabs>
        <w:rPr>
          <w:rFonts w:ascii="Arial" w:hAnsi="Arial" w:cs="Arial"/>
          <w:i w:val="0"/>
          <w:iCs w:val="0"/>
          <w:noProof/>
          <w:sz w:val="22"/>
          <w:szCs w:val="22"/>
        </w:rPr>
      </w:pPr>
      <w:hyperlink w:anchor="_Toc274907713" w:history="1">
        <w:r w:rsidR="00222189" w:rsidRPr="00303225">
          <w:rPr>
            <w:rStyle w:val="Hyperlink"/>
            <w:rFonts w:ascii="Arial" w:hAnsi="Arial" w:cs="Arial"/>
            <w:noProof/>
            <w:sz w:val="22"/>
            <w:szCs w:val="22"/>
          </w:rPr>
          <w:t>(c) Having regard to the international origin and the need to promote uniformity</w:t>
        </w:r>
        <w:r w:rsidR="00222189" w:rsidRPr="00303225">
          <w:rPr>
            <w:rFonts w:ascii="Arial" w:hAnsi="Arial" w:cs="Arial"/>
            <w:noProof/>
            <w:webHidden/>
            <w:sz w:val="22"/>
            <w:szCs w:val="22"/>
          </w:rPr>
          <w:tab/>
        </w:r>
        <w:r w:rsidR="00222189" w:rsidRPr="00303225">
          <w:rPr>
            <w:rStyle w:val="Hyperlink"/>
            <w:rFonts w:ascii="Arial" w:hAnsi="Arial" w:cs="Arial"/>
            <w:noProof/>
            <w:sz w:val="22"/>
            <w:szCs w:val="22"/>
          </w:rPr>
          <w:fldChar w:fldCharType="begin"/>
        </w:r>
        <w:r w:rsidR="00222189" w:rsidRPr="00303225">
          <w:rPr>
            <w:rFonts w:ascii="Arial" w:hAnsi="Arial" w:cs="Arial"/>
            <w:noProof/>
            <w:webHidden/>
            <w:sz w:val="22"/>
            <w:szCs w:val="22"/>
          </w:rPr>
          <w:instrText xml:space="preserve"> PAGEREF _Toc274907713 \h </w:instrText>
        </w:r>
        <w:r w:rsidR="00222189" w:rsidRPr="00303225">
          <w:rPr>
            <w:rStyle w:val="Hyperlink"/>
            <w:rFonts w:ascii="Arial" w:hAnsi="Arial" w:cs="Arial"/>
            <w:noProof/>
            <w:sz w:val="22"/>
            <w:szCs w:val="22"/>
          </w:rPr>
        </w:r>
        <w:r w:rsidR="00222189" w:rsidRPr="00303225">
          <w:rPr>
            <w:rStyle w:val="Hyperlink"/>
            <w:rFonts w:ascii="Arial" w:hAnsi="Arial" w:cs="Arial"/>
            <w:noProof/>
            <w:sz w:val="22"/>
            <w:szCs w:val="22"/>
          </w:rPr>
          <w:fldChar w:fldCharType="separate"/>
        </w:r>
        <w:r w:rsidR="00303225">
          <w:rPr>
            <w:rFonts w:ascii="Arial" w:hAnsi="Arial" w:cs="Arial"/>
            <w:noProof/>
            <w:webHidden/>
            <w:sz w:val="22"/>
            <w:szCs w:val="22"/>
          </w:rPr>
          <w:t>14</w:t>
        </w:r>
        <w:r w:rsidR="00222189" w:rsidRPr="00303225">
          <w:rPr>
            <w:rStyle w:val="Hyperlink"/>
            <w:rFonts w:ascii="Arial" w:hAnsi="Arial" w:cs="Arial"/>
            <w:noProof/>
            <w:sz w:val="22"/>
            <w:szCs w:val="22"/>
          </w:rPr>
          <w:fldChar w:fldCharType="end"/>
        </w:r>
      </w:hyperlink>
    </w:p>
    <w:p w14:paraId="356FE8EF" w14:textId="77777777" w:rsidR="00222189" w:rsidRPr="00303225" w:rsidRDefault="00AE3073">
      <w:pPr>
        <w:pStyle w:val="TOC3"/>
        <w:tabs>
          <w:tab w:val="right" w:leader="dot" w:pos="8296"/>
        </w:tabs>
        <w:rPr>
          <w:rFonts w:ascii="Arial" w:hAnsi="Arial" w:cs="Arial"/>
          <w:i w:val="0"/>
          <w:iCs w:val="0"/>
          <w:noProof/>
          <w:sz w:val="22"/>
          <w:szCs w:val="22"/>
        </w:rPr>
      </w:pPr>
      <w:hyperlink w:anchor="_Toc274907714" w:history="1">
        <w:r w:rsidR="00222189" w:rsidRPr="00303225">
          <w:rPr>
            <w:rStyle w:val="Hyperlink"/>
            <w:rFonts w:ascii="Arial" w:hAnsi="Arial" w:cs="Arial"/>
            <w:noProof/>
            <w:sz w:val="22"/>
            <w:szCs w:val="22"/>
          </w:rPr>
          <w:t>(d) Practical matters for interpretation</w:t>
        </w:r>
        <w:r w:rsidR="00222189" w:rsidRPr="00303225">
          <w:rPr>
            <w:rFonts w:ascii="Arial" w:hAnsi="Arial" w:cs="Arial"/>
            <w:noProof/>
            <w:webHidden/>
            <w:sz w:val="22"/>
            <w:szCs w:val="22"/>
          </w:rPr>
          <w:tab/>
        </w:r>
        <w:r w:rsidR="00222189" w:rsidRPr="00303225">
          <w:rPr>
            <w:rStyle w:val="Hyperlink"/>
            <w:rFonts w:ascii="Arial" w:hAnsi="Arial" w:cs="Arial"/>
            <w:noProof/>
            <w:sz w:val="22"/>
            <w:szCs w:val="22"/>
          </w:rPr>
          <w:fldChar w:fldCharType="begin"/>
        </w:r>
        <w:r w:rsidR="00222189" w:rsidRPr="00303225">
          <w:rPr>
            <w:rFonts w:ascii="Arial" w:hAnsi="Arial" w:cs="Arial"/>
            <w:noProof/>
            <w:webHidden/>
            <w:sz w:val="22"/>
            <w:szCs w:val="22"/>
          </w:rPr>
          <w:instrText xml:space="preserve"> PAGEREF _Toc274907714 \h </w:instrText>
        </w:r>
        <w:r w:rsidR="00222189" w:rsidRPr="00303225">
          <w:rPr>
            <w:rStyle w:val="Hyperlink"/>
            <w:rFonts w:ascii="Arial" w:hAnsi="Arial" w:cs="Arial"/>
            <w:noProof/>
            <w:sz w:val="22"/>
            <w:szCs w:val="22"/>
          </w:rPr>
        </w:r>
        <w:r w:rsidR="00222189" w:rsidRPr="00303225">
          <w:rPr>
            <w:rStyle w:val="Hyperlink"/>
            <w:rFonts w:ascii="Arial" w:hAnsi="Arial" w:cs="Arial"/>
            <w:noProof/>
            <w:sz w:val="22"/>
            <w:szCs w:val="22"/>
          </w:rPr>
          <w:fldChar w:fldCharType="separate"/>
        </w:r>
        <w:r w:rsidR="00303225">
          <w:rPr>
            <w:rFonts w:ascii="Arial" w:hAnsi="Arial" w:cs="Arial"/>
            <w:noProof/>
            <w:webHidden/>
            <w:sz w:val="22"/>
            <w:szCs w:val="22"/>
          </w:rPr>
          <w:t>16</w:t>
        </w:r>
        <w:r w:rsidR="00222189" w:rsidRPr="00303225">
          <w:rPr>
            <w:rStyle w:val="Hyperlink"/>
            <w:rFonts w:ascii="Arial" w:hAnsi="Arial" w:cs="Arial"/>
            <w:noProof/>
            <w:sz w:val="22"/>
            <w:szCs w:val="22"/>
          </w:rPr>
          <w:fldChar w:fldCharType="end"/>
        </w:r>
      </w:hyperlink>
    </w:p>
    <w:p w14:paraId="2147EEB2" w14:textId="77777777" w:rsidR="00222189" w:rsidRPr="00303225" w:rsidRDefault="00AE3073">
      <w:pPr>
        <w:pStyle w:val="TOC4"/>
        <w:tabs>
          <w:tab w:val="right" w:leader="dot" w:pos="8296"/>
        </w:tabs>
        <w:rPr>
          <w:rFonts w:ascii="Arial" w:hAnsi="Arial" w:cs="Arial"/>
          <w:noProof/>
          <w:sz w:val="22"/>
          <w:szCs w:val="22"/>
        </w:rPr>
      </w:pPr>
      <w:hyperlink w:anchor="_Toc274907715" w:history="1">
        <w:r w:rsidR="00222189" w:rsidRPr="00303225">
          <w:rPr>
            <w:rStyle w:val="Hyperlink"/>
            <w:rFonts w:ascii="Arial" w:hAnsi="Arial" w:cs="Arial"/>
            <w:b/>
            <w:noProof/>
            <w:sz w:val="22"/>
            <w:szCs w:val="22"/>
          </w:rPr>
          <w:t>Principle of comity</w:t>
        </w:r>
        <w:r w:rsidR="00222189" w:rsidRPr="00303225">
          <w:rPr>
            <w:rFonts w:ascii="Arial" w:hAnsi="Arial" w:cs="Arial"/>
            <w:noProof/>
            <w:webHidden/>
            <w:sz w:val="22"/>
            <w:szCs w:val="22"/>
          </w:rPr>
          <w:tab/>
        </w:r>
        <w:r w:rsidR="00222189" w:rsidRPr="00303225">
          <w:rPr>
            <w:rStyle w:val="Hyperlink"/>
            <w:rFonts w:ascii="Arial" w:hAnsi="Arial" w:cs="Arial"/>
            <w:noProof/>
            <w:sz w:val="22"/>
            <w:szCs w:val="22"/>
          </w:rPr>
          <w:fldChar w:fldCharType="begin"/>
        </w:r>
        <w:r w:rsidR="00222189" w:rsidRPr="00303225">
          <w:rPr>
            <w:rFonts w:ascii="Arial" w:hAnsi="Arial" w:cs="Arial"/>
            <w:noProof/>
            <w:webHidden/>
            <w:sz w:val="22"/>
            <w:szCs w:val="22"/>
          </w:rPr>
          <w:instrText xml:space="preserve"> PAGEREF _Toc274907715 \h </w:instrText>
        </w:r>
        <w:r w:rsidR="00222189" w:rsidRPr="00303225">
          <w:rPr>
            <w:rStyle w:val="Hyperlink"/>
            <w:rFonts w:ascii="Arial" w:hAnsi="Arial" w:cs="Arial"/>
            <w:noProof/>
            <w:sz w:val="22"/>
            <w:szCs w:val="22"/>
          </w:rPr>
        </w:r>
        <w:r w:rsidR="00222189" w:rsidRPr="00303225">
          <w:rPr>
            <w:rStyle w:val="Hyperlink"/>
            <w:rFonts w:ascii="Arial" w:hAnsi="Arial" w:cs="Arial"/>
            <w:noProof/>
            <w:sz w:val="22"/>
            <w:szCs w:val="22"/>
          </w:rPr>
          <w:fldChar w:fldCharType="separate"/>
        </w:r>
        <w:r w:rsidR="00303225">
          <w:rPr>
            <w:rFonts w:ascii="Arial" w:hAnsi="Arial" w:cs="Arial"/>
            <w:noProof/>
            <w:webHidden/>
            <w:sz w:val="22"/>
            <w:szCs w:val="22"/>
          </w:rPr>
          <w:t>16</w:t>
        </w:r>
        <w:r w:rsidR="00222189" w:rsidRPr="00303225">
          <w:rPr>
            <w:rStyle w:val="Hyperlink"/>
            <w:rFonts w:ascii="Arial" w:hAnsi="Arial" w:cs="Arial"/>
            <w:noProof/>
            <w:sz w:val="22"/>
            <w:szCs w:val="22"/>
          </w:rPr>
          <w:fldChar w:fldCharType="end"/>
        </w:r>
      </w:hyperlink>
    </w:p>
    <w:p w14:paraId="5F9CF349" w14:textId="77777777" w:rsidR="00222189" w:rsidRPr="00303225" w:rsidRDefault="00AE3073">
      <w:pPr>
        <w:pStyle w:val="TOC4"/>
        <w:tabs>
          <w:tab w:val="right" w:leader="dot" w:pos="8296"/>
        </w:tabs>
        <w:rPr>
          <w:rFonts w:ascii="Arial" w:hAnsi="Arial" w:cs="Arial"/>
          <w:noProof/>
          <w:sz w:val="22"/>
          <w:szCs w:val="22"/>
        </w:rPr>
      </w:pPr>
      <w:hyperlink w:anchor="_Toc274907716" w:history="1">
        <w:r w:rsidR="00222189" w:rsidRPr="00303225">
          <w:rPr>
            <w:rStyle w:val="Hyperlink"/>
            <w:rFonts w:ascii="Arial" w:hAnsi="Arial" w:cs="Arial"/>
            <w:b/>
            <w:noProof/>
            <w:sz w:val="22"/>
            <w:szCs w:val="22"/>
          </w:rPr>
          <w:t>Arbitration lists</w:t>
        </w:r>
        <w:r w:rsidR="00222189" w:rsidRPr="00303225">
          <w:rPr>
            <w:rFonts w:ascii="Arial" w:hAnsi="Arial" w:cs="Arial"/>
            <w:noProof/>
            <w:webHidden/>
            <w:sz w:val="22"/>
            <w:szCs w:val="22"/>
          </w:rPr>
          <w:tab/>
        </w:r>
        <w:r w:rsidR="00222189" w:rsidRPr="00303225">
          <w:rPr>
            <w:rStyle w:val="Hyperlink"/>
            <w:rFonts w:ascii="Arial" w:hAnsi="Arial" w:cs="Arial"/>
            <w:noProof/>
            <w:sz w:val="22"/>
            <w:szCs w:val="22"/>
          </w:rPr>
          <w:fldChar w:fldCharType="begin"/>
        </w:r>
        <w:r w:rsidR="00222189" w:rsidRPr="00303225">
          <w:rPr>
            <w:rFonts w:ascii="Arial" w:hAnsi="Arial" w:cs="Arial"/>
            <w:noProof/>
            <w:webHidden/>
            <w:sz w:val="22"/>
            <w:szCs w:val="22"/>
          </w:rPr>
          <w:instrText xml:space="preserve"> PAGEREF _Toc274907716 \h </w:instrText>
        </w:r>
        <w:r w:rsidR="00222189" w:rsidRPr="00303225">
          <w:rPr>
            <w:rStyle w:val="Hyperlink"/>
            <w:rFonts w:ascii="Arial" w:hAnsi="Arial" w:cs="Arial"/>
            <w:noProof/>
            <w:sz w:val="22"/>
            <w:szCs w:val="22"/>
          </w:rPr>
        </w:r>
        <w:r w:rsidR="00222189" w:rsidRPr="00303225">
          <w:rPr>
            <w:rStyle w:val="Hyperlink"/>
            <w:rFonts w:ascii="Arial" w:hAnsi="Arial" w:cs="Arial"/>
            <w:noProof/>
            <w:sz w:val="22"/>
            <w:szCs w:val="22"/>
          </w:rPr>
          <w:fldChar w:fldCharType="separate"/>
        </w:r>
        <w:r w:rsidR="00303225">
          <w:rPr>
            <w:rFonts w:ascii="Arial" w:hAnsi="Arial" w:cs="Arial"/>
            <w:noProof/>
            <w:webHidden/>
            <w:sz w:val="22"/>
            <w:szCs w:val="22"/>
          </w:rPr>
          <w:t>16</w:t>
        </w:r>
        <w:r w:rsidR="00222189" w:rsidRPr="00303225">
          <w:rPr>
            <w:rStyle w:val="Hyperlink"/>
            <w:rFonts w:ascii="Arial" w:hAnsi="Arial" w:cs="Arial"/>
            <w:noProof/>
            <w:sz w:val="22"/>
            <w:szCs w:val="22"/>
          </w:rPr>
          <w:fldChar w:fldCharType="end"/>
        </w:r>
      </w:hyperlink>
    </w:p>
    <w:p w14:paraId="232E2272" w14:textId="77777777" w:rsidR="00222189" w:rsidRPr="00303225" w:rsidRDefault="00AE3073">
      <w:pPr>
        <w:pStyle w:val="TOC4"/>
        <w:tabs>
          <w:tab w:val="right" w:leader="dot" w:pos="8296"/>
        </w:tabs>
        <w:rPr>
          <w:rFonts w:ascii="Arial" w:hAnsi="Arial" w:cs="Arial"/>
          <w:noProof/>
          <w:sz w:val="22"/>
          <w:szCs w:val="22"/>
        </w:rPr>
      </w:pPr>
      <w:hyperlink w:anchor="_Toc274907717" w:history="1">
        <w:r w:rsidR="00222189" w:rsidRPr="00303225">
          <w:rPr>
            <w:rStyle w:val="Hyperlink"/>
            <w:rFonts w:ascii="Arial" w:hAnsi="Arial" w:cs="Arial"/>
            <w:b/>
            <w:noProof/>
            <w:sz w:val="22"/>
            <w:szCs w:val="22"/>
          </w:rPr>
          <w:t>Liaison between courts and with arbitration users</w:t>
        </w:r>
        <w:r w:rsidR="00222189" w:rsidRPr="00303225">
          <w:rPr>
            <w:rFonts w:ascii="Arial" w:hAnsi="Arial" w:cs="Arial"/>
            <w:noProof/>
            <w:webHidden/>
            <w:sz w:val="22"/>
            <w:szCs w:val="22"/>
          </w:rPr>
          <w:tab/>
        </w:r>
        <w:r w:rsidR="00222189" w:rsidRPr="00303225">
          <w:rPr>
            <w:rStyle w:val="Hyperlink"/>
            <w:rFonts w:ascii="Arial" w:hAnsi="Arial" w:cs="Arial"/>
            <w:noProof/>
            <w:sz w:val="22"/>
            <w:szCs w:val="22"/>
          </w:rPr>
          <w:fldChar w:fldCharType="begin"/>
        </w:r>
        <w:r w:rsidR="00222189" w:rsidRPr="00303225">
          <w:rPr>
            <w:rFonts w:ascii="Arial" w:hAnsi="Arial" w:cs="Arial"/>
            <w:noProof/>
            <w:webHidden/>
            <w:sz w:val="22"/>
            <w:szCs w:val="22"/>
          </w:rPr>
          <w:instrText xml:space="preserve"> PAGEREF _Toc274907717 \h </w:instrText>
        </w:r>
        <w:r w:rsidR="00222189" w:rsidRPr="00303225">
          <w:rPr>
            <w:rStyle w:val="Hyperlink"/>
            <w:rFonts w:ascii="Arial" w:hAnsi="Arial" w:cs="Arial"/>
            <w:noProof/>
            <w:sz w:val="22"/>
            <w:szCs w:val="22"/>
          </w:rPr>
        </w:r>
        <w:r w:rsidR="00222189" w:rsidRPr="00303225">
          <w:rPr>
            <w:rStyle w:val="Hyperlink"/>
            <w:rFonts w:ascii="Arial" w:hAnsi="Arial" w:cs="Arial"/>
            <w:noProof/>
            <w:sz w:val="22"/>
            <w:szCs w:val="22"/>
          </w:rPr>
          <w:fldChar w:fldCharType="separate"/>
        </w:r>
        <w:r w:rsidR="00303225">
          <w:rPr>
            <w:rFonts w:ascii="Arial" w:hAnsi="Arial" w:cs="Arial"/>
            <w:noProof/>
            <w:webHidden/>
            <w:sz w:val="22"/>
            <w:szCs w:val="22"/>
          </w:rPr>
          <w:t>17</w:t>
        </w:r>
        <w:r w:rsidR="00222189" w:rsidRPr="00303225">
          <w:rPr>
            <w:rStyle w:val="Hyperlink"/>
            <w:rFonts w:ascii="Arial" w:hAnsi="Arial" w:cs="Arial"/>
            <w:noProof/>
            <w:sz w:val="22"/>
            <w:szCs w:val="22"/>
          </w:rPr>
          <w:fldChar w:fldCharType="end"/>
        </w:r>
      </w:hyperlink>
    </w:p>
    <w:p w14:paraId="3BEC2A9C" w14:textId="77777777" w:rsidR="00222189" w:rsidRPr="00303225" w:rsidRDefault="00AE3073">
      <w:pPr>
        <w:pStyle w:val="TOC4"/>
        <w:tabs>
          <w:tab w:val="right" w:leader="dot" w:pos="8296"/>
        </w:tabs>
        <w:rPr>
          <w:rFonts w:ascii="Arial" w:hAnsi="Arial" w:cs="Arial"/>
          <w:noProof/>
          <w:sz w:val="22"/>
          <w:szCs w:val="22"/>
        </w:rPr>
      </w:pPr>
      <w:hyperlink w:anchor="_Toc274907718" w:history="1">
        <w:r w:rsidR="00222189" w:rsidRPr="00303225">
          <w:rPr>
            <w:rStyle w:val="Hyperlink"/>
            <w:rFonts w:ascii="Arial" w:hAnsi="Arial" w:cs="Arial"/>
            <w:b/>
            <w:noProof/>
            <w:sz w:val="22"/>
            <w:szCs w:val="22"/>
          </w:rPr>
          <w:t>Raising the expectations on parties</w:t>
        </w:r>
        <w:r w:rsidR="00222189" w:rsidRPr="00303225">
          <w:rPr>
            <w:rFonts w:ascii="Arial" w:hAnsi="Arial" w:cs="Arial"/>
            <w:noProof/>
            <w:webHidden/>
            <w:sz w:val="22"/>
            <w:szCs w:val="22"/>
          </w:rPr>
          <w:tab/>
        </w:r>
        <w:r w:rsidR="00222189" w:rsidRPr="00303225">
          <w:rPr>
            <w:rStyle w:val="Hyperlink"/>
            <w:rFonts w:ascii="Arial" w:hAnsi="Arial" w:cs="Arial"/>
            <w:noProof/>
            <w:sz w:val="22"/>
            <w:szCs w:val="22"/>
          </w:rPr>
          <w:fldChar w:fldCharType="begin"/>
        </w:r>
        <w:r w:rsidR="00222189" w:rsidRPr="00303225">
          <w:rPr>
            <w:rFonts w:ascii="Arial" w:hAnsi="Arial" w:cs="Arial"/>
            <w:noProof/>
            <w:webHidden/>
            <w:sz w:val="22"/>
            <w:szCs w:val="22"/>
          </w:rPr>
          <w:instrText xml:space="preserve"> PAGEREF _Toc274907718 \h </w:instrText>
        </w:r>
        <w:r w:rsidR="00222189" w:rsidRPr="00303225">
          <w:rPr>
            <w:rStyle w:val="Hyperlink"/>
            <w:rFonts w:ascii="Arial" w:hAnsi="Arial" w:cs="Arial"/>
            <w:noProof/>
            <w:sz w:val="22"/>
            <w:szCs w:val="22"/>
          </w:rPr>
        </w:r>
        <w:r w:rsidR="00222189" w:rsidRPr="00303225">
          <w:rPr>
            <w:rStyle w:val="Hyperlink"/>
            <w:rFonts w:ascii="Arial" w:hAnsi="Arial" w:cs="Arial"/>
            <w:noProof/>
            <w:sz w:val="22"/>
            <w:szCs w:val="22"/>
          </w:rPr>
          <w:fldChar w:fldCharType="separate"/>
        </w:r>
        <w:r w:rsidR="00303225">
          <w:rPr>
            <w:rFonts w:ascii="Arial" w:hAnsi="Arial" w:cs="Arial"/>
            <w:noProof/>
            <w:webHidden/>
            <w:sz w:val="22"/>
            <w:szCs w:val="22"/>
          </w:rPr>
          <w:t>18</w:t>
        </w:r>
        <w:r w:rsidR="00222189" w:rsidRPr="00303225">
          <w:rPr>
            <w:rStyle w:val="Hyperlink"/>
            <w:rFonts w:ascii="Arial" w:hAnsi="Arial" w:cs="Arial"/>
            <w:noProof/>
            <w:sz w:val="22"/>
            <w:szCs w:val="22"/>
          </w:rPr>
          <w:fldChar w:fldCharType="end"/>
        </w:r>
      </w:hyperlink>
    </w:p>
    <w:p w14:paraId="6E2B692D" w14:textId="77777777" w:rsidR="00222189" w:rsidRPr="00303225" w:rsidRDefault="00AE3073">
      <w:pPr>
        <w:pStyle w:val="TOC2"/>
        <w:tabs>
          <w:tab w:val="right" w:leader="dot" w:pos="8296"/>
        </w:tabs>
        <w:rPr>
          <w:rFonts w:ascii="Arial" w:hAnsi="Arial" w:cs="Arial"/>
          <w:smallCaps w:val="0"/>
          <w:noProof/>
          <w:sz w:val="22"/>
          <w:szCs w:val="22"/>
        </w:rPr>
      </w:pPr>
      <w:hyperlink w:anchor="_Toc274907719" w:history="1">
        <w:r w:rsidR="00222189" w:rsidRPr="00303225">
          <w:rPr>
            <w:rStyle w:val="Hyperlink"/>
            <w:rFonts w:ascii="Arial" w:hAnsi="Arial" w:cs="Arial"/>
            <w:noProof/>
            <w:sz w:val="22"/>
            <w:szCs w:val="22"/>
          </w:rPr>
          <w:t>Procedure</w:t>
        </w:r>
        <w:r w:rsidR="00222189" w:rsidRPr="00303225">
          <w:rPr>
            <w:rFonts w:ascii="Arial" w:hAnsi="Arial" w:cs="Arial"/>
            <w:noProof/>
            <w:webHidden/>
            <w:sz w:val="22"/>
            <w:szCs w:val="22"/>
          </w:rPr>
          <w:tab/>
        </w:r>
        <w:r w:rsidR="00222189" w:rsidRPr="00303225">
          <w:rPr>
            <w:rStyle w:val="Hyperlink"/>
            <w:rFonts w:ascii="Arial" w:hAnsi="Arial" w:cs="Arial"/>
            <w:noProof/>
            <w:sz w:val="22"/>
            <w:szCs w:val="22"/>
          </w:rPr>
          <w:fldChar w:fldCharType="begin"/>
        </w:r>
        <w:r w:rsidR="00222189" w:rsidRPr="00303225">
          <w:rPr>
            <w:rFonts w:ascii="Arial" w:hAnsi="Arial" w:cs="Arial"/>
            <w:noProof/>
            <w:webHidden/>
            <w:sz w:val="22"/>
            <w:szCs w:val="22"/>
          </w:rPr>
          <w:instrText xml:space="preserve"> PAGEREF _Toc274907719 \h </w:instrText>
        </w:r>
        <w:r w:rsidR="00222189" w:rsidRPr="00303225">
          <w:rPr>
            <w:rStyle w:val="Hyperlink"/>
            <w:rFonts w:ascii="Arial" w:hAnsi="Arial" w:cs="Arial"/>
            <w:noProof/>
            <w:sz w:val="22"/>
            <w:szCs w:val="22"/>
          </w:rPr>
        </w:r>
        <w:r w:rsidR="00222189" w:rsidRPr="00303225">
          <w:rPr>
            <w:rStyle w:val="Hyperlink"/>
            <w:rFonts w:ascii="Arial" w:hAnsi="Arial" w:cs="Arial"/>
            <w:noProof/>
            <w:sz w:val="22"/>
            <w:szCs w:val="22"/>
          </w:rPr>
          <w:fldChar w:fldCharType="separate"/>
        </w:r>
        <w:r w:rsidR="00303225">
          <w:rPr>
            <w:rFonts w:ascii="Arial" w:hAnsi="Arial" w:cs="Arial"/>
            <w:noProof/>
            <w:webHidden/>
            <w:sz w:val="22"/>
            <w:szCs w:val="22"/>
          </w:rPr>
          <w:t>18</w:t>
        </w:r>
        <w:r w:rsidR="00222189" w:rsidRPr="00303225">
          <w:rPr>
            <w:rStyle w:val="Hyperlink"/>
            <w:rFonts w:ascii="Arial" w:hAnsi="Arial" w:cs="Arial"/>
            <w:noProof/>
            <w:sz w:val="22"/>
            <w:szCs w:val="22"/>
          </w:rPr>
          <w:fldChar w:fldCharType="end"/>
        </w:r>
      </w:hyperlink>
    </w:p>
    <w:p w14:paraId="126EE0A2" w14:textId="77777777" w:rsidR="00222189" w:rsidRPr="00303225" w:rsidRDefault="00AE3073">
      <w:pPr>
        <w:pStyle w:val="TOC1"/>
        <w:rPr>
          <w:b w:val="0"/>
          <w:bCs w:val="0"/>
          <w:caps w:val="0"/>
          <w:noProof/>
          <w:sz w:val="22"/>
          <w:szCs w:val="22"/>
        </w:rPr>
      </w:pPr>
      <w:hyperlink w:anchor="_Toc274907720" w:history="1">
        <w:r w:rsidR="00222189" w:rsidRPr="00303225">
          <w:rPr>
            <w:rStyle w:val="Hyperlink"/>
            <w:noProof/>
            <w:sz w:val="22"/>
            <w:szCs w:val="22"/>
          </w:rPr>
          <w:t>Conclusion</w:t>
        </w:r>
        <w:r w:rsidR="00222189" w:rsidRPr="00303225">
          <w:rPr>
            <w:noProof/>
            <w:webHidden/>
            <w:sz w:val="22"/>
            <w:szCs w:val="22"/>
          </w:rPr>
          <w:tab/>
        </w:r>
        <w:r w:rsidR="00222189" w:rsidRPr="00303225">
          <w:rPr>
            <w:rStyle w:val="Hyperlink"/>
            <w:noProof/>
            <w:sz w:val="22"/>
            <w:szCs w:val="22"/>
          </w:rPr>
          <w:fldChar w:fldCharType="begin"/>
        </w:r>
        <w:r w:rsidR="00222189" w:rsidRPr="00303225">
          <w:rPr>
            <w:noProof/>
            <w:webHidden/>
            <w:sz w:val="22"/>
            <w:szCs w:val="22"/>
          </w:rPr>
          <w:instrText xml:space="preserve"> PAGEREF _Toc274907720 \h </w:instrText>
        </w:r>
        <w:r w:rsidR="00222189" w:rsidRPr="00303225">
          <w:rPr>
            <w:rStyle w:val="Hyperlink"/>
            <w:noProof/>
            <w:sz w:val="22"/>
            <w:szCs w:val="22"/>
          </w:rPr>
        </w:r>
        <w:r w:rsidR="00222189" w:rsidRPr="00303225">
          <w:rPr>
            <w:rStyle w:val="Hyperlink"/>
            <w:noProof/>
            <w:sz w:val="22"/>
            <w:szCs w:val="22"/>
          </w:rPr>
          <w:fldChar w:fldCharType="separate"/>
        </w:r>
        <w:r w:rsidR="00303225">
          <w:rPr>
            <w:noProof/>
            <w:webHidden/>
            <w:sz w:val="22"/>
            <w:szCs w:val="22"/>
          </w:rPr>
          <w:t>19</w:t>
        </w:r>
        <w:r w:rsidR="00222189" w:rsidRPr="00303225">
          <w:rPr>
            <w:rStyle w:val="Hyperlink"/>
            <w:noProof/>
            <w:sz w:val="22"/>
            <w:szCs w:val="22"/>
          </w:rPr>
          <w:fldChar w:fldCharType="end"/>
        </w:r>
      </w:hyperlink>
    </w:p>
    <w:p w14:paraId="42AC4EF0" w14:textId="77777777" w:rsidR="00D7628E" w:rsidRDefault="00F92A83" w:rsidP="00D7628E">
      <w:pPr>
        <w:pStyle w:val="Heading1"/>
      </w:pPr>
      <w:r w:rsidRPr="00303225">
        <w:rPr>
          <w:sz w:val="22"/>
          <w:szCs w:val="22"/>
        </w:rPr>
        <w:fldChar w:fldCharType="end"/>
      </w:r>
    </w:p>
    <w:p w14:paraId="675D2DD8" w14:textId="77777777" w:rsidR="00875A08" w:rsidRPr="00303225" w:rsidRDefault="00E748F0" w:rsidP="00303225">
      <w:pPr>
        <w:pStyle w:val="Heading1"/>
        <w:spacing w:line="480" w:lineRule="auto"/>
        <w:rPr>
          <w:sz w:val="28"/>
          <w:szCs w:val="28"/>
        </w:rPr>
      </w:pPr>
      <w:r>
        <w:br w:type="page"/>
      </w:r>
      <w:bookmarkStart w:id="0" w:name="_Toc274907703"/>
      <w:r w:rsidR="00875A08" w:rsidRPr="00303225">
        <w:rPr>
          <w:sz w:val="28"/>
          <w:szCs w:val="28"/>
        </w:rPr>
        <w:lastRenderedPageBreak/>
        <w:t>Introduction</w:t>
      </w:r>
      <w:bookmarkEnd w:id="0"/>
    </w:p>
    <w:p w14:paraId="7CB49D71" w14:textId="77777777" w:rsidR="0099172E" w:rsidRPr="00303225" w:rsidRDefault="005F1C21" w:rsidP="00303225">
      <w:pPr>
        <w:spacing w:line="480" w:lineRule="auto"/>
        <w:rPr>
          <w:rFonts w:ascii="Arial" w:hAnsi="Arial" w:cs="Arial"/>
          <w:sz w:val="22"/>
          <w:szCs w:val="22"/>
        </w:rPr>
      </w:pPr>
      <w:r w:rsidRPr="00303225">
        <w:rPr>
          <w:rFonts w:ascii="Arial" w:hAnsi="Arial" w:cs="Arial"/>
          <w:sz w:val="22"/>
          <w:szCs w:val="22"/>
        </w:rPr>
        <w:t xml:space="preserve">Now </w:t>
      </w:r>
      <w:r w:rsidR="00585C7C" w:rsidRPr="00303225">
        <w:rPr>
          <w:rFonts w:ascii="Arial" w:hAnsi="Arial" w:cs="Arial"/>
          <w:sz w:val="22"/>
          <w:szCs w:val="22"/>
        </w:rPr>
        <w:t xml:space="preserve">that </w:t>
      </w:r>
      <w:r w:rsidRPr="00303225">
        <w:rPr>
          <w:rFonts w:ascii="Arial" w:hAnsi="Arial" w:cs="Arial"/>
          <w:sz w:val="22"/>
          <w:szCs w:val="22"/>
        </w:rPr>
        <w:t xml:space="preserve">the Commonwealth </w:t>
      </w:r>
      <w:r w:rsidRPr="00303225">
        <w:rPr>
          <w:rFonts w:ascii="Arial" w:hAnsi="Arial" w:cs="Arial"/>
          <w:i/>
          <w:sz w:val="22"/>
          <w:szCs w:val="22"/>
        </w:rPr>
        <w:t xml:space="preserve">International Arbitration Act </w:t>
      </w:r>
      <w:r w:rsidRPr="00303225">
        <w:rPr>
          <w:rFonts w:ascii="Arial" w:hAnsi="Arial" w:cs="Arial"/>
          <w:sz w:val="22"/>
          <w:szCs w:val="22"/>
        </w:rPr>
        <w:t>1974</w:t>
      </w:r>
      <w:r w:rsidR="00585C7C" w:rsidRPr="00303225">
        <w:rPr>
          <w:rFonts w:ascii="Arial" w:hAnsi="Arial" w:cs="Arial"/>
          <w:i/>
          <w:sz w:val="22"/>
          <w:szCs w:val="22"/>
        </w:rPr>
        <w:t xml:space="preserve"> </w:t>
      </w:r>
      <w:r w:rsidR="00585C7C" w:rsidRPr="00303225">
        <w:rPr>
          <w:rFonts w:ascii="Arial" w:hAnsi="Arial" w:cs="Arial"/>
          <w:sz w:val="22"/>
          <w:szCs w:val="22"/>
        </w:rPr>
        <w:t>(the IAA)</w:t>
      </w:r>
      <w:r w:rsidR="0087148C" w:rsidRPr="00303225">
        <w:rPr>
          <w:rFonts w:ascii="Arial" w:hAnsi="Arial" w:cs="Arial"/>
          <w:sz w:val="22"/>
          <w:szCs w:val="22"/>
        </w:rPr>
        <w:t xml:space="preserve"> has been </w:t>
      </w:r>
      <w:r w:rsidR="00FD1F8B" w:rsidRPr="00303225">
        <w:rPr>
          <w:rFonts w:ascii="Arial" w:hAnsi="Arial" w:cs="Arial"/>
          <w:sz w:val="22"/>
          <w:szCs w:val="22"/>
        </w:rPr>
        <w:t>revi</w:t>
      </w:r>
      <w:r w:rsidR="00616ADD" w:rsidRPr="00303225">
        <w:rPr>
          <w:rFonts w:ascii="Arial" w:hAnsi="Arial" w:cs="Arial"/>
          <w:sz w:val="22"/>
          <w:szCs w:val="22"/>
        </w:rPr>
        <w:t>ewed and, as a result, substantially revised and updated</w:t>
      </w:r>
      <w:r w:rsidR="0087148C" w:rsidRPr="00303225">
        <w:rPr>
          <w:rFonts w:ascii="Arial" w:hAnsi="Arial" w:cs="Arial"/>
          <w:sz w:val="22"/>
          <w:szCs w:val="22"/>
        </w:rPr>
        <w:t>,</w:t>
      </w:r>
      <w:r w:rsidR="004C4AAC" w:rsidRPr="00303225">
        <w:rPr>
          <w:rStyle w:val="FootnoteReference"/>
          <w:rFonts w:ascii="Arial" w:hAnsi="Arial" w:cs="Arial"/>
          <w:sz w:val="22"/>
          <w:szCs w:val="22"/>
        </w:rPr>
        <w:footnoteReference w:id="3"/>
      </w:r>
      <w:r w:rsidR="0087148C" w:rsidRPr="00303225">
        <w:rPr>
          <w:rFonts w:ascii="Arial" w:hAnsi="Arial" w:cs="Arial"/>
          <w:sz w:val="22"/>
          <w:szCs w:val="22"/>
        </w:rPr>
        <w:t xml:space="preserve"> </w:t>
      </w:r>
      <w:r w:rsidRPr="00303225">
        <w:rPr>
          <w:rFonts w:ascii="Arial" w:hAnsi="Arial" w:cs="Arial"/>
          <w:sz w:val="22"/>
          <w:szCs w:val="22"/>
        </w:rPr>
        <w:t xml:space="preserve">and the new </w:t>
      </w:r>
      <w:r w:rsidRPr="00303225">
        <w:rPr>
          <w:rFonts w:ascii="Arial" w:hAnsi="Arial" w:cs="Arial"/>
          <w:i/>
          <w:sz w:val="22"/>
          <w:szCs w:val="22"/>
        </w:rPr>
        <w:t>Model Commercial Arbitration Bill</w:t>
      </w:r>
      <w:r w:rsidR="00585C7C" w:rsidRPr="00303225">
        <w:rPr>
          <w:rFonts w:ascii="Arial" w:hAnsi="Arial" w:cs="Arial"/>
          <w:i/>
          <w:sz w:val="22"/>
          <w:szCs w:val="22"/>
        </w:rPr>
        <w:t xml:space="preserve"> </w:t>
      </w:r>
      <w:r w:rsidR="00585C7C" w:rsidRPr="00303225">
        <w:rPr>
          <w:rFonts w:ascii="Arial" w:hAnsi="Arial" w:cs="Arial"/>
          <w:sz w:val="22"/>
          <w:szCs w:val="22"/>
        </w:rPr>
        <w:t xml:space="preserve">(the CAA) </w:t>
      </w:r>
      <w:r w:rsidR="0087148C" w:rsidRPr="00303225">
        <w:rPr>
          <w:rFonts w:ascii="Arial" w:hAnsi="Arial" w:cs="Arial"/>
          <w:sz w:val="22"/>
          <w:szCs w:val="22"/>
        </w:rPr>
        <w:t>has been adopted by the Standing Committee of Attorneys General</w:t>
      </w:r>
      <w:r w:rsidR="006B26A4" w:rsidRPr="00303225">
        <w:rPr>
          <w:rFonts w:ascii="Arial" w:hAnsi="Arial" w:cs="Arial"/>
          <w:sz w:val="22"/>
          <w:szCs w:val="22"/>
        </w:rPr>
        <w:t xml:space="preserve"> </w:t>
      </w:r>
      <w:r w:rsidR="0063307A" w:rsidRPr="00303225">
        <w:rPr>
          <w:rFonts w:ascii="Arial" w:hAnsi="Arial" w:cs="Arial"/>
          <w:sz w:val="22"/>
          <w:szCs w:val="22"/>
        </w:rPr>
        <w:t>(</w:t>
      </w:r>
      <w:r w:rsidR="006B26A4" w:rsidRPr="00303225">
        <w:rPr>
          <w:rFonts w:ascii="Arial" w:hAnsi="Arial" w:cs="Arial"/>
          <w:sz w:val="22"/>
          <w:szCs w:val="22"/>
        </w:rPr>
        <w:t>SCAG)</w:t>
      </w:r>
      <w:r w:rsidR="0087148C" w:rsidRPr="00303225">
        <w:rPr>
          <w:rFonts w:ascii="Arial" w:hAnsi="Arial" w:cs="Arial"/>
          <w:sz w:val="22"/>
          <w:szCs w:val="22"/>
        </w:rPr>
        <w:t>,</w:t>
      </w:r>
      <w:r w:rsidR="0087148C" w:rsidRPr="00303225">
        <w:rPr>
          <w:rStyle w:val="FootnoteReference"/>
          <w:rFonts w:ascii="Arial" w:hAnsi="Arial" w:cs="Arial"/>
          <w:sz w:val="22"/>
          <w:szCs w:val="22"/>
        </w:rPr>
        <w:footnoteReference w:id="4"/>
      </w:r>
      <w:r w:rsidR="0087148C" w:rsidRPr="00303225">
        <w:rPr>
          <w:rFonts w:ascii="Arial" w:hAnsi="Arial" w:cs="Arial"/>
          <w:sz w:val="22"/>
          <w:szCs w:val="22"/>
        </w:rPr>
        <w:t xml:space="preserve"> Australia has an opportunity to reinvigorate its approach to domestic and international commercial arbitration.</w:t>
      </w:r>
    </w:p>
    <w:p w14:paraId="3809006C" w14:textId="77777777" w:rsidR="0099172E" w:rsidRPr="00303225" w:rsidRDefault="0099172E" w:rsidP="00303225">
      <w:pPr>
        <w:spacing w:line="480" w:lineRule="auto"/>
        <w:rPr>
          <w:rFonts w:ascii="Arial" w:hAnsi="Arial" w:cs="Arial"/>
          <w:sz w:val="22"/>
          <w:szCs w:val="22"/>
        </w:rPr>
      </w:pPr>
    </w:p>
    <w:p w14:paraId="4C61F930" w14:textId="77777777" w:rsidR="0087148C" w:rsidRPr="00303225" w:rsidRDefault="00D97466" w:rsidP="00303225">
      <w:pPr>
        <w:spacing w:line="480" w:lineRule="auto"/>
        <w:rPr>
          <w:rFonts w:ascii="Arial" w:hAnsi="Arial" w:cs="Arial"/>
          <w:sz w:val="22"/>
          <w:szCs w:val="22"/>
        </w:rPr>
      </w:pPr>
      <w:r w:rsidRPr="00303225">
        <w:rPr>
          <w:rFonts w:ascii="Arial" w:hAnsi="Arial" w:cs="Arial"/>
          <w:sz w:val="22"/>
          <w:szCs w:val="22"/>
        </w:rPr>
        <w:t xml:space="preserve">Reinvigoration of international or domestic arbitration in Australia cannot be achieved by governments or the courts acting alone. Governments have now made a </w:t>
      </w:r>
      <w:proofErr w:type="gramStart"/>
      <w:r w:rsidRPr="00303225">
        <w:rPr>
          <w:rFonts w:ascii="Arial" w:hAnsi="Arial" w:cs="Arial"/>
          <w:sz w:val="22"/>
          <w:szCs w:val="22"/>
        </w:rPr>
        <w:t>crucial  contribution</w:t>
      </w:r>
      <w:proofErr w:type="gramEnd"/>
      <w:r w:rsidRPr="00303225">
        <w:rPr>
          <w:rFonts w:ascii="Arial" w:hAnsi="Arial" w:cs="Arial"/>
          <w:sz w:val="22"/>
          <w:szCs w:val="22"/>
        </w:rPr>
        <w:t xml:space="preserve"> to the process by procuring the enactment of substantially enhanced international arbitration legislation and </w:t>
      </w:r>
      <w:proofErr w:type="spellStart"/>
      <w:r w:rsidRPr="00303225">
        <w:rPr>
          <w:rFonts w:ascii="Arial" w:hAnsi="Arial" w:cs="Arial"/>
          <w:sz w:val="22"/>
          <w:szCs w:val="22"/>
        </w:rPr>
        <w:t>groundbreaking</w:t>
      </w:r>
      <w:proofErr w:type="spellEnd"/>
      <w:r w:rsidRPr="00303225">
        <w:rPr>
          <w:rFonts w:ascii="Arial" w:hAnsi="Arial" w:cs="Arial"/>
          <w:sz w:val="22"/>
          <w:szCs w:val="22"/>
        </w:rPr>
        <w:t xml:space="preserve"> domestic arbitration legislation.</w:t>
      </w:r>
      <w:r w:rsidR="0087148C" w:rsidRPr="00303225">
        <w:rPr>
          <w:rFonts w:ascii="Arial" w:hAnsi="Arial" w:cs="Arial"/>
          <w:sz w:val="22"/>
          <w:szCs w:val="22"/>
        </w:rPr>
        <w:t xml:space="preserve"> </w:t>
      </w:r>
      <w:r w:rsidRPr="00303225">
        <w:rPr>
          <w:rFonts w:ascii="Arial" w:hAnsi="Arial" w:cs="Arial"/>
          <w:sz w:val="22"/>
          <w:szCs w:val="22"/>
        </w:rPr>
        <w:t xml:space="preserve">Rather, </w:t>
      </w:r>
      <w:r w:rsidR="0087148C" w:rsidRPr="00303225">
        <w:rPr>
          <w:rFonts w:ascii="Arial" w:hAnsi="Arial" w:cs="Arial"/>
          <w:sz w:val="22"/>
          <w:szCs w:val="22"/>
        </w:rPr>
        <w:t xml:space="preserve">responsibility for this reinvigoration falls on </w:t>
      </w:r>
      <w:r w:rsidR="0063307A" w:rsidRPr="00303225">
        <w:rPr>
          <w:rFonts w:ascii="Arial" w:hAnsi="Arial" w:cs="Arial"/>
          <w:sz w:val="22"/>
          <w:szCs w:val="22"/>
        </w:rPr>
        <w:t xml:space="preserve">the </w:t>
      </w:r>
      <w:r w:rsidR="0087148C" w:rsidRPr="00303225">
        <w:rPr>
          <w:rFonts w:ascii="Arial" w:hAnsi="Arial" w:cs="Arial"/>
          <w:sz w:val="22"/>
          <w:szCs w:val="22"/>
        </w:rPr>
        <w:t>various</w:t>
      </w:r>
      <w:r w:rsidR="0063307A" w:rsidRPr="00303225">
        <w:rPr>
          <w:rFonts w:ascii="Arial" w:hAnsi="Arial" w:cs="Arial"/>
          <w:sz w:val="22"/>
          <w:szCs w:val="22"/>
        </w:rPr>
        <w:t xml:space="preserve"> commercial </w:t>
      </w:r>
      <w:r w:rsidR="00DD7835" w:rsidRPr="00303225">
        <w:rPr>
          <w:rFonts w:ascii="Arial" w:hAnsi="Arial" w:cs="Arial"/>
          <w:sz w:val="22"/>
          <w:szCs w:val="22"/>
        </w:rPr>
        <w:t>arbitration</w:t>
      </w:r>
      <w:r w:rsidR="0087148C" w:rsidRPr="00303225">
        <w:rPr>
          <w:rFonts w:ascii="Arial" w:hAnsi="Arial" w:cs="Arial"/>
          <w:sz w:val="22"/>
          <w:szCs w:val="22"/>
        </w:rPr>
        <w:t xml:space="preserve"> stakeholders – </w:t>
      </w:r>
      <w:r w:rsidR="009962E4" w:rsidRPr="00303225">
        <w:rPr>
          <w:rFonts w:ascii="Arial" w:hAnsi="Arial" w:cs="Arial"/>
          <w:sz w:val="22"/>
          <w:szCs w:val="22"/>
        </w:rPr>
        <w:t xml:space="preserve">commercial parties, lawyers (whether they be corporate, in-house lawyers, </w:t>
      </w:r>
      <w:proofErr w:type="gramStart"/>
      <w:r w:rsidR="009962E4" w:rsidRPr="00303225">
        <w:rPr>
          <w:rFonts w:ascii="Arial" w:hAnsi="Arial" w:cs="Arial"/>
          <w:sz w:val="22"/>
          <w:szCs w:val="22"/>
        </w:rPr>
        <w:t>barristers</w:t>
      </w:r>
      <w:proofErr w:type="gramEnd"/>
      <w:r w:rsidR="009962E4" w:rsidRPr="00303225">
        <w:rPr>
          <w:rFonts w:ascii="Arial" w:hAnsi="Arial" w:cs="Arial"/>
          <w:sz w:val="22"/>
          <w:szCs w:val="22"/>
        </w:rPr>
        <w:t xml:space="preserve"> or solicitors)</w:t>
      </w:r>
      <w:r w:rsidR="009F683A" w:rsidRPr="00303225">
        <w:rPr>
          <w:rFonts w:ascii="Arial" w:hAnsi="Arial" w:cs="Arial"/>
          <w:sz w:val="22"/>
          <w:szCs w:val="22"/>
        </w:rPr>
        <w:t>, arbitrators, arbitral institutions</w:t>
      </w:r>
      <w:r w:rsidRPr="00303225">
        <w:rPr>
          <w:rFonts w:ascii="Arial" w:hAnsi="Arial" w:cs="Arial"/>
          <w:sz w:val="22"/>
          <w:szCs w:val="22"/>
        </w:rPr>
        <w:t xml:space="preserve"> (particularly as educators and the custodians of ethical standards),</w:t>
      </w:r>
      <w:r w:rsidR="009F683A" w:rsidRPr="00303225">
        <w:rPr>
          <w:rStyle w:val="FootnoteReference"/>
          <w:rFonts w:ascii="Arial" w:hAnsi="Arial" w:cs="Arial"/>
          <w:sz w:val="22"/>
          <w:szCs w:val="22"/>
        </w:rPr>
        <w:footnoteReference w:id="5"/>
      </w:r>
      <w:r w:rsidR="0087148C" w:rsidRPr="00303225">
        <w:rPr>
          <w:rFonts w:ascii="Arial" w:hAnsi="Arial" w:cs="Arial"/>
          <w:sz w:val="22"/>
          <w:szCs w:val="22"/>
        </w:rPr>
        <w:t xml:space="preserve"> the </w:t>
      </w:r>
      <w:r w:rsidR="00616ADD" w:rsidRPr="00303225">
        <w:rPr>
          <w:rFonts w:ascii="Arial" w:hAnsi="Arial" w:cs="Arial"/>
          <w:sz w:val="22"/>
          <w:szCs w:val="22"/>
        </w:rPr>
        <w:t>Commonwealth, State and Territory governments</w:t>
      </w:r>
      <w:r w:rsidR="009962E4" w:rsidRPr="00303225">
        <w:rPr>
          <w:rFonts w:ascii="Arial" w:hAnsi="Arial" w:cs="Arial"/>
          <w:sz w:val="22"/>
          <w:szCs w:val="22"/>
        </w:rPr>
        <w:t xml:space="preserve"> and the </w:t>
      </w:r>
      <w:r w:rsidR="009F683A" w:rsidRPr="00303225">
        <w:rPr>
          <w:rFonts w:ascii="Arial" w:hAnsi="Arial" w:cs="Arial"/>
          <w:sz w:val="22"/>
          <w:szCs w:val="22"/>
        </w:rPr>
        <w:t>c</w:t>
      </w:r>
      <w:r w:rsidR="009962E4" w:rsidRPr="00303225">
        <w:rPr>
          <w:rFonts w:ascii="Arial" w:hAnsi="Arial" w:cs="Arial"/>
          <w:sz w:val="22"/>
          <w:szCs w:val="22"/>
        </w:rPr>
        <w:t xml:space="preserve">ourts. I will concentrate on the </w:t>
      </w:r>
      <w:proofErr w:type="gramStart"/>
      <w:r w:rsidR="009962E4" w:rsidRPr="00303225">
        <w:rPr>
          <w:rFonts w:ascii="Arial" w:hAnsi="Arial" w:cs="Arial"/>
          <w:sz w:val="22"/>
          <w:szCs w:val="22"/>
        </w:rPr>
        <w:t>latter</w:t>
      </w:r>
      <w:proofErr w:type="gramEnd"/>
      <w:r w:rsidR="009962E4" w:rsidRPr="00303225">
        <w:rPr>
          <w:rFonts w:ascii="Arial" w:hAnsi="Arial" w:cs="Arial"/>
          <w:sz w:val="22"/>
          <w:szCs w:val="22"/>
        </w:rPr>
        <w:t xml:space="preserve"> but it should be observed that the role or roles of each of these stakeholders are</w:t>
      </w:r>
      <w:r w:rsidR="0063307A" w:rsidRPr="00303225">
        <w:rPr>
          <w:rFonts w:ascii="Arial" w:hAnsi="Arial" w:cs="Arial"/>
          <w:sz w:val="22"/>
          <w:szCs w:val="22"/>
        </w:rPr>
        <w:t>,</w:t>
      </w:r>
      <w:r w:rsidR="009962E4" w:rsidRPr="00303225">
        <w:rPr>
          <w:rFonts w:ascii="Arial" w:hAnsi="Arial" w:cs="Arial"/>
          <w:sz w:val="22"/>
          <w:szCs w:val="22"/>
        </w:rPr>
        <w:t xml:space="preserve"> naturally</w:t>
      </w:r>
      <w:r w:rsidR="0063307A" w:rsidRPr="00303225">
        <w:rPr>
          <w:rFonts w:ascii="Arial" w:hAnsi="Arial" w:cs="Arial"/>
          <w:sz w:val="22"/>
          <w:szCs w:val="22"/>
        </w:rPr>
        <w:t>,</w:t>
      </w:r>
      <w:r w:rsidR="009962E4" w:rsidRPr="00303225">
        <w:rPr>
          <w:rFonts w:ascii="Arial" w:hAnsi="Arial" w:cs="Arial"/>
          <w:sz w:val="22"/>
          <w:szCs w:val="22"/>
        </w:rPr>
        <w:t xml:space="preserve"> interconnected and so collective</w:t>
      </w:r>
      <w:r w:rsidRPr="00303225">
        <w:rPr>
          <w:rFonts w:ascii="Arial" w:hAnsi="Arial" w:cs="Arial"/>
          <w:sz w:val="22"/>
          <w:szCs w:val="22"/>
        </w:rPr>
        <w:t>, coordinated,</w:t>
      </w:r>
      <w:r w:rsidR="009962E4" w:rsidRPr="00303225">
        <w:rPr>
          <w:rFonts w:ascii="Arial" w:hAnsi="Arial" w:cs="Arial"/>
          <w:sz w:val="22"/>
          <w:szCs w:val="22"/>
        </w:rPr>
        <w:t xml:space="preserve"> action</w:t>
      </w:r>
      <w:r w:rsidR="0063307A" w:rsidRPr="00303225">
        <w:rPr>
          <w:rFonts w:ascii="Arial" w:hAnsi="Arial" w:cs="Arial"/>
          <w:sz w:val="22"/>
          <w:szCs w:val="22"/>
        </w:rPr>
        <w:t xml:space="preserve"> is required</w:t>
      </w:r>
      <w:r w:rsidR="009962E4" w:rsidRPr="00303225">
        <w:rPr>
          <w:rFonts w:ascii="Arial" w:hAnsi="Arial" w:cs="Arial"/>
          <w:sz w:val="22"/>
          <w:szCs w:val="22"/>
        </w:rPr>
        <w:t>.</w:t>
      </w:r>
      <w:r w:rsidR="0087148C" w:rsidRPr="00303225">
        <w:rPr>
          <w:rFonts w:ascii="Arial" w:hAnsi="Arial" w:cs="Arial"/>
          <w:sz w:val="22"/>
          <w:szCs w:val="22"/>
        </w:rPr>
        <w:t xml:space="preserve"> </w:t>
      </w:r>
      <w:r w:rsidR="009962E4" w:rsidRPr="00303225">
        <w:rPr>
          <w:rFonts w:ascii="Arial" w:hAnsi="Arial" w:cs="Arial"/>
          <w:sz w:val="22"/>
          <w:szCs w:val="22"/>
        </w:rPr>
        <w:t xml:space="preserve"> </w:t>
      </w:r>
      <w:r w:rsidR="00A13724" w:rsidRPr="00303225">
        <w:rPr>
          <w:rFonts w:ascii="Arial" w:hAnsi="Arial" w:cs="Arial"/>
          <w:sz w:val="22"/>
          <w:szCs w:val="22"/>
        </w:rPr>
        <w:t>In this light, and having regard to the role of other stakeholders, I turn to the position of the courts.</w:t>
      </w:r>
    </w:p>
    <w:p w14:paraId="65A18AFD" w14:textId="77777777" w:rsidR="0087148C" w:rsidRPr="00303225" w:rsidRDefault="0087148C" w:rsidP="00303225">
      <w:pPr>
        <w:spacing w:line="480" w:lineRule="auto"/>
        <w:rPr>
          <w:rFonts w:ascii="Arial" w:hAnsi="Arial" w:cs="Arial"/>
          <w:sz w:val="22"/>
          <w:szCs w:val="22"/>
        </w:rPr>
      </w:pPr>
    </w:p>
    <w:p w14:paraId="015E02FA" w14:textId="77777777" w:rsidR="00911946" w:rsidRPr="00303225" w:rsidRDefault="00302FA1" w:rsidP="00303225">
      <w:pPr>
        <w:spacing w:line="480" w:lineRule="auto"/>
        <w:rPr>
          <w:rFonts w:ascii="Arial" w:hAnsi="Arial" w:cs="Arial"/>
          <w:sz w:val="22"/>
          <w:szCs w:val="22"/>
        </w:rPr>
      </w:pPr>
      <w:r w:rsidRPr="00303225">
        <w:rPr>
          <w:rFonts w:ascii="Arial" w:hAnsi="Arial" w:cs="Arial"/>
          <w:sz w:val="22"/>
          <w:szCs w:val="22"/>
        </w:rPr>
        <w:t>At times,</w:t>
      </w:r>
      <w:r w:rsidR="00394D3C" w:rsidRPr="00303225">
        <w:rPr>
          <w:rFonts w:ascii="Arial" w:hAnsi="Arial" w:cs="Arial"/>
          <w:sz w:val="22"/>
          <w:szCs w:val="22"/>
        </w:rPr>
        <w:t xml:space="preserve"> there has been a perception that</w:t>
      </w:r>
      <w:r w:rsidRPr="00303225">
        <w:rPr>
          <w:rFonts w:ascii="Arial" w:hAnsi="Arial" w:cs="Arial"/>
          <w:sz w:val="22"/>
          <w:szCs w:val="22"/>
        </w:rPr>
        <w:t xml:space="preserve"> the </w:t>
      </w:r>
      <w:r w:rsidR="004D729A" w:rsidRPr="00303225">
        <w:rPr>
          <w:rFonts w:ascii="Arial" w:hAnsi="Arial" w:cs="Arial"/>
          <w:sz w:val="22"/>
          <w:szCs w:val="22"/>
        </w:rPr>
        <w:t>c</w:t>
      </w:r>
      <w:r w:rsidRPr="00303225">
        <w:rPr>
          <w:rFonts w:ascii="Arial" w:hAnsi="Arial" w:cs="Arial"/>
          <w:sz w:val="22"/>
          <w:szCs w:val="22"/>
        </w:rPr>
        <w:t xml:space="preserve">ourts </w:t>
      </w:r>
      <w:r w:rsidR="00394D3C" w:rsidRPr="00303225">
        <w:rPr>
          <w:rFonts w:ascii="Arial" w:hAnsi="Arial" w:cs="Arial"/>
          <w:sz w:val="22"/>
          <w:szCs w:val="22"/>
        </w:rPr>
        <w:t>have hindered</w:t>
      </w:r>
      <w:r w:rsidR="003B388B" w:rsidRPr="00303225">
        <w:rPr>
          <w:rFonts w:ascii="Arial" w:hAnsi="Arial" w:cs="Arial"/>
          <w:sz w:val="22"/>
          <w:szCs w:val="22"/>
        </w:rPr>
        <w:t xml:space="preserve"> effective commercial a</w:t>
      </w:r>
      <w:r w:rsidR="00394D3C" w:rsidRPr="00303225">
        <w:rPr>
          <w:rFonts w:ascii="Arial" w:hAnsi="Arial" w:cs="Arial"/>
          <w:sz w:val="22"/>
          <w:szCs w:val="22"/>
        </w:rPr>
        <w:t>rbitration</w:t>
      </w:r>
      <w:r w:rsidR="0035102A" w:rsidRPr="00303225">
        <w:rPr>
          <w:rFonts w:ascii="Arial" w:hAnsi="Arial" w:cs="Arial"/>
          <w:sz w:val="22"/>
          <w:szCs w:val="22"/>
        </w:rPr>
        <w:t>,</w:t>
      </w:r>
      <w:r w:rsidR="00722BAB" w:rsidRPr="00303225">
        <w:rPr>
          <w:rFonts w:ascii="Arial" w:hAnsi="Arial" w:cs="Arial"/>
          <w:sz w:val="22"/>
          <w:szCs w:val="22"/>
        </w:rPr>
        <w:t xml:space="preserve"> both</w:t>
      </w:r>
      <w:r w:rsidR="00394D3C" w:rsidRPr="00303225">
        <w:rPr>
          <w:rFonts w:ascii="Arial" w:hAnsi="Arial" w:cs="Arial"/>
          <w:sz w:val="22"/>
          <w:szCs w:val="22"/>
        </w:rPr>
        <w:t xml:space="preserve"> </w:t>
      </w:r>
      <w:r w:rsidR="00FF1D25" w:rsidRPr="00303225">
        <w:rPr>
          <w:rFonts w:ascii="Arial" w:hAnsi="Arial" w:cs="Arial"/>
          <w:sz w:val="22"/>
          <w:szCs w:val="22"/>
        </w:rPr>
        <w:t xml:space="preserve">by intervening too much </w:t>
      </w:r>
      <w:r w:rsidR="003B388B" w:rsidRPr="00303225">
        <w:rPr>
          <w:rFonts w:ascii="Arial" w:hAnsi="Arial" w:cs="Arial"/>
          <w:sz w:val="22"/>
          <w:szCs w:val="22"/>
        </w:rPr>
        <w:t>in the arbitral process</w:t>
      </w:r>
      <w:r w:rsidR="00722BAB" w:rsidRPr="00303225">
        <w:rPr>
          <w:rFonts w:ascii="Arial" w:hAnsi="Arial" w:cs="Arial"/>
          <w:sz w:val="22"/>
          <w:szCs w:val="22"/>
        </w:rPr>
        <w:t xml:space="preserve"> and by </w:t>
      </w:r>
      <w:r w:rsidR="00FD1F8B" w:rsidRPr="00303225">
        <w:rPr>
          <w:rFonts w:ascii="Arial" w:hAnsi="Arial" w:cs="Arial"/>
          <w:sz w:val="22"/>
          <w:szCs w:val="22"/>
        </w:rPr>
        <w:lastRenderedPageBreak/>
        <w:t xml:space="preserve">interpreting </w:t>
      </w:r>
      <w:proofErr w:type="gramStart"/>
      <w:r w:rsidR="00FD1F8B" w:rsidRPr="00303225">
        <w:rPr>
          <w:rFonts w:ascii="Arial" w:hAnsi="Arial" w:cs="Arial"/>
          <w:sz w:val="22"/>
          <w:szCs w:val="22"/>
        </w:rPr>
        <w:t xml:space="preserve">the </w:t>
      </w:r>
      <w:r w:rsidR="00722BAB" w:rsidRPr="00303225">
        <w:rPr>
          <w:rFonts w:ascii="Arial" w:hAnsi="Arial" w:cs="Arial"/>
          <w:sz w:val="22"/>
          <w:szCs w:val="22"/>
        </w:rPr>
        <w:t xml:space="preserve"> arbitral</w:t>
      </w:r>
      <w:proofErr w:type="gramEnd"/>
      <w:r w:rsidR="00722BAB" w:rsidRPr="00303225">
        <w:rPr>
          <w:rFonts w:ascii="Arial" w:hAnsi="Arial" w:cs="Arial"/>
          <w:sz w:val="22"/>
          <w:szCs w:val="22"/>
        </w:rPr>
        <w:t xml:space="preserve"> law</w:t>
      </w:r>
      <w:r w:rsidR="00FD1F8B" w:rsidRPr="00303225">
        <w:rPr>
          <w:rFonts w:ascii="Arial" w:hAnsi="Arial" w:cs="Arial"/>
          <w:sz w:val="22"/>
          <w:szCs w:val="22"/>
        </w:rPr>
        <w:t xml:space="preserve"> in an interventionist rather than a supportive way</w:t>
      </w:r>
      <w:r w:rsidR="00394D3C" w:rsidRPr="00303225">
        <w:rPr>
          <w:rFonts w:ascii="Arial" w:hAnsi="Arial" w:cs="Arial"/>
          <w:sz w:val="22"/>
          <w:szCs w:val="22"/>
        </w:rPr>
        <w:t>.</w:t>
      </w:r>
      <w:r w:rsidR="003B388B" w:rsidRPr="00303225">
        <w:rPr>
          <w:rFonts w:ascii="Arial" w:hAnsi="Arial" w:cs="Arial"/>
          <w:sz w:val="22"/>
          <w:szCs w:val="22"/>
        </w:rPr>
        <w:t xml:space="preserve"> </w:t>
      </w:r>
      <w:r w:rsidR="0091237A" w:rsidRPr="00303225">
        <w:rPr>
          <w:rFonts w:ascii="Arial" w:hAnsi="Arial" w:cs="Arial"/>
          <w:sz w:val="22"/>
          <w:szCs w:val="22"/>
        </w:rPr>
        <w:t xml:space="preserve">This perception, as well as many other factors, was one of the reasons that our </w:t>
      </w:r>
      <w:r w:rsidR="0035102A" w:rsidRPr="00303225">
        <w:rPr>
          <w:rFonts w:ascii="Arial" w:hAnsi="Arial" w:cs="Arial"/>
          <w:sz w:val="22"/>
          <w:szCs w:val="22"/>
        </w:rPr>
        <w:t>commercial arbitration</w:t>
      </w:r>
      <w:r w:rsidR="00273B55" w:rsidRPr="00303225">
        <w:rPr>
          <w:rFonts w:ascii="Arial" w:hAnsi="Arial" w:cs="Arial"/>
          <w:sz w:val="22"/>
          <w:szCs w:val="22"/>
        </w:rPr>
        <w:t xml:space="preserve"> legislation required </w:t>
      </w:r>
      <w:r w:rsidR="004D729A" w:rsidRPr="00303225">
        <w:rPr>
          <w:rFonts w:ascii="Arial" w:hAnsi="Arial" w:cs="Arial"/>
          <w:sz w:val="22"/>
          <w:szCs w:val="22"/>
        </w:rPr>
        <w:t xml:space="preserve">attention; though the domestic legislation had </w:t>
      </w:r>
      <w:r w:rsidR="009628FA" w:rsidRPr="00303225">
        <w:rPr>
          <w:rFonts w:ascii="Arial" w:hAnsi="Arial" w:cs="Arial"/>
          <w:sz w:val="22"/>
          <w:szCs w:val="22"/>
        </w:rPr>
        <w:t xml:space="preserve">also </w:t>
      </w:r>
      <w:r w:rsidR="004D729A" w:rsidRPr="00303225">
        <w:rPr>
          <w:rFonts w:ascii="Arial" w:hAnsi="Arial" w:cs="Arial"/>
          <w:sz w:val="22"/>
          <w:szCs w:val="22"/>
        </w:rPr>
        <w:t>become very dated as a result of developments in legislation elsewhere</w:t>
      </w:r>
      <w:r w:rsidR="00273B55" w:rsidRPr="00303225">
        <w:rPr>
          <w:rFonts w:ascii="Arial" w:hAnsi="Arial" w:cs="Arial"/>
          <w:sz w:val="22"/>
          <w:szCs w:val="22"/>
        </w:rPr>
        <w:t>.</w:t>
      </w:r>
      <w:r w:rsidR="004D729A" w:rsidRPr="00303225">
        <w:rPr>
          <w:rStyle w:val="FootnoteReference"/>
          <w:rFonts w:ascii="Arial" w:hAnsi="Arial" w:cs="Arial"/>
          <w:sz w:val="22"/>
          <w:szCs w:val="22"/>
        </w:rPr>
        <w:footnoteReference w:id="6"/>
      </w:r>
      <w:r w:rsidR="00273B55" w:rsidRPr="00303225">
        <w:rPr>
          <w:rFonts w:ascii="Arial" w:hAnsi="Arial" w:cs="Arial"/>
          <w:sz w:val="22"/>
          <w:szCs w:val="22"/>
        </w:rPr>
        <w:t xml:space="preserve"> </w:t>
      </w:r>
      <w:r w:rsidR="009628FA" w:rsidRPr="00303225">
        <w:rPr>
          <w:rFonts w:ascii="Arial" w:hAnsi="Arial" w:cs="Arial"/>
          <w:sz w:val="22"/>
          <w:szCs w:val="22"/>
        </w:rPr>
        <w:t xml:space="preserve">Prior to the enactment of the then new, uniform, domestic commercial arbitration legislation in the mid-1980s commercial arbitration had </w:t>
      </w:r>
      <w:r w:rsidR="00965495" w:rsidRPr="00303225">
        <w:rPr>
          <w:rFonts w:ascii="Arial" w:hAnsi="Arial" w:cs="Arial"/>
          <w:sz w:val="22"/>
          <w:szCs w:val="22"/>
        </w:rPr>
        <w:t>been constrained very significantly by the case stated procedure which could be used, in effect, to force a retrial of the issues in an arbitration in the reviewing court. Naturally, the cost, expense and delay involved had the effect of making commercial arbitration very unattractive.</w:t>
      </w:r>
    </w:p>
    <w:p w14:paraId="0EA4D5FD" w14:textId="77777777" w:rsidR="00911946" w:rsidRPr="00303225" w:rsidRDefault="00911946" w:rsidP="00303225">
      <w:pPr>
        <w:spacing w:line="480" w:lineRule="auto"/>
        <w:rPr>
          <w:rFonts w:ascii="Arial" w:hAnsi="Arial" w:cs="Arial"/>
          <w:sz w:val="22"/>
          <w:szCs w:val="22"/>
        </w:rPr>
      </w:pPr>
    </w:p>
    <w:p w14:paraId="64B201FB" w14:textId="77777777" w:rsidR="00911946" w:rsidRPr="00303225" w:rsidRDefault="009E1BDE" w:rsidP="00303225">
      <w:pPr>
        <w:spacing w:line="480" w:lineRule="auto"/>
        <w:rPr>
          <w:rFonts w:ascii="Arial" w:hAnsi="Arial" w:cs="Arial"/>
          <w:sz w:val="22"/>
          <w:szCs w:val="22"/>
        </w:rPr>
      </w:pPr>
      <w:r w:rsidRPr="00303225">
        <w:rPr>
          <w:rFonts w:ascii="Arial" w:hAnsi="Arial" w:cs="Arial"/>
          <w:sz w:val="22"/>
          <w:szCs w:val="22"/>
        </w:rPr>
        <w:t>There were great hopes for the uniform legislation, based on the English experience. For example, it was expected that the new constrained appeal and review provisions, based as they were on the 1979 English legislation, would lead Australian courts to adopt the same “hands-off” approach which came to be expressed by Lord Diplock in the, so called, “</w:t>
      </w:r>
      <w:proofErr w:type="spellStart"/>
      <w:r w:rsidRPr="00303225">
        <w:rPr>
          <w:rFonts w:ascii="Arial" w:hAnsi="Arial" w:cs="Arial"/>
          <w:sz w:val="22"/>
          <w:szCs w:val="22"/>
        </w:rPr>
        <w:t>Nema</w:t>
      </w:r>
      <w:proofErr w:type="spellEnd"/>
      <w:r w:rsidRPr="00303225">
        <w:rPr>
          <w:rFonts w:ascii="Arial" w:hAnsi="Arial" w:cs="Arial"/>
          <w:sz w:val="22"/>
          <w:szCs w:val="22"/>
        </w:rPr>
        <w:t xml:space="preserve"> guidelines”.</w:t>
      </w:r>
      <w:r w:rsidRPr="00303225">
        <w:rPr>
          <w:rStyle w:val="FootnoteReference"/>
          <w:rFonts w:ascii="Arial" w:hAnsi="Arial" w:cs="Arial"/>
          <w:sz w:val="22"/>
          <w:szCs w:val="22"/>
        </w:rPr>
        <w:footnoteReference w:id="7"/>
      </w:r>
      <w:r w:rsidR="00272CA4" w:rsidRPr="00303225">
        <w:rPr>
          <w:rFonts w:ascii="Arial" w:hAnsi="Arial" w:cs="Arial"/>
          <w:sz w:val="22"/>
          <w:szCs w:val="22"/>
        </w:rPr>
        <w:t xml:space="preserve"> With the hindsight of history we know that this did not occur, at least not uniformly, and a good deal of uncertainty resulted which did not assist the develop</w:t>
      </w:r>
      <w:r w:rsidR="00911946" w:rsidRPr="00303225">
        <w:rPr>
          <w:rFonts w:ascii="Arial" w:hAnsi="Arial" w:cs="Arial"/>
          <w:sz w:val="22"/>
          <w:szCs w:val="22"/>
        </w:rPr>
        <w:t>ment of commercial arbitration.</w:t>
      </w:r>
    </w:p>
    <w:p w14:paraId="1C02F2EF" w14:textId="77777777" w:rsidR="00911946" w:rsidRPr="00303225" w:rsidRDefault="00911946" w:rsidP="00303225">
      <w:pPr>
        <w:spacing w:line="480" w:lineRule="auto"/>
        <w:rPr>
          <w:rFonts w:ascii="Arial" w:hAnsi="Arial" w:cs="Arial"/>
          <w:sz w:val="22"/>
          <w:szCs w:val="22"/>
        </w:rPr>
      </w:pPr>
    </w:p>
    <w:p w14:paraId="382E7678" w14:textId="77777777" w:rsidR="009E1BDE" w:rsidRPr="00303225" w:rsidRDefault="00272CA4" w:rsidP="00303225">
      <w:pPr>
        <w:spacing w:line="480" w:lineRule="auto"/>
        <w:rPr>
          <w:rFonts w:ascii="Arial" w:hAnsi="Arial" w:cs="Arial"/>
          <w:sz w:val="22"/>
          <w:szCs w:val="22"/>
        </w:rPr>
      </w:pPr>
      <w:r w:rsidRPr="00303225">
        <w:rPr>
          <w:rFonts w:ascii="Arial" w:hAnsi="Arial" w:cs="Arial"/>
          <w:sz w:val="22"/>
          <w:szCs w:val="22"/>
        </w:rPr>
        <w:t xml:space="preserve">In defence of the </w:t>
      </w:r>
      <w:proofErr w:type="gramStart"/>
      <w:r w:rsidRPr="00303225">
        <w:rPr>
          <w:rFonts w:ascii="Arial" w:hAnsi="Arial" w:cs="Arial"/>
          <w:sz w:val="22"/>
          <w:szCs w:val="22"/>
        </w:rPr>
        <w:t>courts</w:t>
      </w:r>
      <w:proofErr w:type="gramEnd"/>
      <w:r w:rsidRPr="00303225">
        <w:rPr>
          <w:rFonts w:ascii="Arial" w:hAnsi="Arial" w:cs="Arial"/>
          <w:sz w:val="22"/>
          <w:szCs w:val="22"/>
        </w:rPr>
        <w:t xml:space="preserve"> it might be said that the legislatures could have included </w:t>
      </w:r>
      <w:r w:rsidRPr="00303225">
        <w:rPr>
          <w:rFonts w:ascii="Arial" w:hAnsi="Arial" w:cs="Arial"/>
          <w:i/>
          <w:sz w:val="22"/>
          <w:szCs w:val="22"/>
        </w:rPr>
        <w:t xml:space="preserve">The </w:t>
      </w:r>
      <w:proofErr w:type="spellStart"/>
      <w:r w:rsidRPr="00303225">
        <w:rPr>
          <w:rFonts w:ascii="Arial" w:hAnsi="Arial" w:cs="Arial"/>
          <w:i/>
          <w:sz w:val="22"/>
          <w:szCs w:val="22"/>
        </w:rPr>
        <w:t>Nema</w:t>
      </w:r>
      <w:proofErr w:type="spellEnd"/>
      <w:r w:rsidRPr="00303225">
        <w:rPr>
          <w:rFonts w:ascii="Arial" w:hAnsi="Arial" w:cs="Arial"/>
          <w:i/>
          <w:sz w:val="22"/>
          <w:szCs w:val="22"/>
        </w:rPr>
        <w:t xml:space="preserve"> </w:t>
      </w:r>
      <w:r w:rsidRPr="00303225">
        <w:rPr>
          <w:rFonts w:ascii="Arial" w:hAnsi="Arial" w:cs="Arial"/>
          <w:sz w:val="22"/>
          <w:szCs w:val="22"/>
        </w:rPr>
        <w:t>guidelines in the new Acts if this had been the legislative intent, but given the proven</w:t>
      </w:r>
      <w:r w:rsidR="003F671D" w:rsidRPr="00303225">
        <w:rPr>
          <w:rFonts w:ascii="Arial" w:hAnsi="Arial" w:cs="Arial"/>
          <w:sz w:val="22"/>
          <w:szCs w:val="22"/>
        </w:rPr>
        <w:t>a</w:t>
      </w:r>
      <w:r w:rsidRPr="00303225">
        <w:rPr>
          <w:rFonts w:ascii="Arial" w:hAnsi="Arial" w:cs="Arial"/>
          <w:sz w:val="22"/>
          <w:szCs w:val="22"/>
        </w:rPr>
        <w:t xml:space="preserve">nce of the legislation and the English case law I think it would have to be </w:t>
      </w:r>
      <w:r w:rsidRPr="00303225">
        <w:rPr>
          <w:rFonts w:ascii="Arial" w:hAnsi="Arial" w:cs="Arial"/>
          <w:sz w:val="22"/>
          <w:szCs w:val="22"/>
        </w:rPr>
        <w:lastRenderedPageBreak/>
        <w:t xml:space="preserve">conceded that </w:t>
      </w:r>
      <w:r w:rsidR="009D35A1" w:rsidRPr="00303225">
        <w:rPr>
          <w:rFonts w:ascii="Arial" w:hAnsi="Arial" w:cs="Arial"/>
          <w:sz w:val="22"/>
          <w:szCs w:val="22"/>
        </w:rPr>
        <w:t xml:space="preserve">there were </w:t>
      </w:r>
      <w:r w:rsidR="00BE6700" w:rsidRPr="00303225">
        <w:rPr>
          <w:rFonts w:ascii="Arial" w:hAnsi="Arial" w:cs="Arial"/>
          <w:sz w:val="22"/>
          <w:szCs w:val="22"/>
        </w:rPr>
        <w:t>some “unfortunate</w:t>
      </w:r>
      <w:r w:rsidR="0063307A" w:rsidRPr="00303225">
        <w:rPr>
          <w:rFonts w:ascii="Arial" w:hAnsi="Arial" w:cs="Arial"/>
          <w:sz w:val="22"/>
          <w:szCs w:val="22"/>
        </w:rPr>
        <w:t>” decisions.</w:t>
      </w:r>
      <w:r w:rsidR="009D35A1" w:rsidRPr="00303225">
        <w:rPr>
          <w:rFonts w:ascii="Arial" w:hAnsi="Arial" w:cs="Arial"/>
          <w:sz w:val="22"/>
          <w:szCs w:val="22"/>
        </w:rPr>
        <w:t xml:space="preserve"> </w:t>
      </w:r>
      <w:r w:rsidR="00911946" w:rsidRPr="00303225">
        <w:rPr>
          <w:rFonts w:ascii="Arial" w:hAnsi="Arial" w:cs="Arial"/>
          <w:sz w:val="22"/>
          <w:szCs w:val="22"/>
        </w:rPr>
        <w:t>There were some</w:t>
      </w:r>
      <w:r w:rsidR="009D35A1" w:rsidRPr="00303225">
        <w:rPr>
          <w:rFonts w:ascii="Arial" w:hAnsi="Arial" w:cs="Arial"/>
          <w:sz w:val="22"/>
          <w:szCs w:val="22"/>
        </w:rPr>
        <w:t xml:space="preserve"> problems with over intervention in the arbitration process by way of judicial review of awards and </w:t>
      </w:r>
      <w:proofErr w:type="gramStart"/>
      <w:r w:rsidR="009D35A1" w:rsidRPr="00303225">
        <w:rPr>
          <w:rFonts w:ascii="Arial" w:hAnsi="Arial" w:cs="Arial"/>
          <w:sz w:val="22"/>
          <w:szCs w:val="22"/>
        </w:rPr>
        <w:t>as a result of</w:t>
      </w:r>
      <w:proofErr w:type="gramEnd"/>
      <w:r w:rsidR="009D35A1" w:rsidRPr="00303225">
        <w:rPr>
          <w:rFonts w:ascii="Arial" w:hAnsi="Arial" w:cs="Arial"/>
          <w:sz w:val="22"/>
          <w:szCs w:val="22"/>
        </w:rPr>
        <w:t xml:space="preserve"> an increasing tendency for parties to chall</w:t>
      </w:r>
      <w:r w:rsidR="0089610A" w:rsidRPr="00303225">
        <w:rPr>
          <w:rFonts w:ascii="Arial" w:hAnsi="Arial" w:cs="Arial"/>
          <w:sz w:val="22"/>
          <w:szCs w:val="22"/>
        </w:rPr>
        <w:t>enge awards on the basis of, what</w:t>
      </w:r>
      <w:r w:rsidR="009D35A1" w:rsidRPr="00303225">
        <w:rPr>
          <w:rFonts w:ascii="Arial" w:hAnsi="Arial" w:cs="Arial"/>
          <w:sz w:val="22"/>
          <w:szCs w:val="22"/>
        </w:rPr>
        <w:t xml:space="preserve"> is generally best described as, “technical misconduct”</w:t>
      </w:r>
      <w:r w:rsidR="00911946" w:rsidRPr="00303225">
        <w:rPr>
          <w:rFonts w:ascii="Arial" w:hAnsi="Arial" w:cs="Arial"/>
          <w:sz w:val="22"/>
          <w:szCs w:val="22"/>
        </w:rPr>
        <w:t>. This</w:t>
      </w:r>
      <w:r w:rsidR="009D35A1" w:rsidRPr="00303225">
        <w:rPr>
          <w:rFonts w:ascii="Arial" w:hAnsi="Arial" w:cs="Arial"/>
          <w:sz w:val="22"/>
          <w:szCs w:val="22"/>
        </w:rPr>
        <w:t xml:space="preserve"> should not, however, overshadow the very effective and useful work of the courts in expediting and supporting arbitration through very “arbitration friendly” decisions on the operation of the arbitration legislation, and more generally.</w:t>
      </w:r>
      <w:r w:rsidR="00911946" w:rsidRPr="00303225">
        <w:rPr>
          <w:rFonts w:ascii="Arial" w:hAnsi="Arial" w:cs="Arial"/>
          <w:sz w:val="22"/>
          <w:szCs w:val="22"/>
        </w:rPr>
        <w:t xml:space="preserve"> This is unsurprising and consistent with the approach of the common law </w:t>
      </w:r>
      <w:r w:rsidR="0099172E" w:rsidRPr="00303225">
        <w:rPr>
          <w:rFonts w:ascii="Arial" w:hAnsi="Arial" w:cs="Arial"/>
          <w:sz w:val="22"/>
          <w:szCs w:val="22"/>
        </w:rPr>
        <w:t>over a long period of time</w:t>
      </w:r>
      <w:r w:rsidR="00911946" w:rsidRPr="00303225">
        <w:rPr>
          <w:rFonts w:ascii="Arial" w:hAnsi="Arial" w:cs="Arial"/>
          <w:sz w:val="22"/>
          <w:szCs w:val="22"/>
        </w:rPr>
        <w:t>. In this respect it is, in my view, worth</w:t>
      </w:r>
      <w:r w:rsidR="009D35A1" w:rsidRPr="00303225">
        <w:rPr>
          <w:rFonts w:ascii="Arial" w:hAnsi="Arial" w:cs="Arial"/>
          <w:sz w:val="22"/>
          <w:szCs w:val="22"/>
        </w:rPr>
        <w:t xml:space="preserve"> </w:t>
      </w:r>
      <w:r w:rsidRPr="00303225">
        <w:rPr>
          <w:rFonts w:ascii="Arial" w:hAnsi="Arial" w:cs="Arial"/>
          <w:sz w:val="22"/>
          <w:szCs w:val="22"/>
        </w:rPr>
        <w:t xml:space="preserve">noting that the common law courts </w:t>
      </w:r>
      <w:r w:rsidR="0099172E" w:rsidRPr="00303225">
        <w:rPr>
          <w:rFonts w:ascii="Arial" w:hAnsi="Arial" w:cs="Arial"/>
          <w:sz w:val="22"/>
          <w:szCs w:val="22"/>
        </w:rPr>
        <w:t xml:space="preserve">were as far back as the eighteenth century, </w:t>
      </w:r>
      <w:r w:rsidR="006C2F33" w:rsidRPr="00303225">
        <w:rPr>
          <w:rFonts w:ascii="Arial" w:hAnsi="Arial" w:cs="Arial"/>
          <w:sz w:val="22"/>
          <w:szCs w:val="22"/>
        </w:rPr>
        <w:t>extraordinarily supportive of commercial arbitration</w:t>
      </w:r>
      <w:r w:rsidR="0099172E" w:rsidRPr="00303225">
        <w:rPr>
          <w:rFonts w:ascii="Arial" w:hAnsi="Arial" w:cs="Arial"/>
          <w:sz w:val="22"/>
          <w:szCs w:val="22"/>
        </w:rPr>
        <w:t xml:space="preserve"> </w:t>
      </w:r>
      <w:r w:rsidR="006C2F33" w:rsidRPr="00303225">
        <w:rPr>
          <w:rFonts w:ascii="Arial" w:hAnsi="Arial" w:cs="Arial"/>
          <w:sz w:val="22"/>
          <w:szCs w:val="22"/>
        </w:rPr>
        <w:t xml:space="preserve">as Professor James Oldham’s account of the work of Lord Mansfield in the latter part of </w:t>
      </w:r>
      <w:r w:rsidR="0099172E" w:rsidRPr="00303225">
        <w:rPr>
          <w:rFonts w:ascii="Arial" w:hAnsi="Arial" w:cs="Arial"/>
          <w:sz w:val="22"/>
          <w:szCs w:val="22"/>
        </w:rPr>
        <w:t>that century</w:t>
      </w:r>
      <w:r w:rsidR="006C2F33" w:rsidRPr="00303225">
        <w:rPr>
          <w:rFonts w:ascii="Arial" w:hAnsi="Arial" w:cs="Arial"/>
          <w:sz w:val="22"/>
          <w:szCs w:val="22"/>
        </w:rPr>
        <w:t xml:space="preserve"> illustrates</w:t>
      </w:r>
      <w:r w:rsidR="0099172E" w:rsidRPr="00303225">
        <w:rPr>
          <w:rFonts w:ascii="Arial" w:hAnsi="Arial" w:cs="Arial"/>
          <w:sz w:val="22"/>
          <w:szCs w:val="22"/>
        </w:rPr>
        <w:t>.</w:t>
      </w:r>
      <w:r w:rsidR="006C2F33" w:rsidRPr="00303225">
        <w:rPr>
          <w:rStyle w:val="FootnoteReference"/>
          <w:rFonts w:ascii="Arial" w:hAnsi="Arial" w:cs="Arial"/>
          <w:sz w:val="22"/>
          <w:szCs w:val="22"/>
        </w:rPr>
        <w:footnoteReference w:id="8"/>
      </w:r>
      <w:r w:rsidR="0099172E" w:rsidRPr="00303225">
        <w:rPr>
          <w:rFonts w:ascii="Arial" w:hAnsi="Arial" w:cs="Arial"/>
          <w:sz w:val="22"/>
          <w:szCs w:val="22"/>
        </w:rPr>
        <w:t xml:space="preserve"> More recently, </w:t>
      </w:r>
      <w:r w:rsidR="006C2F33" w:rsidRPr="00303225">
        <w:rPr>
          <w:rFonts w:ascii="Arial" w:hAnsi="Arial" w:cs="Arial"/>
          <w:sz w:val="22"/>
          <w:szCs w:val="22"/>
        </w:rPr>
        <w:t>the English, Singapor</w:t>
      </w:r>
      <w:r w:rsidR="0063307A" w:rsidRPr="00303225">
        <w:rPr>
          <w:rFonts w:ascii="Arial" w:hAnsi="Arial" w:cs="Arial"/>
          <w:sz w:val="22"/>
          <w:szCs w:val="22"/>
        </w:rPr>
        <w:t>e and Hong Kong courts</w:t>
      </w:r>
      <w:r w:rsidR="0099172E" w:rsidRPr="00303225">
        <w:rPr>
          <w:rFonts w:ascii="Arial" w:hAnsi="Arial" w:cs="Arial"/>
          <w:sz w:val="22"/>
          <w:szCs w:val="22"/>
        </w:rPr>
        <w:t>, for example,</w:t>
      </w:r>
      <w:r w:rsidR="0063307A" w:rsidRPr="00303225">
        <w:rPr>
          <w:rFonts w:ascii="Arial" w:hAnsi="Arial" w:cs="Arial"/>
          <w:sz w:val="22"/>
          <w:szCs w:val="22"/>
        </w:rPr>
        <w:t xml:space="preserve"> </w:t>
      </w:r>
      <w:r w:rsidR="008B0AA8" w:rsidRPr="00303225">
        <w:rPr>
          <w:rFonts w:ascii="Arial" w:hAnsi="Arial" w:cs="Arial"/>
          <w:sz w:val="22"/>
          <w:szCs w:val="22"/>
        </w:rPr>
        <w:t>have been</w:t>
      </w:r>
      <w:r w:rsidR="0099172E" w:rsidRPr="00303225">
        <w:rPr>
          <w:rFonts w:ascii="Arial" w:hAnsi="Arial" w:cs="Arial"/>
          <w:sz w:val="22"/>
          <w:szCs w:val="22"/>
        </w:rPr>
        <w:t xml:space="preserve"> very supportive,</w:t>
      </w:r>
      <w:r w:rsidR="0063307A" w:rsidRPr="00303225">
        <w:rPr>
          <w:rFonts w:ascii="Arial" w:hAnsi="Arial" w:cs="Arial"/>
          <w:sz w:val="22"/>
          <w:szCs w:val="22"/>
        </w:rPr>
        <w:t xml:space="preserve"> as many of our courts have been, and continue to be. </w:t>
      </w:r>
    </w:p>
    <w:p w14:paraId="6983A38C" w14:textId="77777777" w:rsidR="009E1BDE" w:rsidRPr="00303225" w:rsidRDefault="009E1BDE" w:rsidP="00303225">
      <w:pPr>
        <w:spacing w:line="480" w:lineRule="auto"/>
        <w:rPr>
          <w:rFonts w:ascii="Arial" w:hAnsi="Arial" w:cs="Arial"/>
          <w:sz w:val="22"/>
          <w:szCs w:val="22"/>
        </w:rPr>
      </w:pPr>
    </w:p>
    <w:p w14:paraId="7A261669" w14:textId="77777777" w:rsidR="00713363" w:rsidRPr="00303225" w:rsidRDefault="00713363" w:rsidP="00303225">
      <w:pPr>
        <w:pStyle w:val="Heading2"/>
        <w:spacing w:line="480" w:lineRule="auto"/>
        <w:rPr>
          <w:rFonts w:cs="Arial"/>
          <w:b/>
          <w:i w:val="0"/>
          <w:sz w:val="24"/>
        </w:rPr>
      </w:pPr>
      <w:bookmarkStart w:id="1" w:name="_Toc274907704"/>
      <w:r w:rsidRPr="00303225">
        <w:rPr>
          <w:rFonts w:cs="Arial"/>
          <w:b/>
          <w:i w:val="0"/>
          <w:sz w:val="24"/>
        </w:rPr>
        <w:t>Which Courts?</w:t>
      </w:r>
      <w:bookmarkEnd w:id="1"/>
    </w:p>
    <w:p w14:paraId="2236B135" w14:textId="77777777" w:rsidR="00713363" w:rsidRPr="00303225" w:rsidRDefault="0035102A" w:rsidP="00303225">
      <w:pPr>
        <w:spacing w:line="480" w:lineRule="auto"/>
        <w:rPr>
          <w:rFonts w:ascii="Arial" w:hAnsi="Arial" w:cs="Arial"/>
          <w:sz w:val="22"/>
          <w:szCs w:val="22"/>
        </w:rPr>
      </w:pPr>
      <w:r w:rsidRPr="00303225">
        <w:rPr>
          <w:rFonts w:ascii="Arial" w:hAnsi="Arial" w:cs="Arial"/>
          <w:sz w:val="22"/>
          <w:szCs w:val="22"/>
        </w:rPr>
        <w:t>B</w:t>
      </w:r>
      <w:r w:rsidR="00713363" w:rsidRPr="00303225">
        <w:rPr>
          <w:rFonts w:ascii="Arial" w:hAnsi="Arial" w:cs="Arial"/>
          <w:sz w:val="22"/>
          <w:szCs w:val="22"/>
        </w:rPr>
        <w:t>oth the Federal Court and the State and</w:t>
      </w:r>
      <w:r w:rsidR="001644CB" w:rsidRPr="00303225">
        <w:rPr>
          <w:rFonts w:ascii="Arial" w:hAnsi="Arial" w:cs="Arial"/>
          <w:sz w:val="22"/>
          <w:szCs w:val="22"/>
        </w:rPr>
        <w:t xml:space="preserve"> Territory</w:t>
      </w:r>
      <w:r w:rsidR="00713363" w:rsidRPr="00303225">
        <w:rPr>
          <w:rFonts w:ascii="Arial" w:hAnsi="Arial" w:cs="Arial"/>
          <w:sz w:val="22"/>
          <w:szCs w:val="22"/>
        </w:rPr>
        <w:t xml:space="preserve"> Supreme Courts have jurisdiction</w:t>
      </w:r>
      <w:r w:rsidRPr="00303225">
        <w:rPr>
          <w:rFonts w:ascii="Arial" w:hAnsi="Arial" w:cs="Arial"/>
          <w:sz w:val="22"/>
          <w:szCs w:val="22"/>
        </w:rPr>
        <w:t xml:space="preserve"> under the IAA</w:t>
      </w:r>
      <w:r w:rsidR="00713363" w:rsidRPr="00303225">
        <w:rPr>
          <w:rFonts w:ascii="Arial" w:hAnsi="Arial" w:cs="Arial"/>
          <w:sz w:val="22"/>
          <w:szCs w:val="22"/>
        </w:rPr>
        <w:t>. Under the CAA, the relevant State or Territory Supreme Court has jurisdictio</w:t>
      </w:r>
      <w:r w:rsidR="001644CB" w:rsidRPr="00303225">
        <w:rPr>
          <w:rFonts w:ascii="Arial" w:hAnsi="Arial" w:cs="Arial"/>
          <w:sz w:val="22"/>
          <w:szCs w:val="22"/>
        </w:rPr>
        <w:t>n unless the parties have agreed that the District (County) Court or Local (Magistrates’) Court has jurisdiction.</w:t>
      </w:r>
    </w:p>
    <w:p w14:paraId="273909DC" w14:textId="77777777" w:rsidR="001644CB" w:rsidRPr="00303225" w:rsidRDefault="001644CB" w:rsidP="00303225">
      <w:pPr>
        <w:spacing w:line="480" w:lineRule="auto"/>
        <w:rPr>
          <w:rFonts w:ascii="Arial" w:hAnsi="Arial" w:cs="Arial"/>
          <w:sz w:val="22"/>
          <w:szCs w:val="22"/>
        </w:rPr>
      </w:pPr>
    </w:p>
    <w:p w14:paraId="523BFAF6" w14:textId="77777777" w:rsidR="00B66395" w:rsidRPr="00303225" w:rsidRDefault="00B66395" w:rsidP="00303225">
      <w:pPr>
        <w:pStyle w:val="Heading1"/>
        <w:spacing w:line="480" w:lineRule="auto"/>
        <w:rPr>
          <w:sz w:val="28"/>
          <w:szCs w:val="28"/>
        </w:rPr>
      </w:pPr>
      <w:bookmarkStart w:id="2" w:name="_Toc274907705"/>
      <w:r w:rsidRPr="00303225">
        <w:rPr>
          <w:sz w:val="28"/>
          <w:szCs w:val="28"/>
        </w:rPr>
        <w:t>What are we trying to achieve?</w:t>
      </w:r>
      <w:bookmarkEnd w:id="2"/>
    </w:p>
    <w:p w14:paraId="6217987D" w14:textId="77777777" w:rsidR="00BE6700" w:rsidRPr="00303225" w:rsidRDefault="0035102A" w:rsidP="00303225">
      <w:pPr>
        <w:spacing w:line="480" w:lineRule="auto"/>
        <w:rPr>
          <w:rFonts w:ascii="Arial" w:hAnsi="Arial" w:cs="Arial"/>
          <w:sz w:val="22"/>
          <w:szCs w:val="22"/>
        </w:rPr>
      </w:pPr>
      <w:proofErr w:type="gramStart"/>
      <w:r w:rsidRPr="00303225">
        <w:rPr>
          <w:rFonts w:ascii="Arial" w:hAnsi="Arial" w:cs="Arial"/>
          <w:sz w:val="22"/>
          <w:szCs w:val="22"/>
        </w:rPr>
        <w:t>I</w:t>
      </w:r>
      <w:r w:rsidR="00BE6700" w:rsidRPr="00303225">
        <w:rPr>
          <w:rFonts w:ascii="Arial" w:hAnsi="Arial" w:cs="Arial"/>
          <w:sz w:val="22"/>
          <w:szCs w:val="22"/>
        </w:rPr>
        <w:t>t is clear that</w:t>
      </w:r>
      <w:r w:rsidRPr="00303225">
        <w:rPr>
          <w:rFonts w:ascii="Arial" w:hAnsi="Arial" w:cs="Arial"/>
          <w:sz w:val="22"/>
          <w:szCs w:val="22"/>
        </w:rPr>
        <w:t xml:space="preserve"> the</w:t>
      </w:r>
      <w:proofErr w:type="gramEnd"/>
      <w:r w:rsidRPr="00303225">
        <w:rPr>
          <w:rFonts w:ascii="Arial" w:hAnsi="Arial" w:cs="Arial"/>
          <w:sz w:val="22"/>
          <w:szCs w:val="22"/>
        </w:rPr>
        <w:t xml:space="preserve"> aim of the </w:t>
      </w:r>
      <w:r w:rsidR="00BE6700" w:rsidRPr="00303225">
        <w:rPr>
          <w:rFonts w:ascii="Arial" w:hAnsi="Arial" w:cs="Arial"/>
          <w:sz w:val="22"/>
          <w:szCs w:val="22"/>
        </w:rPr>
        <w:t xml:space="preserve">present </w:t>
      </w:r>
      <w:r w:rsidRPr="00303225">
        <w:rPr>
          <w:rFonts w:ascii="Arial" w:hAnsi="Arial" w:cs="Arial"/>
          <w:sz w:val="22"/>
          <w:szCs w:val="22"/>
        </w:rPr>
        <w:t xml:space="preserve">arbitration </w:t>
      </w:r>
      <w:r w:rsidR="00BE6700" w:rsidRPr="00303225">
        <w:rPr>
          <w:rFonts w:ascii="Arial" w:hAnsi="Arial" w:cs="Arial"/>
          <w:sz w:val="22"/>
          <w:szCs w:val="22"/>
        </w:rPr>
        <w:t>reinvigoration</w:t>
      </w:r>
      <w:r w:rsidRPr="00303225">
        <w:rPr>
          <w:rFonts w:ascii="Arial" w:hAnsi="Arial" w:cs="Arial"/>
          <w:sz w:val="22"/>
          <w:szCs w:val="22"/>
        </w:rPr>
        <w:t xml:space="preserve"> process is </w:t>
      </w:r>
      <w:r w:rsidR="0058769A" w:rsidRPr="00303225">
        <w:rPr>
          <w:rFonts w:ascii="Arial" w:hAnsi="Arial" w:cs="Arial"/>
          <w:sz w:val="22"/>
          <w:szCs w:val="22"/>
        </w:rPr>
        <w:t>to increase</w:t>
      </w:r>
      <w:r w:rsidRPr="00303225">
        <w:rPr>
          <w:rFonts w:ascii="Arial" w:hAnsi="Arial" w:cs="Arial"/>
          <w:sz w:val="22"/>
          <w:szCs w:val="22"/>
        </w:rPr>
        <w:t xml:space="preserve"> the use of both domestic and international commercial arbitration in Australia</w:t>
      </w:r>
      <w:r w:rsidR="0063307A" w:rsidRPr="00303225">
        <w:rPr>
          <w:rFonts w:ascii="Arial" w:hAnsi="Arial" w:cs="Arial"/>
          <w:sz w:val="22"/>
          <w:szCs w:val="22"/>
        </w:rPr>
        <w:t>. It is also aimed at encouraging</w:t>
      </w:r>
      <w:r w:rsidRPr="00303225">
        <w:rPr>
          <w:rFonts w:ascii="Arial" w:hAnsi="Arial" w:cs="Arial"/>
          <w:sz w:val="22"/>
          <w:szCs w:val="22"/>
        </w:rPr>
        <w:t xml:space="preserve"> international disputants to choose Australia as their seat for </w:t>
      </w:r>
      <w:r w:rsidRPr="00303225">
        <w:rPr>
          <w:rFonts w:ascii="Arial" w:hAnsi="Arial" w:cs="Arial"/>
          <w:sz w:val="22"/>
          <w:szCs w:val="22"/>
        </w:rPr>
        <w:lastRenderedPageBreak/>
        <w:t>arbitration. If Australia does not promote itself in</w:t>
      </w:r>
      <w:r w:rsidR="0058769A" w:rsidRPr="00303225">
        <w:rPr>
          <w:rFonts w:ascii="Arial" w:hAnsi="Arial" w:cs="Arial"/>
          <w:sz w:val="22"/>
          <w:szCs w:val="22"/>
        </w:rPr>
        <w:t xml:space="preserve"> the arbitration world</w:t>
      </w:r>
      <w:r w:rsidRPr="00303225">
        <w:rPr>
          <w:rFonts w:ascii="Arial" w:hAnsi="Arial" w:cs="Arial"/>
          <w:sz w:val="22"/>
          <w:szCs w:val="22"/>
        </w:rPr>
        <w:t xml:space="preserve"> it will be </w:t>
      </w:r>
      <w:r w:rsidR="0058769A" w:rsidRPr="00303225">
        <w:rPr>
          <w:rFonts w:ascii="Arial" w:hAnsi="Arial" w:cs="Arial"/>
          <w:sz w:val="22"/>
          <w:szCs w:val="22"/>
        </w:rPr>
        <w:t>marginalised in this</w:t>
      </w:r>
      <w:r w:rsidR="0063307A" w:rsidRPr="00303225">
        <w:rPr>
          <w:rFonts w:ascii="Arial" w:hAnsi="Arial" w:cs="Arial"/>
          <w:sz w:val="22"/>
          <w:szCs w:val="22"/>
        </w:rPr>
        <w:t xml:space="preserve"> globalised</w:t>
      </w:r>
      <w:r w:rsidR="0058769A" w:rsidRPr="00303225">
        <w:rPr>
          <w:rFonts w:ascii="Arial" w:hAnsi="Arial" w:cs="Arial"/>
          <w:sz w:val="22"/>
          <w:szCs w:val="22"/>
        </w:rPr>
        <w:t xml:space="preserve"> world. This will have significantly adverse consequences</w:t>
      </w:r>
      <w:r w:rsidR="006F5D56" w:rsidRPr="00303225">
        <w:rPr>
          <w:rFonts w:ascii="Arial" w:hAnsi="Arial" w:cs="Arial"/>
          <w:sz w:val="22"/>
          <w:szCs w:val="22"/>
        </w:rPr>
        <w:t xml:space="preserve">, </w:t>
      </w:r>
      <w:proofErr w:type="gramStart"/>
      <w:r w:rsidR="006F5D56" w:rsidRPr="00303225">
        <w:rPr>
          <w:rFonts w:ascii="Arial" w:hAnsi="Arial" w:cs="Arial"/>
          <w:sz w:val="22"/>
          <w:szCs w:val="22"/>
        </w:rPr>
        <w:t>particularly</w:t>
      </w:r>
      <w:r w:rsidR="0058769A" w:rsidRPr="00303225">
        <w:rPr>
          <w:rFonts w:ascii="Arial" w:hAnsi="Arial" w:cs="Arial"/>
          <w:sz w:val="22"/>
          <w:szCs w:val="22"/>
        </w:rPr>
        <w:t xml:space="preserve"> </w:t>
      </w:r>
      <w:r w:rsidRPr="00303225">
        <w:rPr>
          <w:rFonts w:ascii="Arial" w:hAnsi="Arial" w:cs="Arial"/>
          <w:sz w:val="22"/>
          <w:szCs w:val="22"/>
        </w:rPr>
        <w:t xml:space="preserve"> in</w:t>
      </w:r>
      <w:proofErr w:type="gramEnd"/>
      <w:r w:rsidRPr="00303225">
        <w:rPr>
          <w:rFonts w:ascii="Arial" w:hAnsi="Arial" w:cs="Arial"/>
          <w:sz w:val="22"/>
          <w:szCs w:val="22"/>
        </w:rPr>
        <w:t xml:space="preserve"> terms of</w:t>
      </w:r>
      <w:r w:rsidR="006F5D56" w:rsidRPr="00303225">
        <w:rPr>
          <w:rFonts w:ascii="Arial" w:hAnsi="Arial" w:cs="Arial"/>
          <w:sz w:val="22"/>
          <w:szCs w:val="22"/>
        </w:rPr>
        <w:t xml:space="preserve"> </w:t>
      </w:r>
      <w:r w:rsidR="0058769A" w:rsidRPr="00303225">
        <w:rPr>
          <w:rFonts w:ascii="Arial" w:hAnsi="Arial" w:cs="Arial"/>
          <w:sz w:val="22"/>
          <w:szCs w:val="22"/>
        </w:rPr>
        <w:t xml:space="preserve">the development of </w:t>
      </w:r>
      <w:r w:rsidR="006F5D56" w:rsidRPr="00303225">
        <w:rPr>
          <w:rFonts w:ascii="Arial" w:hAnsi="Arial" w:cs="Arial"/>
          <w:sz w:val="22"/>
          <w:szCs w:val="22"/>
        </w:rPr>
        <w:t xml:space="preserve">our </w:t>
      </w:r>
      <w:r w:rsidR="0058769A" w:rsidRPr="00303225">
        <w:rPr>
          <w:rFonts w:ascii="Arial" w:hAnsi="Arial" w:cs="Arial"/>
          <w:sz w:val="22"/>
          <w:szCs w:val="22"/>
        </w:rPr>
        <w:t xml:space="preserve">international </w:t>
      </w:r>
      <w:r w:rsidRPr="00303225">
        <w:rPr>
          <w:rFonts w:ascii="Arial" w:hAnsi="Arial" w:cs="Arial"/>
          <w:sz w:val="22"/>
          <w:szCs w:val="22"/>
        </w:rPr>
        <w:t>legal expertise and</w:t>
      </w:r>
      <w:r w:rsidR="00BE6700" w:rsidRPr="00303225">
        <w:rPr>
          <w:rFonts w:ascii="Arial" w:hAnsi="Arial" w:cs="Arial"/>
          <w:sz w:val="22"/>
          <w:szCs w:val="22"/>
        </w:rPr>
        <w:t xml:space="preserve"> the involvement of</w:t>
      </w:r>
      <w:r w:rsidRPr="00303225">
        <w:rPr>
          <w:rFonts w:ascii="Arial" w:hAnsi="Arial" w:cs="Arial"/>
          <w:sz w:val="22"/>
          <w:szCs w:val="22"/>
        </w:rPr>
        <w:t xml:space="preserve"> </w:t>
      </w:r>
      <w:r w:rsidR="00BE6700" w:rsidRPr="00303225">
        <w:rPr>
          <w:rFonts w:ascii="Arial" w:hAnsi="Arial" w:cs="Arial"/>
          <w:sz w:val="22"/>
          <w:szCs w:val="22"/>
        </w:rPr>
        <w:t>Australia’s</w:t>
      </w:r>
      <w:r w:rsidR="0058769A" w:rsidRPr="00303225">
        <w:rPr>
          <w:rFonts w:ascii="Arial" w:hAnsi="Arial" w:cs="Arial"/>
          <w:sz w:val="22"/>
          <w:szCs w:val="22"/>
        </w:rPr>
        <w:t xml:space="preserve"> legal and </w:t>
      </w:r>
      <w:r w:rsidR="00BE6700" w:rsidRPr="00303225">
        <w:rPr>
          <w:rFonts w:ascii="Arial" w:hAnsi="Arial" w:cs="Arial"/>
          <w:sz w:val="22"/>
          <w:szCs w:val="22"/>
        </w:rPr>
        <w:t>other professionals in</w:t>
      </w:r>
      <w:r w:rsidRPr="00303225">
        <w:rPr>
          <w:rFonts w:ascii="Arial" w:hAnsi="Arial" w:cs="Arial"/>
          <w:sz w:val="22"/>
          <w:szCs w:val="22"/>
        </w:rPr>
        <w:t xml:space="preserve"> international </w:t>
      </w:r>
      <w:r w:rsidR="00BE6700" w:rsidRPr="00303225">
        <w:rPr>
          <w:rFonts w:ascii="Arial" w:hAnsi="Arial" w:cs="Arial"/>
          <w:sz w:val="22"/>
          <w:szCs w:val="22"/>
        </w:rPr>
        <w:t xml:space="preserve">trade and </w:t>
      </w:r>
      <w:r w:rsidRPr="00303225">
        <w:rPr>
          <w:rFonts w:ascii="Arial" w:hAnsi="Arial" w:cs="Arial"/>
          <w:sz w:val="22"/>
          <w:szCs w:val="22"/>
        </w:rPr>
        <w:t>commerce.</w:t>
      </w:r>
      <w:r w:rsidR="0058769A" w:rsidRPr="00303225">
        <w:rPr>
          <w:rFonts w:ascii="Arial" w:hAnsi="Arial" w:cs="Arial"/>
          <w:sz w:val="22"/>
          <w:szCs w:val="22"/>
        </w:rPr>
        <w:t xml:space="preserve"> </w:t>
      </w:r>
    </w:p>
    <w:p w14:paraId="3E41ED8B" w14:textId="77777777" w:rsidR="00BE6700" w:rsidRPr="00303225" w:rsidRDefault="00BE6700" w:rsidP="00303225">
      <w:pPr>
        <w:spacing w:line="480" w:lineRule="auto"/>
        <w:rPr>
          <w:rFonts w:ascii="Arial" w:hAnsi="Arial" w:cs="Arial"/>
          <w:sz w:val="22"/>
          <w:szCs w:val="22"/>
        </w:rPr>
      </w:pPr>
    </w:p>
    <w:p w14:paraId="0242CA30" w14:textId="77777777" w:rsidR="00CE7FF2" w:rsidRPr="00303225" w:rsidRDefault="00BA1837" w:rsidP="00303225">
      <w:pPr>
        <w:spacing w:line="480" w:lineRule="auto"/>
        <w:rPr>
          <w:rFonts w:ascii="Arial" w:hAnsi="Arial" w:cs="Arial"/>
          <w:sz w:val="22"/>
          <w:szCs w:val="22"/>
        </w:rPr>
      </w:pPr>
      <w:r w:rsidRPr="00303225">
        <w:rPr>
          <w:rFonts w:ascii="Arial" w:hAnsi="Arial" w:cs="Arial"/>
          <w:sz w:val="22"/>
          <w:szCs w:val="22"/>
        </w:rPr>
        <w:t xml:space="preserve">International experience </w:t>
      </w:r>
      <w:r w:rsidR="0058769A" w:rsidRPr="00303225">
        <w:rPr>
          <w:rFonts w:ascii="Arial" w:hAnsi="Arial" w:cs="Arial"/>
          <w:sz w:val="22"/>
          <w:szCs w:val="22"/>
        </w:rPr>
        <w:t xml:space="preserve">indicates that countries </w:t>
      </w:r>
      <w:r w:rsidR="0063307A" w:rsidRPr="00303225">
        <w:rPr>
          <w:rFonts w:ascii="Arial" w:hAnsi="Arial" w:cs="Arial"/>
          <w:sz w:val="22"/>
          <w:szCs w:val="22"/>
        </w:rPr>
        <w:t xml:space="preserve">which </w:t>
      </w:r>
      <w:r w:rsidR="0058769A" w:rsidRPr="00303225">
        <w:rPr>
          <w:rFonts w:ascii="Arial" w:hAnsi="Arial" w:cs="Arial"/>
          <w:sz w:val="22"/>
          <w:szCs w:val="22"/>
        </w:rPr>
        <w:t>have b</w:t>
      </w:r>
      <w:r w:rsidR="00D932BF" w:rsidRPr="00303225">
        <w:rPr>
          <w:rFonts w:ascii="Arial" w:hAnsi="Arial" w:cs="Arial"/>
          <w:sz w:val="22"/>
          <w:szCs w:val="22"/>
        </w:rPr>
        <w:t>een successful in establishing busy</w:t>
      </w:r>
      <w:r w:rsidR="0058769A" w:rsidRPr="00303225">
        <w:rPr>
          <w:rFonts w:ascii="Arial" w:hAnsi="Arial" w:cs="Arial"/>
          <w:sz w:val="22"/>
          <w:szCs w:val="22"/>
        </w:rPr>
        <w:t xml:space="preserve"> international arbitration centres and</w:t>
      </w:r>
      <w:r w:rsidRPr="00303225">
        <w:rPr>
          <w:rFonts w:ascii="Arial" w:hAnsi="Arial" w:cs="Arial"/>
          <w:sz w:val="22"/>
          <w:szCs w:val="22"/>
        </w:rPr>
        <w:t xml:space="preserve"> attracting</w:t>
      </w:r>
      <w:r w:rsidR="0058769A" w:rsidRPr="00303225">
        <w:rPr>
          <w:rFonts w:ascii="Arial" w:hAnsi="Arial" w:cs="Arial"/>
          <w:sz w:val="22"/>
          <w:szCs w:val="22"/>
        </w:rPr>
        <w:t xml:space="preserve"> significant international arbitration work also have active and significant domestic arbitration sectors. The two feed off each other. The vibrant domestic arbitration sector provides significant experience </w:t>
      </w:r>
      <w:r w:rsidR="00E56B6D" w:rsidRPr="00303225">
        <w:rPr>
          <w:rFonts w:ascii="Arial" w:hAnsi="Arial" w:cs="Arial"/>
          <w:sz w:val="22"/>
          <w:szCs w:val="22"/>
        </w:rPr>
        <w:t>for</w:t>
      </w:r>
      <w:r w:rsidR="0058769A" w:rsidRPr="00303225">
        <w:rPr>
          <w:rFonts w:ascii="Arial" w:hAnsi="Arial" w:cs="Arial"/>
          <w:sz w:val="22"/>
          <w:szCs w:val="22"/>
        </w:rPr>
        <w:t xml:space="preserve"> its domestic arbitrators – </w:t>
      </w:r>
      <w:proofErr w:type="gramStart"/>
      <w:r w:rsidR="0058769A" w:rsidRPr="00303225">
        <w:rPr>
          <w:rFonts w:ascii="Arial" w:hAnsi="Arial" w:cs="Arial"/>
          <w:sz w:val="22"/>
          <w:szCs w:val="22"/>
        </w:rPr>
        <w:t>and also</w:t>
      </w:r>
      <w:proofErr w:type="gramEnd"/>
      <w:r w:rsidR="0058769A" w:rsidRPr="00303225">
        <w:rPr>
          <w:rFonts w:ascii="Arial" w:hAnsi="Arial" w:cs="Arial"/>
          <w:sz w:val="22"/>
          <w:szCs w:val="22"/>
        </w:rPr>
        <w:t xml:space="preserve"> </w:t>
      </w:r>
      <w:r w:rsidR="00E56B6D" w:rsidRPr="00303225">
        <w:rPr>
          <w:rFonts w:ascii="Arial" w:hAnsi="Arial" w:cs="Arial"/>
          <w:sz w:val="22"/>
          <w:szCs w:val="22"/>
        </w:rPr>
        <w:t>for</w:t>
      </w:r>
      <w:r w:rsidR="0058769A" w:rsidRPr="00303225">
        <w:rPr>
          <w:rFonts w:ascii="Arial" w:hAnsi="Arial" w:cs="Arial"/>
          <w:sz w:val="22"/>
          <w:szCs w:val="22"/>
        </w:rPr>
        <w:t xml:space="preserve"> its courts. </w:t>
      </w:r>
      <w:proofErr w:type="gramStart"/>
      <w:r w:rsidR="0058769A" w:rsidRPr="00303225">
        <w:rPr>
          <w:rFonts w:ascii="Arial" w:hAnsi="Arial" w:cs="Arial"/>
          <w:sz w:val="22"/>
          <w:szCs w:val="22"/>
        </w:rPr>
        <w:t>All the more</w:t>
      </w:r>
      <w:proofErr w:type="gramEnd"/>
      <w:r w:rsidR="0058769A" w:rsidRPr="00303225">
        <w:rPr>
          <w:rFonts w:ascii="Arial" w:hAnsi="Arial" w:cs="Arial"/>
          <w:sz w:val="22"/>
          <w:szCs w:val="22"/>
        </w:rPr>
        <w:t xml:space="preserve"> so where the domestic arbitration law is based on an international regime, such as the UNCITRAL Model Arbitration Law (the Model Law)</w:t>
      </w:r>
      <w:r w:rsidR="009F4D81" w:rsidRPr="00303225">
        <w:rPr>
          <w:rFonts w:ascii="Arial" w:hAnsi="Arial" w:cs="Arial"/>
          <w:sz w:val="22"/>
          <w:szCs w:val="22"/>
        </w:rPr>
        <w:t>.</w:t>
      </w:r>
      <w:r w:rsidR="009F4D81" w:rsidRPr="00303225">
        <w:rPr>
          <w:rStyle w:val="FootnoteReference"/>
          <w:rFonts w:ascii="Arial" w:hAnsi="Arial" w:cs="Arial"/>
          <w:sz w:val="22"/>
          <w:szCs w:val="22"/>
        </w:rPr>
        <w:footnoteReference w:id="9"/>
      </w:r>
      <w:r w:rsidR="00E56B6D" w:rsidRPr="00303225">
        <w:rPr>
          <w:rFonts w:ascii="Arial" w:hAnsi="Arial" w:cs="Arial"/>
          <w:sz w:val="22"/>
          <w:szCs w:val="22"/>
        </w:rPr>
        <w:t xml:space="preserve"> </w:t>
      </w:r>
    </w:p>
    <w:p w14:paraId="57533B00" w14:textId="77777777" w:rsidR="00CE7FF2" w:rsidRPr="00303225" w:rsidRDefault="00CE7FF2" w:rsidP="00303225">
      <w:pPr>
        <w:spacing w:line="480" w:lineRule="auto"/>
        <w:rPr>
          <w:rFonts w:ascii="Arial" w:hAnsi="Arial" w:cs="Arial"/>
          <w:sz w:val="22"/>
          <w:szCs w:val="22"/>
        </w:rPr>
      </w:pPr>
    </w:p>
    <w:p w14:paraId="2F0B453F" w14:textId="77777777" w:rsidR="00911946" w:rsidRPr="00303225" w:rsidRDefault="0058769A" w:rsidP="00303225">
      <w:pPr>
        <w:spacing w:line="480" w:lineRule="auto"/>
        <w:rPr>
          <w:rFonts w:ascii="Arial" w:hAnsi="Arial" w:cs="Arial"/>
          <w:sz w:val="22"/>
          <w:szCs w:val="22"/>
        </w:rPr>
      </w:pPr>
      <w:r w:rsidRPr="00303225">
        <w:rPr>
          <w:rFonts w:ascii="Arial" w:hAnsi="Arial" w:cs="Arial"/>
          <w:sz w:val="22"/>
          <w:szCs w:val="22"/>
        </w:rPr>
        <w:t>Australia has</w:t>
      </w:r>
      <w:r w:rsidR="006F5D56" w:rsidRPr="00303225">
        <w:rPr>
          <w:rFonts w:ascii="Arial" w:hAnsi="Arial" w:cs="Arial"/>
          <w:sz w:val="22"/>
          <w:szCs w:val="22"/>
        </w:rPr>
        <w:t xml:space="preserve"> not developed a high </w:t>
      </w:r>
      <w:r w:rsidR="00D932BF" w:rsidRPr="00303225">
        <w:rPr>
          <w:rFonts w:ascii="Arial" w:hAnsi="Arial" w:cs="Arial"/>
          <w:sz w:val="22"/>
          <w:szCs w:val="22"/>
        </w:rPr>
        <w:t xml:space="preserve">volume of </w:t>
      </w:r>
      <w:r w:rsidR="00CE7FF2" w:rsidRPr="00303225">
        <w:rPr>
          <w:rFonts w:ascii="Arial" w:hAnsi="Arial" w:cs="Arial"/>
          <w:sz w:val="22"/>
          <w:szCs w:val="22"/>
        </w:rPr>
        <w:t xml:space="preserve">commercial </w:t>
      </w:r>
      <w:r w:rsidRPr="00303225">
        <w:rPr>
          <w:rFonts w:ascii="Arial" w:hAnsi="Arial" w:cs="Arial"/>
          <w:sz w:val="22"/>
          <w:szCs w:val="22"/>
        </w:rPr>
        <w:t xml:space="preserve">arbitration </w:t>
      </w:r>
      <w:r w:rsidR="00D932BF" w:rsidRPr="00303225">
        <w:rPr>
          <w:rFonts w:ascii="Arial" w:hAnsi="Arial" w:cs="Arial"/>
          <w:sz w:val="22"/>
          <w:szCs w:val="22"/>
        </w:rPr>
        <w:t>business</w:t>
      </w:r>
      <w:r w:rsidR="006F5D56" w:rsidRPr="00303225">
        <w:rPr>
          <w:rFonts w:ascii="Arial" w:hAnsi="Arial" w:cs="Arial"/>
          <w:sz w:val="22"/>
          <w:szCs w:val="22"/>
        </w:rPr>
        <w:t>, contrary to the experience in many other</w:t>
      </w:r>
      <w:r w:rsidRPr="00303225">
        <w:rPr>
          <w:rFonts w:ascii="Arial" w:hAnsi="Arial" w:cs="Arial"/>
          <w:sz w:val="22"/>
          <w:szCs w:val="22"/>
        </w:rPr>
        <w:t xml:space="preserve"> Western countries.</w:t>
      </w:r>
      <w:r w:rsidR="00D932BF" w:rsidRPr="00303225">
        <w:rPr>
          <w:rFonts w:ascii="Arial" w:hAnsi="Arial" w:cs="Arial"/>
          <w:sz w:val="22"/>
          <w:szCs w:val="22"/>
        </w:rPr>
        <w:t xml:space="preserve"> There are many reasons for this – and all stakeholders bear some responsibility. </w:t>
      </w:r>
      <w:r w:rsidRPr="00303225">
        <w:rPr>
          <w:rFonts w:ascii="Arial" w:hAnsi="Arial" w:cs="Arial"/>
          <w:sz w:val="22"/>
          <w:szCs w:val="22"/>
        </w:rPr>
        <w:t xml:space="preserve"> </w:t>
      </w:r>
      <w:r w:rsidR="006F5D56" w:rsidRPr="00303225">
        <w:rPr>
          <w:rFonts w:ascii="Arial" w:hAnsi="Arial" w:cs="Arial"/>
          <w:sz w:val="22"/>
          <w:szCs w:val="22"/>
        </w:rPr>
        <w:t xml:space="preserve">As noted, Australia’s </w:t>
      </w:r>
      <w:r w:rsidRPr="00303225">
        <w:rPr>
          <w:rFonts w:ascii="Arial" w:hAnsi="Arial" w:cs="Arial"/>
          <w:sz w:val="22"/>
          <w:szCs w:val="22"/>
        </w:rPr>
        <w:t>domestic arbitratio</w:t>
      </w:r>
      <w:r w:rsidR="00D932BF" w:rsidRPr="00303225">
        <w:rPr>
          <w:rFonts w:ascii="Arial" w:hAnsi="Arial" w:cs="Arial"/>
          <w:sz w:val="22"/>
          <w:szCs w:val="22"/>
        </w:rPr>
        <w:t xml:space="preserve">n law </w:t>
      </w:r>
      <w:r w:rsidR="006F5D56" w:rsidRPr="00303225">
        <w:rPr>
          <w:rFonts w:ascii="Arial" w:hAnsi="Arial" w:cs="Arial"/>
          <w:sz w:val="22"/>
          <w:szCs w:val="22"/>
        </w:rPr>
        <w:t xml:space="preserve">has </w:t>
      </w:r>
      <w:proofErr w:type="gramStart"/>
      <w:r w:rsidR="006F5D56" w:rsidRPr="00303225">
        <w:rPr>
          <w:rFonts w:ascii="Arial" w:hAnsi="Arial" w:cs="Arial"/>
          <w:sz w:val="22"/>
          <w:szCs w:val="22"/>
        </w:rPr>
        <w:t>been in need of</w:t>
      </w:r>
      <w:proofErr w:type="gramEnd"/>
      <w:r w:rsidR="006F5D56" w:rsidRPr="00303225">
        <w:rPr>
          <w:rFonts w:ascii="Arial" w:hAnsi="Arial" w:cs="Arial"/>
          <w:sz w:val="22"/>
          <w:szCs w:val="22"/>
        </w:rPr>
        <w:t xml:space="preserve"> modernisation for some time and</w:t>
      </w:r>
      <w:r w:rsidRPr="00303225">
        <w:rPr>
          <w:rFonts w:ascii="Arial" w:hAnsi="Arial" w:cs="Arial"/>
          <w:sz w:val="22"/>
          <w:szCs w:val="22"/>
        </w:rPr>
        <w:t xml:space="preserve"> the </w:t>
      </w:r>
      <w:r w:rsidR="006F5D56" w:rsidRPr="00303225">
        <w:rPr>
          <w:rFonts w:ascii="Arial" w:hAnsi="Arial" w:cs="Arial"/>
          <w:sz w:val="22"/>
          <w:szCs w:val="22"/>
        </w:rPr>
        <w:t xml:space="preserve">courts have been, or at least </w:t>
      </w:r>
      <w:r w:rsidRPr="00303225">
        <w:rPr>
          <w:rFonts w:ascii="Arial" w:hAnsi="Arial" w:cs="Arial"/>
          <w:sz w:val="22"/>
          <w:szCs w:val="22"/>
        </w:rPr>
        <w:t>perceived to be, more interventionist rather than</w:t>
      </w:r>
      <w:r w:rsidR="00D932BF" w:rsidRPr="00303225">
        <w:rPr>
          <w:rFonts w:ascii="Arial" w:hAnsi="Arial" w:cs="Arial"/>
          <w:sz w:val="22"/>
          <w:szCs w:val="22"/>
        </w:rPr>
        <w:t xml:space="preserve"> supportive in some parts of the country</w:t>
      </w:r>
      <w:r w:rsidRPr="00303225">
        <w:rPr>
          <w:rFonts w:ascii="Arial" w:hAnsi="Arial" w:cs="Arial"/>
          <w:sz w:val="22"/>
          <w:szCs w:val="22"/>
        </w:rPr>
        <w:t xml:space="preserve">. </w:t>
      </w:r>
      <w:proofErr w:type="gramStart"/>
      <w:r w:rsidR="00D932BF" w:rsidRPr="00303225">
        <w:rPr>
          <w:rFonts w:ascii="Arial" w:hAnsi="Arial" w:cs="Arial"/>
          <w:sz w:val="22"/>
          <w:szCs w:val="22"/>
        </w:rPr>
        <w:t>Also</w:t>
      </w:r>
      <w:proofErr w:type="gramEnd"/>
      <w:r w:rsidR="00D932BF" w:rsidRPr="00303225">
        <w:rPr>
          <w:rFonts w:ascii="Arial" w:hAnsi="Arial" w:cs="Arial"/>
          <w:sz w:val="22"/>
          <w:szCs w:val="22"/>
        </w:rPr>
        <w:t xml:space="preserve"> of</w:t>
      </w:r>
      <w:r w:rsidR="00CE7FF2" w:rsidRPr="00303225">
        <w:rPr>
          <w:rFonts w:ascii="Arial" w:hAnsi="Arial" w:cs="Arial"/>
          <w:sz w:val="22"/>
          <w:szCs w:val="22"/>
        </w:rPr>
        <w:t xml:space="preserve"> concern </w:t>
      </w:r>
      <w:r w:rsidR="006F5D56" w:rsidRPr="00303225">
        <w:rPr>
          <w:rFonts w:ascii="Arial" w:hAnsi="Arial" w:cs="Arial"/>
          <w:sz w:val="22"/>
          <w:szCs w:val="22"/>
        </w:rPr>
        <w:t>has been the</w:t>
      </w:r>
      <w:r w:rsidR="00CE7FF2" w:rsidRPr="00303225">
        <w:rPr>
          <w:rFonts w:ascii="Arial" w:hAnsi="Arial" w:cs="Arial"/>
          <w:sz w:val="22"/>
          <w:szCs w:val="22"/>
        </w:rPr>
        <w:t xml:space="preserve"> actual performance of arbitration itself. Although the education programs of the arbitral institutions s</w:t>
      </w:r>
      <w:r w:rsidR="006F5D56" w:rsidRPr="00303225">
        <w:rPr>
          <w:rFonts w:ascii="Arial" w:hAnsi="Arial" w:cs="Arial"/>
          <w:sz w:val="22"/>
          <w:szCs w:val="22"/>
        </w:rPr>
        <w:t>eek</w:t>
      </w:r>
      <w:r w:rsidR="00CE7FF2" w:rsidRPr="00303225">
        <w:rPr>
          <w:rFonts w:ascii="Arial" w:hAnsi="Arial" w:cs="Arial"/>
          <w:sz w:val="22"/>
          <w:szCs w:val="22"/>
        </w:rPr>
        <w:t xml:space="preserve"> to develop and promote i</w:t>
      </w:r>
      <w:r w:rsidR="006F5D56" w:rsidRPr="00303225">
        <w:rPr>
          <w:rFonts w:ascii="Arial" w:hAnsi="Arial" w:cs="Arial"/>
          <w:sz w:val="22"/>
          <w:szCs w:val="22"/>
        </w:rPr>
        <w:t>nnovative techniques which save</w:t>
      </w:r>
      <w:r w:rsidR="00CE7FF2" w:rsidRPr="00303225">
        <w:rPr>
          <w:rFonts w:ascii="Arial" w:hAnsi="Arial" w:cs="Arial"/>
          <w:sz w:val="22"/>
          <w:szCs w:val="22"/>
        </w:rPr>
        <w:t xml:space="preserve"> time and cost</w:t>
      </w:r>
      <w:r w:rsidR="00D932BF" w:rsidRPr="00303225">
        <w:rPr>
          <w:rFonts w:ascii="Arial" w:hAnsi="Arial" w:cs="Arial"/>
          <w:sz w:val="22"/>
          <w:szCs w:val="22"/>
        </w:rPr>
        <w:t>,</w:t>
      </w:r>
      <w:r w:rsidR="00CE7FF2" w:rsidRPr="00303225">
        <w:rPr>
          <w:rFonts w:ascii="Arial" w:hAnsi="Arial" w:cs="Arial"/>
          <w:sz w:val="22"/>
          <w:szCs w:val="22"/>
        </w:rPr>
        <w:t xml:space="preserve"> all too often arbitration as practised </w:t>
      </w:r>
      <w:r w:rsidR="00911946" w:rsidRPr="00303225">
        <w:rPr>
          <w:rFonts w:ascii="Arial" w:hAnsi="Arial" w:cs="Arial"/>
          <w:sz w:val="22"/>
          <w:szCs w:val="22"/>
        </w:rPr>
        <w:t>has</w:t>
      </w:r>
      <w:r w:rsidR="006F5D56" w:rsidRPr="00303225">
        <w:rPr>
          <w:rFonts w:ascii="Arial" w:hAnsi="Arial" w:cs="Arial"/>
          <w:sz w:val="22"/>
          <w:szCs w:val="22"/>
        </w:rPr>
        <w:t xml:space="preserve"> </w:t>
      </w:r>
      <w:r w:rsidR="00CE7FF2" w:rsidRPr="00303225">
        <w:rPr>
          <w:rFonts w:ascii="Arial" w:hAnsi="Arial" w:cs="Arial"/>
          <w:sz w:val="22"/>
          <w:szCs w:val="22"/>
        </w:rPr>
        <w:t xml:space="preserve">tended to replicate traditional litigation. I say </w:t>
      </w:r>
      <w:r w:rsidR="00D932BF" w:rsidRPr="00303225">
        <w:rPr>
          <w:rFonts w:ascii="Arial" w:hAnsi="Arial" w:cs="Arial"/>
          <w:sz w:val="22"/>
          <w:szCs w:val="22"/>
        </w:rPr>
        <w:t>“</w:t>
      </w:r>
      <w:r w:rsidR="00CE7FF2" w:rsidRPr="00303225">
        <w:rPr>
          <w:rFonts w:ascii="Arial" w:hAnsi="Arial" w:cs="Arial"/>
          <w:sz w:val="22"/>
          <w:szCs w:val="22"/>
        </w:rPr>
        <w:t>traditional litigation</w:t>
      </w:r>
      <w:r w:rsidR="00D932BF" w:rsidRPr="00303225">
        <w:rPr>
          <w:rFonts w:ascii="Arial" w:hAnsi="Arial" w:cs="Arial"/>
          <w:sz w:val="22"/>
          <w:szCs w:val="22"/>
        </w:rPr>
        <w:t>”</w:t>
      </w:r>
      <w:r w:rsidR="00CE7FF2" w:rsidRPr="00303225">
        <w:rPr>
          <w:rFonts w:ascii="Arial" w:hAnsi="Arial" w:cs="Arial"/>
          <w:sz w:val="22"/>
          <w:szCs w:val="22"/>
        </w:rPr>
        <w:t xml:space="preserve"> as for many years the Commercial Courts</w:t>
      </w:r>
      <w:r w:rsidR="00D932BF" w:rsidRPr="00303225">
        <w:rPr>
          <w:rFonts w:ascii="Arial" w:hAnsi="Arial" w:cs="Arial"/>
          <w:sz w:val="22"/>
          <w:szCs w:val="22"/>
        </w:rPr>
        <w:t xml:space="preserve"> in this and other countries have</w:t>
      </w:r>
      <w:r w:rsidR="00CE7FF2" w:rsidRPr="00303225">
        <w:rPr>
          <w:rFonts w:ascii="Arial" w:hAnsi="Arial" w:cs="Arial"/>
          <w:sz w:val="22"/>
          <w:szCs w:val="22"/>
        </w:rPr>
        <w:t xml:space="preserve"> embraced </w:t>
      </w:r>
      <w:r w:rsidR="00CE7FF2" w:rsidRPr="00303225">
        <w:rPr>
          <w:rFonts w:ascii="Arial" w:hAnsi="Arial" w:cs="Arial"/>
          <w:sz w:val="22"/>
          <w:szCs w:val="22"/>
        </w:rPr>
        <w:lastRenderedPageBreak/>
        <w:t>aggressive case management and time saving techniques</w:t>
      </w:r>
      <w:r w:rsidR="00E96CF4" w:rsidRPr="00303225">
        <w:rPr>
          <w:rFonts w:ascii="Arial" w:hAnsi="Arial" w:cs="Arial"/>
          <w:sz w:val="22"/>
          <w:szCs w:val="22"/>
        </w:rPr>
        <w:t xml:space="preserve"> which</w:t>
      </w:r>
      <w:r w:rsidR="00D932BF" w:rsidRPr="00303225">
        <w:rPr>
          <w:rFonts w:ascii="Arial" w:hAnsi="Arial" w:cs="Arial"/>
          <w:sz w:val="22"/>
          <w:szCs w:val="22"/>
        </w:rPr>
        <w:t xml:space="preserve"> have</w:t>
      </w:r>
      <w:r w:rsidR="00E96CF4" w:rsidRPr="00303225">
        <w:rPr>
          <w:rFonts w:ascii="Arial" w:hAnsi="Arial" w:cs="Arial"/>
          <w:sz w:val="22"/>
          <w:szCs w:val="22"/>
        </w:rPr>
        <w:t xml:space="preserve"> made “innovative litigation” far more attractive than </w:t>
      </w:r>
      <w:r w:rsidR="006F5D56" w:rsidRPr="00303225">
        <w:rPr>
          <w:rFonts w:ascii="Arial" w:hAnsi="Arial" w:cs="Arial"/>
          <w:sz w:val="22"/>
          <w:szCs w:val="22"/>
        </w:rPr>
        <w:t>domestic commercial arbitration</w:t>
      </w:r>
      <w:r w:rsidR="00911946" w:rsidRPr="00303225">
        <w:rPr>
          <w:rFonts w:ascii="Arial" w:hAnsi="Arial" w:cs="Arial"/>
          <w:sz w:val="22"/>
          <w:szCs w:val="22"/>
        </w:rPr>
        <w:t xml:space="preserve"> in many instances</w:t>
      </w:r>
    </w:p>
    <w:p w14:paraId="5E6C4EFD" w14:textId="77777777" w:rsidR="00911946" w:rsidRPr="00303225" w:rsidRDefault="00911946" w:rsidP="00303225">
      <w:pPr>
        <w:spacing w:line="480" w:lineRule="auto"/>
        <w:rPr>
          <w:rFonts w:ascii="Arial" w:hAnsi="Arial" w:cs="Arial"/>
          <w:sz w:val="22"/>
          <w:szCs w:val="22"/>
        </w:rPr>
      </w:pPr>
    </w:p>
    <w:p w14:paraId="7C1F1639" w14:textId="77777777" w:rsidR="00911946" w:rsidRPr="00303225" w:rsidRDefault="006F5D56" w:rsidP="00303225">
      <w:pPr>
        <w:spacing w:line="480" w:lineRule="auto"/>
        <w:rPr>
          <w:rFonts w:ascii="Arial" w:hAnsi="Arial" w:cs="Arial"/>
          <w:sz w:val="22"/>
          <w:szCs w:val="22"/>
        </w:rPr>
      </w:pPr>
      <w:r w:rsidRPr="00303225">
        <w:rPr>
          <w:rFonts w:ascii="Arial" w:hAnsi="Arial" w:cs="Arial"/>
          <w:sz w:val="22"/>
          <w:szCs w:val="22"/>
        </w:rPr>
        <w:t xml:space="preserve">In more recent times this healthy competition and the example provided by these courts has fed into arbitration processes and emboldened arbitrators to be more robust in applying active case management and more innovative </w:t>
      </w:r>
      <w:r w:rsidR="00476537" w:rsidRPr="00303225">
        <w:rPr>
          <w:rFonts w:ascii="Arial" w:hAnsi="Arial" w:cs="Arial"/>
          <w:sz w:val="22"/>
          <w:szCs w:val="22"/>
        </w:rPr>
        <w:t>techniques</w:t>
      </w:r>
      <w:r w:rsidRPr="00303225">
        <w:rPr>
          <w:rFonts w:ascii="Arial" w:hAnsi="Arial" w:cs="Arial"/>
          <w:sz w:val="22"/>
          <w:szCs w:val="22"/>
        </w:rPr>
        <w:t xml:space="preserve">. This process has also been assisted by cross </w:t>
      </w:r>
      <w:r w:rsidR="00476537" w:rsidRPr="00303225">
        <w:rPr>
          <w:rFonts w:ascii="Arial" w:hAnsi="Arial" w:cs="Arial"/>
          <w:sz w:val="22"/>
          <w:szCs w:val="22"/>
        </w:rPr>
        <w:t>fertilisation</w:t>
      </w:r>
      <w:r w:rsidRPr="00303225">
        <w:rPr>
          <w:rFonts w:ascii="Arial" w:hAnsi="Arial" w:cs="Arial"/>
          <w:sz w:val="22"/>
          <w:szCs w:val="22"/>
        </w:rPr>
        <w:t xml:space="preserve"> from international arbitration where innovation in arbitration </w:t>
      </w:r>
      <w:r w:rsidR="00B62899" w:rsidRPr="00303225">
        <w:rPr>
          <w:rFonts w:ascii="Arial" w:hAnsi="Arial" w:cs="Arial"/>
          <w:sz w:val="22"/>
          <w:szCs w:val="22"/>
        </w:rPr>
        <w:t>processes has tended</w:t>
      </w:r>
      <w:r w:rsidR="00476537" w:rsidRPr="00303225">
        <w:rPr>
          <w:rFonts w:ascii="Arial" w:hAnsi="Arial" w:cs="Arial"/>
          <w:sz w:val="22"/>
          <w:szCs w:val="22"/>
        </w:rPr>
        <w:t xml:space="preserve"> to be in advance of domestic arbitration, if only because of very significant time, cost and logistical constraints applying to the former. Interestingly the approach of international arbitrators has also assisted the courts and we now see the application of such techniques as “chess clock” time management being used by the courts. Other</w:t>
      </w:r>
      <w:r w:rsidR="007B6DC4" w:rsidRPr="00303225">
        <w:rPr>
          <w:rFonts w:ascii="Arial" w:hAnsi="Arial" w:cs="Arial"/>
          <w:sz w:val="22"/>
          <w:szCs w:val="22"/>
        </w:rPr>
        <w:t xml:space="preserve"> positive</w:t>
      </w:r>
      <w:r w:rsidR="00476537" w:rsidRPr="00303225">
        <w:rPr>
          <w:rFonts w:ascii="Arial" w:hAnsi="Arial" w:cs="Arial"/>
          <w:sz w:val="22"/>
          <w:szCs w:val="22"/>
        </w:rPr>
        <w:t xml:space="preserve"> influences include the very successful special reference procedures available </w:t>
      </w:r>
      <w:r w:rsidR="00B62899" w:rsidRPr="00303225">
        <w:rPr>
          <w:rFonts w:ascii="Arial" w:hAnsi="Arial" w:cs="Arial"/>
          <w:sz w:val="22"/>
          <w:szCs w:val="22"/>
        </w:rPr>
        <w:t>and applied extensively by the S</w:t>
      </w:r>
      <w:r w:rsidR="00476537" w:rsidRPr="00303225">
        <w:rPr>
          <w:rFonts w:ascii="Arial" w:hAnsi="Arial" w:cs="Arial"/>
          <w:sz w:val="22"/>
          <w:szCs w:val="22"/>
        </w:rPr>
        <w:t xml:space="preserve">upreme Court of </w:t>
      </w:r>
      <w:r w:rsidR="00911946" w:rsidRPr="00303225">
        <w:rPr>
          <w:rFonts w:ascii="Arial" w:hAnsi="Arial" w:cs="Arial"/>
          <w:sz w:val="22"/>
          <w:szCs w:val="22"/>
        </w:rPr>
        <w:t>New South Wales – which provide</w:t>
      </w:r>
      <w:r w:rsidR="00476537" w:rsidRPr="00303225">
        <w:rPr>
          <w:rFonts w:ascii="Arial" w:hAnsi="Arial" w:cs="Arial"/>
          <w:sz w:val="22"/>
          <w:szCs w:val="22"/>
        </w:rPr>
        <w:t>, in effect, an expedited, supervised, commercial arbitration process with minimal appeal potenti</w:t>
      </w:r>
      <w:r w:rsidR="00911946" w:rsidRPr="00303225">
        <w:rPr>
          <w:rFonts w:ascii="Arial" w:hAnsi="Arial" w:cs="Arial"/>
          <w:sz w:val="22"/>
          <w:szCs w:val="22"/>
        </w:rPr>
        <w:t>al and no enforcement problems.</w:t>
      </w:r>
    </w:p>
    <w:p w14:paraId="4FA49280" w14:textId="77777777" w:rsidR="00911946" w:rsidRPr="00303225" w:rsidRDefault="00911946" w:rsidP="00303225">
      <w:pPr>
        <w:spacing w:line="480" w:lineRule="auto"/>
        <w:rPr>
          <w:rFonts w:ascii="Arial" w:hAnsi="Arial" w:cs="Arial"/>
          <w:sz w:val="22"/>
          <w:szCs w:val="22"/>
        </w:rPr>
      </w:pPr>
    </w:p>
    <w:p w14:paraId="779513D6" w14:textId="77777777" w:rsidR="0035102A" w:rsidRPr="00303225" w:rsidRDefault="00911946" w:rsidP="00303225">
      <w:pPr>
        <w:spacing w:line="480" w:lineRule="auto"/>
        <w:rPr>
          <w:rFonts w:ascii="Arial" w:hAnsi="Arial" w:cs="Arial"/>
          <w:sz w:val="22"/>
          <w:szCs w:val="22"/>
        </w:rPr>
      </w:pPr>
      <w:r w:rsidRPr="00303225">
        <w:rPr>
          <w:rFonts w:ascii="Arial" w:hAnsi="Arial" w:cs="Arial"/>
          <w:sz w:val="22"/>
          <w:szCs w:val="22"/>
        </w:rPr>
        <w:t xml:space="preserve">There is also the </w:t>
      </w:r>
      <w:r w:rsidR="00AF7861" w:rsidRPr="00303225">
        <w:rPr>
          <w:rFonts w:ascii="Arial" w:hAnsi="Arial" w:cs="Arial"/>
          <w:sz w:val="22"/>
          <w:szCs w:val="22"/>
        </w:rPr>
        <w:t xml:space="preserve">important </w:t>
      </w:r>
      <w:r w:rsidR="007B6DC4" w:rsidRPr="00303225">
        <w:rPr>
          <w:rFonts w:ascii="Arial" w:hAnsi="Arial" w:cs="Arial"/>
          <w:sz w:val="22"/>
          <w:szCs w:val="22"/>
        </w:rPr>
        <w:t>question of cost</w:t>
      </w:r>
      <w:r w:rsidR="00476537" w:rsidRPr="00303225">
        <w:rPr>
          <w:rFonts w:ascii="Arial" w:hAnsi="Arial" w:cs="Arial"/>
          <w:sz w:val="22"/>
          <w:szCs w:val="22"/>
        </w:rPr>
        <w:t xml:space="preserve"> </w:t>
      </w:r>
      <w:r w:rsidRPr="00303225">
        <w:rPr>
          <w:rFonts w:ascii="Arial" w:hAnsi="Arial" w:cs="Arial"/>
          <w:sz w:val="22"/>
          <w:szCs w:val="22"/>
        </w:rPr>
        <w:t>(</w:t>
      </w:r>
      <w:r w:rsidR="00476537" w:rsidRPr="00303225">
        <w:rPr>
          <w:rFonts w:ascii="Arial" w:hAnsi="Arial" w:cs="Arial"/>
          <w:sz w:val="22"/>
          <w:szCs w:val="22"/>
        </w:rPr>
        <w:t xml:space="preserve">arbitrators, experts and </w:t>
      </w:r>
      <w:proofErr w:type="spellStart"/>
      <w:proofErr w:type="gramStart"/>
      <w:r w:rsidR="00476537" w:rsidRPr="00303225">
        <w:rPr>
          <w:rFonts w:ascii="Arial" w:hAnsi="Arial" w:cs="Arial"/>
          <w:sz w:val="22"/>
          <w:szCs w:val="22"/>
        </w:rPr>
        <w:t>lawyers</w:t>
      </w:r>
      <w:proofErr w:type="spellEnd"/>
      <w:proofErr w:type="gramEnd"/>
      <w:r w:rsidR="00476537" w:rsidRPr="00303225">
        <w:rPr>
          <w:rFonts w:ascii="Arial" w:hAnsi="Arial" w:cs="Arial"/>
          <w:sz w:val="22"/>
          <w:szCs w:val="22"/>
        </w:rPr>
        <w:t xml:space="preserve"> fees</w:t>
      </w:r>
      <w:r w:rsidRPr="00303225">
        <w:rPr>
          <w:rFonts w:ascii="Arial" w:hAnsi="Arial" w:cs="Arial"/>
          <w:sz w:val="22"/>
          <w:szCs w:val="22"/>
        </w:rPr>
        <w:t>)</w:t>
      </w:r>
      <w:r w:rsidR="00476537" w:rsidRPr="00303225">
        <w:rPr>
          <w:rFonts w:ascii="Arial" w:hAnsi="Arial" w:cs="Arial"/>
          <w:sz w:val="22"/>
          <w:szCs w:val="22"/>
        </w:rPr>
        <w:t xml:space="preserve">. </w:t>
      </w:r>
      <w:r w:rsidR="00AE4B32" w:rsidRPr="00303225">
        <w:rPr>
          <w:rFonts w:ascii="Arial" w:hAnsi="Arial" w:cs="Arial"/>
          <w:sz w:val="22"/>
          <w:szCs w:val="22"/>
        </w:rPr>
        <w:t xml:space="preserve"> In this context steps might be taken to limit or control fee structures which do not encourage efficiency, such as time costing, and which may cut across the aim of legislatures, courts and arbitrators to promote speed and </w:t>
      </w:r>
      <w:proofErr w:type="gramStart"/>
      <w:r w:rsidR="00AE4B32" w:rsidRPr="00303225">
        <w:rPr>
          <w:rFonts w:ascii="Arial" w:hAnsi="Arial" w:cs="Arial"/>
          <w:sz w:val="22"/>
          <w:szCs w:val="22"/>
        </w:rPr>
        <w:t>cost effective</w:t>
      </w:r>
      <w:proofErr w:type="gramEnd"/>
      <w:r w:rsidR="00AE4B32" w:rsidRPr="00303225">
        <w:rPr>
          <w:rFonts w:ascii="Arial" w:hAnsi="Arial" w:cs="Arial"/>
          <w:sz w:val="22"/>
          <w:szCs w:val="22"/>
        </w:rPr>
        <w:t xml:space="preserve"> processes.</w:t>
      </w:r>
      <w:r w:rsidR="00AE4B32" w:rsidRPr="00303225">
        <w:rPr>
          <w:rStyle w:val="FootnoteReference"/>
          <w:rFonts w:ascii="Arial" w:hAnsi="Arial" w:cs="Arial"/>
          <w:sz w:val="22"/>
          <w:szCs w:val="22"/>
        </w:rPr>
        <w:footnoteReference w:id="10"/>
      </w:r>
    </w:p>
    <w:p w14:paraId="2D26E2B1" w14:textId="77777777" w:rsidR="0035102A" w:rsidRPr="00303225" w:rsidRDefault="0035102A" w:rsidP="00303225">
      <w:pPr>
        <w:spacing w:line="480" w:lineRule="auto"/>
        <w:rPr>
          <w:rFonts w:ascii="Arial" w:hAnsi="Arial" w:cs="Arial"/>
          <w:sz w:val="22"/>
          <w:szCs w:val="22"/>
        </w:rPr>
      </w:pPr>
    </w:p>
    <w:p w14:paraId="47D37425" w14:textId="77777777" w:rsidR="0087148C" w:rsidRPr="00303225" w:rsidRDefault="00584B88" w:rsidP="00303225">
      <w:pPr>
        <w:spacing w:line="480" w:lineRule="auto"/>
        <w:rPr>
          <w:rFonts w:ascii="Arial" w:hAnsi="Arial" w:cs="Arial"/>
          <w:sz w:val="22"/>
          <w:szCs w:val="22"/>
        </w:rPr>
      </w:pPr>
      <w:r w:rsidRPr="00303225">
        <w:rPr>
          <w:rFonts w:ascii="Arial" w:hAnsi="Arial" w:cs="Arial"/>
          <w:sz w:val="22"/>
          <w:szCs w:val="22"/>
        </w:rPr>
        <w:lastRenderedPageBreak/>
        <w:t xml:space="preserve">Courts aim to achieve the efficient and just settlement of commercial disputes. One way that </w:t>
      </w:r>
      <w:r w:rsidR="00BE219A" w:rsidRPr="00303225">
        <w:rPr>
          <w:rFonts w:ascii="Arial" w:hAnsi="Arial" w:cs="Arial"/>
          <w:sz w:val="22"/>
          <w:szCs w:val="22"/>
        </w:rPr>
        <w:t>c</w:t>
      </w:r>
      <w:r w:rsidRPr="00303225">
        <w:rPr>
          <w:rFonts w:ascii="Arial" w:hAnsi="Arial" w:cs="Arial"/>
          <w:sz w:val="22"/>
          <w:szCs w:val="22"/>
        </w:rPr>
        <w:t>ourts</w:t>
      </w:r>
      <w:r w:rsidR="007B6DC4" w:rsidRPr="00303225">
        <w:rPr>
          <w:rFonts w:ascii="Arial" w:hAnsi="Arial" w:cs="Arial"/>
          <w:sz w:val="22"/>
          <w:szCs w:val="22"/>
        </w:rPr>
        <w:t xml:space="preserve"> achieve this is by supporting appropriate dispute r</w:t>
      </w:r>
      <w:r w:rsidRPr="00303225">
        <w:rPr>
          <w:rFonts w:ascii="Arial" w:hAnsi="Arial" w:cs="Arial"/>
          <w:sz w:val="22"/>
          <w:szCs w:val="22"/>
        </w:rPr>
        <w:t>esolution</w:t>
      </w:r>
      <w:r w:rsidR="00163D43" w:rsidRPr="00303225">
        <w:rPr>
          <w:rFonts w:ascii="Arial" w:hAnsi="Arial" w:cs="Arial"/>
          <w:sz w:val="22"/>
          <w:szCs w:val="22"/>
        </w:rPr>
        <w:t xml:space="preserve"> (ADR)</w:t>
      </w:r>
      <w:r w:rsidRPr="00303225">
        <w:rPr>
          <w:rFonts w:ascii="Arial" w:hAnsi="Arial" w:cs="Arial"/>
          <w:sz w:val="22"/>
          <w:szCs w:val="22"/>
        </w:rPr>
        <w:t xml:space="preserve">. </w:t>
      </w:r>
      <w:r w:rsidR="00163D43" w:rsidRPr="00303225">
        <w:rPr>
          <w:rFonts w:ascii="Arial" w:hAnsi="Arial" w:cs="Arial"/>
          <w:sz w:val="22"/>
          <w:szCs w:val="22"/>
        </w:rPr>
        <w:t>Arbitration is an important aspect of ADR</w:t>
      </w:r>
      <w:r w:rsidR="00ED35E3" w:rsidRPr="00303225">
        <w:rPr>
          <w:rFonts w:ascii="Arial" w:hAnsi="Arial" w:cs="Arial"/>
          <w:sz w:val="22"/>
          <w:szCs w:val="22"/>
        </w:rPr>
        <w:t>, broadly defined</w:t>
      </w:r>
      <w:r w:rsidR="00A57A0A" w:rsidRPr="00303225">
        <w:rPr>
          <w:rFonts w:ascii="Arial" w:hAnsi="Arial" w:cs="Arial"/>
          <w:sz w:val="22"/>
          <w:szCs w:val="22"/>
        </w:rPr>
        <w:t xml:space="preserve">. Under the IAA and the CAA the </w:t>
      </w:r>
      <w:r w:rsidR="00ED35E3" w:rsidRPr="00303225">
        <w:rPr>
          <w:rFonts w:ascii="Arial" w:hAnsi="Arial" w:cs="Arial"/>
          <w:sz w:val="22"/>
          <w:szCs w:val="22"/>
        </w:rPr>
        <w:t>courts have been given supportive, facilitative and supervisory roles with respect to commercial arbitration.</w:t>
      </w:r>
      <w:r w:rsidR="00ED35E3" w:rsidRPr="00303225">
        <w:rPr>
          <w:rStyle w:val="FootnoteReference"/>
          <w:rFonts w:ascii="Arial" w:hAnsi="Arial" w:cs="Arial"/>
          <w:sz w:val="22"/>
          <w:szCs w:val="22"/>
        </w:rPr>
        <w:footnoteReference w:id="11"/>
      </w:r>
      <w:r w:rsidR="001644CB" w:rsidRPr="00303225">
        <w:rPr>
          <w:rFonts w:ascii="Arial" w:hAnsi="Arial" w:cs="Arial"/>
          <w:sz w:val="22"/>
          <w:szCs w:val="22"/>
        </w:rPr>
        <w:t xml:space="preserve"> </w:t>
      </w:r>
      <w:r w:rsidR="00ED35E3" w:rsidRPr="00303225">
        <w:rPr>
          <w:rFonts w:ascii="Arial" w:hAnsi="Arial" w:cs="Arial"/>
          <w:sz w:val="22"/>
          <w:szCs w:val="22"/>
        </w:rPr>
        <w:t>Effective implementation</w:t>
      </w:r>
      <w:r w:rsidR="009F4ACB" w:rsidRPr="00303225">
        <w:rPr>
          <w:rFonts w:ascii="Arial" w:hAnsi="Arial" w:cs="Arial"/>
          <w:sz w:val="22"/>
          <w:szCs w:val="22"/>
        </w:rPr>
        <w:t xml:space="preserve"> of these roles requires the courts to interpret both the IAA and the CAA consistently within Australia and, more broadly given the international provenance of both pieces of legislation, consistently with the current</w:t>
      </w:r>
      <w:r w:rsidR="00304808" w:rsidRPr="00303225">
        <w:rPr>
          <w:rFonts w:ascii="Arial" w:hAnsi="Arial" w:cs="Arial"/>
          <w:sz w:val="22"/>
          <w:szCs w:val="22"/>
        </w:rPr>
        <w:t xml:space="preserve"> </w:t>
      </w:r>
      <w:proofErr w:type="gramStart"/>
      <w:r w:rsidR="00304808" w:rsidRPr="00303225">
        <w:rPr>
          <w:rFonts w:ascii="Arial" w:hAnsi="Arial" w:cs="Arial"/>
          <w:sz w:val="22"/>
          <w:szCs w:val="22"/>
        </w:rPr>
        <w:t>international  jurisprudence</w:t>
      </w:r>
      <w:proofErr w:type="gramEnd"/>
      <w:r w:rsidR="002A666D" w:rsidRPr="00303225">
        <w:rPr>
          <w:rFonts w:ascii="Arial" w:hAnsi="Arial" w:cs="Arial"/>
          <w:sz w:val="22"/>
          <w:szCs w:val="22"/>
        </w:rPr>
        <w:t xml:space="preserve"> </w:t>
      </w:r>
      <w:r w:rsidR="009F4ACB" w:rsidRPr="00303225">
        <w:rPr>
          <w:rFonts w:ascii="Arial" w:hAnsi="Arial" w:cs="Arial"/>
          <w:sz w:val="22"/>
          <w:szCs w:val="22"/>
        </w:rPr>
        <w:t xml:space="preserve">applied to the </w:t>
      </w:r>
      <w:r w:rsidR="002A666D" w:rsidRPr="00303225">
        <w:rPr>
          <w:rFonts w:ascii="Arial" w:hAnsi="Arial" w:cs="Arial"/>
          <w:sz w:val="22"/>
          <w:szCs w:val="22"/>
        </w:rPr>
        <w:t xml:space="preserve"> Model Law</w:t>
      </w:r>
      <w:r w:rsidR="009F4ACB" w:rsidRPr="00303225">
        <w:rPr>
          <w:rFonts w:ascii="Arial" w:hAnsi="Arial" w:cs="Arial"/>
          <w:sz w:val="22"/>
          <w:szCs w:val="22"/>
        </w:rPr>
        <w:t xml:space="preserve"> and its derivatives</w:t>
      </w:r>
      <w:r w:rsidR="00304808" w:rsidRPr="00303225">
        <w:rPr>
          <w:rFonts w:ascii="Arial" w:hAnsi="Arial" w:cs="Arial"/>
          <w:sz w:val="22"/>
          <w:szCs w:val="22"/>
        </w:rPr>
        <w:t>.</w:t>
      </w:r>
      <w:r w:rsidR="009F4ACB" w:rsidRPr="00303225">
        <w:rPr>
          <w:rStyle w:val="FootnoteReference"/>
          <w:rFonts w:ascii="Arial" w:hAnsi="Arial" w:cs="Arial"/>
          <w:sz w:val="22"/>
          <w:szCs w:val="22"/>
        </w:rPr>
        <w:footnoteReference w:id="12"/>
      </w:r>
    </w:p>
    <w:p w14:paraId="161B9319" w14:textId="77777777" w:rsidR="00E748F0" w:rsidRPr="00303225" w:rsidRDefault="001644CB" w:rsidP="00303225">
      <w:pPr>
        <w:pStyle w:val="Heading1"/>
        <w:spacing w:line="480" w:lineRule="auto"/>
        <w:rPr>
          <w:sz w:val="28"/>
          <w:szCs w:val="28"/>
        </w:rPr>
      </w:pPr>
      <w:bookmarkStart w:id="3" w:name="_Toc274907706"/>
      <w:r w:rsidRPr="00303225">
        <w:rPr>
          <w:sz w:val="28"/>
          <w:szCs w:val="28"/>
        </w:rPr>
        <w:t xml:space="preserve">How </w:t>
      </w:r>
      <w:r w:rsidR="00E748F0" w:rsidRPr="00303225">
        <w:rPr>
          <w:sz w:val="28"/>
          <w:szCs w:val="28"/>
        </w:rPr>
        <w:t>do we achieve it</w:t>
      </w:r>
      <w:r w:rsidRPr="00303225">
        <w:rPr>
          <w:sz w:val="28"/>
          <w:szCs w:val="28"/>
        </w:rPr>
        <w:t>?</w:t>
      </w:r>
      <w:bookmarkEnd w:id="3"/>
    </w:p>
    <w:p w14:paraId="3AE6EFE3" w14:textId="77777777" w:rsidR="001644CB" w:rsidRPr="00303225" w:rsidRDefault="0035102A" w:rsidP="00303225">
      <w:pPr>
        <w:pStyle w:val="Heading2"/>
        <w:spacing w:line="480" w:lineRule="auto"/>
        <w:rPr>
          <w:rFonts w:cs="Arial"/>
          <w:b/>
          <w:i w:val="0"/>
          <w:sz w:val="24"/>
        </w:rPr>
      </w:pPr>
      <w:bookmarkStart w:id="4" w:name="_Toc274907707"/>
      <w:r w:rsidRPr="00303225">
        <w:rPr>
          <w:rFonts w:cs="Arial"/>
          <w:b/>
          <w:i w:val="0"/>
          <w:sz w:val="24"/>
        </w:rPr>
        <w:t xml:space="preserve">The </w:t>
      </w:r>
      <w:r w:rsidR="001644CB" w:rsidRPr="00303225">
        <w:rPr>
          <w:rFonts w:cs="Arial"/>
          <w:b/>
          <w:i w:val="0"/>
          <w:sz w:val="24"/>
        </w:rPr>
        <w:t>Model Law</w:t>
      </w:r>
      <w:r w:rsidR="003952B1" w:rsidRPr="00303225">
        <w:rPr>
          <w:rFonts w:cs="Arial"/>
          <w:b/>
          <w:i w:val="0"/>
          <w:sz w:val="24"/>
        </w:rPr>
        <w:t xml:space="preserve"> </w:t>
      </w:r>
      <w:r w:rsidRPr="00303225">
        <w:rPr>
          <w:rFonts w:cs="Arial"/>
          <w:b/>
          <w:i w:val="0"/>
          <w:sz w:val="24"/>
        </w:rPr>
        <w:t xml:space="preserve">as </w:t>
      </w:r>
      <w:r w:rsidR="003952B1" w:rsidRPr="00303225">
        <w:rPr>
          <w:rFonts w:cs="Arial"/>
          <w:b/>
          <w:i w:val="0"/>
          <w:sz w:val="24"/>
        </w:rPr>
        <w:t xml:space="preserve">the basis of </w:t>
      </w:r>
      <w:r w:rsidRPr="00303225">
        <w:rPr>
          <w:rFonts w:cs="Arial"/>
          <w:b/>
          <w:i w:val="0"/>
          <w:sz w:val="24"/>
        </w:rPr>
        <w:t xml:space="preserve">the </w:t>
      </w:r>
      <w:r w:rsidR="003952B1" w:rsidRPr="00303225">
        <w:rPr>
          <w:rFonts w:cs="Arial"/>
          <w:b/>
          <w:i w:val="0"/>
          <w:sz w:val="24"/>
        </w:rPr>
        <w:t>IAA and CAA</w:t>
      </w:r>
      <w:bookmarkEnd w:id="4"/>
    </w:p>
    <w:p w14:paraId="488DAE15" w14:textId="77777777" w:rsidR="001644CB" w:rsidRPr="00303225" w:rsidRDefault="001644CB" w:rsidP="00303225">
      <w:pPr>
        <w:spacing w:line="480" w:lineRule="auto"/>
        <w:rPr>
          <w:rFonts w:ascii="Arial" w:hAnsi="Arial" w:cs="Arial"/>
          <w:sz w:val="22"/>
          <w:szCs w:val="22"/>
        </w:rPr>
      </w:pPr>
      <w:r w:rsidRPr="00303225">
        <w:rPr>
          <w:rFonts w:ascii="Arial" w:hAnsi="Arial" w:cs="Arial"/>
          <w:sz w:val="22"/>
          <w:szCs w:val="22"/>
        </w:rPr>
        <w:t xml:space="preserve">The 2006 version of the </w:t>
      </w:r>
      <w:r w:rsidR="005244DD" w:rsidRPr="00303225">
        <w:rPr>
          <w:rFonts w:ascii="Arial" w:hAnsi="Arial" w:cs="Arial"/>
          <w:sz w:val="22"/>
          <w:szCs w:val="22"/>
        </w:rPr>
        <w:t>Model Law</w:t>
      </w:r>
      <w:r w:rsidR="005244DD" w:rsidRPr="00303225">
        <w:rPr>
          <w:rStyle w:val="FootnoteReference"/>
          <w:rFonts w:ascii="Arial" w:hAnsi="Arial" w:cs="Arial"/>
          <w:sz w:val="22"/>
          <w:szCs w:val="22"/>
        </w:rPr>
        <w:footnoteReference w:id="13"/>
      </w:r>
      <w:r w:rsidR="005244DD" w:rsidRPr="00303225">
        <w:rPr>
          <w:rFonts w:ascii="Arial" w:hAnsi="Arial" w:cs="Arial"/>
          <w:sz w:val="22"/>
          <w:szCs w:val="22"/>
        </w:rPr>
        <w:t xml:space="preserve"> </w:t>
      </w:r>
      <w:r w:rsidRPr="00303225">
        <w:rPr>
          <w:rFonts w:ascii="Arial" w:hAnsi="Arial" w:cs="Arial"/>
          <w:sz w:val="22"/>
          <w:szCs w:val="22"/>
        </w:rPr>
        <w:t xml:space="preserve">forms the basis </w:t>
      </w:r>
      <w:r w:rsidR="005244DD" w:rsidRPr="00303225">
        <w:rPr>
          <w:rFonts w:ascii="Arial" w:hAnsi="Arial" w:cs="Arial"/>
          <w:sz w:val="22"/>
          <w:szCs w:val="22"/>
        </w:rPr>
        <w:t>of both the IAA and the CAA</w:t>
      </w:r>
      <w:r w:rsidRPr="00303225">
        <w:rPr>
          <w:rFonts w:ascii="Arial" w:hAnsi="Arial" w:cs="Arial"/>
          <w:sz w:val="22"/>
          <w:szCs w:val="22"/>
        </w:rPr>
        <w:t xml:space="preserve">. The use of the Model Law as the basis of both the </w:t>
      </w:r>
      <w:r w:rsidR="00170C6F" w:rsidRPr="00303225">
        <w:rPr>
          <w:rFonts w:ascii="Arial" w:hAnsi="Arial" w:cs="Arial"/>
          <w:sz w:val="22"/>
          <w:szCs w:val="22"/>
        </w:rPr>
        <w:t xml:space="preserve">international and domestic commercial arbitration legislation in Australia provides legislation which is based on international consensus and accepted practice and which is well understood internationally. </w:t>
      </w:r>
      <w:proofErr w:type="gramStart"/>
      <w:r w:rsidR="00170C6F" w:rsidRPr="00303225">
        <w:rPr>
          <w:rFonts w:ascii="Arial" w:hAnsi="Arial" w:cs="Arial"/>
          <w:sz w:val="22"/>
          <w:szCs w:val="22"/>
        </w:rPr>
        <w:t>Consequently</w:t>
      </w:r>
      <w:proofErr w:type="gramEnd"/>
      <w:r w:rsidR="00170C6F" w:rsidRPr="00303225">
        <w:rPr>
          <w:rFonts w:ascii="Arial" w:hAnsi="Arial" w:cs="Arial"/>
          <w:sz w:val="22"/>
          <w:szCs w:val="22"/>
        </w:rPr>
        <w:t xml:space="preserve"> the Australian legislation, at both levels, becomes immediate accessible and understood internationally – provided, of course, it is interpreted and administered by the Australian courts on the basis of accepted international jurisprudence. In terms of substance, </w:t>
      </w:r>
      <w:r w:rsidR="00445E1E" w:rsidRPr="00303225">
        <w:rPr>
          <w:rFonts w:ascii="Arial" w:hAnsi="Arial" w:cs="Arial"/>
          <w:sz w:val="22"/>
          <w:szCs w:val="22"/>
        </w:rPr>
        <w:t>the</w:t>
      </w:r>
      <w:r w:rsidRPr="00303225">
        <w:rPr>
          <w:rFonts w:ascii="Arial" w:hAnsi="Arial" w:cs="Arial"/>
          <w:sz w:val="22"/>
          <w:szCs w:val="22"/>
        </w:rPr>
        <w:t xml:space="preserve"> Model Law is an internationally drafted and accepted arbitration regime that is </w:t>
      </w:r>
      <w:r w:rsidR="00445E1E" w:rsidRPr="00303225">
        <w:rPr>
          <w:rFonts w:ascii="Arial" w:hAnsi="Arial" w:cs="Arial"/>
          <w:sz w:val="22"/>
          <w:szCs w:val="22"/>
        </w:rPr>
        <w:t xml:space="preserve">very </w:t>
      </w:r>
      <w:r w:rsidRPr="00303225">
        <w:rPr>
          <w:rFonts w:ascii="Arial" w:hAnsi="Arial" w:cs="Arial"/>
          <w:sz w:val="22"/>
          <w:szCs w:val="22"/>
        </w:rPr>
        <w:t xml:space="preserve">supportive of </w:t>
      </w:r>
      <w:r w:rsidR="00445E1E" w:rsidRPr="00303225">
        <w:rPr>
          <w:rFonts w:ascii="Arial" w:hAnsi="Arial" w:cs="Arial"/>
          <w:sz w:val="22"/>
          <w:szCs w:val="22"/>
        </w:rPr>
        <w:t xml:space="preserve">commercial </w:t>
      </w:r>
      <w:r w:rsidRPr="00303225">
        <w:rPr>
          <w:rFonts w:ascii="Arial" w:hAnsi="Arial" w:cs="Arial"/>
          <w:sz w:val="22"/>
          <w:szCs w:val="22"/>
        </w:rPr>
        <w:t xml:space="preserve">arbitration. It has been enacted in over </w:t>
      </w:r>
      <w:r w:rsidR="002A666D" w:rsidRPr="00303225">
        <w:rPr>
          <w:rFonts w:ascii="Arial" w:hAnsi="Arial" w:cs="Arial"/>
          <w:sz w:val="22"/>
          <w:szCs w:val="22"/>
        </w:rPr>
        <w:t>sixty</w:t>
      </w:r>
      <w:r w:rsidRPr="00303225">
        <w:rPr>
          <w:rFonts w:ascii="Arial" w:hAnsi="Arial" w:cs="Arial"/>
          <w:sz w:val="22"/>
          <w:szCs w:val="22"/>
        </w:rPr>
        <w:t xml:space="preserve"> nation states. It allows parties the freedom </w:t>
      </w:r>
      <w:r w:rsidRPr="00303225">
        <w:rPr>
          <w:rFonts w:ascii="Arial" w:hAnsi="Arial" w:cs="Arial"/>
          <w:sz w:val="22"/>
          <w:szCs w:val="22"/>
        </w:rPr>
        <w:lastRenderedPageBreak/>
        <w:t xml:space="preserve">to decide how they want their disputes resolved with minimal court intervention. The Model Law is the arbitration law against which all other arbitration laws </w:t>
      </w:r>
      <w:r w:rsidR="00445E1E" w:rsidRPr="00303225">
        <w:rPr>
          <w:rFonts w:ascii="Arial" w:hAnsi="Arial" w:cs="Arial"/>
          <w:sz w:val="22"/>
          <w:szCs w:val="22"/>
        </w:rPr>
        <w:t>tend to be</w:t>
      </w:r>
      <w:r w:rsidRPr="00303225">
        <w:rPr>
          <w:rFonts w:ascii="Arial" w:hAnsi="Arial" w:cs="Arial"/>
          <w:sz w:val="22"/>
          <w:szCs w:val="22"/>
        </w:rPr>
        <w:t xml:space="preserve"> judged.</w:t>
      </w:r>
    </w:p>
    <w:p w14:paraId="7E5C3491" w14:textId="77777777" w:rsidR="005244DD" w:rsidRPr="00303225" w:rsidRDefault="005244DD" w:rsidP="00303225">
      <w:pPr>
        <w:spacing w:line="480" w:lineRule="auto"/>
        <w:rPr>
          <w:rFonts w:ascii="Arial" w:hAnsi="Arial" w:cs="Arial"/>
          <w:sz w:val="22"/>
          <w:szCs w:val="22"/>
        </w:rPr>
      </w:pPr>
    </w:p>
    <w:p w14:paraId="32598FD2" w14:textId="77777777" w:rsidR="00EB46D5" w:rsidRPr="00303225" w:rsidRDefault="001644CB" w:rsidP="00303225">
      <w:pPr>
        <w:spacing w:line="480" w:lineRule="auto"/>
        <w:rPr>
          <w:rFonts w:ascii="Arial" w:hAnsi="Arial" w:cs="Arial"/>
          <w:sz w:val="22"/>
          <w:szCs w:val="22"/>
        </w:rPr>
      </w:pPr>
      <w:r w:rsidRPr="00303225">
        <w:rPr>
          <w:rFonts w:ascii="Arial" w:hAnsi="Arial" w:cs="Arial"/>
          <w:sz w:val="22"/>
          <w:szCs w:val="22"/>
        </w:rPr>
        <w:t xml:space="preserve">The choice of the Model Law </w:t>
      </w:r>
      <w:r w:rsidR="00445E1E" w:rsidRPr="00303225">
        <w:rPr>
          <w:rFonts w:ascii="Arial" w:hAnsi="Arial" w:cs="Arial"/>
          <w:sz w:val="22"/>
          <w:szCs w:val="22"/>
        </w:rPr>
        <w:t>as the basis for the</w:t>
      </w:r>
      <w:r w:rsidRPr="00303225">
        <w:rPr>
          <w:rFonts w:ascii="Arial" w:hAnsi="Arial" w:cs="Arial"/>
          <w:sz w:val="22"/>
          <w:szCs w:val="22"/>
        </w:rPr>
        <w:t xml:space="preserve"> CAA will assist with achieving a great deal of uniformity between the </w:t>
      </w:r>
      <w:r w:rsidR="00445E1E" w:rsidRPr="00303225">
        <w:rPr>
          <w:rFonts w:ascii="Arial" w:hAnsi="Arial" w:cs="Arial"/>
          <w:sz w:val="22"/>
          <w:szCs w:val="22"/>
        </w:rPr>
        <w:t>international and domestic regimes</w:t>
      </w:r>
      <w:r w:rsidRPr="00303225">
        <w:rPr>
          <w:rFonts w:ascii="Arial" w:hAnsi="Arial" w:cs="Arial"/>
          <w:sz w:val="22"/>
          <w:szCs w:val="22"/>
        </w:rPr>
        <w:t xml:space="preserve">. </w:t>
      </w:r>
      <w:r w:rsidR="00445E1E" w:rsidRPr="00303225">
        <w:rPr>
          <w:rFonts w:ascii="Arial" w:hAnsi="Arial" w:cs="Arial"/>
          <w:sz w:val="22"/>
          <w:szCs w:val="22"/>
        </w:rPr>
        <w:t xml:space="preserve">As both the IAA and the CAA apply the Model Law provisions, with some additions and adaptations to accommodate their </w:t>
      </w:r>
      <w:proofErr w:type="gramStart"/>
      <w:r w:rsidR="00445E1E" w:rsidRPr="00303225">
        <w:rPr>
          <w:rFonts w:ascii="Arial" w:hAnsi="Arial" w:cs="Arial"/>
          <w:sz w:val="22"/>
          <w:szCs w:val="22"/>
        </w:rPr>
        <w:t>particular contexts</w:t>
      </w:r>
      <w:proofErr w:type="gramEnd"/>
      <w:r w:rsidR="00445E1E" w:rsidRPr="00303225">
        <w:rPr>
          <w:rFonts w:ascii="Arial" w:hAnsi="Arial" w:cs="Arial"/>
          <w:sz w:val="22"/>
          <w:szCs w:val="22"/>
        </w:rPr>
        <w:t xml:space="preserve">, </w:t>
      </w:r>
      <w:r w:rsidR="005244DD" w:rsidRPr="00303225">
        <w:rPr>
          <w:rFonts w:ascii="Arial" w:hAnsi="Arial" w:cs="Arial"/>
          <w:sz w:val="22"/>
          <w:szCs w:val="22"/>
        </w:rPr>
        <w:t xml:space="preserve">judgments under </w:t>
      </w:r>
      <w:r w:rsidRPr="00303225">
        <w:rPr>
          <w:rFonts w:ascii="Arial" w:hAnsi="Arial" w:cs="Arial"/>
          <w:sz w:val="22"/>
          <w:szCs w:val="22"/>
        </w:rPr>
        <w:t xml:space="preserve">one regime </w:t>
      </w:r>
      <w:r w:rsidR="005244DD" w:rsidRPr="00303225">
        <w:rPr>
          <w:rFonts w:ascii="Arial" w:hAnsi="Arial" w:cs="Arial"/>
          <w:sz w:val="22"/>
          <w:szCs w:val="22"/>
        </w:rPr>
        <w:t>can and will inform judgments under the other.</w:t>
      </w:r>
      <w:r w:rsidR="00EB46D5" w:rsidRPr="00303225">
        <w:rPr>
          <w:rFonts w:ascii="Arial" w:hAnsi="Arial" w:cs="Arial"/>
          <w:sz w:val="22"/>
          <w:szCs w:val="22"/>
        </w:rPr>
        <w:t xml:space="preserve"> State and Territory Supreme Court judges, when making decisions under the CAA, will </w:t>
      </w:r>
      <w:r w:rsidR="00084FB2" w:rsidRPr="00303225">
        <w:rPr>
          <w:rFonts w:ascii="Arial" w:hAnsi="Arial" w:cs="Arial"/>
          <w:sz w:val="22"/>
          <w:szCs w:val="22"/>
        </w:rPr>
        <w:t xml:space="preserve">need to </w:t>
      </w:r>
      <w:r w:rsidR="00EB46D5" w:rsidRPr="00303225">
        <w:rPr>
          <w:rFonts w:ascii="Arial" w:hAnsi="Arial" w:cs="Arial"/>
          <w:sz w:val="22"/>
          <w:szCs w:val="22"/>
        </w:rPr>
        <w:t>be more aware of the impact of their judgments on the interpretation of the IAA</w:t>
      </w:r>
      <w:r w:rsidR="00084FB2" w:rsidRPr="00303225">
        <w:rPr>
          <w:rFonts w:ascii="Arial" w:hAnsi="Arial" w:cs="Arial"/>
          <w:sz w:val="22"/>
          <w:szCs w:val="22"/>
        </w:rPr>
        <w:t>,</w:t>
      </w:r>
      <w:r w:rsidR="00EB46D5" w:rsidRPr="00303225">
        <w:rPr>
          <w:rFonts w:ascii="Arial" w:hAnsi="Arial" w:cs="Arial"/>
          <w:sz w:val="22"/>
          <w:szCs w:val="22"/>
        </w:rPr>
        <w:t xml:space="preserve"> as they have jurisdiction under both regimes</w:t>
      </w:r>
      <w:r w:rsidR="009414E4" w:rsidRPr="00303225">
        <w:rPr>
          <w:rFonts w:ascii="Arial" w:hAnsi="Arial" w:cs="Arial"/>
          <w:sz w:val="22"/>
          <w:szCs w:val="22"/>
        </w:rPr>
        <w:t>.</w:t>
      </w:r>
      <w:r w:rsidR="005C5A59" w:rsidRPr="00303225">
        <w:rPr>
          <w:rStyle w:val="FootnoteReference"/>
          <w:rFonts w:ascii="Arial" w:hAnsi="Arial" w:cs="Arial"/>
          <w:sz w:val="22"/>
          <w:szCs w:val="22"/>
        </w:rPr>
        <w:footnoteReference w:id="14"/>
      </w:r>
      <w:r w:rsidR="009414E4" w:rsidRPr="00303225">
        <w:rPr>
          <w:rFonts w:ascii="Arial" w:hAnsi="Arial" w:cs="Arial"/>
          <w:sz w:val="22"/>
          <w:szCs w:val="22"/>
        </w:rPr>
        <w:t xml:space="preserve"> Additionally, </w:t>
      </w:r>
      <w:proofErr w:type="gramStart"/>
      <w:r w:rsidR="009414E4" w:rsidRPr="00303225">
        <w:rPr>
          <w:rFonts w:ascii="Arial" w:hAnsi="Arial" w:cs="Arial"/>
          <w:sz w:val="22"/>
          <w:szCs w:val="22"/>
        </w:rPr>
        <w:t>international</w:t>
      </w:r>
      <w:proofErr w:type="gramEnd"/>
      <w:r w:rsidR="009414E4" w:rsidRPr="00303225">
        <w:rPr>
          <w:rFonts w:ascii="Arial" w:hAnsi="Arial" w:cs="Arial"/>
          <w:sz w:val="22"/>
          <w:szCs w:val="22"/>
        </w:rPr>
        <w:t xml:space="preserve"> and domestic parties are likely to assume that a decision on similar or identical provisions under one regime will be found to apply with equal force under the other regime. </w:t>
      </w:r>
      <w:r w:rsidR="005244DD" w:rsidRPr="00303225">
        <w:rPr>
          <w:rFonts w:ascii="Arial" w:hAnsi="Arial" w:cs="Arial"/>
          <w:sz w:val="22"/>
          <w:szCs w:val="22"/>
        </w:rPr>
        <w:t xml:space="preserve"> </w:t>
      </w:r>
      <w:r w:rsidR="001D5A86" w:rsidRPr="00303225">
        <w:rPr>
          <w:rFonts w:ascii="Arial" w:hAnsi="Arial" w:cs="Arial"/>
          <w:sz w:val="22"/>
          <w:szCs w:val="22"/>
        </w:rPr>
        <w:t xml:space="preserve">Consequently, decisions under the CAA will also be looked at overseas in determining whether Australia is an attractive seat for international arbitrations. Given that, at least initially, it is likely that there will be more decisions under the CAA than the IAA, </w:t>
      </w:r>
      <w:proofErr w:type="gramStart"/>
      <w:r w:rsidR="001D5A86" w:rsidRPr="00303225">
        <w:rPr>
          <w:rFonts w:ascii="Arial" w:hAnsi="Arial" w:cs="Arial"/>
          <w:sz w:val="22"/>
          <w:szCs w:val="22"/>
        </w:rPr>
        <w:t>it would seem that Australia’s</w:t>
      </w:r>
      <w:proofErr w:type="gramEnd"/>
      <w:r w:rsidR="001D5A86" w:rsidRPr="00303225">
        <w:rPr>
          <w:rFonts w:ascii="Arial" w:hAnsi="Arial" w:cs="Arial"/>
          <w:sz w:val="22"/>
          <w:szCs w:val="22"/>
        </w:rPr>
        <w:t xml:space="preserve"> Model Law jurisprudence will be developed</w:t>
      </w:r>
      <w:r w:rsidR="0049162B" w:rsidRPr="00303225">
        <w:rPr>
          <w:rFonts w:ascii="Arial" w:hAnsi="Arial" w:cs="Arial"/>
          <w:sz w:val="22"/>
          <w:szCs w:val="22"/>
        </w:rPr>
        <w:t xml:space="preserve">, at </w:t>
      </w:r>
      <w:r w:rsidR="00AF7861" w:rsidRPr="00303225">
        <w:rPr>
          <w:rFonts w:ascii="Arial" w:hAnsi="Arial" w:cs="Arial"/>
          <w:sz w:val="22"/>
          <w:szCs w:val="22"/>
        </w:rPr>
        <w:t>first</w:t>
      </w:r>
      <w:r w:rsidR="0049162B" w:rsidRPr="00303225">
        <w:rPr>
          <w:rFonts w:ascii="Arial" w:hAnsi="Arial" w:cs="Arial"/>
          <w:sz w:val="22"/>
          <w:szCs w:val="22"/>
        </w:rPr>
        <w:t>,</w:t>
      </w:r>
      <w:r w:rsidR="001D5A86" w:rsidRPr="00303225">
        <w:rPr>
          <w:rFonts w:ascii="Arial" w:hAnsi="Arial" w:cs="Arial"/>
          <w:sz w:val="22"/>
          <w:szCs w:val="22"/>
        </w:rPr>
        <w:t xml:space="preserve"> by the State and Territory Supreme Courts, as the Federal Court has no jurisdiction in the domestic regime. It will be recalled that there was some controversy surrounding the question whether the Federal Court should be given exclusive jurisdiction under the IAA during the process of review which led to the amending legislation.</w:t>
      </w:r>
      <w:r w:rsidR="001D5A86" w:rsidRPr="00303225">
        <w:rPr>
          <w:rStyle w:val="FootnoteReference"/>
          <w:rFonts w:ascii="Arial" w:hAnsi="Arial" w:cs="Arial"/>
          <w:sz w:val="22"/>
          <w:szCs w:val="22"/>
        </w:rPr>
        <w:footnoteReference w:id="15"/>
      </w:r>
      <w:r w:rsidR="001D5A86" w:rsidRPr="00303225">
        <w:rPr>
          <w:rFonts w:ascii="Arial" w:hAnsi="Arial" w:cs="Arial"/>
          <w:sz w:val="22"/>
          <w:szCs w:val="22"/>
        </w:rPr>
        <w:t xml:space="preserve"> At the time this issue was being discussed the only </w:t>
      </w:r>
      <w:r w:rsidR="00B75E65" w:rsidRPr="00303225">
        <w:rPr>
          <w:rFonts w:ascii="Arial" w:hAnsi="Arial" w:cs="Arial"/>
          <w:sz w:val="22"/>
          <w:szCs w:val="22"/>
        </w:rPr>
        <w:t>context was the proposed amendments to the IAA and not the effect of applying the Model Law domestically in terms of the CAA, which raises the variety of additional considerations to which reference has been made.</w:t>
      </w:r>
      <w:r w:rsidR="001D5A86" w:rsidRPr="00303225">
        <w:rPr>
          <w:rFonts w:ascii="Arial" w:hAnsi="Arial" w:cs="Arial"/>
          <w:sz w:val="22"/>
          <w:szCs w:val="22"/>
        </w:rPr>
        <w:t xml:space="preserve"> </w:t>
      </w:r>
    </w:p>
    <w:p w14:paraId="30EF298E" w14:textId="77777777" w:rsidR="00E748F0" w:rsidRPr="00303225" w:rsidRDefault="00E748F0" w:rsidP="00303225">
      <w:pPr>
        <w:pStyle w:val="Heading2"/>
        <w:spacing w:line="480" w:lineRule="auto"/>
        <w:rPr>
          <w:rFonts w:cs="Arial"/>
          <w:sz w:val="22"/>
          <w:szCs w:val="22"/>
        </w:rPr>
      </w:pPr>
    </w:p>
    <w:p w14:paraId="621A0440" w14:textId="77777777" w:rsidR="00F42E69" w:rsidRPr="00303225" w:rsidRDefault="00D7628E" w:rsidP="00303225">
      <w:pPr>
        <w:pStyle w:val="Heading2"/>
        <w:spacing w:line="480" w:lineRule="auto"/>
        <w:rPr>
          <w:rFonts w:cs="Arial"/>
          <w:b/>
          <w:i w:val="0"/>
          <w:sz w:val="24"/>
        </w:rPr>
      </w:pPr>
      <w:bookmarkStart w:id="5" w:name="_Toc274907708"/>
      <w:r w:rsidRPr="00303225">
        <w:rPr>
          <w:rFonts w:cs="Arial"/>
          <w:b/>
          <w:i w:val="0"/>
          <w:sz w:val="24"/>
        </w:rPr>
        <w:t>Interpretation</w:t>
      </w:r>
      <w:bookmarkEnd w:id="5"/>
    </w:p>
    <w:p w14:paraId="1B21F906" w14:textId="77777777" w:rsidR="00721AA5" w:rsidRPr="00303225" w:rsidRDefault="00E748F0" w:rsidP="00303225">
      <w:pPr>
        <w:pStyle w:val="Heading3"/>
        <w:spacing w:line="480" w:lineRule="auto"/>
        <w:rPr>
          <w:rFonts w:ascii="Arial" w:hAnsi="Arial"/>
          <w:sz w:val="22"/>
          <w:szCs w:val="22"/>
        </w:rPr>
      </w:pPr>
      <w:bookmarkStart w:id="6" w:name="_Toc274907709"/>
      <w:r w:rsidRPr="00303225">
        <w:rPr>
          <w:rFonts w:ascii="Arial" w:hAnsi="Arial"/>
          <w:sz w:val="22"/>
          <w:szCs w:val="22"/>
        </w:rPr>
        <w:t xml:space="preserve">(a) </w:t>
      </w:r>
      <w:r w:rsidR="00F42E69" w:rsidRPr="00303225">
        <w:rPr>
          <w:rFonts w:ascii="Arial" w:hAnsi="Arial"/>
          <w:sz w:val="22"/>
          <w:szCs w:val="22"/>
        </w:rPr>
        <w:t>Interpretation provisions</w:t>
      </w:r>
      <w:r w:rsidR="000153D3" w:rsidRPr="00303225">
        <w:rPr>
          <w:rFonts w:ascii="Arial" w:hAnsi="Arial"/>
          <w:sz w:val="22"/>
          <w:szCs w:val="22"/>
        </w:rPr>
        <w:t xml:space="preserve"> in</w:t>
      </w:r>
      <w:r w:rsidR="00F42E69" w:rsidRPr="00303225">
        <w:rPr>
          <w:rFonts w:ascii="Arial" w:hAnsi="Arial"/>
          <w:sz w:val="22"/>
          <w:szCs w:val="22"/>
        </w:rPr>
        <w:t xml:space="preserve"> the </w:t>
      </w:r>
      <w:r w:rsidR="000153D3" w:rsidRPr="00303225">
        <w:rPr>
          <w:rFonts w:ascii="Arial" w:hAnsi="Arial"/>
          <w:sz w:val="22"/>
          <w:szCs w:val="22"/>
        </w:rPr>
        <w:t>CAA and the IAA</w:t>
      </w:r>
      <w:bookmarkEnd w:id="6"/>
    </w:p>
    <w:p w14:paraId="015B12A1" w14:textId="77777777" w:rsidR="00CE52E1" w:rsidRPr="00303225" w:rsidRDefault="001C76CD" w:rsidP="00303225">
      <w:pPr>
        <w:spacing w:line="480" w:lineRule="auto"/>
        <w:rPr>
          <w:rFonts w:ascii="Arial" w:hAnsi="Arial" w:cs="Arial"/>
          <w:sz w:val="22"/>
          <w:szCs w:val="22"/>
        </w:rPr>
      </w:pPr>
      <w:r w:rsidRPr="00303225">
        <w:rPr>
          <w:rFonts w:ascii="Arial" w:hAnsi="Arial" w:cs="Arial"/>
          <w:sz w:val="22"/>
          <w:szCs w:val="22"/>
        </w:rPr>
        <w:t>Clearly, if</w:t>
      </w:r>
      <w:r w:rsidR="008E62A7" w:rsidRPr="00303225">
        <w:rPr>
          <w:rFonts w:ascii="Arial" w:hAnsi="Arial" w:cs="Arial"/>
          <w:sz w:val="22"/>
          <w:szCs w:val="22"/>
        </w:rPr>
        <w:t xml:space="preserve"> </w:t>
      </w:r>
      <w:proofErr w:type="gramStart"/>
      <w:r w:rsidR="008E62A7" w:rsidRPr="00303225">
        <w:rPr>
          <w:rFonts w:ascii="Arial" w:hAnsi="Arial" w:cs="Arial"/>
          <w:sz w:val="22"/>
          <w:szCs w:val="22"/>
        </w:rPr>
        <w:t xml:space="preserve">the  </w:t>
      </w:r>
      <w:r w:rsidR="003C39B3" w:rsidRPr="00303225">
        <w:rPr>
          <w:rFonts w:ascii="Arial" w:hAnsi="Arial" w:cs="Arial"/>
          <w:sz w:val="22"/>
          <w:szCs w:val="22"/>
        </w:rPr>
        <w:t>Supreme</w:t>
      </w:r>
      <w:proofErr w:type="gramEnd"/>
      <w:r w:rsidR="003C39B3" w:rsidRPr="00303225">
        <w:rPr>
          <w:rFonts w:ascii="Arial" w:hAnsi="Arial" w:cs="Arial"/>
          <w:sz w:val="22"/>
          <w:szCs w:val="22"/>
        </w:rPr>
        <w:t xml:space="preserve"> </w:t>
      </w:r>
      <w:r w:rsidR="008E62A7" w:rsidRPr="00303225">
        <w:rPr>
          <w:rFonts w:ascii="Arial" w:hAnsi="Arial" w:cs="Arial"/>
          <w:sz w:val="22"/>
          <w:szCs w:val="22"/>
        </w:rPr>
        <w:t xml:space="preserve">Courts </w:t>
      </w:r>
      <w:r w:rsidR="003C39B3" w:rsidRPr="00303225">
        <w:rPr>
          <w:rFonts w:ascii="Arial" w:hAnsi="Arial" w:cs="Arial"/>
          <w:sz w:val="22"/>
          <w:szCs w:val="22"/>
        </w:rPr>
        <w:t>of the</w:t>
      </w:r>
      <w:r w:rsidR="008E62A7" w:rsidRPr="00303225">
        <w:rPr>
          <w:rFonts w:ascii="Arial" w:hAnsi="Arial" w:cs="Arial"/>
          <w:sz w:val="22"/>
          <w:szCs w:val="22"/>
        </w:rPr>
        <w:t xml:space="preserve"> States and Territories and the </w:t>
      </w:r>
      <w:r w:rsidR="003C39B3" w:rsidRPr="00303225">
        <w:rPr>
          <w:rFonts w:ascii="Arial" w:hAnsi="Arial" w:cs="Arial"/>
          <w:sz w:val="22"/>
          <w:szCs w:val="22"/>
        </w:rPr>
        <w:t>Federal Court do not interpret</w:t>
      </w:r>
      <w:r w:rsidR="008E62A7" w:rsidRPr="00303225">
        <w:rPr>
          <w:rFonts w:ascii="Arial" w:hAnsi="Arial" w:cs="Arial"/>
          <w:sz w:val="22"/>
          <w:szCs w:val="22"/>
        </w:rPr>
        <w:t xml:space="preserve"> the Model Law</w:t>
      </w:r>
      <w:r w:rsidR="003C39B3" w:rsidRPr="00303225">
        <w:rPr>
          <w:rFonts w:ascii="Arial" w:hAnsi="Arial" w:cs="Arial"/>
          <w:sz w:val="22"/>
          <w:szCs w:val="22"/>
        </w:rPr>
        <w:t>,</w:t>
      </w:r>
      <w:r w:rsidR="008E62A7" w:rsidRPr="00303225">
        <w:rPr>
          <w:rFonts w:ascii="Arial" w:hAnsi="Arial" w:cs="Arial"/>
          <w:sz w:val="22"/>
          <w:szCs w:val="22"/>
        </w:rPr>
        <w:t xml:space="preserve"> </w:t>
      </w:r>
      <w:r w:rsidR="00370F37" w:rsidRPr="00303225">
        <w:rPr>
          <w:rFonts w:ascii="Arial" w:hAnsi="Arial" w:cs="Arial"/>
          <w:sz w:val="22"/>
          <w:szCs w:val="22"/>
        </w:rPr>
        <w:t xml:space="preserve">as applied by the IAA </w:t>
      </w:r>
      <w:r w:rsidR="0049162B" w:rsidRPr="00303225">
        <w:rPr>
          <w:rFonts w:ascii="Arial" w:hAnsi="Arial" w:cs="Arial"/>
          <w:sz w:val="22"/>
          <w:szCs w:val="22"/>
        </w:rPr>
        <w:t xml:space="preserve">and the CAA </w:t>
      </w:r>
      <w:r w:rsidR="00370F37" w:rsidRPr="00303225">
        <w:rPr>
          <w:rFonts w:ascii="Arial" w:hAnsi="Arial" w:cs="Arial"/>
          <w:sz w:val="22"/>
          <w:szCs w:val="22"/>
        </w:rPr>
        <w:t>consistently</w:t>
      </w:r>
      <w:r w:rsidR="0049162B" w:rsidRPr="00303225">
        <w:rPr>
          <w:rFonts w:ascii="Arial" w:hAnsi="Arial" w:cs="Arial"/>
          <w:sz w:val="22"/>
          <w:szCs w:val="22"/>
        </w:rPr>
        <w:t xml:space="preserve"> and</w:t>
      </w:r>
      <w:r w:rsidR="00370F37" w:rsidRPr="00303225">
        <w:rPr>
          <w:rFonts w:ascii="Arial" w:hAnsi="Arial" w:cs="Arial"/>
          <w:sz w:val="22"/>
          <w:szCs w:val="22"/>
        </w:rPr>
        <w:t xml:space="preserve"> in accordance with the legislative purpose</w:t>
      </w:r>
      <w:r w:rsidRPr="00303225">
        <w:rPr>
          <w:rFonts w:ascii="Arial" w:hAnsi="Arial" w:cs="Arial"/>
          <w:sz w:val="22"/>
          <w:szCs w:val="22"/>
        </w:rPr>
        <w:t xml:space="preserve"> and the provenance of the provisions</w:t>
      </w:r>
      <w:r w:rsidR="0049162B" w:rsidRPr="00303225">
        <w:rPr>
          <w:rFonts w:ascii="Arial" w:hAnsi="Arial" w:cs="Arial"/>
          <w:sz w:val="22"/>
          <w:szCs w:val="22"/>
        </w:rPr>
        <w:t xml:space="preserve">, </w:t>
      </w:r>
      <w:r w:rsidR="00370F37" w:rsidRPr="00303225">
        <w:rPr>
          <w:rFonts w:ascii="Arial" w:hAnsi="Arial" w:cs="Arial"/>
          <w:sz w:val="22"/>
          <w:szCs w:val="22"/>
        </w:rPr>
        <w:t>the present legislative reforms will</w:t>
      </w:r>
      <w:r w:rsidR="008E62A7" w:rsidRPr="00303225">
        <w:rPr>
          <w:rFonts w:ascii="Arial" w:hAnsi="Arial" w:cs="Arial"/>
          <w:sz w:val="22"/>
          <w:szCs w:val="22"/>
        </w:rPr>
        <w:t xml:space="preserve"> not be successful</w:t>
      </w:r>
      <w:r w:rsidRPr="00303225">
        <w:rPr>
          <w:rFonts w:ascii="Arial" w:hAnsi="Arial" w:cs="Arial"/>
          <w:sz w:val="22"/>
          <w:szCs w:val="22"/>
        </w:rPr>
        <w:t xml:space="preserve"> in promoting and developing international and domestic commercial arbitration in Australia</w:t>
      </w:r>
      <w:r w:rsidR="008E62A7" w:rsidRPr="00303225">
        <w:rPr>
          <w:rFonts w:ascii="Arial" w:hAnsi="Arial" w:cs="Arial"/>
          <w:sz w:val="22"/>
          <w:szCs w:val="22"/>
        </w:rPr>
        <w:t>. The interpretation provisions of the Acts should</w:t>
      </w:r>
      <w:r w:rsidRPr="00303225">
        <w:rPr>
          <w:rFonts w:ascii="Arial" w:hAnsi="Arial" w:cs="Arial"/>
          <w:sz w:val="22"/>
          <w:szCs w:val="22"/>
        </w:rPr>
        <w:t>, however,</w:t>
      </w:r>
      <w:r w:rsidR="008E62A7" w:rsidRPr="00303225">
        <w:rPr>
          <w:rFonts w:ascii="Arial" w:hAnsi="Arial" w:cs="Arial"/>
          <w:sz w:val="22"/>
          <w:szCs w:val="22"/>
        </w:rPr>
        <w:t xml:space="preserve"> help </w:t>
      </w:r>
      <w:r w:rsidRPr="00303225">
        <w:rPr>
          <w:rFonts w:ascii="Arial" w:hAnsi="Arial" w:cs="Arial"/>
          <w:sz w:val="22"/>
          <w:szCs w:val="22"/>
        </w:rPr>
        <w:t>in this respect, and it is to these that I now turn.</w:t>
      </w:r>
      <w:r w:rsidR="008E62A7" w:rsidRPr="00303225">
        <w:rPr>
          <w:rFonts w:ascii="Arial" w:hAnsi="Arial" w:cs="Arial"/>
          <w:sz w:val="22"/>
          <w:szCs w:val="22"/>
        </w:rPr>
        <w:t xml:space="preserve"> </w:t>
      </w:r>
    </w:p>
    <w:p w14:paraId="1DE66DDA" w14:textId="77777777" w:rsidR="008E62A7" w:rsidRPr="00303225" w:rsidRDefault="008E62A7" w:rsidP="00303225">
      <w:pPr>
        <w:spacing w:line="480" w:lineRule="auto"/>
        <w:rPr>
          <w:rFonts w:ascii="Arial" w:hAnsi="Arial" w:cs="Arial"/>
          <w:sz w:val="22"/>
          <w:szCs w:val="22"/>
        </w:rPr>
      </w:pPr>
    </w:p>
    <w:p w14:paraId="2C1102FD" w14:textId="77777777" w:rsidR="00F42E69" w:rsidRPr="00303225" w:rsidRDefault="000153D3" w:rsidP="00303225">
      <w:pPr>
        <w:pStyle w:val="Heading4"/>
        <w:spacing w:line="480" w:lineRule="auto"/>
        <w:rPr>
          <w:rFonts w:ascii="Arial" w:hAnsi="Arial" w:cs="Arial"/>
          <w:b/>
          <w:i w:val="0"/>
          <w:sz w:val="22"/>
          <w:szCs w:val="22"/>
        </w:rPr>
      </w:pPr>
      <w:bookmarkStart w:id="7" w:name="_Toc274907710"/>
      <w:r w:rsidRPr="00303225">
        <w:rPr>
          <w:rFonts w:ascii="Arial" w:hAnsi="Arial" w:cs="Arial"/>
          <w:b/>
          <w:i w:val="0"/>
          <w:sz w:val="22"/>
          <w:szCs w:val="22"/>
        </w:rPr>
        <w:t>CAA</w:t>
      </w:r>
      <w:r w:rsidR="00F42E69" w:rsidRPr="00303225">
        <w:rPr>
          <w:rFonts w:ascii="Arial" w:hAnsi="Arial" w:cs="Arial"/>
          <w:b/>
          <w:i w:val="0"/>
          <w:sz w:val="22"/>
          <w:szCs w:val="22"/>
        </w:rPr>
        <w:t xml:space="preserve"> - Section 1AC</w:t>
      </w:r>
      <w:r w:rsidR="00D7628E" w:rsidRPr="00303225">
        <w:rPr>
          <w:rStyle w:val="FootnoteReference"/>
          <w:rFonts w:ascii="Arial" w:hAnsi="Arial" w:cs="Arial"/>
          <w:b/>
          <w:i w:val="0"/>
          <w:sz w:val="22"/>
          <w:szCs w:val="22"/>
        </w:rPr>
        <w:footnoteReference w:id="16"/>
      </w:r>
      <w:r w:rsidR="00F42E69" w:rsidRPr="00303225">
        <w:rPr>
          <w:rFonts w:ascii="Arial" w:hAnsi="Arial" w:cs="Arial"/>
          <w:b/>
          <w:i w:val="0"/>
          <w:sz w:val="22"/>
          <w:szCs w:val="22"/>
        </w:rPr>
        <w:t xml:space="preserve"> – Paramount object of Act</w:t>
      </w:r>
      <w:bookmarkEnd w:id="7"/>
    </w:p>
    <w:p w14:paraId="23AC6B22" w14:textId="77777777" w:rsidR="00F42E69" w:rsidRPr="00303225" w:rsidRDefault="00F42E69" w:rsidP="00303225">
      <w:pPr>
        <w:spacing w:line="480" w:lineRule="auto"/>
        <w:rPr>
          <w:rFonts w:ascii="Arial" w:hAnsi="Arial" w:cs="Arial"/>
          <w:sz w:val="22"/>
          <w:szCs w:val="22"/>
        </w:rPr>
      </w:pPr>
      <w:r w:rsidRPr="00303225">
        <w:rPr>
          <w:rFonts w:ascii="Arial" w:hAnsi="Arial" w:cs="Arial"/>
          <w:sz w:val="22"/>
          <w:szCs w:val="22"/>
        </w:rPr>
        <w:t xml:space="preserve">The paramount object </w:t>
      </w:r>
      <w:r w:rsidR="000153D3" w:rsidRPr="00303225">
        <w:rPr>
          <w:rFonts w:ascii="Arial" w:hAnsi="Arial" w:cs="Arial"/>
          <w:sz w:val="22"/>
          <w:szCs w:val="22"/>
        </w:rPr>
        <w:t>of the CAA</w:t>
      </w:r>
      <w:r w:rsidR="00ED0A0E" w:rsidRPr="00303225">
        <w:rPr>
          <w:rFonts w:ascii="Arial" w:hAnsi="Arial" w:cs="Arial"/>
          <w:sz w:val="22"/>
          <w:szCs w:val="22"/>
        </w:rPr>
        <w:t xml:space="preserve"> “</w:t>
      </w:r>
      <w:r w:rsidRPr="00303225">
        <w:rPr>
          <w:rFonts w:ascii="Arial" w:hAnsi="Arial" w:cs="Arial"/>
          <w:sz w:val="22"/>
          <w:szCs w:val="22"/>
        </w:rPr>
        <w:t>to facilitate the fair and final resolution of commercial disputes withou</w:t>
      </w:r>
      <w:r w:rsidR="00ED0A0E" w:rsidRPr="00303225">
        <w:rPr>
          <w:rFonts w:ascii="Arial" w:hAnsi="Arial" w:cs="Arial"/>
          <w:sz w:val="22"/>
          <w:szCs w:val="22"/>
        </w:rPr>
        <w:t>t unnecessary delay or expense”</w:t>
      </w:r>
      <w:r w:rsidR="0049162B" w:rsidRPr="00303225">
        <w:rPr>
          <w:rFonts w:ascii="Arial" w:hAnsi="Arial" w:cs="Arial"/>
          <w:sz w:val="22"/>
          <w:szCs w:val="22"/>
        </w:rPr>
        <w:t xml:space="preserve"> </w:t>
      </w:r>
      <w:r w:rsidRPr="00303225">
        <w:rPr>
          <w:rFonts w:ascii="Arial" w:hAnsi="Arial" w:cs="Arial"/>
          <w:sz w:val="22"/>
          <w:szCs w:val="22"/>
        </w:rPr>
        <w:t>is an addition to the Model Law.</w:t>
      </w:r>
      <w:r w:rsidR="000153D3" w:rsidRPr="00303225">
        <w:rPr>
          <w:rFonts w:ascii="Arial" w:hAnsi="Arial" w:cs="Arial"/>
          <w:sz w:val="22"/>
          <w:szCs w:val="22"/>
        </w:rPr>
        <w:t xml:space="preserve"> </w:t>
      </w:r>
      <w:r w:rsidRPr="00303225">
        <w:rPr>
          <w:rFonts w:ascii="Arial" w:hAnsi="Arial" w:cs="Arial"/>
          <w:sz w:val="22"/>
          <w:szCs w:val="22"/>
        </w:rPr>
        <w:t xml:space="preserve"> </w:t>
      </w:r>
      <w:r w:rsidR="000153D3" w:rsidRPr="00303225">
        <w:rPr>
          <w:rFonts w:ascii="Arial" w:hAnsi="Arial" w:cs="Arial"/>
          <w:sz w:val="22"/>
          <w:szCs w:val="22"/>
        </w:rPr>
        <w:t>The CAA is to be interpreted “so that (as far as practicable) the paramount object is achieved.”</w:t>
      </w:r>
      <w:r w:rsidR="000153D3" w:rsidRPr="00303225">
        <w:rPr>
          <w:rStyle w:val="FootnoteReference"/>
          <w:rFonts w:ascii="Arial" w:hAnsi="Arial" w:cs="Arial"/>
          <w:sz w:val="22"/>
          <w:szCs w:val="22"/>
        </w:rPr>
        <w:footnoteReference w:id="17"/>
      </w:r>
      <w:r w:rsidR="00CE52E1" w:rsidRPr="00303225">
        <w:rPr>
          <w:rFonts w:ascii="Arial" w:hAnsi="Arial" w:cs="Arial"/>
          <w:sz w:val="22"/>
          <w:szCs w:val="22"/>
        </w:rPr>
        <w:t xml:space="preserve"> </w:t>
      </w:r>
      <w:r w:rsidR="009562C2" w:rsidRPr="00303225">
        <w:rPr>
          <w:rFonts w:ascii="Arial" w:hAnsi="Arial" w:cs="Arial"/>
          <w:sz w:val="22"/>
          <w:szCs w:val="22"/>
        </w:rPr>
        <w:t>While this section is aimed more at parties and arbitrators it is also a reminder to judges</w:t>
      </w:r>
      <w:r w:rsidRPr="00303225">
        <w:rPr>
          <w:rFonts w:ascii="Arial" w:hAnsi="Arial" w:cs="Arial"/>
          <w:sz w:val="22"/>
          <w:szCs w:val="22"/>
        </w:rPr>
        <w:t xml:space="preserve"> interpreting and applying the Act that one of the main advantages of commercial arbitration, in the domestic context, is the ability </w:t>
      </w:r>
      <w:r w:rsidR="000E4796" w:rsidRPr="00303225">
        <w:rPr>
          <w:rFonts w:ascii="Arial" w:hAnsi="Arial" w:cs="Arial"/>
          <w:sz w:val="22"/>
          <w:szCs w:val="22"/>
        </w:rPr>
        <w:t>of</w:t>
      </w:r>
      <w:r w:rsidRPr="00303225">
        <w:rPr>
          <w:rFonts w:ascii="Arial" w:hAnsi="Arial" w:cs="Arial"/>
          <w:sz w:val="22"/>
          <w:szCs w:val="22"/>
        </w:rPr>
        <w:t xml:space="preserve"> parties and arbitrators to tailor arbitration procedures for the most efficient resolution of the dispute. Sometimes parties will want an arbitration that is just as formal as a court proceeding and </w:t>
      </w:r>
      <w:proofErr w:type="gramStart"/>
      <w:r w:rsidRPr="00303225">
        <w:rPr>
          <w:rFonts w:ascii="Arial" w:hAnsi="Arial" w:cs="Arial"/>
          <w:sz w:val="22"/>
          <w:szCs w:val="22"/>
        </w:rPr>
        <w:t>sometimes</w:t>
      </w:r>
      <w:proofErr w:type="gramEnd"/>
      <w:r w:rsidRPr="00303225">
        <w:rPr>
          <w:rFonts w:ascii="Arial" w:hAnsi="Arial" w:cs="Arial"/>
          <w:sz w:val="22"/>
          <w:szCs w:val="22"/>
        </w:rPr>
        <w:t xml:space="preserve"> they will want a “look and sniff” arbitration, and between these extremes lies the spectrum of possible arbitration procedures. </w:t>
      </w:r>
      <w:r w:rsidR="00ED0A0E" w:rsidRPr="00303225">
        <w:rPr>
          <w:rFonts w:ascii="Arial" w:hAnsi="Arial" w:cs="Arial"/>
          <w:sz w:val="22"/>
          <w:szCs w:val="22"/>
        </w:rPr>
        <w:t xml:space="preserve">If parties agree to </w:t>
      </w:r>
      <w:r w:rsidR="009562C2" w:rsidRPr="00303225">
        <w:rPr>
          <w:rFonts w:ascii="Arial" w:hAnsi="Arial" w:cs="Arial"/>
          <w:sz w:val="22"/>
          <w:szCs w:val="22"/>
        </w:rPr>
        <w:t xml:space="preserve">procedures, which are less formal than court proceedings, </w:t>
      </w:r>
      <w:r w:rsidR="000E4796" w:rsidRPr="00303225">
        <w:rPr>
          <w:rFonts w:ascii="Arial" w:hAnsi="Arial" w:cs="Arial"/>
          <w:sz w:val="22"/>
          <w:szCs w:val="22"/>
        </w:rPr>
        <w:t>c</w:t>
      </w:r>
      <w:r w:rsidR="009562C2" w:rsidRPr="00303225">
        <w:rPr>
          <w:rFonts w:ascii="Arial" w:hAnsi="Arial" w:cs="Arial"/>
          <w:sz w:val="22"/>
          <w:szCs w:val="22"/>
        </w:rPr>
        <w:t>ourts should not interfere with this choice.</w:t>
      </w:r>
      <w:r w:rsidR="000E4796" w:rsidRPr="00303225">
        <w:rPr>
          <w:rFonts w:ascii="Arial" w:hAnsi="Arial" w:cs="Arial"/>
          <w:sz w:val="22"/>
          <w:szCs w:val="22"/>
        </w:rPr>
        <w:t xml:space="preserve"> The same applies if the parties</w:t>
      </w:r>
      <w:r w:rsidR="00ED0A0E" w:rsidRPr="00303225">
        <w:rPr>
          <w:rFonts w:ascii="Arial" w:hAnsi="Arial" w:cs="Arial"/>
          <w:sz w:val="22"/>
          <w:szCs w:val="22"/>
        </w:rPr>
        <w:t xml:space="preserve"> have clearly agreed to</w:t>
      </w:r>
      <w:r w:rsidR="00466B69" w:rsidRPr="00303225">
        <w:rPr>
          <w:rFonts w:ascii="Arial" w:hAnsi="Arial" w:cs="Arial"/>
          <w:sz w:val="22"/>
          <w:szCs w:val="22"/>
        </w:rPr>
        <w:t xml:space="preserve"> procedure</w:t>
      </w:r>
      <w:r w:rsidR="00ED0A0E" w:rsidRPr="00303225">
        <w:rPr>
          <w:rFonts w:ascii="Arial" w:hAnsi="Arial" w:cs="Arial"/>
          <w:sz w:val="22"/>
          <w:szCs w:val="22"/>
        </w:rPr>
        <w:t xml:space="preserve">s </w:t>
      </w:r>
      <w:r w:rsidR="00ED0A0E" w:rsidRPr="00303225">
        <w:rPr>
          <w:rFonts w:ascii="Arial" w:hAnsi="Arial" w:cs="Arial"/>
          <w:sz w:val="22"/>
          <w:szCs w:val="22"/>
        </w:rPr>
        <w:lastRenderedPageBreak/>
        <w:t>which replicate</w:t>
      </w:r>
      <w:r w:rsidR="00466B69" w:rsidRPr="00303225">
        <w:rPr>
          <w:rFonts w:ascii="Arial" w:hAnsi="Arial" w:cs="Arial"/>
          <w:sz w:val="22"/>
          <w:szCs w:val="22"/>
        </w:rPr>
        <w:t xml:space="preserve"> full, traditional, litigation. The problems always arise when there is a mismatch of expectations and reality, where a party or parties and the arbitrator see themselves at different points on the “spectrum”. This is an issue to which arbitrators must direct their </w:t>
      </w:r>
      <w:proofErr w:type="gramStart"/>
      <w:r w:rsidR="00466B69" w:rsidRPr="00303225">
        <w:rPr>
          <w:rFonts w:ascii="Arial" w:hAnsi="Arial" w:cs="Arial"/>
          <w:sz w:val="22"/>
          <w:szCs w:val="22"/>
        </w:rPr>
        <w:t>attention, and</w:t>
      </w:r>
      <w:proofErr w:type="gramEnd"/>
      <w:r w:rsidR="00466B69" w:rsidRPr="00303225">
        <w:rPr>
          <w:rFonts w:ascii="Arial" w:hAnsi="Arial" w:cs="Arial"/>
          <w:sz w:val="22"/>
          <w:szCs w:val="22"/>
        </w:rPr>
        <w:t xml:space="preserve"> is a matter which many arbitration rules specifically require that they do give their attention and ensure that procedures are appropriate to the nature and value of the dispute.</w:t>
      </w:r>
      <w:r w:rsidR="008906F6" w:rsidRPr="00303225">
        <w:rPr>
          <w:rStyle w:val="FootnoteReference"/>
          <w:rFonts w:ascii="Arial" w:hAnsi="Arial" w:cs="Arial"/>
          <w:sz w:val="22"/>
          <w:szCs w:val="22"/>
        </w:rPr>
        <w:footnoteReference w:id="18"/>
      </w:r>
      <w:r w:rsidR="00466B69" w:rsidRPr="00303225">
        <w:rPr>
          <w:rFonts w:ascii="Arial" w:hAnsi="Arial" w:cs="Arial"/>
          <w:sz w:val="22"/>
          <w:szCs w:val="22"/>
        </w:rPr>
        <w:t xml:space="preserve"> </w:t>
      </w:r>
      <w:r w:rsidR="008906F6" w:rsidRPr="00303225">
        <w:rPr>
          <w:rFonts w:ascii="Arial" w:hAnsi="Arial" w:cs="Arial"/>
          <w:sz w:val="22"/>
          <w:szCs w:val="22"/>
        </w:rPr>
        <w:t>This is also an issue addressed in the IAA as a matter to which the courts must have regard.</w:t>
      </w:r>
    </w:p>
    <w:p w14:paraId="2896B090" w14:textId="77777777" w:rsidR="00DD2C12" w:rsidRPr="00303225" w:rsidRDefault="00DD2C12" w:rsidP="00303225">
      <w:pPr>
        <w:spacing w:line="480" w:lineRule="auto"/>
        <w:rPr>
          <w:rFonts w:ascii="Arial" w:hAnsi="Arial" w:cs="Arial"/>
          <w:i/>
          <w:sz w:val="22"/>
          <w:szCs w:val="22"/>
        </w:rPr>
      </w:pPr>
    </w:p>
    <w:p w14:paraId="38003ECB" w14:textId="77777777" w:rsidR="00DD2C12" w:rsidRPr="0098708D" w:rsidRDefault="00E748F0" w:rsidP="00303225">
      <w:pPr>
        <w:pStyle w:val="Heading4"/>
        <w:spacing w:line="480" w:lineRule="auto"/>
        <w:rPr>
          <w:rFonts w:ascii="Arial" w:hAnsi="Arial" w:cs="Arial"/>
          <w:b/>
          <w:i w:val="0"/>
          <w:sz w:val="22"/>
          <w:szCs w:val="22"/>
        </w:rPr>
      </w:pPr>
      <w:bookmarkStart w:id="8" w:name="_Toc274907711"/>
      <w:r w:rsidRPr="0098708D">
        <w:rPr>
          <w:rFonts w:ascii="Arial" w:hAnsi="Arial" w:cs="Arial"/>
          <w:b/>
          <w:i w:val="0"/>
          <w:sz w:val="22"/>
          <w:szCs w:val="22"/>
        </w:rPr>
        <w:t>IAA</w:t>
      </w:r>
      <w:r w:rsidR="00DD2C12" w:rsidRPr="0098708D">
        <w:rPr>
          <w:rFonts w:ascii="Arial" w:hAnsi="Arial" w:cs="Arial"/>
          <w:b/>
          <w:i w:val="0"/>
          <w:sz w:val="22"/>
          <w:szCs w:val="22"/>
        </w:rPr>
        <w:t xml:space="preserve"> – Matters to which the court must have </w:t>
      </w:r>
      <w:proofErr w:type="gramStart"/>
      <w:r w:rsidR="00DD2C12" w:rsidRPr="0098708D">
        <w:rPr>
          <w:rFonts w:ascii="Arial" w:hAnsi="Arial" w:cs="Arial"/>
          <w:b/>
          <w:i w:val="0"/>
          <w:sz w:val="22"/>
          <w:szCs w:val="22"/>
        </w:rPr>
        <w:t>regard;</w:t>
      </w:r>
      <w:proofErr w:type="gramEnd"/>
      <w:r w:rsidR="00DD2C12" w:rsidRPr="0098708D">
        <w:rPr>
          <w:rFonts w:ascii="Arial" w:hAnsi="Arial" w:cs="Arial"/>
          <w:b/>
          <w:i w:val="0"/>
          <w:sz w:val="22"/>
          <w:szCs w:val="22"/>
        </w:rPr>
        <w:t xml:space="preserve"> objects of the Act</w:t>
      </w:r>
      <w:bookmarkEnd w:id="8"/>
    </w:p>
    <w:p w14:paraId="7C75D5F6" w14:textId="77777777" w:rsidR="00DD2C12" w:rsidRPr="00303225" w:rsidRDefault="00DD2C12" w:rsidP="00303225">
      <w:pPr>
        <w:tabs>
          <w:tab w:val="left" w:pos="8280"/>
        </w:tabs>
        <w:autoSpaceDE w:val="0"/>
        <w:autoSpaceDN w:val="0"/>
        <w:adjustRightInd w:val="0"/>
        <w:spacing w:after="120" w:line="480" w:lineRule="auto"/>
        <w:rPr>
          <w:rFonts w:ascii="Arial" w:hAnsi="Arial" w:cs="Arial"/>
          <w:sz w:val="22"/>
          <w:szCs w:val="22"/>
        </w:rPr>
      </w:pPr>
      <w:r w:rsidRPr="00303225">
        <w:rPr>
          <w:rFonts w:ascii="Arial" w:hAnsi="Arial" w:cs="Arial"/>
          <w:sz w:val="22"/>
          <w:szCs w:val="22"/>
        </w:rPr>
        <w:t>A court or authority in exercising the functions and powers listed in s 39(1) must:</w:t>
      </w:r>
      <w:r w:rsidRPr="00303225">
        <w:rPr>
          <w:rStyle w:val="FootnoteReference"/>
          <w:rFonts w:ascii="Arial" w:hAnsi="Arial" w:cs="Arial"/>
          <w:sz w:val="22"/>
          <w:szCs w:val="22"/>
          <w:lang w:val="en-US" w:eastAsia="en-US" w:bidi="x-none"/>
        </w:rPr>
        <w:footnoteReference w:id="19"/>
      </w:r>
    </w:p>
    <w:p w14:paraId="4F9E2937" w14:textId="77777777" w:rsidR="00DD2C12" w:rsidRPr="00303225" w:rsidRDefault="00DD2C12" w:rsidP="00303225">
      <w:pPr>
        <w:widowControl w:val="0"/>
        <w:tabs>
          <w:tab w:val="left" w:pos="7560"/>
        </w:tabs>
        <w:autoSpaceDE w:val="0"/>
        <w:autoSpaceDN w:val="0"/>
        <w:adjustRightInd w:val="0"/>
        <w:spacing w:after="120" w:line="480" w:lineRule="auto"/>
        <w:ind w:right="749" w:firstLine="720"/>
        <w:rPr>
          <w:rFonts w:ascii="Arial" w:hAnsi="Arial" w:cs="Arial"/>
          <w:sz w:val="22"/>
          <w:szCs w:val="22"/>
          <w:lang w:val="en-US" w:eastAsia="en-US" w:bidi="x-none"/>
        </w:rPr>
      </w:pPr>
      <w:r w:rsidRPr="00303225">
        <w:rPr>
          <w:rFonts w:ascii="Arial" w:hAnsi="Arial" w:cs="Arial"/>
          <w:sz w:val="22"/>
          <w:szCs w:val="22"/>
          <w:lang w:val="en-US" w:eastAsia="en-US" w:bidi="x-none"/>
        </w:rPr>
        <w:t>“have regard to:</w:t>
      </w:r>
    </w:p>
    <w:p w14:paraId="019FFDB9" w14:textId="77777777" w:rsidR="00DD2C12" w:rsidRPr="00303225" w:rsidRDefault="00DD2C12" w:rsidP="00303225">
      <w:pPr>
        <w:widowControl w:val="0"/>
        <w:tabs>
          <w:tab w:val="left" w:pos="7560"/>
        </w:tabs>
        <w:autoSpaceDE w:val="0"/>
        <w:autoSpaceDN w:val="0"/>
        <w:adjustRightInd w:val="0"/>
        <w:spacing w:after="120" w:line="480" w:lineRule="auto"/>
        <w:ind w:left="720" w:right="749" w:firstLine="720"/>
        <w:rPr>
          <w:rFonts w:ascii="Arial" w:hAnsi="Arial" w:cs="Arial"/>
          <w:sz w:val="22"/>
          <w:szCs w:val="22"/>
          <w:lang w:val="en-US" w:eastAsia="en-US" w:bidi="x-none"/>
        </w:rPr>
      </w:pPr>
      <w:r w:rsidRPr="00303225">
        <w:rPr>
          <w:rFonts w:ascii="Arial" w:hAnsi="Arial" w:cs="Arial"/>
          <w:sz w:val="22"/>
          <w:szCs w:val="22"/>
          <w:lang w:val="en-US" w:eastAsia="en-US" w:bidi="x-none"/>
        </w:rPr>
        <w:t>(a) the objects of the Act; and</w:t>
      </w:r>
    </w:p>
    <w:p w14:paraId="71D55468" w14:textId="77777777" w:rsidR="00DD2C12" w:rsidRPr="00303225" w:rsidRDefault="00DD2C12" w:rsidP="00303225">
      <w:pPr>
        <w:widowControl w:val="0"/>
        <w:tabs>
          <w:tab w:val="left" w:pos="7560"/>
        </w:tabs>
        <w:autoSpaceDE w:val="0"/>
        <w:autoSpaceDN w:val="0"/>
        <w:adjustRightInd w:val="0"/>
        <w:spacing w:after="120" w:line="480" w:lineRule="auto"/>
        <w:ind w:left="720" w:right="749" w:firstLine="720"/>
        <w:rPr>
          <w:rFonts w:ascii="Arial" w:hAnsi="Arial" w:cs="Arial"/>
          <w:sz w:val="22"/>
          <w:szCs w:val="22"/>
          <w:lang w:val="en-US" w:eastAsia="en-US" w:bidi="x-none"/>
        </w:rPr>
      </w:pPr>
      <w:r w:rsidRPr="00303225">
        <w:rPr>
          <w:rFonts w:ascii="Arial" w:hAnsi="Arial" w:cs="Arial"/>
          <w:sz w:val="22"/>
          <w:szCs w:val="22"/>
          <w:lang w:val="en-US" w:eastAsia="en-US" w:bidi="x-none"/>
        </w:rPr>
        <w:t>(b) the fact that:</w:t>
      </w:r>
    </w:p>
    <w:p w14:paraId="20140E73" w14:textId="77777777" w:rsidR="00DD2C12" w:rsidRPr="00303225" w:rsidRDefault="00DD2C12" w:rsidP="00303225">
      <w:pPr>
        <w:widowControl w:val="0"/>
        <w:tabs>
          <w:tab w:val="left" w:pos="7560"/>
        </w:tabs>
        <w:autoSpaceDE w:val="0"/>
        <w:autoSpaceDN w:val="0"/>
        <w:adjustRightInd w:val="0"/>
        <w:spacing w:after="120" w:line="480" w:lineRule="auto"/>
        <w:ind w:left="2160" w:right="749"/>
        <w:rPr>
          <w:rFonts w:ascii="Arial" w:hAnsi="Arial" w:cs="Arial"/>
          <w:sz w:val="22"/>
          <w:szCs w:val="22"/>
          <w:lang w:val="en-US" w:eastAsia="en-US" w:bidi="x-none"/>
        </w:rPr>
      </w:pPr>
      <w:r w:rsidRPr="00303225">
        <w:rPr>
          <w:rFonts w:ascii="Arial" w:hAnsi="Arial" w:cs="Arial"/>
          <w:sz w:val="22"/>
          <w:szCs w:val="22"/>
          <w:lang w:val="en-US" w:eastAsia="en-US" w:bidi="x-none"/>
        </w:rPr>
        <w:t>(</w:t>
      </w:r>
      <w:proofErr w:type="spellStart"/>
      <w:r w:rsidRPr="00303225">
        <w:rPr>
          <w:rFonts w:ascii="Arial" w:hAnsi="Arial" w:cs="Arial"/>
          <w:sz w:val="22"/>
          <w:szCs w:val="22"/>
          <w:lang w:val="en-US" w:eastAsia="en-US" w:bidi="x-none"/>
        </w:rPr>
        <w:t>i</w:t>
      </w:r>
      <w:proofErr w:type="spellEnd"/>
      <w:r w:rsidRPr="00303225">
        <w:rPr>
          <w:rFonts w:ascii="Arial" w:hAnsi="Arial" w:cs="Arial"/>
          <w:sz w:val="22"/>
          <w:szCs w:val="22"/>
          <w:lang w:val="en-US" w:eastAsia="en-US" w:bidi="x-none"/>
        </w:rPr>
        <w:t xml:space="preserve">) arbitration is an efficient, impartial, </w:t>
      </w:r>
      <w:proofErr w:type="gramStart"/>
      <w:r w:rsidRPr="00303225">
        <w:rPr>
          <w:rFonts w:ascii="Arial" w:hAnsi="Arial" w:cs="Arial"/>
          <w:sz w:val="22"/>
          <w:szCs w:val="22"/>
          <w:lang w:val="en-US" w:eastAsia="en-US" w:bidi="x-none"/>
        </w:rPr>
        <w:t>enforceable</w:t>
      </w:r>
      <w:proofErr w:type="gramEnd"/>
      <w:r w:rsidRPr="00303225">
        <w:rPr>
          <w:rFonts w:ascii="Arial" w:hAnsi="Arial" w:cs="Arial"/>
          <w:sz w:val="22"/>
          <w:szCs w:val="22"/>
          <w:lang w:val="en-US" w:eastAsia="en-US" w:bidi="x-none"/>
        </w:rPr>
        <w:t xml:space="preserve"> and timely method by which to resolve commercial disputes; and</w:t>
      </w:r>
    </w:p>
    <w:p w14:paraId="3C7B09C0" w14:textId="77777777" w:rsidR="00DD2C12" w:rsidRPr="00303225" w:rsidRDefault="00DD2C12" w:rsidP="00303225">
      <w:pPr>
        <w:tabs>
          <w:tab w:val="left" w:pos="7560"/>
          <w:tab w:val="left" w:pos="8280"/>
        </w:tabs>
        <w:autoSpaceDE w:val="0"/>
        <w:autoSpaceDN w:val="0"/>
        <w:adjustRightInd w:val="0"/>
        <w:spacing w:after="120" w:line="480" w:lineRule="auto"/>
        <w:ind w:left="2160" w:right="749"/>
        <w:rPr>
          <w:rFonts w:ascii="Arial" w:hAnsi="Arial" w:cs="Arial"/>
          <w:sz w:val="22"/>
          <w:szCs w:val="22"/>
          <w:lang w:val="en-US" w:eastAsia="en-US" w:bidi="x-none"/>
        </w:rPr>
      </w:pPr>
      <w:r w:rsidRPr="00303225">
        <w:rPr>
          <w:rFonts w:ascii="Arial" w:hAnsi="Arial" w:cs="Arial"/>
          <w:sz w:val="22"/>
          <w:szCs w:val="22"/>
          <w:lang w:val="en-US" w:eastAsia="en-US" w:bidi="x-none"/>
        </w:rPr>
        <w:t>(ii) awards are intended to provide certainty and finality.”</w:t>
      </w:r>
    </w:p>
    <w:p w14:paraId="5731D886" w14:textId="77777777" w:rsidR="00037EA1" w:rsidRPr="00303225" w:rsidRDefault="00037EA1" w:rsidP="00303225">
      <w:pPr>
        <w:tabs>
          <w:tab w:val="left" w:pos="7560"/>
          <w:tab w:val="left" w:pos="8280"/>
        </w:tabs>
        <w:autoSpaceDE w:val="0"/>
        <w:autoSpaceDN w:val="0"/>
        <w:adjustRightInd w:val="0"/>
        <w:spacing w:after="120" w:line="480" w:lineRule="auto"/>
        <w:ind w:left="2160" w:right="749"/>
        <w:rPr>
          <w:rFonts w:ascii="Arial" w:hAnsi="Arial" w:cs="Arial"/>
          <w:sz w:val="22"/>
          <w:szCs w:val="22"/>
          <w:lang w:val="en-US" w:eastAsia="en-US" w:bidi="x-none"/>
        </w:rPr>
      </w:pPr>
    </w:p>
    <w:p w14:paraId="2E4C7B5A" w14:textId="77777777" w:rsidR="00DD2C12" w:rsidRPr="00303225" w:rsidRDefault="00DD2C12" w:rsidP="00303225">
      <w:pPr>
        <w:tabs>
          <w:tab w:val="left" w:pos="8280"/>
        </w:tabs>
        <w:autoSpaceDE w:val="0"/>
        <w:autoSpaceDN w:val="0"/>
        <w:adjustRightInd w:val="0"/>
        <w:spacing w:after="120" w:line="480" w:lineRule="auto"/>
        <w:ind w:right="29"/>
        <w:rPr>
          <w:rFonts w:ascii="Arial" w:hAnsi="Arial" w:cs="Arial"/>
          <w:sz w:val="22"/>
          <w:szCs w:val="22"/>
        </w:rPr>
      </w:pPr>
      <w:r w:rsidRPr="00303225">
        <w:rPr>
          <w:rFonts w:ascii="Arial" w:hAnsi="Arial" w:cs="Arial"/>
          <w:sz w:val="22"/>
          <w:szCs w:val="22"/>
        </w:rPr>
        <w:t>The extensive list in s 39(1) seems to cover most</w:t>
      </w:r>
      <w:r w:rsidR="004C4AAC" w:rsidRPr="00303225">
        <w:rPr>
          <w:rFonts w:ascii="Arial" w:hAnsi="Arial" w:cs="Arial"/>
          <w:sz w:val="22"/>
          <w:szCs w:val="22"/>
        </w:rPr>
        <w:t>, if not all,</w:t>
      </w:r>
      <w:r w:rsidRPr="00303225">
        <w:rPr>
          <w:rFonts w:ascii="Arial" w:hAnsi="Arial" w:cs="Arial"/>
          <w:sz w:val="22"/>
          <w:szCs w:val="22"/>
        </w:rPr>
        <w:t xml:space="preserve"> situations where a court or authority</w:t>
      </w:r>
      <w:r w:rsidR="004C4AAC" w:rsidRPr="00303225">
        <w:rPr>
          <w:rStyle w:val="FootnoteReference"/>
          <w:rFonts w:ascii="Arial" w:hAnsi="Arial" w:cs="Arial"/>
          <w:sz w:val="22"/>
          <w:szCs w:val="22"/>
        </w:rPr>
        <w:footnoteReference w:id="20"/>
      </w:r>
      <w:r w:rsidR="00ED0A0E" w:rsidRPr="00303225">
        <w:rPr>
          <w:rFonts w:ascii="Arial" w:hAnsi="Arial" w:cs="Arial"/>
          <w:sz w:val="22"/>
          <w:szCs w:val="22"/>
        </w:rPr>
        <w:t xml:space="preserve"> will</w:t>
      </w:r>
      <w:r w:rsidRPr="00303225">
        <w:rPr>
          <w:rFonts w:ascii="Arial" w:hAnsi="Arial" w:cs="Arial"/>
          <w:sz w:val="22"/>
          <w:szCs w:val="22"/>
        </w:rPr>
        <w:t xml:space="preserve"> be applying or interpreting the IAA, the Model Law, the New York </w:t>
      </w:r>
      <w:r w:rsidRPr="00303225">
        <w:rPr>
          <w:rFonts w:ascii="Arial" w:hAnsi="Arial" w:cs="Arial"/>
          <w:sz w:val="22"/>
          <w:szCs w:val="22"/>
        </w:rPr>
        <w:lastRenderedPageBreak/>
        <w:t>Convention</w:t>
      </w:r>
      <w:r w:rsidR="008906F6" w:rsidRPr="00303225">
        <w:rPr>
          <w:rStyle w:val="FootnoteReference"/>
          <w:rFonts w:ascii="Arial" w:hAnsi="Arial" w:cs="Arial"/>
          <w:sz w:val="22"/>
          <w:szCs w:val="22"/>
        </w:rPr>
        <w:footnoteReference w:id="21"/>
      </w:r>
      <w:r w:rsidRPr="00303225">
        <w:rPr>
          <w:rFonts w:ascii="Arial" w:hAnsi="Arial" w:cs="Arial"/>
          <w:sz w:val="22"/>
          <w:szCs w:val="22"/>
        </w:rPr>
        <w:t xml:space="preserve"> or arbitration agreements and awards. A court or authority is directed to have regard to the objects of the IAA rather than obliged to apply the objects of the Act or the other considerations. </w:t>
      </w:r>
      <w:r w:rsidR="004C4AAC" w:rsidRPr="00303225">
        <w:rPr>
          <w:rFonts w:ascii="Arial" w:hAnsi="Arial" w:cs="Arial"/>
          <w:sz w:val="22"/>
          <w:szCs w:val="22"/>
        </w:rPr>
        <w:t>Nevertheless, this</w:t>
      </w:r>
      <w:r w:rsidRPr="00303225">
        <w:rPr>
          <w:rFonts w:ascii="Arial" w:hAnsi="Arial" w:cs="Arial"/>
          <w:sz w:val="22"/>
          <w:szCs w:val="22"/>
        </w:rPr>
        <w:t xml:space="preserve"> probably makes little practical difference. </w:t>
      </w:r>
    </w:p>
    <w:p w14:paraId="4724EA09" w14:textId="77777777" w:rsidR="00DD2C12" w:rsidRPr="00303225" w:rsidRDefault="00DD2C12" w:rsidP="00303225">
      <w:pPr>
        <w:tabs>
          <w:tab w:val="left" w:pos="8280"/>
        </w:tabs>
        <w:autoSpaceDE w:val="0"/>
        <w:autoSpaceDN w:val="0"/>
        <w:adjustRightInd w:val="0"/>
        <w:spacing w:after="120" w:line="480" w:lineRule="auto"/>
        <w:ind w:right="749"/>
        <w:rPr>
          <w:rFonts w:ascii="Arial" w:hAnsi="Arial" w:cs="Arial"/>
          <w:sz w:val="22"/>
          <w:szCs w:val="22"/>
        </w:rPr>
      </w:pPr>
      <w:r w:rsidRPr="00303225">
        <w:rPr>
          <w:rFonts w:ascii="Arial" w:hAnsi="Arial" w:cs="Arial"/>
          <w:sz w:val="22"/>
          <w:szCs w:val="22"/>
        </w:rPr>
        <w:t xml:space="preserve">The objects of the </w:t>
      </w:r>
      <w:proofErr w:type="gramStart"/>
      <w:r w:rsidR="00902EC7" w:rsidRPr="00303225">
        <w:rPr>
          <w:rFonts w:ascii="Arial" w:hAnsi="Arial" w:cs="Arial"/>
          <w:sz w:val="22"/>
          <w:szCs w:val="22"/>
        </w:rPr>
        <w:t xml:space="preserve">IAA </w:t>
      </w:r>
      <w:r w:rsidRPr="00303225">
        <w:rPr>
          <w:rFonts w:ascii="Arial" w:hAnsi="Arial" w:cs="Arial"/>
          <w:sz w:val="22"/>
          <w:szCs w:val="22"/>
        </w:rPr>
        <w:t xml:space="preserve"> are</w:t>
      </w:r>
      <w:proofErr w:type="gramEnd"/>
      <w:r w:rsidRPr="00303225">
        <w:rPr>
          <w:rFonts w:ascii="Arial" w:hAnsi="Arial" w:cs="Arial"/>
          <w:sz w:val="22"/>
          <w:szCs w:val="22"/>
        </w:rPr>
        <w:t xml:space="preserve"> set out in s 2D</w:t>
      </w:r>
      <w:r w:rsidR="00902EC7" w:rsidRPr="00303225">
        <w:rPr>
          <w:rFonts w:ascii="Arial" w:hAnsi="Arial" w:cs="Arial"/>
          <w:sz w:val="22"/>
          <w:szCs w:val="22"/>
        </w:rPr>
        <w:t>, as follows:</w:t>
      </w:r>
    </w:p>
    <w:p w14:paraId="6E3339E7" w14:textId="77777777" w:rsidR="00DD2C12" w:rsidRPr="00303225" w:rsidRDefault="00DD2C12" w:rsidP="00303225">
      <w:pPr>
        <w:autoSpaceDE w:val="0"/>
        <w:autoSpaceDN w:val="0"/>
        <w:adjustRightInd w:val="0"/>
        <w:spacing w:after="120" w:line="480" w:lineRule="auto"/>
        <w:ind w:right="749" w:firstLine="360"/>
        <w:rPr>
          <w:rFonts w:ascii="Arial" w:hAnsi="Arial" w:cs="Arial"/>
          <w:sz w:val="22"/>
          <w:szCs w:val="22"/>
        </w:rPr>
      </w:pPr>
      <w:r w:rsidRPr="00303225">
        <w:rPr>
          <w:rFonts w:ascii="Arial" w:hAnsi="Arial" w:cs="Arial"/>
          <w:sz w:val="22"/>
          <w:szCs w:val="22"/>
        </w:rPr>
        <w:t>“The objects of this Act are:</w:t>
      </w:r>
    </w:p>
    <w:p w14:paraId="3E413C91" w14:textId="77777777" w:rsidR="00DD2C12" w:rsidRPr="00303225" w:rsidRDefault="00DD2C12" w:rsidP="00303225">
      <w:pPr>
        <w:widowControl w:val="0"/>
        <w:numPr>
          <w:ilvl w:val="0"/>
          <w:numId w:val="5"/>
        </w:numPr>
        <w:autoSpaceDE w:val="0"/>
        <w:autoSpaceDN w:val="0"/>
        <w:adjustRightInd w:val="0"/>
        <w:spacing w:after="120" w:line="480" w:lineRule="auto"/>
        <w:ind w:right="749"/>
        <w:rPr>
          <w:rFonts w:ascii="Arial" w:hAnsi="Arial" w:cs="Arial"/>
          <w:sz w:val="22"/>
          <w:szCs w:val="22"/>
          <w:lang w:val="en-US" w:eastAsia="en-US" w:bidi="x-none"/>
        </w:rPr>
      </w:pPr>
      <w:r w:rsidRPr="00303225">
        <w:rPr>
          <w:rFonts w:ascii="Arial" w:hAnsi="Arial" w:cs="Arial"/>
          <w:sz w:val="22"/>
          <w:szCs w:val="22"/>
          <w:lang w:val="en-US" w:eastAsia="en-US" w:bidi="x-none"/>
        </w:rPr>
        <w:t>to facilitate international trade and commerce by encouraging the use of arbitration as a method of resolving disputes; and</w:t>
      </w:r>
    </w:p>
    <w:p w14:paraId="67BD6502" w14:textId="77777777" w:rsidR="00DD2C12" w:rsidRPr="00303225" w:rsidRDefault="00DD2C12" w:rsidP="00303225">
      <w:pPr>
        <w:widowControl w:val="0"/>
        <w:numPr>
          <w:ilvl w:val="0"/>
          <w:numId w:val="5"/>
        </w:numPr>
        <w:autoSpaceDE w:val="0"/>
        <w:autoSpaceDN w:val="0"/>
        <w:adjustRightInd w:val="0"/>
        <w:spacing w:after="120" w:line="480" w:lineRule="auto"/>
        <w:ind w:right="749"/>
        <w:rPr>
          <w:rFonts w:ascii="Arial" w:hAnsi="Arial" w:cs="Arial"/>
          <w:sz w:val="22"/>
          <w:szCs w:val="22"/>
          <w:lang w:val="en-US" w:eastAsia="en-US" w:bidi="x-none"/>
        </w:rPr>
      </w:pPr>
      <w:r w:rsidRPr="00303225">
        <w:rPr>
          <w:rFonts w:ascii="Arial" w:hAnsi="Arial" w:cs="Arial"/>
          <w:sz w:val="22"/>
          <w:szCs w:val="22"/>
          <w:lang w:val="en-US" w:eastAsia="en-US" w:bidi="x-none"/>
        </w:rPr>
        <w:t>to facilitate the use of arbitration agreements made in relation to international trade and commerce; and</w:t>
      </w:r>
    </w:p>
    <w:p w14:paraId="67D8F1DD" w14:textId="77777777" w:rsidR="00DD2C12" w:rsidRPr="00303225" w:rsidRDefault="00DD2C12" w:rsidP="00303225">
      <w:pPr>
        <w:widowControl w:val="0"/>
        <w:numPr>
          <w:ilvl w:val="0"/>
          <w:numId w:val="5"/>
        </w:numPr>
        <w:autoSpaceDE w:val="0"/>
        <w:autoSpaceDN w:val="0"/>
        <w:adjustRightInd w:val="0"/>
        <w:spacing w:after="120" w:line="480" w:lineRule="auto"/>
        <w:ind w:right="749"/>
        <w:rPr>
          <w:rFonts w:ascii="Arial" w:hAnsi="Arial" w:cs="Arial"/>
          <w:sz w:val="22"/>
          <w:szCs w:val="22"/>
          <w:lang w:val="en-US" w:eastAsia="en-US" w:bidi="x-none"/>
        </w:rPr>
      </w:pPr>
      <w:r w:rsidRPr="00303225">
        <w:rPr>
          <w:rFonts w:ascii="Arial" w:hAnsi="Arial" w:cs="Arial"/>
          <w:sz w:val="22"/>
          <w:szCs w:val="22"/>
          <w:lang w:val="en-US" w:eastAsia="en-US" w:bidi="x-none"/>
        </w:rPr>
        <w:t>to facilitate the recognition and enforcement of arbitral awards made in relation to international trade and commerce; and</w:t>
      </w:r>
    </w:p>
    <w:p w14:paraId="08C399F5" w14:textId="77777777" w:rsidR="00DD2C12" w:rsidRPr="00303225" w:rsidRDefault="00DD2C12" w:rsidP="00303225">
      <w:pPr>
        <w:widowControl w:val="0"/>
        <w:numPr>
          <w:ilvl w:val="0"/>
          <w:numId w:val="5"/>
        </w:numPr>
        <w:autoSpaceDE w:val="0"/>
        <w:autoSpaceDN w:val="0"/>
        <w:adjustRightInd w:val="0"/>
        <w:spacing w:after="120" w:line="480" w:lineRule="auto"/>
        <w:ind w:right="749"/>
        <w:rPr>
          <w:rFonts w:ascii="Arial" w:hAnsi="Arial" w:cs="Arial"/>
          <w:sz w:val="22"/>
          <w:szCs w:val="22"/>
          <w:lang w:val="en-US" w:eastAsia="en-US" w:bidi="x-none"/>
        </w:rPr>
      </w:pPr>
      <w:r w:rsidRPr="00303225">
        <w:rPr>
          <w:rFonts w:ascii="Arial" w:hAnsi="Arial" w:cs="Arial"/>
          <w:sz w:val="22"/>
          <w:szCs w:val="22"/>
          <w:lang w:val="en-US" w:eastAsia="en-US" w:bidi="x-none"/>
        </w:rPr>
        <w:t>to give effect to Australia’s obligations under the Convention on the Recognition and Enforcement of Foreign Arbitral Awards adopted in 1958 by the United Nations Conference on International Commercial Arbitration at its twenty-fourth meeting; and</w:t>
      </w:r>
    </w:p>
    <w:p w14:paraId="52F60A58" w14:textId="77777777" w:rsidR="00DD2C12" w:rsidRPr="00303225" w:rsidRDefault="00DD2C12" w:rsidP="00303225">
      <w:pPr>
        <w:widowControl w:val="0"/>
        <w:numPr>
          <w:ilvl w:val="0"/>
          <w:numId w:val="5"/>
        </w:numPr>
        <w:autoSpaceDE w:val="0"/>
        <w:autoSpaceDN w:val="0"/>
        <w:adjustRightInd w:val="0"/>
        <w:spacing w:after="120" w:line="480" w:lineRule="auto"/>
        <w:ind w:right="749"/>
        <w:rPr>
          <w:rFonts w:ascii="Arial" w:hAnsi="Arial" w:cs="Arial"/>
          <w:sz w:val="22"/>
          <w:szCs w:val="22"/>
          <w:lang w:val="en-US" w:eastAsia="en-US" w:bidi="x-none"/>
        </w:rPr>
      </w:pPr>
      <w:r w:rsidRPr="00303225">
        <w:rPr>
          <w:rFonts w:ascii="Arial" w:hAnsi="Arial" w:cs="Arial"/>
          <w:sz w:val="22"/>
          <w:szCs w:val="22"/>
          <w:lang w:val="en-US" w:eastAsia="en-US" w:bidi="x-none"/>
        </w:rPr>
        <w:t xml:space="preserve">to give effect to the UNCITRAL Model Law on International Commercial Arbitration adopted by the United Nations Commission on International Trade Law on 21 June 1985 and amended by the United Nations Commission on International Trade Law on 7 July </w:t>
      </w:r>
      <w:r w:rsidRPr="00303225">
        <w:rPr>
          <w:rFonts w:ascii="Arial" w:hAnsi="Arial" w:cs="Arial"/>
          <w:sz w:val="22"/>
          <w:szCs w:val="22"/>
          <w:lang w:val="en-US" w:eastAsia="en-US" w:bidi="x-none"/>
        </w:rPr>
        <w:lastRenderedPageBreak/>
        <w:t>2006; and</w:t>
      </w:r>
    </w:p>
    <w:p w14:paraId="43F7B09A" w14:textId="77777777" w:rsidR="00DD2C12" w:rsidRPr="00303225" w:rsidRDefault="00DD2C12" w:rsidP="00303225">
      <w:pPr>
        <w:widowControl w:val="0"/>
        <w:numPr>
          <w:ilvl w:val="0"/>
          <w:numId w:val="5"/>
        </w:numPr>
        <w:autoSpaceDE w:val="0"/>
        <w:autoSpaceDN w:val="0"/>
        <w:adjustRightInd w:val="0"/>
        <w:spacing w:after="120" w:line="480" w:lineRule="auto"/>
        <w:ind w:right="749"/>
        <w:rPr>
          <w:rFonts w:ascii="Arial" w:hAnsi="Arial" w:cs="Arial"/>
          <w:sz w:val="22"/>
          <w:szCs w:val="22"/>
        </w:rPr>
      </w:pPr>
      <w:r w:rsidRPr="00303225">
        <w:rPr>
          <w:rFonts w:ascii="Arial" w:hAnsi="Arial" w:cs="Arial"/>
          <w:sz w:val="22"/>
          <w:szCs w:val="22"/>
          <w:lang w:val="en-US" w:eastAsia="en-US" w:bidi="x-none"/>
        </w:rPr>
        <w:t>to give effect to the Convention on the Settlement of Investment Disputes between States and Nationals of Other States signed by Australia on 24 March 1975.</w:t>
      </w:r>
      <w:r w:rsidRPr="00303225">
        <w:rPr>
          <w:rFonts w:ascii="Arial" w:hAnsi="Arial" w:cs="Arial"/>
          <w:sz w:val="22"/>
          <w:szCs w:val="22"/>
        </w:rPr>
        <w:t>”</w:t>
      </w:r>
    </w:p>
    <w:p w14:paraId="103EED99" w14:textId="77777777" w:rsidR="00DD2C12" w:rsidRPr="00303225" w:rsidRDefault="00DD2C12" w:rsidP="00303225">
      <w:pPr>
        <w:widowControl w:val="0"/>
        <w:autoSpaceDE w:val="0"/>
        <w:autoSpaceDN w:val="0"/>
        <w:adjustRightInd w:val="0"/>
        <w:spacing w:after="120" w:line="480" w:lineRule="auto"/>
        <w:rPr>
          <w:rFonts w:ascii="Arial" w:hAnsi="Arial" w:cs="Arial"/>
          <w:sz w:val="22"/>
          <w:szCs w:val="22"/>
          <w:lang w:val="en-US" w:eastAsia="en-US" w:bidi="x-none"/>
        </w:rPr>
      </w:pPr>
      <w:r w:rsidRPr="00303225">
        <w:rPr>
          <w:rFonts w:ascii="Arial" w:hAnsi="Arial" w:cs="Arial"/>
          <w:sz w:val="22"/>
          <w:szCs w:val="22"/>
          <w:lang w:val="en-US" w:eastAsia="en-US" w:bidi="x-none"/>
        </w:rPr>
        <w:t xml:space="preserve">The Parliamentary intention and objective </w:t>
      </w:r>
      <w:proofErr w:type="gramStart"/>
      <w:r w:rsidRPr="00303225">
        <w:rPr>
          <w:rFonts w:ascii="Arial" w:hAnsi="Arial" w:cs="Arial"/>
          <w:sz w:val="22"/>
          <w:szCs w:val="22"/>
          <w:lang w:val="en-US" w:eastAsia="en-US" w:bidi="x-none"/>
        </w:rPr>
        <w:t>is</w:t>
      </w:r>
      <w:proofErr w:type="gramEnd"/>
      <w:r w:rsidRPr="00303225">
        <w:rPr>
          <w:rFonts w:ascii="Arial" w:hAnsi="Arial" w:cs="Arial"/>
          <w:sz w:val="22"/>
          <w:szCs w:val="22"/>
          <w:lang w:val="en-US" w:eastAsia="en-US" w:bidi="x-none"/>
        </w:rPr>
        <w:t xml:space="preserve"> made quite clear by the combination of both ss 39 and 2D – the efficient settlement of disputes by encouraging the use of arbitration in the context of international trade and commerce. Regard should also be had to Article 2A of the Model Law</w:t>
      </w:r>
      <w:r w:rsidR="004C4AAC" w:rsidRPr="00303225">
        <w:rPr>
          <w:rFonts w:ascii="Arial" w:hAnsi="Arial" w:cs="Arial"/>
          <w:sz w:val="22"/>
          <w:szCs w:val="22"/>
          <w:lang w:val="en-US" w:eastAsia="en-US" w:bidi="x-none"/>
        </w:rPr>
        <w:t xml:space="preserve"> as amended in 2006</w:t>
      </w:r>
      <w:r w:rsidRPr="00303225">
        <w:rPr>
          <w:rFonts w:ascii="Arial" w:hAnsi="Arial" w:cs="Arial"/>
          <w:sz w:val="22"/>
          <w:szCs w:val="22"/>
          <w:lang w:val="en-US" w:eastAsia="en-US" w:bidi="x-none"/>
        </w:rPr>
        <w:t xml:space="preserve"> which provides:</w:t>
      </w:r>
    </w:p>
    <w:p w14:paraId="592DBE67" w14:textId="77777777" w:rsidR="00DD2C12" w:rsidRPr="00303225" w:rsidRDefault="00DD2C12" w:rsidP="00303225">
      <w:pPr>
        <w:widowControl w:val="0"/>
        <w:autoSpaceDE w:val="0"/>
        <w:autoSpaceDN w:val="0"/>
        <w:adjustRightInd w:val="0"/>
        <w:spacing w:after="120" w:line="480" w:lineRule="auto"/>
        <w:ind w:left="720" w:right="562"/>
        <w:rPr>
          <w:rFonts w:ascii="Arial" w:hAnsi="Arial" w:cs="Arial"/>
          <w:sz w:val="22"/>
          <w:szCs w:val="22"/>
          <w:lang w:val="en-US" w:eastAsia="en-US" w:bidi="x-none"/>
        </w:rPr>
      </w:pPr>
      <w:r w:rsidRPr="00303225">
        <w:rPr>
          <w:rFonts w:ascii="Arial" w:hAnsi="Arial" w:cs="Arial"/>
          <w:sz w:val="22"/>
          <w:szCs w:val="22"/>
          <w:lang w:val="en-US" w:eastAsia="en-US" w:bidi="x-none"/>
        </w:rPr>
        <w:t>(1) In the interpretation of this Law, regard is to be had to its international origin and to the need to promote uniformity in its application and the observance of good faith</w:t>
      </w:r>
    </w:p>
    <w:p w14:paraId="4AEE5B9F" w14:textId="77777777" w:rsidR="00DD2C12" w:rsidRPr="00303225" w:rsidRDefault="00DD2C12" w:rsidP="00303225">
      <w:pPr>
        <w:widowControl w:val="0"/>
        <w:autoSpaceDE w:val="0"/>
        <w:autoSpaceDN w:val="0"/>
        <w:adjustRightInd w:val="0"/>
        <w:spacing w:after="120" w:line="480" w:lineRule="auto"/>
        <w:ind w:left="720" w:right="562"/>
        <w:rPr>
          <w:rFonts w:ascii="Arial" w:hAnsi="Arial" w:cs="Arial"/>
          <w:sz w:val="22"/>
          <w:szCs w:val="22"/>
          <w:lang w:val="en-US" w:eastAsia="en-US" w:bidi="x-none"/>
        </w:rPr>
      </w:pPr>
      <w:r w:rsidRPr="00303225">
        <w:rPr>
          <w:rFonts w:ascii="Arial" w:hAnsi="Arial" w:cs="Arial"/>
          <w:sz w:val="22"/>
          <w:szCs w:val="22"/>
          <w:lang w:val="en-US" w:eastAsia="en-US" w:bidi="x-none"/>
        </w:rPr>
        <w:t>(2) Questions concerning matters governed by the Law which are not expressly settled in it are to be settled in conformity with the general principles on which this Law is based.</w:t>
      </w:r>
    </w:p>
    <w:p w14:paraId="353DB350" w14:textId="77777777" w:rsidR="009562C2" w:rsidRPr="00303225" w:rsidRDefault="009562C2" w:rsidP="00303225">
      <w:pPr>
        <w:spacing w:line="480" w:lineRule="auto"/>
        <w:rPr>
          <w:rFonts w:ascii="Arial" w:hAnsi="Arial" w:cs="Arial"/>
          <w:sz w:val="22"/>
          <w:szCs w:val="22"/>
        </w:rPr>
      </w:pPr>
    </w:p>
    <w:p w14:paraId="1B14C1A8" w14:textId="77777777" w:rsidR="00DD2C12" w:rsidRPr="00303225" w:rsidRDefault="00E748F0" w:rsidP="00303225">
      <w:pPr>
        <w:pStyle w:val="Heading3"/>
        <w:spacing w:line="480" w:lineRule="auto"/>
        <w:rPr>
          <w:rFonts w:ascii="Arial" w:hAnsi="Arial"/>
          <w:sz w:val="22"/>
          <w:szCs w:val="22"/>
        </w:rPr>
      </w:pPr>
      <w:bookmarkStart w:id="9" w:name="_Toc274907712"/>
      <w:r w:rsidRPr="00303225">
        <w:rPr>
          <w:rFonts w:ascii="Arial" w:hAnsi="Arial"/>
          <w:sz w:val="22"/>
          <w:szCs w:val="22"/>
        </w:rPr>
        <w:t xml:space="preserve">(b) </w:t>
      </w:r>
      <w:r w:rsidR="00DD2C12" w:rsidRPr="00303225">
        <w:rPr>
          <w:rFonts w:ascii="Arial" w:hAnsi="Arial"/>
          <w:sz w:val="22"/>
          <w:szCs w:val="22"/>
        </w:rPr>
        <w:t>Consistency in the interpretation of the CAA and IAA</w:t>
      </w:r>
      <w:bookmarkEnd w:id="9"/>
    </w:p>
    <w:p w14:paraId="06560959" w14:textId="77777777" w:rsidR="009562C2" w:rsidRPr="00303225" w:rsidRDefault="009562C2" w:rsidP="00303225">
      <w:pPr>
        <w:spacing w:line="480" w:lineRule="auto"/>
        <w:rPr>
          <w:rFonts w:ascii="Arial" w:hAnsi="Arial" w:cs="Arial"/>
          <w:sz w:val="22"/>
          <w:szCs w:val="22"/>
        </w:rPr>
      </w:pPr>
      <w:r w:rsidRPr="00303225">
        <w:rPr>
          <w:rFonts w:ascii="Arial" w:hAnsi="Arial" w:cs="Arial"/>
          <w:sz w:val="22"/>
          <w:szCs w:val="22"/>
        </w:rPr>
        <w:t>The most important provision for the ach</w:t>
      </w:r>
      <w:r w:rsidR="00FE04F3" w:rsidRPr="00303225">
        <w:rPr>
          <w:rFonts w:ascii="Arial" w:hAnsi="Arial" w:cs="Arial"/>
          <w:sz w:val="22"/>
          <w:szCs w:val="22"/>
        </w:rPr>
        <w:t xml:space="preserve">ievement of consistency between </w:t>
      </w:r>
      <w:r w:rsidRPr="00303225">
        <w:rPr>
          <w:rFonts w:ascii="Arial" w:hAnsi="Arial" w:cs="Arial"/>
          <w:sz w:val="22"/>
          <w:szCs w:val="22"/>
        </w:rPr>
        <w:t>interpretation of the CAA and the IAA is found in section 2A</w:t>
      </w:r>
      <w:r w:rsidR="00DD2C12" w:rsidRPr="00303225">
        <w:rPr>
          <w:rFonts w:ascii="Arial" w:hAnsi="Arial" w:cs="Arial"/>
          <w:sz w:val="22"/>
          <w:szCs w:val="22"/>
        </w:rPr>
        <w:t xml:space="preserve"> of the CAA</w:t>
      </w:r>
      <w:r w:rsidRPr="00303225">
        <w:rPr>
          <w:rFonts w:ascii="Arial" w:hAnsi="Arial" w:cs="Arial"/>
          <w:sz w:val="22"/>
          <w:szCs w:val="22"/>
        </w:rPr>
        <w:t>:</w:t>
      </w:r>
    </w:p>
    <w:p w14:paraId="2DB16177" w14:textId="77777777" w:rsidR="009562C2" w:rsidRPr="00303225" w:rsidRDefault="004C4B41" w:rsidP="00303225">
      <w:pPr>
        <w:spacing w:after="120" w:line="480" w:lineRule="auto"/>
        <w:ind w:left="720" w:right="562"/>
        <w:rPr>
          <w:rFonts w:ascii="Arial" w:hAnsi="Arial" w:cs="Arial"/>
          <w:sz w:val="22"/>
          <w:szCs w:val="22"/>
        </w:rPr>
      </w:pPr>
      <w:r w:rsidRPr="00303225">
        <w:rPr>
          <w:rFonts w:ascii="Arial" w:hAnsi="Arial" w:cs="Arial"/>
          <w:sz w:val="22"/>
          <w:szCs w:val="22"/>
        </w:rPr>
        <w:t>“</w:t>
      </w:r>
      <w:r w:rsidR="004C4AAC" w:rsidRPr="00303225">
        <w:rPr>
          <w:rFonts w:ascii="Arial" w:hAnsi="Arial" w:cs="Arial"/>
          <w:sz w:val="22"/>
          <w:szCs w:val="22"/>
        </w:rPr>
        <w:t xml:space="preserve">2A </w:t>
      </w:r>
      <w:r w:rsidR="009562C2" w:rsidRPr="00303225">
        <w:rPr>
          <w:rFonts w:ascii="Arial" w:hAnsi="Arial" w:cs="Arial"/>
          <w:sz w:val="22"/>
          <w:szCs w:val="22"/>
        </w:rPr>
        <w:t xml:space="preserve">(1)  Subject to section 1AC, in the interpretation of this Act, regard is to be had to the need to promote so far as practicable uniformity between the application of this Act to domestic commercial arbitrations and the application of the provisions of the Model Law (as given effect by the </w:t>
      </w:r>
      <w:hyperlink r:id="rId12" w:tgtFrame="_top" w:history="1">
        <w:r w:rsidR="009562C2" w:rsidRPr="00303225">
          <w:rPr>
            <w:rFonts w:ascii="Arial" w:hAnsi="Arial" w:cs="Arial"/>
            <w:i/>
            <w:iCs/>
            <w:color w:val="000000"/>
            <w:sz w:val="22"/>
            <w:szCs w:val="22"/>
          </w:rPr>
          <w:t>International Arbitration Act 1974</w:t>
        </w:r>
      </w:hyperlink>
      <w:r w:rsidR="009562C2" w:rsidRPr="00303225">
        <w:rPr>
          <w:rFonts w:ascii="Arial" w:hAnsi="Arial" w:cs="Arial"/>
          <w:sz w:val="22"/>
          <w:szCs w:val="22"/>
        </w:rPr>
        <w:t xml:space="preserve"> of the Commonwealth) to international commercial arbitrations and the observance of good faith.</w:t>
      </w:r>
    </w:p>
    <w:p w14:paraId="08F4ECAC" w14:textId="77777777" w:rsidR="009562C2" w:rsidRPr="00303225" w:rsidRDefault="009562C2" w:rsidP="00303225">
      <w:pPr>
        <w:spacing w:after="120" w:line="480" w:lineRule="auto"/>
        <w:ind w:right="562" w:firstLine="720"/>
        <w:rPr>
          <w:rFonts w:ascii="Arial" w:hAnsi="Arial" w:cs="Arial"/>
          <w:sz w:val="22"/>
          <w:szCs w:val="22"/>
        </w:rPr>
      </w:pPr>
      <w:r w:rsidRPr="00303225">
        <w:rPr>
          <w:rFonts w:ascii="Arial" w:hAnsi="Arial" w:cs="Arial"/>
          <w:sz w:val="22"/>
          <w:szCs w:val="22"/>
        </w:rPr>
        <w:t>…</w:t>
      </w:r>
    </w:p>
    <w:p w14:paraId="37283F2D" w14:textId="77777777" w:rsidR="009562C2" w:rsidRPr="00303225" w:rsidRDefault="009562C2" w:rsidP="00303225">
      <w:pPr>
        <w:spacing w:after="120" w:line="480" w:lineRule="auto"/>
        <w:ind w:left="720" w:right="562"/>
        <w:rPr>
          <w:rFonts w:ascii="Arial" w:hAnsi="Arial" w:cs="Arial"/>
          <w:sz w:val="22"/>
          <w:szCs w:val="22"/>
        </w:rPr>
      </w:pPr>
      <w:r w:rsidRPr="00303225">
        <w:rPr>
          <w:rFonts w:ascii="Arial" w:hAnsi="Arial" w:cs="Arial"/>
          <w:sz w:val="22"/>
          <w:szCs w:val="22"/>
        </w:rPr>
        <w:lastRenderedPageBreak/>
        <w:t xml:space="preserve">(3)  Without limiting subsection (1), in interpreting this Act, reference may be made to the documents relating to the Model Law of: </w:t>
      </w:r>
    </w:p>
    <w:p w14:paraId="1E0C8022" w14:textId="77777777" w:rsidR="009562C2" w:rsidRPr="00303225" w:rsidRDefault="009562C2" w:rsidP="00303225">
      <w:pPr>
        <w:spacing w:after="120" w:line="480" w:lineRule="auto"/>
        <w:ind w:left="720" w:right="562" w:firstLine="720"/>
        <w:rPr>
          <w:rFonts w:ascii="Arial" w:hAnsi="Arial" w:cs="Arial"/>
          <w:sz w:val="22"/>
          <w:szCs w:val="22"/>
        </w:rPr>
      </w:pPr>
      <w:r w:rsidRPr="00303225">
        <w:rPr>
          <w:rFonts w:ascii="Arial" w:hAnsi="Arial" w:cs="Arial"/>
          <w:sz w:val="22"/>
          <w:szCs w:val="22"/>
        </w:rPr>
        <w:t>(a)  the United Nations Commission on International Trade Law, and</w:t>
      </w:r>
    </w:p>
    <w:p w14:paraId="609C6992" w14:textId="77777777" w:rsidR="009562C2" w:rsidRPr="00303225" w:rsidRDefault="009562C2" w:rsidP="00303225">
      <w:pPr>
        <w:spacing w:after="120" w:line="480" w:lineRule="auto"/>
        <w:ind w:left="720" w:right="562" w:firstLine="720"/>
        <w:rPr>
          <w:rFonts w:ascii="Arial" w:hAnsi="Arial" w:cs="Arial"/>
          <w:sz w:val="22"/>
          <w:szCs w:val="22"/>
        </w:rPr>
      </w:pPr>
      <w:r w:rsidRPr="00303225">
        <w:rPr>
          <w:rFonts w:ascii="Arial" w:hAnsi="Arial" w:cs="Arial"/>
          <w:sz w:val="22"/>
          <w:szCs w:val="22"/>
        </w:rPr>
        <w:t>(b)  its working groups for the preparation of the Model Law.</w:t>
      </w:r>
      <w:r w:rsidR="004C4B41" w:rsidRPr="00303225">
        <w:rPr>
          <w:rFonts w:ascii="Arial" w:hAnsi="Arial" w:cs="Arial"/>
          <w:sz w:val="22"/>
          <w:szCs w:val="22"/>
        </w:rPr>
        <w:t>”</w:t>
      </w:r>
    </w:p>
    <w:p w14:paraId="6B8B0258" w14:textId="77777777" w:rsidR="00F42E69" w:rsidRPr="00303225" w:rsidRDefault="004C4B41" w:rsidP="00303225">
      <w:pPr>
        <w:spacing w:line="480" w:lineRule="auto"/>
        <w:rPr>
          <w:rFonts w:ascii="Arial" w:hAnsi="Arial" w:cs="Arial"/>
          <w:sz w:val="22"/>
          <w:szCs w:val="22"/>
        </w:rPr>
      </w:pPr>
      <w:r w:rsidRPr="00303225">
        <w:rPr>
          <w:rFonts w:ascii="Arial" w:hAnsi="Arial" w:cs="Arial"/>
          <w:sz w:val="22"/>
          <w:szCs w:val="22"/>
        </w:rPr>
        <w:t>Even if this provision did not</w:t>
      </w:r>
      <w:r w:rsidR="0049162B" w:rsidRPr="00303225">
        <w:rPr>
          <w:rFonts w:ascii="Arial" w:hAnsi="Arial" w:cs="Arial"/>
          <w:sz w:val="22"/>
          <w:szCs w:val="22"/>
        </w:rPr>
        <w:t xml:space="preserve"> contain this express exhortation, it </w:t>
      </w:r>
      <w:r w:rsidR="00A63587" w:rsidRPr="00303225">
        <w:rPr>
          <w:rFonts w:ascii="Arial" w:hAnsi="Arial" w:cs="Arial"/>
          <w:sz w:val="22"/>
          <w:szCs w:val="22"/>
        </w:rPr>
        <w:t>is hoped</w:t>
      </w:r>
      <w:r w:rsidR="0049162B" w:rsidRPr="00303225">
        <w:rPr>
          <w:rFonts w:ascii="Arial" w:hAnsi="Arial" w:cs="Arial"/>
          <w:sz w:val="22"/>
          <w:szCs w:val="22"/>
        </w:rPr>
        <w:t xml:space="preserve"> that c</w:t>
      </w:r>
      <w:r w:rsidRPr="00303225">
        <w:rPr>
          <w:rFonts w:ascii="Arial" w:hAnsi="Arial" w:cs="Arial"/>
          <w:sz w:val="22"/>
          <w:szCs w:val="22"/>
        </w:rPr>
        <w:t>ourts w</w:t>
      </w:r>
      <w:r w:rsidR="00ED0A0E" w:rsidRPr="00303225">
        <w:rPr>
          <w:rFonts w:ascii="Arial" w:hAnsi="Arial" w:cs="Arial"/>
          <w:sz w:val="22"/>
          <w:szCs w:val="22"/>
        </w:rPr>
        <w:t>ill</w:t>
      </w:r>
      <w:r w:rsidR="0049162B" w:rsidRPr="00303225">
        <w:rPr>
          <w:rFonts w:ascii="Arial" w:hAnsi="Arial" w:cs="Arial"/>
          <w:sz w:val="22"/>
          <w:szCs w:val="22"/>
        </w:rPr>
        <w:t>, nevertheless,</w:t>
      </w:r>
      <w:r w:rsidRPr="00303225">
        <w:rPr>
          <w:rFonts w:ascii="Arial" w:hAnsi="Arial" w:cs="Arial"/>
          <w:sz w:val="22"/>
          <w:szCs w:val="22"/>
        </w:rPr>
        <w:t xml:space="preserve"> interpret the two Acts consistently unless </w:t>
      </w:r>
      <w:r w:rsidR="0049162B" w:rsidRPr="00303225">
        <w:rPr>
          <w:rFonts w:ascii="Arial" w:hAnsi="Arial" w:cs="Arial"/>
          <w:sz w:val="22"/>
          <w:szCs w:val="22"/>
        </w:rPr>
        <w:t xml:space="preserve">there </w:t>
      </w:r>
      <w:r w:rsidR="00ED0A0E" w:rsidRPr="00303225">
        <w:rPr>
          <w:rFonts w:ascii="Arial" w:hAnsi="Arial" w:cs="Arial"/>
          <w:sz w:val="22"/>
          <w:szCs w:val="22"/>
        </w:rPr>
        <w:t>i</w:t>
      </w:r>
      <w:r w:rsidR="0049162B" w:rsidRPr="00303225">
        <w:rPr>
          <w:rFonts w:ascii="Arial" w:hAnsi="Arial" w:cs="Arial"/>
          <w:sz w:val="22"/>
          <w:szCs w:val="22"/>
        </w:rPr>
        <w:t>s a good reason not to do so.</w:t>
      </w:r>
    </w:p>
    <w:p w14:paraId="4EE5D0EB" w14:textId="77777777" w:rsidR="004C4B41" w:rsidRPr="00303225" w:rsidRDefault="004C4B41" w:rsidP="00303225">
      <w:pPr>
        <w:spacing w:line="480" w:lineRule="auto"/>
        <w:rPr>
          <w:rFonts w:ascii="Arial" w:hAnsi="Arial" w:cs="Arial"/>
          <w:sz w:val="22"/>
          <w:szCs w:val="22"/>
        </w:rPr>
      </w:pPr>
    </w:p>
    <w:p w14:paraId="618CB763" w14:textId="77777777" w:rsidR="004C4B41" w:rsidRPr="00303225" w:rsidRDefault="00E748F0" w:rsidP="00303225">
      <w:pPr>
        <w:pStyle w:val="Heading3"/>
        <w:spacing w:line="480" w:lineRule="auto"/>
        <w:rPr>
          <w:rFonts w:ascii="Arial" w:hAnsi="Arial"/>
          <w:sz w:val="22"/>
          <w:szCs w:val="22"/>
        </w:rPr>
      </w:pPr>
      <w:bookmarkStart w:id="10" w:name="_Toc274907713"/>
      <w:r w:rsidRPr="00303225">
        <w:rPr>
          <w:rFonts w:ascii="Arial" w:hAnsi="Arial"/>
          <w:sz w:val="22"/>
          <w:szCs w:val="22"/>
        </w:rPr>
        <w:t xml:space="preserve">(c) </w:t>
      </w:r>
      <w:r w:rsidR="004C4B41" w:rsidRPr="00303225">
        <w:rPr>
          <w:rFonts w:ascii="Arial" w:hAnsi="Arial"/>
          <w:sz w:val="22"/>
          <w:szCs w:val="22"/>
        </w:rPr>
        <w:t>Having regard to the international origin and the need to promote uniformity</w:t>
      </w:r>
      <w:bookmarkEnd w:id="10"/>
      <w:r w:rsidR="004C4B41" w:rsidRPr="00303225">
        <w:rPr>
          <w:rFonts w:ascii="Arial" w:hAnsi="Arial"/>
          <w:sz w:val="22"/>
          <w:szCs w:val="22"/>
        </w:rPr>
        <w:t xml:space="preserve"> </w:t>
      </w:r>
    </w:p>
    <w:p w14:paraId="6E644002" w14:textId="77777777" w:rsidR="00AD0B45" w:rsidRPr="00303225" w:rsidRDefault="00585A62" w:rsidP="00303225">
      <w:pPr>
        <w:spacing w:line="480" w:lineRule="auto"/>
        <w:rPr>
          <w:rFonts w:ascii="Arial" w:hAnsi="Arial" w:cs="Arial"/>
          <w:sz w:val="22"/>
          <w:szCs w:val="22"/>
        </w:rPr>
      </w:pPr>
      <w:r w:rsidRPr="00303225">
        <w:rPr>
          <w:rFonts w:ascii="Arial" w:hAnsi="Arial" w:cs="Arial"/>
          <w:sz w:val="22"/>
          <w:szCs w:val="22"/>
        </w:rPr>
        <w:t xml:space="preserve">Consistency of interpretation is important, but only if the interpretation is </w:t>
      </w:r>
      <w:r w:rsidR="00815BC3" w:rsidRPr="00303225">
        <w:rPr>
          <w:rFonts w:ascii="Arial" w:hAnsi="Arial" w:cs="Arial"/>
          <w:sz w:val="22"/>
          <w:szCs w:val="22"/>
        </w:rPr>
        <w:t xml:space="preserve">both </w:t>
      </w:r>
      <w:r w:rsidR="005C5A59" w:rsidRPr="00303225">
        <w:rPr>
          <w:rFonts w:ascii="Arial" w:hAnsi="Arial" w:cs="Arial"/>
          <w:sz w:val="22"/>
          <w:szCs w:val="22"/>
        </w:rPr>
        <w:t>consistent and in accordance with accepted international jurisprudence with respect to the Model Law.</w:t>
      </w:r>
      <w:r w:rsidRPr="00303225">
        <w:rPr>
          <w:rFonts w:ascii="Arial" w:hAnsi="Arial" w:cs="Arial"/>
          <w:sz w:val="22"/>
          <w:szCs w:val="22"/>
        </w:rPr>
        <w:t xml:space="preserve"> </w:t>
      </w:r>
      <w:r w:rsidR="005C5A59" w:rsidRPr="00303225">
        <w:rPr>
          <w:rFonts w:ascii="Arial" w:hAnsi="Arial" w:cs="Arial"/>
          <w:sz w:val="22"/>
          <w:szCs w:val="22"/>
        </w:rPr>
        <w:t xml:space="preserve"> As indicated previously it is critically important </w:t>
      </w:r>
      <w:r w:rsidR="00FE04F3" w:rsidRPr="00303225">
        <w:rPr>
          <w:rFonts w:ascii="Arial" w:hAnsi="Arial" w:cs="Arial"/>
          <w:sz w:val="22"/>
          <w:szCs w:val="22"/>
        </w:rPr>
        <w:t>that</w:t>
      </w:r>
      <w:r w:rsidRPr="00303225">
        <w:rPr>
          <w:rFonts w:ascii="Arial" w:hAnsi="Arial" w:cs="Arial"/>
          <w:sz w:val="22"/>
          <w:szCs w:val="22"/>
        </w:rPr>
        <w:t xml:space="preserve"> the IAA and CAA </w:t>
      </w:r>
      <w:r w:rsidR="00FE04F3" w:rsidRPr="00303225">
        <w:rPr>
          <w:rFonts w:ascii="Arial" w:hAnsi="Arial" w:cs="Arial"/>
          <w:sz w:val="22"/>
          <w:szCs w:val="22"/>
        </w:rPr>
        <w:t>are not</w:t>
      </w:r>
      <w:r w:rsidR="00AC0C42" w:rsidRPr="00303225">
        <w:rPr>
          <w:rFonts w:ascii="Arial" w:hAnsi="Arial" w:cs="Arial"/>
          <w:sz w:val="22"/>
          <w:szCs w:val="22"/>
        </w:rPr>
        <w:t xml:space="preserve"> treated as </w:t>
      </w:r>
      <w:proofErr w:type="spellStart"/>
      <w:r w:rsidRPr="00303225">
        <w:rPr>
          <w:rFonts w:ascii="Arial" w:hAnsi="Arial" w:cs="Arial"/>
          <w:sz w:val="22"/>
          <w:szCs w:val="22"/>
        </w:rPr>
        <w:t>stand alone</w:t>
      </w:r>
      <w:proofErr w:type="spellEnd"/>
      <w:r w:rsidRPr="00303225">
        <w:rPr>
          <w:rFonts w:ascii="Arial" w:hAnsi="Arial" w:cs="Arial"/>
          <w:sz w:val="22"/>
          <w:szCs w:val="22"/>
        </w:rPr>
        <w:t xml:space="preserve"> pieces of legislation</w:t>
      </w:r>
      <w:r w:rsidR="00FE04F3" w:rsidRPr="00303225">
        <w:rPr>
          <w:rFonts w:ascii="Arial" w:hAnsi="Arial" w:cs="Arial"/>
          <w:sz w:val="22"/>
          <w:szCs w:val="22"/>
        </w:rPr>
        <w:t xml:space="preserve"> devoid of the international jurisprudence.</w:t>
      </w:r>
      <w:r w:rsidR="005C5A59" w:rsidRPr="00303225">
        <w:rPr>
          <w:rStyle w:val="FootnoteReference"/>
          <w:rFonts w:ascii="Arial" w:hAnsi="Arial" w:cs="Arial"/>
          <w:sz w:val="22"/>
          <w:szCs w:val="22"/>
        </w:rPr>
        <w:footnoteReference w:id="22"/>
      </w:r>
      <w:r w:rsidR="00FE04F3" w:rsidRPr="00303225">
        <w:rPr>
          <w:rFonts w:ascii="Arial" w:hAnsi="Arial" w:cs="Arial"/>
          <w:sz w:val="22"/>
          <w:szCs w:val="22"/>
        </w:rPr>
        <w:t xml:space="preserve"> </w:t>
      </w:r>
    </w:p>
    <w:p w14:paraId="16F86DE9" w14:textId="77777777" w:rsidR="00AD0B45" w:rsidRPr="00303225" w:rsidRDefault="00AD0B45" w:rsidP="00303225">
      <w:pPr>
        <w:spacing w:line="480" w:lineRule="auto"/>
        <w:rPr>
          <w:rFonts w:ascii="Arial" w:hAnsi="Arial" w:cs="Arial"/>
          <w:sz w:val="22"/>
          <w:szCs w:val="22"/>
        </w:rPr>
      </w:pPr>
    </w:p>
    <w:p w14:paraId="539D4DBF" w14:textId="77777777" w:rsidR="00585A62" w:rsidRPr="00303225" w:rsidRDefault="00FE04F3" w:rsidP="00303225">
      <w:pPr>
        <w:spacing w:line="480" w:lineRule="auto"/>
        <w:rPr>
          <w:rFonts w:ascii="Arial" w:hAnsi="Arial" w:cs="Arial"/>
          <w:sz w:val="22"/>
          <w:szCs w:val="22"/>
        </w:rPr>
      </w:pPr>
      <w:r w:rsidRPr="00303225">
        <w:rPr>
          <w:rFonts w:ascii="Arial" w:hAnsi="Arial" w:cs="Arial"/>
          <w:sz w:val="22"/>
          <w:szCs w:val="22"/>
        </w:rPr>
        <w:t>The IAA and the CAA</w:t>
      </w:r>
      <w:r w:rsidR="00585A62" w:rsidRPr="00303225">
        <w:rPr>
          <w:rFonts w:ascii="Arial" w:hAnsi="Arial" w:cs="Arial"/>
          <w:sz w:val="22"/>
          <w:szCs w:val="22"/>
        </w:rPr>
        <w:t xml:space="preserve"> </w:t>
      </w:r>
      <w:r w:rsidR="00815BC3" w:rsidRPr="00303225">
        <w:rPr>
          <w:rFonts w:ascii="Arial" w:hAnsi="Arial" w:cs="Arial"/>
          <w:sz w:val="22"/>
          <w:szCs w:val="22"/>
        </w:rPr>
        <w:t>apply</w:t>
      </w:r>
      <w:r w:rsidR="005C5A59" w:rsidRPr="00303225">
        <w:rPr>
          <w:rFonts w:ascii="Arial" w:hAnsi="Arial" w:cs="Arial"/>
          <w:sz w:val="22"/>
          <w:szCs w:val="22"/>
        </w:rPr>
        <w:t xml:space="preserve"> or are </w:t>
      </w:r>
      <w:r w:rsidR="00585A62" w:rsidRPr="00303225">
        <w:rPr>
          <w:rFonts w:ascii="Arial" w:hAnsi="Arial" w:cs="Arial"/>
          <w:sz w:val="22"/>
          <w:szCs w:val="22"/>
        </w:rPr>
        <w:t xml:space="preserve">based on the Model Law that has been adopted in over </w:t>
      </w:r>
      <w:r w:rsidR="00DF2D08" w:rsidRPr="00303225">
        <w:rPr>
          <w:rFonts w:ascii="Arial" w:hAnsi="Arial" w:cs="Arial"/>
          <w:sz w:val="22"/>
          <w:szCs w:val="22"/>
        </w:rPr>
        <w:t>sixty</w:t>
      </w:r>
      <w:r w:rsidRPr="00303225">
        <w:rPr>
          <w:rFonts w:ascii="Arial" w:hAnsi="Arial" w:cs="Arial"/>
          <w:sz w:val="22"/>
          <w:szCs w:val="22"/>
        </w:rPr>
        <w:t xml:space="preserve"> countries. The Model Law and the New York Convention, are, by their very nature, international. They are </w:t>
      </w:r>
      <w:r w:rsidR="0049162B" w:rsidRPr="00303225">
        <w:rPr>
          <w:rFonts w:ascii="Arial" w:hAnsi="Arial" w:cs="Arial"/>
          <w:sz w:val="22"/>
          <w:szCs w:val="22"/>
        </w:rPr>
        <w:t>instruments</w:t>
      </w:r>
      <w:r w:rsidR="00815BC3" w:rsidRPr="00303225">
        <w:rPr>
          <w:rFonts w:ascii="Arial" w:hAnsi="Arial" w:cs="Arial"/>
          <w:sz w:val="22"/>
          <w:szCs w:val="22"/>
        </w:rPr>
        <w:t xml:space="preserve"> which have been drafted </w:t>
      </w:r>
      <w:r w:rsidRPr="00303225">
        <w:rPr>
          <w:rFonts w:ascii="Arial" w:hAnsi="Arial" w:cs="Arial"/>
          <w:sz w:val="22"/>
          <w:szCs w:val="22"/>
        </w:rPr>
        <w:t xml:space="preserve">internationally </w:t>
      </w:r>
      <w:r w:rsidR="00815BC3" w:rsidRPr="00303225">
        <w:rPr>
          <w:rFonts w:ascii="Arial" w:hAnsi="Arial" w:cs="Arial"/>
          <w:sz w:val="22"/>
          <w:szCs w:val="22"/>
        </w:rPr>
        <w:t xml:space="preserve">and </w:t>
      </w:r>
      <w:r w:rsidR="0049162B" w:rsidRPr="00303225">
        <w:rPr>
          <w:rFonts w:ascii="Arial" w:hAnsi="Arial" w:cs="Arial"/>
          <w:sz w:val="22"/>
          <w:szCs w:val="22"/>
        </w:rPr>
        <w:t xml:space="preserve">which </w:t>
      </w:r>
      <w:r w:rsidR="00815BC3" w:rsidRPr="00303225">
        <w:rPr>
          <w:rFonts w:ascii="Arial" w:hAnsi="Arial" w:cs="Arial"/>
          <w:sz w:val="22"/>
          <w:szCs w:val="22"/>
        </w:rPr>
        <w:t xml:space="preserve">were intended by the drafters to apply to international </w:t>
      </w:r>
      <w:r w:rsidRPr="00303225">
        <w:rPr>
          <w:rFonts w:ascii="Arial" w:hAnsi="Arial" w:cs="Arial"/>
          <w:sz w:val="22"/>
          <w:szCs w:val="22"/>
        </w:rPr>
        <w:t>disputes</w:t>
      </w:r>
      <w:r w:rsidR="00815BC3" w:rsidRPr="00303225">
        <w:rPr>
          <w:rFonts w:ascii="Arial" w:hAnsi="Arial" w:cs="Arial"/>
          <w:sz w:val="22"/>
          <w:szCs w:val="22"/>
        </w:rPr>
        <w:t>,</w:t>
      </w:r>
      <w:r w:rsidRPr="00303225">
        <w:rPr>
          <w:rFonts w:ascii="Arial" w:hAnsi="Arial" w:cs="Arial"/>
          <w:sz w:val="22"/>
          <w:szCs w:val="22"/>
        </w:rPr>
        <w:t xml:space="preserve"> between entities from different countries. </w:t>
      </w:r>
      <w:r w:rsidR="00AC0C42" w:rsidRPr="00303225">
        <w:rPr>
          <w:rFonts w:ascii="Arial" w:hAnsi="Arial" w:cs="Arial"/>
          <w:sz w:val="22"/>
          <w:szCs w:val="22"/>
        </w:rPr>
        <w:t>Arbitrations are usually</w:t>
      </w:r>
      <w:r w:rsidRPr="00303225">
        <w:rPr>
          <w:rFonts w:ascii="Arial" w:hAnsi="Arial" w:cs="Arial"/>
          <w:sz w:val="22"/>
          <w:szCs w:val="22"/>
        </w:rPr>
        <w:t xml:space="preserve"> seated in a neutral country, and the arbitration award may be sought to be enforced in any country where the </w:t>
      </w:r>
      <w:r w:rsidR="00EE1979" w:rsidRPr="00303225">
        <w:rPr>
          <w:rFonts w:ascii="Arial" w:hAnsi="Arial" w:cs="Arial"/>
          <w:sz w:val="22"/>
          <w:szCs w:val="22"/>
        </w:rPr>
        <w:t>party liable</w:t>
      </w:r>
      <w:r w:rsidR="00815BC3" w:rsidRPr="00303225">
        <w:rPr>
          <w:rFonts w:ascii="Arial" w:hAnsi="Arial" w:cs="Arial"/>
          <w:sz w:val="22"/>
          <w:szCs w:val="22"/>
        </w:rPr>
        <w:t>, the award debtor,</w:t>
      </w:r>
      <w:r w:rsidR="0049162B" w:rsidRPr="00303225">
        <w:rPr>
          <w:rFonts w:ascii="Arial" w:hAnsi="Arial" w:cs="Arial"/>
          <w:sz w:val="22"/>
          <w:szCs w:val="22"/>
        </w:rPr>
        <w:t xml:space="preserve"> has </w:t>
      </w:r>
      <w:proofErr w:type="gramStart"/>
      <w:r w:rsidR="0049162B" w:rsidRPr="00303225">
        <w:rPr>
          <w:rFonts w:ascii="Arial" w:hAnsi="Arial" w:cs="Arial"/>
          <w:sz w:val="22"/>
          <w:szCs w:val="22"/>
        </w:rPr>
        <w:t>assets;</w:t>
      </w:r>
      <w:proofErr w:type="gramEnd"/>
      <w:r w:rsidR="0049162B" w:rsidRPr="00303225">
        <w:rPr>
          <w:rFonts w:ascii="Arial" w:hAnsi="Arial" w:cs="Arial"/>
          <w:sz w:val="22"/>
          <w:szCs w:val="22"/>
        </w:rPr>
        <w:t xml:space="preserve"> though far more easily if that country is a party to the New York Convention. </w:t>
      </w:r>
      <w:r w:rsidR="00EE1979" w:rsidRPr="00303225">
        <w:rPr>
          <w:rFonts w:ascii="Arial" w:hAnsi="Arial" w:cs="Arial"/>
          <w:sz w:val="22"/>
          <w:szCs w:val="22"/>
        </w:rPr>
        <w:t xml:space="preserve">Without uniformity of application, the international commercial </w:t>
      </w:r>
      <w:r w:rsidR="00EE1979" w:rsidRPr="00303225">
        <w:rPr>
          <w:rFonts w:ascii="Arial" w:hAnsi="Arial" w:cs="Arial"/>
          <w:sz w:val="22"/>
          <w:szCs w:val="22"/>
        </w:rPr>
        <w:lastRenderedPageBreak/>
        <w:t xml:space="preserve">arbitration system </w:t>
      </w:r>
      <w:r w:rsidR="00AD0B45" w:rsidRPr="00303225">
        <w:rPr>
          <w:rFonts w:ascii="Arial" w:hAnsi="Arial" w:cs="Arial"/>
          <w:sz w:val="22"/>
          <w:szCs w:val="22"/>
        </w:rPr>
        <w:t xml:space="preserve">would not be a system at all. It </w:t>
      </w:r>
      <w:r w:rsidR="00EE1979" w:rsidRPr="00303225">
        <w:rPr>
          <w:rFonts w:ascii="Arial" w:hAnsi="Arial" w:cs="Arial"/>
          <w:sz w:val="22"/>
          <w:szCs w:val="22"/>
        </w:rPr>
        <w:t xml:space="preserve">would </w:t>
      </w:r>
      <w:r w:rsidR="00AD0B45" w:rsidRPr="00303225">
        <w:rPr>
          <w:rFonts w:ascii="Arial" w:hAnsi="Arial" w:cs="Arial"/>
          <w:sz w:val="22"/>
          <w:szCs w:val="22"/>
        </w:rPr>
        <w:t>encounter similar</w:t>
      </w:r>
      <w:r w:rsidR="00EE1979" w:rsidRPr="00303225">
        <w:rPr>
          <w:rFonts w:ascii="Arial" w:hAnsi="Arial" w:cs="Arial"/>
          <w:sz w:val="22"/>
          <w:szCs w:val="22"/>
        </w:rPr>
        <w:t xml:space="preserve"> difficulties </w:t>
      </w:r>
      <w:r w:rsidR="00815BC3" w:rsidRPr="00303225">
        <w:rPr>
          <w:rFonts w:ascii="Arial" w:hAnsi="Arial" w:cs="Arial"/>
          <w:sz w:val="22"/>
          <w:szCs w:val="22"/>
        </w:rPr>
        <w:t>as</w:t>
      </w:r>
      <w:r w:rsidR="00EE1979" w:rsidRPr="00303225">
        <w:rPr>
          <w:rFonts w:ascii="Arial" w:hAnsi="Arial" w:cs="Arial"/>
          <w:sz w:val="22"/>
          <w:szCs w:val="22"/>
        </w:rPr>
        <w:t xml:space="preserve"> </w:t>
      </w:r>
      <w:r w:rsidR="00EB46D5" w:rsidRPr="00303225">
        <w:rPr>
          <w:rFonts w:ascii="Arial" w:hAnsi="Arial" w:cs="Arial"/>
          <w:sz w:val="22"/>
          <w:szCs w:val="22"/>
        </w:rPr>
        <w:t>arise when</w:t>
      </w:r>
      <w:r w:rsidR="00EE1979" w:rsidRPr="00303225">
        <w:rPr>
          <w:rFonts w:ascii="Arial" w:hAnsi="Arial" w:cs="Arial"/>
          <w:sz w:val="22"/>
          <w:szCs w:val="22"/>
        </w:rPr>
        <w:t xml:space="preserve"> trying to resolve international commercial disputes in national courts</w:t>
      </w:r>
      <w:r w:rsidR="00815BC3" w:rsidRPr="00303225">
        <w:rPr>
          <w:rFonts w:ascii="Arial" w:hAnsi="Arial" w:cs="Arial"/>
          <w:sz w:val="22"/>
          <w:szCs w:val="22"/>
        </w:rPr>
        <w:t xml:space="preserve"> and, ultimately, seeking to enforce judgments internationally.</w:t>
      </w:r>
      <w:r w:rsidR="00EE1979" w:rsidRPr="00303225">
        <w:rPr>
          <w:rFonts w:ascii="Arial" w:hAnsi="Arial" w:cs="Arial"/>
          <w:sz w:val="22"/>
          <w:szCs w:val="22"/>
        </w:rPr>
        <w:t xml:space="preserve"> </w:t>
      </w:r>
      <w:r w:rsidR="00AC0C42" w:rsidRPr="00303225">
        <w:rPr>
          <w:rFonts w:ascii="Arial" w:hAnsi="Arial" w:cs="Arial"/>
          <w:sz w:val="22"/>
          <w:szCs w:val="22"/>
        </w:rPr>
        <w:t xml:space="preserve"> It is beneficial</w:t>
      </w:r>
      <w:r w:rsidR="00DB4258" w:rsidRPr="00303225">
        <w:rPr>
          <w:rFonts w:ascii="Arial" w:hAnsi="Arial" w:cs="Arial"/>
          <w:sz w:val="22"/>
          <w:szCs w:val="22"/>
        </w:rPr>
        <w:t xml:space="preserve"> to all countries which</w:t>
      </w:r>
      <w:r w:rsidR="00AC0C42" w:rsidRPr="00303225">
        <w:rPr>
          <w:rFonts w:ascii="Arial" w:hAnsi="Arial" w:cs="Arial"/>
          <w:sz w:val="22"/>
          <w:szCs w:val="22"/>
        </w:rPr>
        <w:t xml:space="preserve"> have adopted the Model Law (or similarly supportive arbitration laws) and the New York Convention </w:t>
      </w:r>
      <w:r w:rsidR="00EE1979" w:rsidRPr="00303225">
        <w:rPr>
          <w:rFonts w:ascii="Arial" w:hAnsi="Arial" w:cs="Arial"/>
          <w:sz w:val="22"/>
          <w:szCs w:val="22"/>
        </w:rPr>
        <w:t>if a harmonised system is maintained.</w:t>
      </w:r>
    </w:p>
    <w:p w14:paraId="54BC8AE0" w14:textId="77777777" w:rsidR="00AD0B45" w:rsidRPr="00303225" w:rsidRDefault="00AD0B45" w:rsidP="00303225">
      <w:pPr>
        <w:spacing w:line="480" w:lineRule="auto"/>
        <w:rPr>
          <w:rFonts w:ascii="Arial" w:hAnsi="Arial" w:cs="Arial"/>
          <w:sz w:val="22"/>
          <w:szCs w:val="22"/>
        </w:rPr>
      </w:pPr>
    </w:p>
    <w:p w14:paraId="6028A231" w14:textId="77777777" w:rsidR="00AD0B45" w:rsidRPr="00303225" w:rsidRDefault="00AD0B45" w:rsidP="00303225">
      <w:pPr>
        <w:spacing w:line="480" w:lineRule="auto"/>
        <w:rPr>
          <w:rFonts w:ascii="Arial" w:hAnsi="Arial" w:cs="Arial"/>
          <w:sz w:val="22"/>
          <w:szCs w:val="22"/>
        </w:rPr>
      </w:pPr>
      <w:r w:rsidRPr="00303225">
        <w:rPr>
          <w:rFonts w:ascii="Arial" w:hAnsi="Arial" w:cs="Arial"/>
          <w:sz w:val="22"/>
          <w:szCs w:val="22"/>
        </w:rPr>
        <w:t xml:space="preserve">In a practical sense, this means that </w:t>
      </w:r>
      <w:r w:rsidR="00815BC3" w:rsidRPr="00303225">
        <w:rPr>
          <w:rFonts w:ascii="Arial" w:hAnsi="Arial" w:cs="Arial"/>
          <w:sz w:val="22"/>
          <w:szCs w:val="22"/>
        </w:rPr>
        <w:t>Australian c</w:t>
      </w:r>
      <w:r w:rsidRPr="00303225">
        <w:rPr>
          <w:rFonts w:ascii="Arial" w:hAnsi="Arial" w:cs="Arial"/>
          <w:sz w:val="22"/>
          <w:szCs w:val="22"/>
        </w:rPr>
        <w:t>ourts should ha</w:t>
      </w:r>
      <w:r w:rsidR="00EB46D5" w:rsidRPr="00303225">
        <w:rPr>
          <w:rFonts w:ascii="Arial" w:hAnsi="Arial" w:cs="Arial"/>
          <w:sz w:val="22"/>
          <w:szCs w:val="22"/>
        </w:rPr>
        <w:t>ve regard to decisions of overseas courts</w:t>
      </w:r>
      <w:r w:rsidRPr="00303225">
        <w:rPr>
          <w:rFonts w:ascii="Arial" w:hAnsi="Arial" w:cs="Arial"/>
          <w:sz w:val="22"/>
          <w:szCs w:val="22"/>
        </w:rPr>
        <w:t xml:space="preserve"> applying and interpreting the Model Law. In my view, the CAA and the IAA encourage this approach as the interpretative provisions specifically direct judges to have regard to the international origin</w:t>
      </w:r>
      <w:r w:rsidR="00FF3024" w:rsidRPr="00303225">
        <w:rPr>
          <w:rFonts w:ascii="Arial" w:hAnsi="Arial" w:cs="Arial"/>
          <w:sz w:val="22"/>
          <w:szCs w:val="22"/>
        </w:rPr>
        <w:t>s</w:t>
      </w:r>
      <w:r w:rsidRPr="00303225">
        <w:rPr>
          <w:rFonts w:ascii="Arial" w:hAnsi="Arial" w:cs="Arial"/>
          <w:sz w:val="22"/>
          <w:szCs w:val="22"/>
        </w:rPr>
        <w:t xml:space="preserve"> of the</w:t>
      </w:r>
      <w:r w:rsidR="00FF3024" w:rsidRPr="00303225">
        <w:rPr>
          <w:rFonts w:ascii="Arial" w:hAnsi="Arial" w:cs="Arial"/>
          <w:sz w:val="22"/>
          <w:szCs w:val="22"/>
        </w:rPr>
        <w:t xml:space="preserve"> provisions applied by </w:t>
      </w:r>
      <w:proofErr w:type="gramStart"/>
      <w:r w:rsidR="00FF3024" w:rsidRPr="00303225">
        <w:rPr>
          <w:rFonts w:ascii="Arial" w:hAnsi="Arial" w:cs="Arial"/>
          <w:sz w:val="22"/>
          <w:szCs w:val="22"/>
        </w:rPr>
        <w:t xml:space="preserve">the </w:t>
      </w:r>
      <w:r w:rsidRPr="00303225">
        <w:rPr>
          <w:rFonts w:ascii="Arial" w:hAnsi="Arial" w:cs="Arial"/>
          <w:sz w:val="22"/>
          <w:szCs w:val="22"/>
        </w:rPr>
        <w:t xml:space="preserve"> IAA</w:t>
      </w:r>
      <w:proofErr w:type="gramEnd"/>
      <w:r w:rsidR="00FF3024" w:rsidRPr="00303225">
        <w:rPr>
          <w:rFonts w:ascii="Arial" w:hAnsi="Arial" w:cs="Arial"/>
          <w:sz w:val="22"/>
          <w:szCs w:val="22"/>
        </w:rPr>
        <w:t>, and to the desirability of the uniform application of these provisions internationally.</w:t>
      </w:r>
      <w:r w:rsidR="00FF3024" w:rsidRPr="00303225">
        <w:rPr>
          <w:rStyle w:val="FootnoteReference"/>
          <w:rFonts w:ascii="Arial" w:hAnsi="Arial" w:cs="Arial"/>
          <w:sz w:val="22"/>
          <w:szCs w:val="22"/>
        </w:rPr>
        <w:footnoteReference w:id="23"/>
      </w:r>
      <w:r w:rsidRPr="00303225">
        <w:rPr>
          <w:rFonts w:ascii="Arial" w:hAnsi="Arial" w:cs="Arial"/>
          <w:sz w:val="22"/>
          <w:szCs w:val="22"/>
        </w:rPr>
        <w:t xml:space="preserve"> </w:t>
      </w:r>
      <w:r w:rsidR="00FF3024" w:rsidRPr="00303225">
        <w:rPr>
          <w:rFonts w:ascii="Arial" w:hAnsi="Arial" w:cs="Arial"/>
          <w:sz w:val="22"/>
          <w:szCs w:val="22"/>
        </w:rPr>
        <w:t>The same result is contemplated with respect to the Model Law provisions adopted in the CAA provisions.</w:t>
      </w:r>
      <w:r w:rsidR="00FF3024" w:rsidRPr="00303225">
        <w:rPr>
          <w:rStyle w:val="FootnoteReference"/>
          <w:rFonts w:ascii="Arial" w:hAnsi="Arial" w:cs="Arial"/>
          <w:sz w:val="22"/>
          <w:szCs w:val="22"/>
        </w:rPr>
        <w:footnoteReference w:id="24"/>
      </w:r>
      <w:r w:rsidR="00B71A3C" w:rsidRPr="00303225">
        <w:rPr>
          <w:rFonts w:ascii="Arial" w:hAnsi="Arial" w:cs="Arial"/>
          <w:sz w:val="22"/>
          <w:szCs w:val="22"/>
        </w:rPr>
        <w:t xml:space="preserve"> </w:t>
      </w:r>
    </w:p>
    <w:p w14:paraId="11E32472" w14:textId="77777777" w:rsidR="00B83B9D" w:rsidRPr="00303225" w:rsidRDefault="00B83B9D" w:rsidP="00303225">
      <w:pPr>
        <w:spacing w:line="480" w:lineRule="auto"/>
        <w:rPr>
          <w:rFonts w:ascii="Arial" w:hAnsi="Arial" w:cs="Arial"/>
          <w:sz w:val="22"/>
          <w:szCs w:val="22"/>
        </w:rPr>
      </w:pPr>
    </w:p>
    <w:p w14:paraId="51F9D971" w14:textId="77777777" w:rsidR="0010231E" w:rsidRPr="00303225" w:rsidRDefault="0010231E" w:rsidP="00303225">
      <w:pPr>
        <w:pStyle w:val="Heading3"/>
        <w:spacing w:line="480" w:lineRule="auto"/>
        <w:rPr>
          <w:rFonts w:ascii="Arial" w:hAnsi="Arial"/>
          <w:sz w:val="22"/>
          <w:szCs w:val="22"/>
        </w:rPr>
      </w:pPr>
      <w:bookmarkStart w:id="11" w:name="_Toc274907714"/>
      <w:r w:rsidRPr="00303225">
        <w:rPr>
          <w:rFonts w:ascii="Arial" w:hAnsi="Arial"/>
          <w:sz w:val="22"/>
          <w:szCs w:val="22"/>
        </w:rPr>
        <w:t>(d) Practical matters</w:t>
      </w:r>
      <w:r w:rsidR="00037EA1" w:rsidRPr="00303225">
        <w:rPr>
          <w:rFonts w:ascii="Arial" w:hAnsi="Arial"/>
          <w:sz w:val="22"/>
          <w:szCs w:val="22"/>
        </w:rPr>
        <w:t xml:space="preserve"> for interpretation</w:t>
      </w:r>
      <w:bookmarkEnd w:id="11"/>
    </w:p>
    <w:p w14:paraId="7917AE72" w14:textId="77777777" w:rsidR="00EB294C" w:rsidRPr="00303225" w:rsidRDefault="0010231E" w:rsidP="00303225">
      <w:pPr>
        <w:pStyle w:val="Heading4"/>
        <w:spacing w:line="480" w:lineRule="auto"/>
        <w:rPr>
          <w:rFonts w:ascii="Arial" w:hAnsi="Arial" w:cs="Arial"/>
          <w:b/>
          <w:sz w:val="22"/>
          <w:szCs w:val="22"/>
        </w:rPr>
      </w:pPr>
      <w:bookmarkStart w:id="12" w:name="_Toc274907715"/>
      <w:r w:rsidRPr="00303225">
        <w:rPr>
          <w:rFonts w:ascii="Arial" w:hAnsi="Arial" w:cs="Arial"/>
          <w:b/>
          <w:sz w:val="22"/>
          <w:szCs w:val="22"/>
        </w:rPr>
        <w:t>Principle of comity</w:t>
      </w:r>
      <w:bookmarkEnd w:id="12"/>
    </w:p>
    <w:p w14:paraId="1C8C48EC" w14:textId="77777777" w:rsidR="00EB294C" w:rsidRPr="00303225" w:rsidRDefault="00EB294C" w:rsidP="00303225">
      <w:pPr>
        <w:spacing w:line="480" w:lineRule="auto"/>
        <w:rPr>
          <w:rFonts w:ascii="Arial" w:hAnsi="Arial" w:cs="Arial"/>
          <w:sz w:val="22"/>
          <w:szCs w:val="22"/>
        </w:rPr>
      </w:pPr>
      <w:r w:rsidRPr="00303225">
        <w:rPr>
          <w:rFonts w:ascii="Arial" w:hAnsi="Arial" w:cs="Arial"/>
          <w:sz w:val="22"/>
          <w:szCs w:val="22"/>
        </w:rPr>
        <w:t xml:space="preserve">The High Court of Australia in </w:t>
      </w:r>
      <w:r w:rsidRPr="00303225">
        <w:rPr>
          <w:rFonts w:ascii="Arial" w:hAnsi="Arial" w:cs="Arial"/>
          <w:i/>
          <w:sz w:val="22"/>
          <w:szCs w:val="22"/>
        </w:rPr>
        <w:t>Farah</w:t>
      </w:r>
      <w:r w:rsidRPr="00303225">
        <w:rPr>
          <w:rFonts w:ascii="Arial" w:hAnsi="Arial" w:cs="Arial"/>
          <w:sz w:val="22"/>
          <w:szCs w:val="22"/>
        </w:rPr>
        <w:t xml:space="preserve"> </w:t>
      </w:r>
      <w:r w:rsidRPr="00303225">
        <w:rPr>
          <w:rFonts w:ascii="Arial" w:hAnsi="Arial" w:cs="Arial"/>
          <w:i/>
          <w:sz w:val="22"/>
          <w:szCs w:val="22"/>
        </w:rPr>
        <w:t>Constructions Pty Ltd v Say-Dee Pty Ltd</w:t>
      </w:r>
      <w:r w:rsidRPr="00303225">
        <w:rPr>
          <w:rFonts w:ascii="Arial" w:hAnsi="Arial" w:cs="Arial"/>
          <w:sz w:val="22"/>
          <w:szCs w:val="22"/>
        </w:rPr>
        <w:t xml:space="preserve"> reaffirmed the principle that:</w:t>
      </w:r>
      <w:r w:rsidRPr="00303225">
        <w:rPr>
          <w:rStyle w:val="FootnoteReference"/>
          <w:rFonts w:ascii="Arial" w:hAnsi="Arial" w:cs="Arial"/>
          <w:sz w:val="22"/>
          <w:szCs w:val="22"/>
        </w:rPr>
        <w:footnoteReference w:id="25"/>
      </w:r>
    </w:p>
    <w:p w14:paraId="4CD642CD" w14:textId="77777777" w:rsidR="0010231E" w:rsidRPr="00303225" w:rsidRDefault="007B63A2" w:rsidP="00303225">
      <w:pPr>
        <w:spacing w:line="480" w:lineRule="auto"/>
        <w:ind w:left="720" w:right="562"/>
        <w:rPr>
          <w:rFonts w:ascii="Arial" w:hAnsi="Arial" w:cs="Arial"/>
          <w:sz w:val="22"/>
          <w:szCs w:val="22"/>
        </w:rPr>
      </w:pPr>
      <w:r w:rsidRPr="00303225">
        <w:rPr>
          <w:rFonts w:ascii="Arial" w:hAnsi="Arial" w:cs="Arial"/>
          <w:sz w:val="22"/>
          <w:szCs w:val="22"/>
        </w:rPr>
        <w:t>I</w:t>
      </w:r>
      <w:r w:rsidR="00EB294C" w:rsidRPr="00303225">
        <w:rPr>
          <w:rFonts w:ascii="Arial" w:hAnsi="Arial" w:cs="Arial"/>
          <w:sz w:val="22"/>
          <w:szCs w:val="22"/>
        </w:rPr>
        <w:t>ntermediate appellate courts and trial judges in Australia should not depart from decisions in intermediate appellate courts in another jurisdiction on the interpretation of Commonwealth legislation or uniform national legislation unless they are convinced that the interpretation is plainly wrong.</w:t>
      </w:r>
      <w:r w:rsidR="00EB294C" w:rsidRPr="00303225">
        <w:rPr>
          <w:rStyle w:val="FootnoteReference"/>
          <w:rFonts w:ascii="Arial" w:hAnsi="Arial" w:cs="Arial"/>
          <w:sz w:val="22"/>
          <w:szCs w:val="22"/>
        </w:rPr>
        <w:footnoteReference w:id="26"/>
      </w:r>
    </w:p>
    <w:p w14:paraId="52CD8DBC" w14:textId="77777777" w:rsidR="007B63A2" w:rsidRPr="00303225" w:rsidRDefault="007B63A2" w:rsidP="00303225">
      <w:pPr>
        <w:spacing w:line="480" w:lineRule="auto"/>
        <w:rPr>
          <w:rFonts w:ascii="Arial" w:hAnsi="Arial" w:cs="Arial"/>
          <w:sz w:val="22"/>
          <w:szCs w:val="22"/>
        </w:rPr>
      </w:pPr>
    </w:p>
    <w:p w14:paraId="32C34847" w14:textId="77777777" w:rsidR="007B63A2" w:rsidRPr="00303225" w:rsidRDefault="007B63A2" w:rsidP="00303225">
      <w:pPr>
        <w:spacing w:line="480" w:lineRule="auto"/>
        <w:rPr>
          <w:rFonts w:ascii="Arial" w:hAnsi="Arial" w:cs="Arial"/>
          <w:sz w:val="22"/>
          <w:szCs w:val="22"/>
        </w:rPr>
      </w:pPr>
      <w:r w:rsidRPr="00303225">
        <w:rPr>
          <w:rFonts w:ascii="Arial" w:hAnsi="Arial" w:cs="Arial"/>
          <w:sz w:val="22"/>
          <w:szCs w:val="22"/>
        </w:rPr>
        <w:t xml:space="preserve">This principle </w:t>
      </w:r>
      <w:r w:rsidR="00FF3024" w:rsidRPr="00303225">
        <w:rPr>
          <w:rFonts w:ascii="Arial" w:hAnsi="Arial" w:cs="Arial"/>
          <w:sz w:val="22"/>
          <w:szCs w:val="22"/>
        </w:rPr>
        <w:t xml:space="preserve">would appear to apply </w:t>
      </w:r>
      <w:r w:rsidRPr="00303225">
        <w:rPr>
          <w:rFonts w:ascii="Arial" w:hAnsi="Arial" w:cs="Arial"/>
          <w:sz w:val="22"/>
          <w:szCs w:val="22"/>
        </w:rPr>
        <w:t xml:space="preserve">to both the CAA as uniform national legislation and the IAA as Commonwealth legislation. </w:t>
      </w:r>
      <w:r w:rsidR="00FF3024" w:rsidRPr="00303225">
        <w:rPr>
          <w:rFonts w:ascii="Arial" w:hAnsi="Arial" w:cs="Arial"/>
          <w:sz w:val="22"/>
          <w:szCs w:val="22"/>
        </w:rPr>
        <w:t>The application of this principle is likely to be important</w:t>
      </w:r>
      <w:r w:rsidRPr="00303225">
        <w:rPr>
          <w:rFonts w:ascii="Arial" w:hAnsi="Arial" w:cs="Arial"/>
          <w:sz w:val="22"/>
          <w:szCs w:val="22"/>
        </w:rPr>
        <w:t xml:space="preserve"> </w:t>
      </w:r>
      <w:r w:rsidR="0053761D" w:rsidRPr="00303225">
        <w:rPr>
          <w:rFonts w:ascii="Arial" w:hAnsi="Arial" w:cs="Arial"/>
          <w:sz w:val="22"/>
          <w:szCs w:val="22"/>
        </w:rPr>
        <w:t xml:space="preserve">in the international commercial arbitration context </w:t>
      </w:r>
      <w:r w:rsidR="00FF3024" w:rsidRPr="00303225">
        <w:rPr>
          <w:rFonts w:ascii="Arial" w:hAnsi="Arial" w:cs="Arial"/>
          <w:sz w:val="22"/>
          <w:szCs w:val="22"/>
        </w:rPr>
        <w:t>because of the</w:t>
      </w:r>
      <w:r w:rsidRPr="00303225">
        <w:rPr>
          <w:rFonts w:ascii="Arial" w:hAnsi="Arial" w:cs="Arial"/>
          <w:sz w:val="22"/>
          <w:szCs w:val="22"/>
        </w:rPr>
        <w:t xml:space="preserve"> dearth of High Court authority under the IAA </w:t>
      </w:r>
      <w:r w:rsidR="00FF3024" w:rsidRPr="00303225">
        <w:rPr>
          <w:rFonts w:ascii="Arial" w:hAnsi="Arial" w:cs="Arial"/>
          <w:sz w:val="22"/>
          <w:szCs w:val="22"/>
        </w:rPr>
        <w:t xml:space="preserve">and in relation to the </w:t>
      </w:r>
      <w:r w:rsidRPr="00303225">
        <w:rPr>
          <w:rFonts w:ascii="Arial" w:hAnsi="Arial" w:cs="Arial"/>
          <w:sz w:val="22"/>
          <w:szCs w:val="22"/>
        </w:rPr>
        <w:t>Model Law</w:t>
      </w:r>
      <w:r w:rsidR="0025548F" w:rsidRPr="00303225">
        <w:rPr>
          <w:rFonts w:ascii="Arial" w:hAnsi="Arial" w:cs="Arial"/>
          <w:sz w:val="22"/>
          <w:szCs w:val="22"/>
        </w:rPr>
        <w:t xml:space="preserve"> provisions</w:t>
      </w:r>
      <w:r w:rsidRPr="00303225">
        <w:rPr>
          <w:rFonts w:ascii="Arial" w:hAnsi="Arial" w:cs="Arial"/>
          <w:sz w:val="22"/>
          <w:szCs w:val="22"/>
        </w:rPr>
        <w:t>.</w:t>
      </w:r>
      <w:r w:rsidR="0049162B" w:rsidRPr="00303225">
        <w:rPr>
          <w:rFonts w:ascii="Arial" w:hAnsi="Arial" w:cs="Arial"/>
          <w:sz w:val="22"/>
          <w:szCs w:val="22"/>
        </w:rPr>
        <w:t xml:space="preserve"> It is also important in the domestic arbitration context and will assist further in the development of international arbitration jurisprudence as </w:t>
      </w:r>
      <w:r w:rsidR="00DD7835" w:rsidRPr="00303225">
        <w:rPr>
          <w:rFonts w:ascii="Arial" w:hAnsi="Arial" w:cs="Arial"/>
          <w:sz w:val="22"/>
          <w:szCs w:val="22"/>
        </w:rPr>
        <w:t>decisions</w:t>
      </w:r>
      <w:r w:rsidR="0049162B" w:rsidRPr="00303225">
        <w:rPr>
          <w:rFonts w:ascii="Arial" w:hAnsi="Arial" w:cs="Arial"/>
          <w:sz w:val="22"/>
          <w:szCs w:val="22"/>
        </w:rPr>
        <w:t xml:space="preserve"> on the CAA provisions feed interpretation of the IAA and the Model Law provisions generally, as discussed previously. </w:t>
      </w:r>
    </w:p>
    <w:p w14:paraId="08B8A39D" w14:textId="77777777" w:rsidR="007B63A2" w:rsidRPr="00303225" w:rsidRDefault="007B63A2" w:rsidP="00303225">
      <w:pPr>
        <w:spacing w:line="480" w:lineRule="auto"/>
        <w:rPr>
          <w:rFonts w:ascii="Arial" w:hAnsi="Arial" w:cs="Arial"/>
          <w:sz w:val="22"/>
          <w:szCs w:val="22"/>
        </w:rPr>
      </w:pPr>
    </w:p>
    <w:p w14:paraId="2E696D04" w14:textId="77777777" w:rsidR="00F643BB" w:rsidRPr="00303225" w:rsidRDefault="0010231E" w:rsidP="00303225">
      <w:pPr>
        <w:pStyle w:val="Heading4"/>
        <w:spacing w:line="480" w:lineRule="auto"/>
        <w:rPr>
          <w:rFonts w:ascii="Arial" w:hAnsi="Arial" w:cs="Arial"/>
          <w:b/>
          <w:sz w:val="22"/>
          <w:szCs w:val="22"/>
        </w:rPr>
      </w:pPr>
      <w:bookmarkStart w:id="13" w:name="_Toc274907716"/>
      <w:r w:rsidRPr="00303225">
        <w:rPr>
          <w:rFonts w:ascii="Arial" w:hAnsi="Arial" w:cs="Arial"/>
          <w:b/>
          <w:sz w:val="22"/>
          <w:szCs w:val="22"/>
        </w:rPr>
        <w:t>Arbitration lists</w:t>
      </w:r>
      <w:bookmarkEnd w:id="13"/>
    </w:p>
    <w:p w14:paraId="1D880806" w14:textId="77777777" w:rsidR="00321755" w:rsidRPr="00303225" w:rsidRDefault="00F643BB" w:rsidP="00303225">
      <w:pPr>
        <w:spacing w:line="480" w:lineRule="auto"/>
        <w:rPr>
          <w:rFonts w:ascii="Arial" w:hAnsi="Arial" w:cs="Arial"/>
          <w:sz w:val="22"/>
          <w:szCs w:val="22"/>
        </w:rPr>
      </w:pPr>
      <w:r w:rsidRPr="00303225">
        <w:rPr>
          <w:rFonts w:ascii="Arial" w:hAnsi="Arial" w:cs="Arial"/>
          <w:sz w:val="22"/>
          <w:szCs w:val="22"/>
        </w:rPr>
        <w:t>As more State and Territory Supreme Courts and the Federal Court create specialist arbitration lists</w:t>
      </w:r>
      <w:r w:rsidR="00F92A83" w:rsidRPr="00303225">
        <w:rPr>
          <w:rFonts w:ascii="Arial" w:hAnsi="Arial" w:cs="Arial"/>
          <w:sz w:val="22"/>
          <w:szCs w:val="22"/>
        </w:rPr>
        <w:t>,</w:t>
      </w:r>
      <w:r w:rsidR="001E759A" w:rsidRPr="00303225">
        <w:rPr>
          <w:rFonts w:ascii="Arial" w:hAnsi="Arial" w:cs="Arial"/>
          <w:sz w:val="22"/>
          <w:szCs w:val="22"/>
        </w:rPr>
        <w:t xml:space="preserve"> or </w:t>
      </w:r>
      <w:r w:rsidR="0049162B" w:rsidRPr="00303225">
        <w:rPr>
          <w:rFonts w:ascii="Arial" w:hAnsi="Arial" w:cs="Arial"/>
          <w:sz w:val="22"/>
          <w:szCs w:val="22"/>
        </w:rPr>
        <w:t xml:space="preserve">nominate </w:t>
      </w:r>
      <w:proofErr w:type="gramStart"/>
      <w:r w:rsidR="0049162B" w:rsidRPr="00303225">
        <w:rPr>
          <w:rFonts w:ascii="Arial" w:hAnsi="Arial" w:cs="Arial"/>
          <w:sz w:val="22"/>
          <w:szCs w:val="22"/>
        </w:rPr>
        <w:t>particular</w:t>
      </w:r>
      <w:r w:rsidR="001E759A" w:rsidRPr="00303225">
        <w:rPr>
          <w:rFonts w:ascii="Arial" w:hAnsi="Arial" w:cs="Arial"/>
          <w:sz w:val="22"/>
          <w:szCs w:val="22"/>
        </w:rPr>
        <w:t xml:space="preserve"> judges</w:t>
      </w:r>
      <w:proofErr w:type="gramEnd"/>
      <w:r w:rsidR="001E759A" w:rsidRPr="00303225">
        <w:rPr>
          <w:rFonts w:ascii="Arial" w:hAnsi="Arial" w:cs="Arial"/>
          <w:sz w:val="22"/>
          <w:szCs w:val="22"/>
        </w:rPr>
        <w:t xml:space="preserve"> to hear arbitration matters</w:t>
      </w:r>
      <w:r w:rsidR="00F92A83" w:rsidRPr="00303225">
        <w:rPr>
          <w:rFonts w:ascii="Arial" w:hAnsi="Arial" w:cs="Arial"/>
          <w:sz w:val="22"/>
          <w:szCs w:val="22"/>
        </w:rPr>
        <w:t>,</w:t>
      </w:r>
      <w:r w:rsidRPr="00303225">
        <w:rPr>
          <w:rFonts w:ascii="Arial" w:hAnsi="Arial" w:cs="Arial"/>
          <w:sz w:val="22"/>
          <w:szCs w:val="22"/>
        </w:rPr>
        <w:t xml:space="preserve"> </w:t>
      </w:r>
      <w:r w:rsidR="0025548F" w:rsidRPr="00303225">
        <w:rPr>
          <w:rFonts w:ascii="Arial" w:hAnsi="Arial" w:cs="Arial"/>
          <w:sz w:val="22"/>
          <w:szCs w:val="22"/>
        </w:rPr>
        <w:t xml:space="preserve">further </w:t>
      </w:r>
      <w:r w:rsidR="00604E7D" w:rsidRPr="00303225">
        <w:rPr>
          <w:rFonts w:ascii="Arial" w:hAnsi="Arial" w:cs="Arial"/>
          <w:sz w:val="22"/>
          <w:szCs w:val="22"/>
        </w:rPr>
        <w:t>expertise will be developed</w:t>
      </w:r>
      <w:r w:rsidR="0025548F" w:rsidRPr="00303225">
        <w:rPr>
          <w:rFonts w:ascii="Arial" w:hAnsi="Arial" w:cs="Arial"/>
          <w:sz w:val="22"/>
          <w:szCs w:val="22"/>
        </w:rPr>
        <w:t xml:space="preserve"> in the courts</w:t>
      </w:r>
      <w:r w:rsidR="00604E7D" w:rsidRPr="00303225">
        <w:rPr>
          <w:rFonts w:ascii="Arial" w:hAnsi="Arial" w:cs="Arial"/>
          <w:sz w:val="22"/>
          <w:szCs w:val="22"/>
        </w:rPr>
        <w:t>. The Federal Court has an “Arbitration Coordinating Judge” in each State and Territory.</w:t>
      </w:r>
      <w:r w:rsidR="00531DB5" w:rsidRPr="00303225">
        <w:rPr>
          <w:rFonts w:ascii="Arial" w:hAnsi="Arial" w:cs="Arial"/>
          <w:sz w:val="22"/>
          <w:szCs w:val="22"/>
        </w:rPr>
        <w:t xml:space="preserve"> The Supreme Court of New South Wales has</w:t>
      </w:r>
      <w:r w:rsidR="000C15F2" w:rsidRPr="00303225">
        <w:rPr>
          <w:rFonts w:ascii="Arial" w:hAnsi="Arial" w:cs="Arial"/>
          <w:sz w:val="22"/>
          <w:szCs w:val="22"/>
        </w:rPr>
        <w:t xml:space="preserve"> a Commercial Arbitration List, and I am the judge in charge of the Supreme Court</w:t>
      </w:r>
      <w:r w:rsidR="009615FC" w:rsidRPr="00303225">
        <w:rPr>
          <w:rFonts w:ascii="Arial" w:hAnsi="Arial" w:cs="Arial"/>
          <w:sz w:val="22"/>
          <w:szCs w:val="22"/>
        </w:rPr>
        <w:t xml:space="preserve"> of Victoria’s Arbitration List</w:t>
      </w:r>
      <w:r w:rsidR="00DF2D08" w:rsidRPr="00303225">
        <w:rPr>
          <w:rFonts w:ascii="Arial" w:hAnsi="Arial" w:cs="Arial"/>
          <w:sz w:val="22"/>
          <w:szCs w:val="22"/>
        </w:rPr>
        <w:t>,</w:t>
      </w:r>
      <w:r w:rsidR="00274CD9" w:rsidRPr="00303225">
        <w:rPr>
          <w:rStyle w:val="FootnoteReference"/>
          <w:rFonts w:ascii="Arial" w:hAnsi="Arial" w:cs="Arial"/>
          <w:sz w:val="22"/>
          <w:szCs w:val="22"/>
        </w:rPr>
        <w:footnoteReference w:id="27"/>
      </w:r>
      <w:r w:rsidR="00DF2D08" w:rsidRPr="00303225">
        <w:rPr>
          <w:rFonts w:ascii="Arial" w:hAnsi="Arial" w:cs="Arial"/>
          <w:sz w:val="22"/>
          <w:szCs w:val="22"/>
        </w:rPr>
        <w:t xml:space="preserve"> which is a specialist list</w:t>
      </w:r>
      <w:r w:rsidR="00DB4258" w:rsidRPr="00303225">
        <w:rPr>
          <w:rFonts w:ascii="Arial" w:hAnsi="Arial" w:cs="Arial"/>
          <w:sz w:val="22"/>
          <w:szCs w:val="22"/>
        </w:rPr>
        <w:t xml:space="preserve"> (List G)</w:t>
      </w:r>
      <w:r w:rsidR="00DF2D08" w:rsidRPr="00303225">
        <w:rPr>
          <w:rFonts w:ascii="Arial" w:hAnsi="Arial" w:cs="Arial"/>
          <w:sz w:val="22"/>
          <w:szCs w:val="22"/>
        </w:rPr>
        <w:t xml:space="preserve"> in </w:t>
      </w:r>
      <w:r w:rsidR="00DB4258" w:rsidRPr="00303225">
        <w:rPr>
          <w:rFonts w:ascii="Arial" w:hAnsi="Arial" w:cs="Arial"/>
          <w:sz w:val="22"/>
          <w:szCs w:val="22"/>
        </w:rPr>
        <w:t xml:space="preserve">our Commercial </w:t>
      </w:r>
      <w:r w:rsidR="00DB4258" w:rsidRPr="00303225">
        <w:rPr>
          <w:rFonts w:ascii="Arial" w:hAnsi="Arial" w:cs="Arial"/>
          <w:sz w:val="22"/>
          <w:szCs w:val="22"/>
        </w:rPr>
        <w:lastRenderedPageBreak/>
        <w:t>Court</w:t>
      </w:r>
      <w:r w:rsidR="00FE5B54" w:rsidRPr="00303225">
        <w:rPr>
          <w:rFonts w:ascii="Arial" w:hAnsi="Arial" w:cs="Arial"/>
          <w:sz w:val="22"/>
          <w:szCs w:val="22"/>
        </w:rPr>
        <w:t>.</w:t>
      </w:r>
      <w:r w:rsidR="00DF2D08" w:rsidRPr="00303225">
        <w:rPr>
          <w:rStyle w:val="FootnoteReference"/>
          <w:rFonts w:ascii="Arial" w:hAnsi="Arial" w:cs="Arial"/>
          <w:sz w:val="22"/>
          <w:szCs w:val="22"/>
        </w:rPr>
        <w:footnoteReference w:id="28"/>
      </w:r>
      <w:r w:rsidR="000C15F2" w:rsidRPr="00303225">
        <w:rPr>
          <w:rFonts w:ascii="Arial" w:hAnsi="Arial" w:cs="Arial"/>
          <w:sz w:val="22"/>
          <w:szCs w:val="22"/>
        </w:rPr>
        <w:t xml:space="preserve"> </w:t>
      </w:r>
      <w:r w:rsidR="00DB4258" w:rsidRPr="00303225">
        <w:rPr>
          <w:rFonts w:ascii="Arial" w:hAnsi="Arial" w:cs="Arial"/>
          <w:sz w:val="22"/>
          <w:szCs w:val="22"/>
        </w:rPr>
        <w:t>An additional</w:t>
      </w:r>
      <w:r w:rsidR="0002740E" w:rsidRPr="00303225">
        <w:rPr>
          <w:rFonts w:ascii="Arial" w:hAnsi="Arial" w:cs="Arial"/>
          <w:sz w:val="22"/>
          <w:szCs w:val="22"/>
        </w:rPr>
        <w:t xml:space="preserve"> advantage of having a specialist arbitration list is that </w:t>
      </w:r>
      <w:r w:rsidR="00321755" w:rsidRPr="00303225">
        <w:rPr>
          <w:rFonts w:ascii="Arial" w:hAnsi="Arial" w:cs="Arial"/>
          <w:sz w:val="22"/>
          <w:szCs w:val="22"/>
        </w:rPr>
        <w:t xml:space="preserve">procedural </w:t>
      </w:r>
      <w:r w:rsidR="0002740E" w:rsidRPr="00303225">
        <w:rPr>
          <w:rFonts w:ascii="Arial" w:hAnsi="Arial" w:cs="Arial"/>
          <w:sz w:val="22"/>
          <w:szCs w:val="22"/>
        </w:rPr>
        <w:t xml:space="preserve">enquiries </w:t>
      </w:r>
      <w:r w:rsidR="00321755" w:rsidRPr="00303225">
        <w:rPr>
          <w:rFonts w:ascii="Arial" w:hAnsi="Arial" w:cs="Arial"/>
          <w:sz w:val="22"/>
          <w:szCs w:val="22"/>
        </w:rPr>
        <w:t xml:space="preserve">relating to arbitration applications </w:t>
      </w:r>
      <w:r w:rsidR="0002740E" w:rsidRPr="00303225">
        <w:rPr>
          <w:rFonts w:ascii="Arial" w:hAnsi="Arial" w:cs="Arial"/>
          <w:sz w:val="22"/>
          <w:szCs w:val="22"/>
        </w:rPr>
        <w:t>can be directed to the one place.</w:t>
      </w:r>
      <w:r w:rsidR="0002740E" w:rsidRPr="00303225">
        <w:rPr>
          <w:rStyle w:val="FootnoteReference"/>
          <w:rFonts w:ascii="Arial" w:hAnsi="Arial" w:cs="Arial"/>
          <w:sz w:val="22"/>
          <w:szCs w:val="22"/>
        </w:rPr>
        <w:footnoteReference w:id="29"/>
      </w:r>
      <w:r w:rsidR="0002740E" w:rsidRPr="00303225">
        <w:rPr>
          <w:rFonts w:ascii="Arial" w:hAnsi="Arial" w:cs="Arial"/>
          <w:sz w:val="22"/>
          <w:szCs w:val="22"/>
        </w:rPr>
        <w:t xml:space="preserve"> </w:t>
      </w:r>
    </w:p>
    <w:p w14:paraId="06A8924B" w14:textId="77777777" w:rsidR="0010231E" w:rsidRPr="00303225" w:rsidRDefault="00480541" w:rsidP="00303225">
      <w:pPr>
        <w:pStyle w:val="Heading4"/>
        <w:spacing w:line="480" w:lineRule="auto"/>
        <w:rPr>
          <w:rFonts w:ascii="Arial" w:hAnsi="Arial" w:cs="Arial"/>
          <w:b/>
          <w:sz w:val="22"/>
          <w:szCs w:val="22"/>
        </w:rPr>
      </w:pPr>
      <w:bookmarkStart w:id="14" w:name="_Toc274907717"/>
      <w:r w:rsidRPr="00303225">
        <w:rPr>
          <w:rFonts w:ascii="Arial" w:hAnsi="Arial" w:cs="Arial"/>
          <w:b/>
          <w:sz w:val="22"/>
          <w:szCs w:val="22"/>
        </w:rPr>
        <w:t>Liaison between courts and with arbitration users</w:t>
      </w:r>
      <w:bookmarkEnd w:id="14"/>
    </w:p>
    <w:p w14:paraId="0C00FEFF" w14:textId="77777777" w:rsidR="00AF7861" w:rsidRPr="00303225" w:rsidRDefault="00174234" w:rsidP="00303225">
      <w:pPr>
        <w:spacing w:line="480" w:lineRule="auto"/>
        <w:rPr>
          <w:rFonts w:ascii="Arial" w:hAnsi="Arial" w:cs="Arial"/>
          <w:sz w:val="22"/>
          <w:szCs w:val="22"/>
        </w:rPr>
      </w:pPr>
      <w:r w:rsidRPr="00303225">
        <w:rPr>
          <w:rFonts w:ascii="Arial" w:hAnsi="Arial" w:cs="Arial"/>
          <w:sz w:val="22"/>
          <w:szCs w:val="22"/>
        </w:rPr>
        <w:t>The consultation process</w:t>
      </w:r>
      <w:r w:rsidR="00AF7861" w:rsidRPr="00303225">
        <w:rPr>
          <w:rFonts w:ascii="Arial" w:hAnsi="Arial" w:cs="Arial"/>
          <w:sz w:val="22"/>
          <w:szCs w:val="22"/>
        </w:rPr>
        <w:t xml:space="preserve"> in relation to the new legislation</w:t>
      </w:r>
      <w:r w:rsidRPr="00303225">
        <w:rPr>
          <w:rFonts w:ascii="Arial" w:hAnsi="Arial" w:cs="Arial"/>
          <w:sz w:val="22"/>
          <w:szCs w:val="22"/>
        </w:rPr>
        <w:t xml:space="preserve"> should not end on the </w:t>
      </w:r>
      <w:r w:rsidR="00AF7861" w:rsidRPr="00303225">
        <w:rPr>
          <w:rFonts w:ascii="Arial" w:hAnsi="Arial" w:cs="Arial"/>
          <w:sz w:val="22"/>
          <w:szCs w:val="22"/>
        </w:rPr>
        <w:t>commencement of the Acts</w:t>
      </w:r>
      <w:r w:rsidRPr="00303225">
        <w:rPr>
          <w:rFonts w:ascii="Arial" w:hAnsi="Arial" w:cs="Arial"/>
          <w:sz w:val="22"/>
          <w:szCs w:val="22"/>
        </w:rPr>
        <w:t xml:space="preserve">. </w:t>
      </w:r>
      <w:r w:rsidR="00AF7861" w:rsidRPr="00303225">
        <w:rPr>
          <w:rFonts w:ascii="Arial" w:hAnsi="Arial" w:cs="Arial"/>
          <w:sz w:val="22"/>
          <w:szCs w:val="22"/>
        </w:rPr>
        <w:t>If</w:t>
      </w:r>
      <w:r w:rsidRPr="00303225">
        <w:rPr>
          <w:rFonts w:ascii="Arial" w:hAnsi="Arial" w:cs="Arial"/>
          <w:sz w:val="22"/>
          <w:szCs w:val="22"/>
        </w:rPr>
        <w:t xml:space="preserve"> the goals of the IAA and the CAA</w:t>
      </w:r>
      <w:r w:rsidR="00AF7861" w:rsidRPr="00303225">
        <w:rPr>
          <w:rFonts w:ascii="Arial" w:hAnsi="Arial" w:cs="Arial"/>
          <w:sz w:val="22"/>
          <w:szCs w:val="22"/>
        </w:rPr>
        <w:t xml:space="preserve"> are to be fully realised</w:t>
      </w:r>
      <w:r w:rsidR="00ED0A0E" w:rsidRPr="00303225">
        <w:rPr>
          <w:rFonts w:ascii="Arial" w:hAnsi="Arial" w:cs="Arial"/>
          <w:sz w:val="22"/>
          <w:szCs w:val="22"/>
        </w:rPr>
        <w:t>,</w:t>
      </w:r>
      <w:r w:rsidRPr="00303225">
        <w:rPr>
          <w:rFonts w:ascii="Arial" w:hAnsi="Arial" w:cs="Arial"/>
          <w:sz w:val="22"/>
          <w:szCs w:val="22"/>
        </w:rPr>
        <w:t xml:space="preserve"> the courts will need to communicate with and receive feedback from commercial arbitration stakeholders. I am in the process of creating an Arbitration Users’ Group for </w:t>
      </w:r>
      <w:r w:rsidR="00DB5EDD" w:rsidRPr="00303225">
        <w:rPr>
          <w:rFonts w:ascii="Arial" w:hAnsi="Arial" w:cs="Arial"/>
          <w:sz w:val="22"/>
          <w:szCs w:val="22"/>
        </w:rPr>
        <w:t xml:space="preserve">the </w:t>
      </w:r>
      <w:r w:rsidRPr="00303225">
        <w:rPr>
          <w:rFonts w:ascii="Arial" w:hAnsi="Arial" w:cs="Arial"/>
          <w:sz w:val="22"/>
          <w:szCs w:val="22"/>
        </w:rPr>
        <w:t>Supreme Court of Victoria. I expect that this Users’</w:t>
      </w:r>
      <w:r w:rsidR="00E87000" w:rsidRPr="00303225">
        <w:rPr>
          <w:rFonts w:ascii="Arial" w:hAnsi="Arial" w:cs="Arial"/>
          <w:sz w:val="22"/>
          <w:szCs w:val="22"/>
        </w:rPr>
        <w:t xml:space="preserve"> Group will be especially useful in discussing and developing the procedures for commencing and disposing of applications under the IAA and the CAA. This consultation may lead to </w:t>
      </w:r>
      <w:r w:rsidR="00DB5EDD" w:rsidRPr="00303225">
        <w:rPr>
          <w:rFonts w:ascii="Arial" w:hAnsi="Arial" w:cs="Arial"/>
          <w:sz w:val="22"/>
          <w:szCs w:val="22"/>
        </w:rPr>
        <w:t>further improvements</w:t>
      </w:r>
      <w:r w:rsidR="00E87000" w:rsidRPr="00303225">
        <w:rPr>
          <w:rFonts w:ascii="Arial" w:hAnsi="Arial" w:cs="Arial"/>
          <w:sz w:val="22"/>
          <w:szCs w:val="22"/>
        </w:rPr>
        <w:t xml:space="preserve"> to the Arbitration Business Practice Note.</w:t>
      </w:r>
      <w:r w:rsidR="00E87000" w:rsidRPr="00303225">
        <w:rPr>
          <w:rStyle w:val="FootnoteReference"/>
          <w:rFonts w:ascii="Arial" w:hAnsi="Arial" w:cs="Arial"/>
          <w:sz w:val="22"/>
          <w:szCs w:val="22"/>
        </w:rPr>
        <w:footnoteReference w:id="30"/>
      </w:r>
      <w:r w:rsidR="00AF7861" w:rsidRPr="00303225">
        <w:rPr>
          <w:rFonts w:ascii="Arial" w:hAnsi="Arial" w:cs="Arial"/>
          <w:sz w:val="22"/>
          <w:szCs w:val="22"/>
        </w:rPr>
        <w:t xml:space="preserve"> I would expect that other courts are establishing similar consultative mechanisms.</w:t>
      </w:r>
    </w:p>
    <w:p w14:paraId="1D433582" w14:textId="77777777" w:rsidR="00AF7861" w:rsidRPr="00303225" w:rsidRDefault="00AF7861" w:rsidP="00303225">
      <w:pPr>
        <w:spacing w:line="480" w:lineRule="auto"/>
        <w:rPr>
          <w:rFonts w:ascii="Arial" w:hAnsi="Arial" w:cs="Arial"/>
          <w:sz w:val="22"/>
          <w:szCs w:val="22"/>
        </w:rPr>
      </w:pPr>
    </w:p>
    <w:p w14:paraId="366890E5" w14:textId="77777777" w:rsidR="00E87000" w:rsidRPr="00303225" w:rsidRDefault="00E87000" w:rsidP="00303225">
      <w:pPr>
        <w:spacing w:line="480" w:lineRule="auto"/>
        <w:rPr>
          <w:rFonts w:ascii="Arial" w:hAnsi="Arial" w:cs="Arial"/>
          <w:sz w:val="22"/>
          <w:szCs w:val="22"/>
        </w:rPr>
      </w:pPr>
      <w:r w:rsidRPr="00303225">
        <w:rPr>
          <w:rFonts w:ascii="Arial" w:hAnsi="Arial" w:cs="Arial"/>
          <w:sz w:val="22"/>
          <w:szCs w:val="22"/>
        </w:rPr>
        <w:t>The courts should also liaise</w:t>
      </w:r>
      <w:r w:rsidR="00DB5EDD" w:rsidRPr="00303225">
        <w:rPr>
          <w:rFonts w:ascii="Arial" w:hAnsi="Arial" w:cs="Arial"/>
          <w:sz w:val="22"/>
          <w:szCs w:val="22"/>
        </w:rPr>
        <w:t xml:space="preserve"> with each other</w:t>
      </w:r>
      <w:r w:rsidRPr="00303225">
        <w:rPr>
          <w:rFonts w:ascii="Arial" w:hAnsi="Arial" w:cs="Arial"/>
          <w:sz w:val="22"/>
          <w:szCs w:val="22"/>
        </w:rPr>
        <w:t xml:space="preserve"> </w:t>
      </w:r>
      <w:r w:rsidR="00FF2AD9" w:rsidRPr="00303225">
        <w:rPr>
          <w:rFonts w:ascii="Arial" w:hAnsi="Arial" w:cs="Arial"/>
          <w:sz w:val="22"/>
          <w:szCs w:val="22"/>
        </w:rPr>
        <w:t>to develop and share their arbitration expertise. The existence of specialist arbitration lists w</w:t>
      </w:r>
      <w:r w:rsidR="00DB5EDD" w:rsidRPr="00303225">
        <w:rPr>
          <w:rFonts w:ascii="Arial" w:hAnsi="Arial" w:cs="Arial"/>
          <w:sz w:val="22"/>
          <w:szCs w:val="22"/>
        </w:rPr>
        <w:t>ill</w:t>
      </w:r>
      <w:r w:rsidR="00FF2AD9" w:rsidRPr="00303225">
        <w:rPr>
          <w:rFonts w:ascii="Arial" w:hAnsi="Arial" w:cs="Arial"/>
          <w:sz w:val="22"/>
          <w:szCs w:val="22"/>
        </w:rPr>
        <w:t xml:space="preserve"> help in this regard by </w:t>
      </w:r>
      <w:r w:rsidR="00DB4258" w:rsidRPr="00303225">
        <w:rPr>
          <w:rFonts w:ascii="Arial" w:hAnsi="Arial" w:cs="Arial"/>
          <w:sz w:val="22"/>
          <w:szCs w:val="22"/>
        </w:rPr>
        <w:t>directing</w:t>
      </w:r>
      <w:r w:rsidR="00FF2AD9" w:rsidRPr="00303225">
        <w:rPr>
          <w:rFonts w:ascii="Arial" w:hAnsi="Arial" w:cs="Arial"/>
          <w:sz w:val="22"/>
          <w:szCs w:val="22"/>
        </w:rPr>
        <w:t xml:space="preserve"> arbitration business to </w:t>
      </w:r>
      <w:proofErr w:type="gramStart"/>
      <w:r w:rsidR="00FF2AD9" w:rsidRPr="00303225">
        <w:rPr>
          <w:rFonts w:ascii="Arial" w:hAnsi="Arial" w:cs="Arial"/>
          <w:sz w:val="22"/>
          <w:szCs w:val="22"/>
        </w:rPr>
        <w:t>particular judges</w:t>
      </w:r>
      <w:proofErr w:type="gramEnd"/>
      <w:r w:rsidR="00FF2AD9" w:rsidRPr="00303225">
        <w:rPr>
          <w:rFonts w:ascii="Arial" w:hAnsi="Arial" w:cs="Arial"/>
          <w:sz w:val="22"/>
          <w:szCs w:val="22"/>
        </w:rPr>
        <w:t xml:space="preserve"> within a court who can then share their knowledge</w:t>
      </w:r>
      <w:r w:rsidR="00DB4258" w:rsidRPr="00303225">
        <w:rPr>
          <w:rFonts w:ascii="Arial" w:hAnsi="Arial" w:cs="Arial"/>
          <w:sz w:val="22"/>
          <w:szCs w:val="22"/>
        </w:rPr>
        <w:t xml:space="preserve"> and experience</w:t>
      </w:r>
      <w:r w:rsidR="00FF2AD9" w:rsidRPr="00303225">
        <w:rPr>
          <w:rFonts w:ascii="Arial" w:hAnsi="Arial" w:cs="Arial"/>
          <w:sz w:val="22"/>
          <w:szCs w:val="22"/>
        </w:rPr>
        <w:t xml:space="preserve"> with the arbitration judges from other courts. Th</w:t>
      </w:r>
      <w:r w:rsidR="00DB5EDD" w:rsidRPr="00303225">
        <w:rPr>
          <w:rFonts w:ascii="Arial" w:hAnsi="Arial" w:cs="Arial"/>
          <w:sz w:val="22"/>
          <w:szCs w:val="22"/>
        </w:rPr>
        <w:t xml:space="preserve">is consultation between judges of the Federal Court and the judges of the State and Territory Supreme Courts will be essential if, as I expect, </w:t>
      </w:r>
      <w:proofErr w:type="gramStart"/>
      <w:r w:rsidR="00DB5EDD" w:rsidRPr="00303225">
        <w:rPr>
          <w:rFonts w:ascii="Arial" w:hAnsi="Arial" w:cs="Arial"/>
          <w:sz w:val="22"/>
          <w:szCs w:val="22"/>
        </w:rPr>
        <w:t>the majority of</w:t>
      </w:r>
      <w:proofErr w:type="gramEnd"/>
      <w:r w:rsidR="00DB5EDD" w:rsidRPr="00303225">
        <w:rPr>
          <w:rFonts w:ascii="Arial" w:hAnsi="Arial" w:cs="Arial"/>
          <w:sz w:val="22"/>
          <w:szCs w:val="22"/>
        </w:rPr>
        <w:t xml:space="preserve"> Model Law decisions are initially made under the CAA.</w:t>
      </w:r>
    </w:p>
    <w:p w14:paraId="648B84C5" w14:textId="77777777" w:rsidR="00174234" w:rsidRPr="00303225" w:rsidRDefault="00174234" w:rsidP="00303225">
      <w:pPr>
        <w:spacing w:line="480" w:lineRule="auto"/>
        <w:rPr>
          <w:rFonts w:ascii="Arial" w:hAnsi="Arial" w:cs="Arial"/>
          <w:sz w:val="22"/>
          <w:szCs w:val="22"/>
          <w:highlight w:val="yellow"/>
        </w:rPr>
      </w:pPr>
    </w:p>
    <w:p w14:paraId="577162C4" w14:textId="77777777" w:rsidR="0010231E" w:rsidRPr="00303225" w:rsidRDefault="0010231E" w:rsidP="00303225">
      <w:pPr>
        <w:pStyle w:val="Heading4"/>
        <w:spacing w:line="480" w:lineRule="auto"/>
        <w:rPr>
          <w:rFonts w:ascii="Arial" w:hAnsi="Arial" w:cs="Arial"/>
          <w:b/>
          <w:sz w:val="22"/>
          <w:szCs w:val="22"/>
        </w:rPr>
      </w:pPr>
      <w:bookmarkStart w:id="15" w:name="_Toc274907718"/>
      <w:r w:rsidRPr="00303225">
        <w:rPr>
          <w:rFonts w:ascii="Arial" w:hAnsi="Arial" w:cs="Arial"/>
          <w:b/>
          <w:sz w:val="22"/>
          <w:szCs w:val="22"/>
        </w:rPr>
        <w:lastRenderedPageBreak/>
        <w:t>R</w:t>
      </w:r>
      <w:r w:rsidR="00B67176" w:rsidRPr="00303225">
        <w:rPr>
          <w:rFonts w:ascii="Arial" w:hAnsi="Arial" w:cs="Arial"/>
          <w:b/>
          <w:sz w:val="22"/>
          <w:szCs w:val="22"/>
        </w:rPr>
        <w:t>aising the expectations on</w:t>
      </w:r>
      <w:r w:rsidRPr="00303225">
        <w:rPr>
          <w:rFonts w:ascii="Arial" w:hAnsi="Arial" w:cs="Arial"/>
          <w:b/>
          <w:sz w:val="22"/>
          <w:szCs w:val="22"/>
        </w:rPr>
        <w:t xml:space="preserve"> parties</w:t>
      </w:r>
      <w:bookmarkEnd w:id="15"/>
    </w:p>
    <w:p w14:paraId="33E6D3F1" w14:textId="77777777" w:rsidR="00F92A83" w:rsidRPr="00303225" w:rsidRDefault="007C4596" w:rsidP="00303225">
      <w:pPr>
        <w:spacing w:line="480" w:lineRule="auto"/>
        <w:rPr>
          <w:rFonts w:ascii="Arial" w:hAnsi="Arial" w:cs="Arial"/>
          <w:sz w:val="22"/>
          <w:szCs w:val="22"/>
        </w:rPr>
      </w:pPr>
      <w:proofErr w:type="gramStart"/>
      <w:r w:rsidRPr="00303225">
        <w:rPr>
          <w:rFonts w:ascii="Arial" w:hAnsi="Arial" w:cs="Arial"/>
          <w:sz w:val="22"/>
          <w:szCs w:val="22"/>
        </w:rPr>
        <w:t>In order to</w:t>
      </w:r>
      <w:proofErr w:type="gramEnd"/>
      <w:r w:rsidRPr="00303225">
        <w:rPr>
          <w:rFonts w:ascii="Arial" w:hAnsi="Arial" w:cs="Arial"/>
          <w:sz w:val="22"/>
          <w:szCs w:val="22"/>
        </w:rPr>
        <w:t xml:space="preserve"> achieve the general objectives discussed</w:t>
      </w:r>
      <w:r w:rsidR="00B67176" w:rsidRPr="00303225">
        <w:rPr>
          <w:rFonts w:ascii="Arial" w:hAnsi="Arial" w:cs="Arial"/>
          <w:sz w:val="22"/>
          <w:szCs w:val="22"/>
        </w:rPr>
        <w:t>,</w:t>
      </w:r>
      <w:r w:rsidRPr="00303225">
        <w:rPr>
          <w:rFonts w:ascii="Arial" w:hAnsi="Arial" w:cs="Arial"/>
          <w:sz w:val="22"/>
          <w:szCs w:val="22"/>
        </w:rPr>
        <w:t xml:space="preserve"> </w:t>
      </w:r>
      <w:r w:rsidR="00C30F94" w:rsidRPr="00303225">
        <w:rPr>
          <w:rFonts w:ascii="Arial" w:hAnsi="Arial" w:cs="Arial"/>
          <w:sz w:val="22"/>
          <w:szCs w:val="22"/>
        </w:rPr>
        <w:t>courts need, and value, assistance from parties and their representatives.</w:t>
      </w:r>
      <w:r w:rsidR="001B0F87" w:rsidRPr="00303225">
        <w:rPr>
          <w:rFonts w:ascii="Arial" w:hAnsi="Arial" w:cs="Arial"/>
          <w:sz w:val="22"/>
          <w:szCs w:val="22"/>
        </w:rPr>
        <w:t xml:space="preserve"> Solicitors and counsel </w:t>
      </w:r>
      <w:r w:rsidR="00C30F94" w:rsidRPr="00303225">
        <w:rPr>
          <w:rFonts w:ascii="Arial" w:hAnsi="Arial" w:cs="Arial"/>
          <w:sz w:val="22"/>
          <w:szCs w:val="22"/>
        </w:rPr>
        <w:t xml:space="preserve">can materially assist the courts in applying the Model Law provisions, as applied by the </w:t>
      </w:r>
      <w:proofErr w:type="gramStart"/>
      <w:r w:rsidR="00C30F94" w:rsidRPr="00303225">
        <w:rPr>
          <w:rFonts w:ascii="Arial" w:hAnsi="Arial" w:cs="Arial"/>
          <w:sz w:val="22"/>
          <w:szCs w:val="22"/>
        </w:rPr>
        <w:t>IAA</w:t>
      </w:r>
      <w:proofErr w:type="gramEnd"/>
      <w:r w:rsidR="00C30F94" w:rsidRPr="00303225">
        <w:rPr>
          <w:rFonts w:ascii="Arial" w:hAnsi="Arial" w:cs="Arial"/>
          <w:sz w:val="22"/>
          <w:szCs w:val="22"/>
        </w:rPr>
        <w:t xml:space="preserve"> or as adopted by the CAA, in a manner consistent with internatio</w:t>
      </w:r>
      <w:r w:rsidR="00782E51" w:rsidRPr="00303225">
        <w:rPr>
          <w:rFonts w:ascii="Arial" w:hAnsi="Arial" w:cs="Arial"/>
          <w:sz w:val="22"/>
          <w:szCs w:val="22"/>
        </w:rPr>
        <w:t>nal and domestic jurisprudence. Assistance by reference to commentaries and case law in</w:t>
      </w:r>
      <w:r w:rsidR="00C30F94" w:rsidRPr="00303225">
        <w:rPr>
          <w:rFonts w:ascii="Arial" w:hAnsi="Arial" w:cs="Arial"/>
          <w:sz w:val="22"/>
          <w:szCs w:val="22"/>
        </w:rPr>
        <w:t xml:space="preserve"> sub</w:t>
      </w:r>
      <w:r w:rsidR="00782E51" w:rsidRPr="00303225">
        <w:rPr>
          <w:rFonts w:ascii="Arial" w:hAnsi="Arial" w:cs="Arial"/>
          <w:sz w:val="22"/>
          <w:szCs w:val="22"/>
        </w:rPr>
        <w:t>missions informed by comprehensive</w:t>
      </w:r>
      <w:r w:rsidR="00C30F94" w:rsidRPr="00303225">
        <w:rPr>
          <w:rFonts w:ascii="Arial" w:hAnsi="Arial" w:cs="Arial"/>
          <w:sz w:val="22"/>
          <w:szCs w:val="22"/>
        </w:rPr>
        <w:t xml:space="preserve"> research, including consideration of the broader policy considerations underlying the legislation – policy considerations which may have an international dimension, for the purposes of both the IAA and the CAA</w:t>
      </w:r>
      <w:r w:rsidR="00782E51" w:rsidRPr="00303225">
        <w:rPr>
          <w:rFonts w:ascii="Arial" w:hAnsi="Arial" w:cs="Arial"/>
          <w:b/>
          <w:sz w:val="22"/>
          <w:szCs w:val="22"/>
        </w:rPr>
        <w:t xml:space="preserve"> – </w:t>
      </w:r>
      <w:r w:rsidR="00782E51" w:rsidRPr="00303225">
        <w:rPr>
          <w:rFonts w:ascii="Arial" w:hAnsi="Arial" w:cs="Arial"/>
          <w:sz w:val="22"/>
          <w:szCs w:val="22"/>
        </w:rPr>
        <w:t>is essential.</w:t>
      </w:r>
    </w:p>
    <w:p w14:paraId="395D9D1E" w14:textId="77777777" w:rsidR="00037EA1" w:rsidRPr="00303225" w:rsidRDefault="00037EA1" w:rsidP="00303225">
      <w:pPr>
        <w:pStyle w:val="Heading2"/>
        <w:spacing w:line="480" w:lineRule="auto"/>
        <w:rPr>
          <w:rFonts w:cs="Arial"/>
          <w:sz w:val="22"/>
          <w:szCs w:val="22"/>
        </w:rPr>
      </w:pPr>
    </w:p>
    <w:p w14:paraId="57615633" w14:textId="77777777" w:rsidR="009523B8" w:rsidRPr="0098708D" w:rsidRDefault="006900EC" w:rsidP="00303225">
      <w:pPr>
        <w:pStyle w:val="Heading2"/>
        <w:spacing w:line="480" w:lineRule="auto"/>
        <w:rPr>
          <w:rFonts w:cs="Arial"/>
          <w:b/>
          <w:i w:val="0"/>
          <w:sz w:val="24"/>
        </w:rPr>
      </w:pPr>
      <w:bookmarkStart w:id="16" w:name="_Toc274907719"/>
      <w:r w:rsidRPr="0098708D">
        <w:rPr>
          <w:rFonts w:cs="Arial"/>
          <w:b/>
          <w:i w:val="0"/>
          <w:sz w:val="24"/>
        </w:rPr>
        <w:t>Procedure</w:t>
      </w:r>
      <w:bookmarkEnd w:id="16"/>
      <w:r w:rsidR="009523B8" w:rsidRPr="0098708D">
        <w:rPr>
          <w:rFonts w:cs="Arial"/>
          <w:b/>
          <w:i w:val="0"/>
          <w:sz w:val="24"/>
        </w:rPr>
        <w:t xml:space="preserve"> </w:t>
      </w:r>
    </w:p>
    <w:p w14:paraId="4C34B53F" w14:textId="77777777" w:rsidR="006900EC" w:rsidRPr="00303225" w:rsidRDefault="00037EA1" w:rsidP="00303225">
      <w:pPr>
        <w:spacing w:line="480" w:lineRule="auto"/>
        <w:rPr>
          <w:rFonts w:ascii="Arial" w:hAnsi="Arial" w:cs="Arial"/>
          <w:sz w:val="22"/>
          <w:szCs w:val="22"/>
        </w:rPr>
      </w:pPr>
      <w:r w:rsidRPr="00303225">
        <w:rPr>
          <w:rFonts w:ascii="Arial" w:hAnsi="Arial" w:cs="Arial"/>
          <w:sz w:val="22"/>
          <w:szCs w:val="22"/>
        </w:rPr>
        <w:t xml:space="preserve">A consistent interpretation </w:t>
      </w:r>
      <w:r w:rsidR="00225F6E" w:rsidRPr="00303225">
        <w:rPr>
          <w:rFonts w:ascii="Arial" w:hAnsi="Arial" w:cs="Arial"/>
          <w:sz w:val="22"/>
          <w:szCs w:val="22"/>
        </w:rPr>
        <w:t xml:space="preserve">and application </w:t>
      </w:r>
      <w:r w:rsidRPr="00303225">
        <w:rPr>
          <w:rFonts w:ascii="Arial" w:hAnsi="Arial" w:cs="Arial"/>
          <w:sz w:val="22"/>
          <w:szCs w:val="22"/>
        </w:rPr>
        <w:t xml:space="preserve">of the </w:t>
      </w:r>
      <w:r w:rsidR="00225F6E" w:rsidRPr="00303225">
        <w:rPr>
          <w:rFonts w:ascii="Arial" w:hAnsi="Arial" w:cs="Arial"/>
          <w:sz w:val="22"/>
          <w:szCs w:val="22"/>
        </w:rPr>
        <w:t>IAA and the CAA</w:t>
      </w:r>
      <w:r w:rsidR="00DF2D08" w:rsidRPr="00303225">
        <w:rPr>
          <w:rFonts w:ascii="Arial" w:hAnsi="Arial" w:cs="Arial"/>
          <w:sz w:val="22"/>
          <w:szCs w:val="22"/>
        </w:rPr>
        <w:t xml:space="preserve">, and </w:t>
      </w:r>
      <w:r w:rsidR="00092B86" w:rsidRPr="00303225">
        <w:rPr>
          <w:rFonts w:ascii="Arial" w:hAnsi="Arial" w:cs="Arial"/>
          <w:sz w:val="22"/>
          <w:szCs w:val="22"/>
        </w:rPr>
        <w:t xml:space="preserve">which is </w:t>
      </w:r>
      <w:r w:rsidR="00DF2D08" w:rsidRPr="00303225">
        <w:rPr>
          <w:rFonts w:ascii="Arial" w:hAnsi="Arial" w:cs="Arial"/>
          <w:sz w:val="22"/>
          <w:szCs w:val="22"/>
        </w:rPr>
        <w:t>consistent with international thinking having regard to the Model Law base of both pieces of legislation,</w:t>
      </w:r>
      <w:r w:rsidRPr="00303225">
        <w:rPr>
          <w:rFonts w:ascii="Arial" w:hAnsi="Arial" w:cs="Arial"/>
          <w:sz w:val="22"/>
          <w:szCs w:val="22"/>
        </w:rPr>
        <w:t xml:space="preserve"> should lead to the minimum amount of court intervention necessary, as well as providing support </w:t>
      </w:r>
      <w:r w:rsidR="00225F6E" w:rsidRPr="00303225">
        <w:rPr>
          <w:rFonts w:ascii="Arial" w:hAnsi="Arial" w:cs="Arial"/>
          <w:sz w:val="22"/>
          <w:szCs w:val="22"/>
        </w:rPr>
        <w:t xml:space="preserve">for the arbitration process </w:t>
      </w:r>
      <w:r w:rsidRPr="00303225">
        <w:rPr>
          <w:rFonts w:ascii="Arial" w:hAnsi="Arial" w:cs="Arial"/>
          <w:sz w:val="22"/>
          <w:szCs w:val="22"/>
        </w:rPr>
        <w:t>when required.</w:t>
      </w:r>
      <w:r w:rsidR="006900EC" w:rsidRPr="00303225">
        <w:rPr>
          <w:rFonts w:ascii="Arial" w:hAnsi="Arial" w:cs="Arial"/>
          <w:sz w:val="22"/>
          <w:szCs w:val="22"/>
        </w:rPr>
        <w:t xml:space="preserve"> In my view, </w:t>
      </w:r>
      <w:r w:rsidR="00DB4258" w:rsidRPr="00303225">
        <w:rPr>
          <w:rFonts w:ascii="Arial" w:hAnsi="Arial" w:cs="Arial"/>
          <w:sz w:val="22"/>
          <w:szCs w:val="22"/>
        </w:rPr>
        <w:t>another important area that the c</w:t>
      </w:r>
      <w:r w:rsidR="006900EC" w:rsidRPr="00303225">
        <w:rPr>
          <w:rFonts w:ascii="Arial" w:hAnsi="Arial" w:cs="Arial"/>
          <w:sz w:val="22"/>
          <w:szCs w:val="22"/>
        </w:rPr>
        <w:t>ourt</w:t>
      </w:r>
      <w:r w:rsidR="00DB4258" w:rsidRPr="00303225">
        <w:rPr>
          <w:rFonts w:ascii="Arial" w:hAnsi="Arial" w:cs="Arial"/>
          <w:sz w:val="22"/>
          <w:szCs w:val="22"/>
        </w:rPr>
        <w:t>s need to coordinate is the procedure to be</w:t>
      </w:r>
      <w:r w:rsidR="006900EC" w:rsidRPr="00303225">
        <w:rPr>
          <w:rFonts w:ascii="Arial" w:hAnsi="Arial" w:cs="Arial"/>
          <w:sz w:val="22"/>
          <w:szCs w:val="22"/>
        </w:rPr>
        <w:t xml:space="preserve"> </w:t>
      </w:r>
      <w:r w:rsidR="00225F6E" w:rsidRPr="00303225">
        <w:rPr>
          <w:rFonts w:ascii="Arial" w:hAnsi="Arial" w:cs="Arial"/>
          <w:sz w:val="22"/>
          <w:szCs w:val="22"/>
        </w:rPr>
        <w:t>applied with respect to the making of and dealing with</w:t>
      </w:r>
      <w:r w:rsidR="006900EC" w:rsidRPr="00303225">
        <w:rPr>
          <w:rFonts w:ascii="Arial" w:hAnsi="Arial" w:cs="Arial"/>
          <w:sz w:val="22"/>
          <w:szCs w:val="22"/>
        </w:rPr>
        <w:t xml:space="preserve"> applications under the </w:t>
      </w:r>
      <w:r w:rsidR="00225F6E" w:rsidRPr="00303225">
        <w:rPr>
          <w:rFonts w:ascii="Arial" w:hAnsi="Arial" w:cs="Arial"/>
          <w:sz w:val="22"/>
          <w:szCs w:val="22"/>
        </w:rPr>
        <w:t>IAA and the CAA.</w:t>
      </w:r>
      <w:r w:rsidR="006900EC" w:rsidRPr="00303225">
        <w:rPr>
          <w:rFonts w:ascii="Arial" w:hAnsi="Arial" w:cs="Arial"/>
          <w:sz w:val="22"/>
          <w:szCs w:val="22"/>
        </w:rPr>
        <w:t xml:space="preserve"> </w:t>
      </w:r>
      <w:r w:rsidR="00DB4258" w:rsidRPr="00303225">
        <w:rPr>
          <w:rFonts w:ascii="Arial" w:hAnsi="Arial" w:cs="Arial"/>
          <w:sz w:val="22"/>
          <w:szCs w:val="22"/>
        </w:rPr>
        <w:t xml:space="preserve">In this context, procedure </w:t>
      </w:r>
      <w:r w:rsidR="00A63587" w:rsidRPr="00303225">
        <w:rPr>
          <w:rFonts w:ascii="Arial" w:hAnsi="Arial" w:cs="Arial"/>
          <w:sz w:val="22"/>
          <w:szCs w:val="22"/>
        </w:rPr>
        <w:t>must</w:t>
      </w:r>
      <w:r w:rsidR="00DB4258" w:rsidRPr="00303225">
        <w:rPr>
          <w:rFonts w:ascii="Arial" w:hAnsi="Arial" w:cs="Arial"/>
          <w:sz w:val="22"/>
          <w:szCs w:val="22"/>
        </w:rPr>
        <w:t xml:space="preserve"> also include listing procedures and expedition.</w:t>
      </w:r>
      <w:r w:rsidR="00DB4258" w:rsidRPr="00303225">
        <w:rPr>
          <w:rStyle w:val="FootnoteReference"/>
          <w:rFonts w:ascii="Arial" w:hAnsi="Arial" w:cs="Arial"/>
          <w:sz w:val="22"/>
          <w:szCs w:val="22"/>
        </w:rPr>
        <w:footnoteReference w:id="31"/>
      </w:r>
    </w:p>
    <w:p w14:paraId="1D1A201C" w14:textId="77777777" w:rsidR="006900EC" w:rsidRPr="00303225" w:rsidRDefault="006900EC" w:rsidP="00303225">
      <w:pPr>
        <w:spacing w:line="480" w:lineRule="auto"/>
        <w:rPr>
          <w:rFonts w:ascii="Arial" w:hAnsi="Arial" w:cs="Arial"/>
          <w:sz w:val="22"/>
          <w:szCs w:val="22"/>
        </w:rPr>
      </w:pPr>
    </w:p>
    <w:p w14:paraId="0E4E8D12" w14:textId="77777777" w:rsidR="00037EA1" w:rsidRPr="00303225" w:rsidRDefault="006900EC" w:rsidP="00303225">
      <w:pPr>
        <w:spacing w:line="480" w:lineRule="auto"/>
        <w:rPr>
          <w:rFonts w:ascii="Arial" w:hAnsi="Arial" w:cs="Arial"/>
          <w:sz w:val="22"/>
          <w:szCs w:val="22"/>
        </w:rPr>
      </w:pPr>
      <w:r w:rsidRPr="00303225">
        <w:rPr>
          <w:rFonts w:ascii="Arial" w:hAnsi="Arial" w:cs="Arial"/>
          <w:sz w:val="22"/>
          <w:szCs w:val="22"/>
        </w:rPr>
        <w:t xml:space="preserve">The procedural approach to applications under the </w:t>
      </w:r>
      <w:r w:rsidR="00225F6E" w:rsidRPr="00303225">
        <w:rPr>
          <w:rFonts w:ascii="Arial" w:hAnsi="Arial" w:cs="Arial"/>
          <w:sz w:val="22"/>
          <w:szCs w:val="22"/>
        </w:rPr>
        <w:t>IAA and the CAA</w:t>
      </w:r>
      <w:r w:rsidRPr="00303225">
        <w:rPr>
          <w:rFonts w:ascii="Arial" w:hAnsi="Arial" w:cs="Arial"/>
          <w:sz w:val="22"/>
          <w:szCs w:val="22"/>
        </w:rPr>
        <w:t xml:space="preserve"> will have a major impact on the way that Australian arbitration law is viewed. For example, staying court proceedings in favour of an arbitration is a pro-arbitration step, but if it takes a</w:t>
      </w:r>
      <w:r w:rsidR="00782E51" w:rsidRPr="00303225">
        <w:rPr>
          <w:rFonts w:ascii="Arial" w:hAnsi="Arial" w:cs="Arial"/>
          <w:sz w:val="22"/>
          <w:szCs w:val="22"/>
        </w:rPr>
        <w:t xml:space="preserve">n </w:t>
      </w:r>
      <w:r w:rsidR="00782E51" w:rsidRPr="00303225">
        <w:rPr>
          <w:rFonts w:ascii="Arial" w:hAnsi="Arial" w:cs="Arial"/>
          <w:sz w:val="22"/>
          <w:szCs w:val="22"/>
        </w:rPr>
        <w:lastRenderedPageBreak/>
        <w:t>excessive</w:t>
      </w:r>
      <w:r w:rsidRPr="00303225">
        <w:rPr>
          <w:rFonts w:ascii="Arial" w:hAnsi="Arial" w:cs="Arial"/>
          <w:sz w:val="22"/>
          <w:szCs w:val="22"/>
        </w:rPr>
        <w:t xml:space="preserve"> time for the stay application to be heard and determined, the arbitration process has </w:t>
      </w:r>
      <w:r w:rsidR="00225F6E" w:rsidRPr="00303225">
        <w:rPr>
          <w:rFonts w:ascii="Arial" w:hAnsi="Arial" w:cs="Arial"/>
          <w:sz w:val="22"/>
          <w:szCs w:val="22"/>
        </w:rPr>
        <w:t xml:space="preserve">probably </w:t>
      </w:r>
      <w:r w:rsidRPr="00303225">
        <w:rPr>
          <w:rFonts w:ascii="Arial" w:hAnsi="Arial" w:cs="Arial"/>
          <w:sz w:val="22"/>
          <w:szCs w:val="22"/>
        </w:rPr>
        <w:t xml:space="preserve">been thwarted anyway. </w:t>
      </w:r>
    </w:p>
    <w:p w14:paraId="7686962C" w14:textId="77777777" w:rsidR="006900EC" w:rsidRPr="00303225" w:rsidRDefault="006900EC" w:rsidP="00303225">
      <w:pPr>
        <w:spacing w:line="480" w:lineRule="auto"/>
        <w:rPr>
          <w:rFonts w:ascii="Arial" w:hAnsi="Arial" w:cs="Arial"/>
          <w:sz w:val="22"/>
          <w:szCs w:val="22"/>
        </w:rPr>
      </w:pPr>
    </w:p>
    <w:p w14:paraId="243BFD63" w14:textId="77777777" w:rsidR="006900EC" w:rsidRPr="00303225" w:rsidRDefault="006900EC" w:rsidP="00303225">
      <w:pPr>
        <w:spacing w:line="480" w:lineRule="auto"/>
        <w:rPr>
          <w:rFonts w:ascii="Arial" w:hAnsi="Arial" w:cs="Arial"/>
          <w:sz w:val="22"/>
          <w:szCs w:val="22"/>
        </w:rPr>
      </w:pPr>
      <w:r w:rsidRPr="00303225">
        <w:rPr>
          <w:rFonts w:ascii="Arial" w:hAnsi="Arial" w:cs="Arial"/>
          <w:sz w:val="22"/>
          <w:szCs w:val="22"/>
        </w:rPr>
        <w:t xml:space="preserve">Procedural consistency and expediency </w:t>
      </w:r>
      <w:proofErr w:type="gramStart"/>
      <w:r w:rsidRPr="00303225">
        <w:rPr>
          <w:rFonts w:ascii="Arial" w:hAnsi="Arial" w:cs="Arial"/>
          <w:sz w:val="22"/>
          <w:szCs w:val="22"/>
        </w:rPr>
        <w:t>is</w:t>
      </w:r>
      <w:proofErr w:type="gramEnd"/>
      <w:r w:rsidRPr="00303225">
        <w:rPr>
          <w:rFonts w:ascii="Arial" w:hAnsi="Arial" w:cs="Arial"/>
          <w:sz w:val="22"/>
          <w:szCs w:val="22"/>
        </w:rPr>
        <w:t xml:space="preserve"> far more likely to be achieved when there are specialist arbitration lists and judges</w:t>
      </w:r>
      <w:r w:rsidR="00225F6E" w:rsidRPr="00303225">
        <w:rPr>
          <w:rFonts w:ascii="Arial" w:hAnsi="Arial" w:cs="Arial"/>
          <w:sz w:val="22"/>
          <w:szCs w:val="22"/>
        </w:rPr>
        <w:t>; as the experience in leading commercial arbitration centres such as London, Singapore and Hong Kong shows</w:t>
      </w:r>
      <w:r w:rsidR="00C4124B" w:rsidRPr="00303225">
        <w:rPr>
          <w:rFonts w:ascii="Arial" w:hAnsi="Arial" w:cs="Arial"/>
          <w:sz w:val="22"/>
          <w:szCs w:val="22"/>
        </w:rPr>
        <w:t xml:space="preserve">. Specific arbitration practice notes and rules are essential to this process. </w:t>
      </w:r>
    </w:p>
    <w:p w14:paraId="2C748BEB" w14:textId="77777777" w:rsidR="00037EA1" w:rsidRPr="0098708D" w:rsidRDefault="009615FC" w:rsidP="00303225">
      <w:pPr>
        <w:pStyle w:val="Heading1"/>
        <w:spacing w:line="480" w:lineRule="auto"/>
        <w:rPr>
          <w:sz w:val="28"/>
          <w:szCs w:val="28"/>
        </w:rPr>
      </w:pPr>
      <w:bookmarkStart w:id="17" w:name="_Toc274907720"/>
      <w:r w:rsidRPr="0098708D">
        <w:rPr>
          <w:sz w:val="28"/>
          <w:szCs w:val="28"/>
        </w:rPr>
        <w:t>Conclusion</w:t>
      </w:r>
      <w:bookmarkEnd w:id="17"/>
    </w:p>
    <w:p w14:paraId="0E287EC1" w14:textId="77777777" w:rsidR="008D241A" w:rsidRPr="00303225" w:rsidRDefault="008E435D" w:rsidP="00303225">
      <w:pPr>
        <w:spacing w:line="480" w:lineRule="auto"/>
        <w:rPr>
          <w:rFonts w:ascii="Arial" w:hAnsi="Arial" w:cs="Arial"/>
          <w:sz w:val="22"/>
          <w:szCs w:val="22"/>
        </w:rPr>
      </w:pPr>
      <w:r w:rsidRPr="00303225">
        <w:rPr>
          <w:rFonts w:ascii="Arial" w:hAnsi="Arial" w:cs="Arial"/>
          <w:sz w:val="22"/>
          <w:szCs w:val="22"/>
        </w:rPr>
        <w:t xml:space="preserve">Australia has world class courts, both in terms of expertise and independence. </w:t>
      </w:r>
      <w:r w:rsidR="00B62899" w:rsidRPr="00303225">
        <w:rPr>
          <w:rFonts w:ascii="Arial" w:hAnsi="Arial" w:cs="Arial"/>
          <w:sz w:val="22"/>
          <w:szCs w:val="22"/>
        </w:rPr>
        <w:t>The quality of its leading</w:t>
      </w:r>
      <w:r w:rsidR="00782E51" w:rsidRPr="00303225">
        <w:rPr>
          <w:rFonts w:ascii="Arial" w:hAnsi="Arial" w:cs="Arial"/>
          <w:sz w:val="22"/>
          <w:szCs w:val="22"/>
        </w:rPr>
        <w:t xml:space="preserve"> arbitrators, inte</w:t>
      </w:r>
      <w:r w:rsidR="007F5FF5" w:rsidRPr="00303225">
        <w:rPr>
          <w:rFonts w:ascii="Arial" w:hAnsi="Arial" w:cs="Arial"/>
          <w:sz w:val="22"/>
          <w:szCs w:val="22"/>
        </w:rPr>
        <w:t xml:space="preserve">rnational and domestic, and </w:t>
      </w:r>
      <w:r w:rsidR="00782E51" w:rsidRPr="00303225">
        <w:rPr>
          <w:rFonts w:ascii="Arial" w:hAnsi="Arial" w:cs="Arial"/>
          <w:sz w:val="22"/>
          <w:szCs w:val="22"/>
        </w:rPr>
        <w:t>its</w:t>
      </w:r>
      <w:r w:rsidR="007F5FF5" w:rsidRPr="00303225">
        <w:rPr>
          <w:rFonts w:ascii="Arial" w:hAnsi="Arial" w:cs="Arial"/>
          <w:sz w:val="22"/>
          <w:szCs w:val="22"/>
        </w:rPr>
        <w:t xml:space="preserve"> leading lawyers </w:t>
      </w:r>
      <w:r w:rsidR="00782E51" w:rsidRPr="00303225">
        <w:rPr>
          <w:rFonts w:ascii="Arial" w:hAnsi="Arial" w:cs="Arial"/>
          <w:sz w:val="22"/>
          <w:szCs w:val="22"/>
        </w:rPr>
        <w:t>practising in arbitration matters</w:t>
      </w:r>
      <w:r w:rsidR="007F5FF5" w:rsidRPr="00303225">
        <w:rPr>
          <w:rFonts w:ascii="Arial" w:hAnsi="Arial" w:cs="Arial"/>
          <w:sz w:val="22"/>
          <w:szCs w:val="22"/>
        </w:rPr>
        <w:t xml:space="preserve"> is beyond question</w:t>
      </w:r>
      <w:r w:rsidR="00782E51" w:rsidRPr="00303225">
        <w:rPr>
          <w:rFonts w:ascii="Arial" w:hAnsi="Arial" w:cs="Arial"/>
          <w:sz w:val="22"/>
          <w:szCs w:val="22"/>
        </w:rPr>
        <w:t xml:space="preserve">. </w:t>
      </w:r>
      <w:r w:rsidR="007F5FF5" w:rsidRPr="00303225">
        <w:rPr>
          <w:rFonts w:ascii="Arial" w:hAnsi="Arial" w:cs="Arial"/>
          <w:sz w:val="22"/>
          <w:szCs w:val="22"/>
        </w:rPr>
        <w:t xml:space="preserve">With Australia’s new </w:t>
      </w:r>
      <w:r w:rsidR="008D241A" w:rsidRPr="00303225">
        <w:rPr>
          <w:rFonts w:ascii="Arial" w:hAnsi="Arial" w:cs="Arial"/>
          <w:sz w:val="22"/>
          <w:szCs w:val="22"/>
        </w:rPr>
        <w:t>international commercial arbitration</w:t>
      </w:r>
      <w:r w:rsidR="00782E51" w:rsidRPr="00303225">
        <w:rPr>
          <w:rFonts w:ascii="Arial" w:hAnsi="Arial" w:cs="Arial"/>
          <w:sz w:val="22"/>
          <w:szCs w:val="22"/>
        </w:rPr>
        <w:t xml:space="preserve"> legislation</w:t>
      </w:r>
      <w:r w:rsidR="008D241A" w:rsidRPr="00303225">
        <w:rPr>
          <w:rFonts w:ascii="Arial" w:hAnsi="Arial" w:cs="Arial"/>
          <w:sz w:val="22"/>
          <w:szCs w:val="22"/>
        </w:rPr>
        <w:t xml:space="preserve"> in force</w:t>
      </w:r>
      <w:r w:rsidR="00C52EC6" w:rsidRPr="00303225">
        <w:rPr>
          <w:rFonts w:ascii="Arial" w:hAnsi="Arial" w:cs="Arial"/>
          <w:sz w:val="22"/>
          <w:szCs w:val="22"/>
        </w:rPr>
        <w:t>,</w:t>
      </w:r>
      <w:r w:rsidR="008D241A" w:rsidRPr="00303225">
        <w:rPr>
          <w:rFonts w:ascii="Arial" w:hAnsi="Arial" w:cs="Arial"/>
          <w:sz w:val="22"/>
          <w:szCs w:val="22"/>
        </w:rPr>
        <w:t xml:space="preserve"> and </w:t>
      </w:r>
      <w:r w:rsidR="007F5FF5" w:rsidRPr="00303225">
        <w:rPr>
          <w:rFonts w:ascii="Arial" w:hAnsi="Arial" w:cs="Arial"/>
          <w:sz w:val="22"/>
          <w:szCs w:val="22"/>
        </w:rPr>
        <w:t>the new Model Law based</w:t>
      </w:r>
      <w:r w:rsidR="008D241A" w:rsidRPr="00303225">
        <w:rPr>
          <w:rFonts w:ascii="Arial" w:hAnsi="Arial" w:cs="Arial"/>
          <w:sz w:val="22"/>
          <w:szCs w:val="22"/>
        </w:rPr>
        <w:t xml:space="preserve"> domestic commercial arbitration</w:t>
      </w:r>
      <w:r w:rsidR="00C52EC6" w:rsidRPr="00303225">
        <w:rPr>
          <w:rFonts w:ascii="Arial" w:hAnsi="Arial" w:cs="Arial"/>
          <w:sz w:val="22"/>
          <w:szCs w:val="22"/>
        </w:rPr>
        <w:t xml:space="preserve"> legislation soon to be</w:t>
      </w:r>
      <w:r w:rsidR="008D241A" w:rsidRPr="00303225">
        <w:rPr>
          <w:rFonts w:ascii="Arial" w:hAnsi="Arial" w:cs="Arial"/>
          <w:sz w:val="22"/>
          <w:szCs w:val="22"/>
        </w:rPr>
        <w:t xml:space="preserve"> </w:t>
      </w:r>
      <w:r w:rsidR="00AF7861" w:rsidRPr="00303225">
        <w:rPr>
          <w:rFonts w:ascii="Arial" w:hAnsi="Arial" w:cs="Arial"/>
          <w:sz w:val="22"/>
          <w:szCs w:val="22"/>
        </w:rPr>
        <w:t>in force throughout the country</w:t>
      </w:r>
      <w:r w:rsidR="00C52EC6" w:rsidRPr="00303225">
        <w:rPr>
          <w:rFonts w:ascii="Arial" w:hAnsi="Arial" w:cs="Arial"/>
          <w:sz w:val="22"/>
          <w:szCs w:val="22"/>
        </w:rPr>
        <w:t>,</w:t>
      </w:r>
      <w:r w:rsidR="008D241A" w:rsidRPr="00303225">
        <w:rPr>
          <w:rFonts w:ascii="Arial" w:hAnsi="Arial" w:cs="Arial"/>
          <w:sz w:val="22"/>
          <w:szCs w:val="22"/>
        </w:rPr>
        <w:t xml:space="preserve"> I have no doubt that Australian courts can “get their act together on international commercial arbitration” and – more than that – play a leadership role in facilitating the development of commercial arbitration in Australia, both internationally and domestically.</w:t>
      </w:r>
      <w:r w:rsidR="007F5FF5" w:rsidRPr="00303225">
        <w:rPr>
          <w:rFonts w:ascii="Arial" w:hAnsi="Arial" w:cs="Arial"/>
          <w:sz w:val="22"/>
          <w:szCs w:val="22"/>
        </w:rPr>
        <w:t xml:space="preserve"> Nevertheless, as I have sought to emphasise, success can only be achieved by a combined effort of all stakeholders recognising the service to the commercial community, domestically and internationally, that commercial arbitration can provide.</w:t>
      </w:r>
    </w:p>
    <w:p w14:paraId="4293776C" w14:textId="77777777" w:rsidR="008D241A" w:rsidRPr="00303225" w:rsidRDefault="008D241A" w:rsidP="00303225">
      <w:pPr>
        <w:spacing w:line="480" w:lineRule="auto"/>
        <w:rPr>
          <w:rFonts w:ascii="Arial" w:hAnsi="Arial" w:cs="Arial"/>
          <w:sz w:val="22"/>
          <w:szCs w:val="22"/>
        </w:rPr>
      </w:pPr>
    </w:p>
    <w:p w14:paraId="2E5944C0" w14:textId="77777777" w:rsidR="008D241A" w:rsidRPr="00303225" w:rsidRDefault="008D241A" w:rsidP="00303225">
      <w:pPr>
        <w:spacing w:line="480" w:lineRule="auto"/>
        <w:rPr>
          <w:rFonts w:ascii="Arial" w:hAnsi="Arial" w:cs="Arial"/>
          <w:sz w:val="22"/>
          <w:szCs w:val="22"/>
        </w:rPr>
      </w:pPr>
    </w:p>
    <w:p w14:paraId="31AF3D69" w14:textId="77777777" w:rsidR="009615FC" w:rsidRPr="00303225" w:rsidRDefault="008D241A" w:rsidP="00303225">
      <w:pPr>
        <w:spacing w:line="480" w:lineRule="auto"/>
        <w:jc w:val="center"/>
        <w:rPr>
          <w:rFonts w:ascii="Arial" w:hAnsi="Arial" w:cs="Arial"/>
          <w:sz w:val="22"/>
          <w:szCs w:val="22"/>
        </w:rPr>
      </w:pPr>
      <w:r w:rsidRPr="00303225">
        <w:rPr>
          <w:rFonts w:ascii="Arial" w:hAnsi="Arial" w:cs="Arial"/>
          <w:sz w:val="22"/>
          <w:szCs w:val="22"/>
        </w:rPr>
        <w:t>*</w:t>
      </w:r>
      <w:r w:rsidRPr="00303225">
        <w:rPr>
          <w:rFonts w:ascii="Arial" w:hAnsi="Arial" w:cs="Arial"/>
          <w:sz w:val="22"/>
          <w:szCs w:val="22"/>
        </w:rPr>
        <w:tab/>
        <w:t>*</w:t>
      </w:r>
      <w:r w:rsidRPr="00303225">
        <w:rPr>
          <w:rFonts w:ascii="Arial" w:hAnsi="Arial" w:cs="Arial"/>
          <w:sz w:val="22"/>
          <w:szCs w:val="22"/>
        </w:rPr>
        <w:tab/>
        <w:t>*</w:t>
      </w:r>
      <w:r w:rsidRPr="00303225">
        <w:rPr>
          <w:rFonts w:ascii="Arial" w:hAnsi="Arial" w:cs="Arial"/>
          <w:sz w:val="22"/>
          <w:szCs w:val="22"/>
        </w:rPr>
        <w:tab/>
        <w:t>*</w:t>
      </w:r>
      <w:r w:rsidRPr="00303225">
        <w:rPr>
          <w:rFonts w:ascii="Arial" w:hAnsi="Arial" w:cs="Arial"/>
          <w:sz w:val="22"/>
          <w:szCs w:val="22"/>
        </w:rPr>
        <w:tab/>
        <w:t>*</w:t>
      </w:r>
      <w:r w:rsidRPr="00303225">
        <w:rPr>
          <w:rFonts w:ascii="Arial" w:hAnsi="Arial" w:cs="Arial"/>
          <w:sz w:val="22"/>
          <w:szCs w:val="22"/>
        </w:rPr>
        <w:tab/>
        <w:t>*</w:t>
      </w:r>
      <w:r w:rsidRPr="00303225">
        <w:rPr>
          <w:rFonts w:ascii="Arial" w:hAnsi="Arial" w:cs="Arial"/>
          <w:sz w:val="22"/>
          <w:szCs w:val="22"/>
        </w:rPr>
        <w:tab/>
        <w:t>*</w:t>
      </w:r>
    </w:p>
    <w:p w14:paraId="2AD3BFCF" w14:textId="77777777" w:rsidR="00EB77DE" w:rsidRPr="00303225" w:rsidRDefault="00EB77DE" w:rsidP="00303225">
      <w:pPr>
        <w:spacing w:line="480" w:lineRule="auto"/>
        <w:rPr>
          <w:rFonts w:ascii="Arial" w:hAnsi="Arial" w:cs="Arial"/>
          <w:sz w:val="22"/>
          <w:szCs w:val="22"/>
        </w:rPr>
      </w:pPr>
    </w:p>
    <w:sectPr w:rsidR="00EB77DE" w:rsidRPr="00303225" w:rsidSect="009523B8">
      <w:footerReference w:type="even" r:id="rId13"/>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71DB2" w14:textId="77777777" w:rsidR="00AE3073" w:rsidRDefault="00AE3073">
      <w:r>
        <w:separator/>
      </w:r>
    </w:p>
  </w:endnote>
  <w:endnote w:type="continuationSeparator" w:id="0">
    <w:p w14:paraId="5E9882C6" w14:textId="77777777" w:rsidR="00AE3073" w:rsidRDefault="00AE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8036C" w14:textId="77777777" w:rsidR="00CA636E" w:rsidRDefault="00CA636E" w:rsidP="000E58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77FE5A" w14:textId="77777777" w:rsidR="00CA636E" w:rsidRDefault="00CA636E" w:rsidP="009523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A9FFF" w14:textId="77777777" w:rsidR="00CA636E" w:rsidRDefault="00CA636E" w:rsidP="000E58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6340">
      <w:rPr>
        <w:rStyle w:val="PageNumber"/>
        <w:noProof/>
      </w:rPr>
      <w:t>4</w:t>
    </w:r>
    <w:r>
      <w:rPr>
        <w:rStyle w:val="PageNumber"/>
      </w:rPr>
      <w:fldChar w:fldCharType="end"/>
    </w:r>
  </w:p>
  <w:p w14:paraId="6418B8B9" w14:textId="77777777" w:rsidR="00CA636E" w:rsidRDefault="00CA636E" w:rsidP="009523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89717" w14:textId="77777777" w:rsidR="00AE3073" w:rsidRDefault="00AE3073">
      <w:r>
        <w:separator/>
      </w:r>
    </w:p>
  </w:footnote>
  <w:footnote w:type="continuationSeparator" w:id="0">
    <w:p w14:paraId="64B3F322" w14:textId="77777777" w:rsidR="00AE3073" w:rsidRDefault="00AE3073">
      <w:r>
        <w:continuationSeparator/>
      </w:r>
    </w:p>
  </w:footnote>
  <w:footnote w:id="1">
    <w:p w14:paraId="1E2ABBC4" w14:textId="77777777" w:rsidR="00CA636E" w:rsidRPr="00413DCD" w:rsidRDefault="00CA636E" w:rsidP="00C84011">
      <w:pPr>
        <w:pStyle w:val="FootnoteText"/>
        <w:spacing w:line="240" w:lineRule="auto"/>
        <w:ind w:left="720" w:hanging="720"/>
        <w:jc w:val="left"/>
      </w:pPr>
      <w:r>
        <w:rPr>
          <w:rStyle w:val="FootnoteReference"/>
        </w:rPr>
        <w:t>*</w:t>
      </w:r>
      <w:r>
        <w:t xml:space="preserve"> </w:t>
      </w:r>
      <w:r>
        <w:tab/>
        <w:t xml:space="preserve">A presentation given at the Financial Review International Dispute Resolution Conference 2010 on 15 October 2010 in </w:t>
      </w:r>
      <w:smartTag w:uri="urn:schemas-microsoft-com:office:smarttags" w:element="City">
        <w:smartTag w:uri="urn:schemas-microsoft-com:office:smarttags" w:element="place">
          <w:r>
            <w:t>Sydney</w:t>
          </w:r>
        </w:smartTag>
      </w:smartTag>
      <w:r>
        <w:t>.</w:t>
      </w:r>
    </w:p>
  </w:footnote>
  <w:footnote w:id="2">
    <w:p w14:paraId="68721F93" w14:textId="77777777" w:rsidR="00CA636E" w:rsidRDefault="00CA636E" w:rsidP="00C84011">
      <w:pPr>
        <w:pStyle w:val="EndnoteText"/>
        <w:spacing w:line="240" w:lineRule="auto"/>
        <w:ind w:left="720" w:hanging="720"/>
        <w:jc w:val="left"/>
      </w:pPr>
      <w:r>
        <w:rPr>
          <w:rStyle w:val="FootnoteReference"/>
        </w:rPr>
        <w:footnoteRef/>
      </w:r>
      <w:r>
        <w:t xml:space="preserve"> </w:t>
      </w:r>
      <w:r>
        <w:tab/>
        <w:t>I am particularly grateful to my Senior Associate, Mr David Markham, B. Com, LLB (Hons) (Monash) for his assistance in the preparation of this paper.</w:t>
      </w:r>
    </w:p>
    <w:p w14:paraId="7D322E47" w14:textId="77777777" w:rsidR="00CA636E" w:rsidRDefault="00CA636E" w:rsidP="00C84011">
      <w:pPr>
        <w:pStyle w:val="FootnoteText"/>
        <w:spacing w:line="240" w:lineRule="auto"/>
        <w:jc w:val="left"/>
      </w:pPr>
    </w:p>
  </w:footnote>
  <w:footnote w:id="3">
    <w:p w14:paraId="09265EDF" w14:textId="77777777" w:rsidR="00CA636E" w:rsidRPr="00AF0DD4" w:rsidRDefault="00CA636E" w:rsidP="00AF0DD4">
      <w:pPr>
        <w:pStyle w:val="FootnoteText"/>
        <w:spacing w:line="240" w:lineRule="auto"/>
        <w:ind w:left="720" w:hanging="720"/>
        <w:jc w:val="left"/>
      </w:pPr>
      <w:r>
        <w:rPr>
          <w:rStyle w:val="FootnoteReference"/>
        </w:rPr>
        <w:footnoteRef/>
      </w:r>
      <w:r>
        <w:t xml:space="preserve"> </w:t>
      </w:r>
      <w:r>
        <w:tab/>
        <w:t xml:space="preserve">The </w:t>
      </w:r>
      <w:r>
        <w:rPr>
          <w:i/>
        </w:rPr>
        <w:t>International Arbitration Amendment Act 2010</w:t>
      </w:r>
      <w:r>
        <w:t xml:space="preserve"> (</w:t>
      </w:r>
      <w:proofErr w:type="spellStart"/>
      <w:r>
        <w:t>Cth</w:t>
      </w:r>
      <w:proofErr w:type="spellEnd"/>
      <w:r>
        <w:t xml:space="preserve">) was introduced into Parliament in November 2009, passed on 17 June </w:t>
      </w:r>
      <w:proofErr w:type="gramStart"/>
      <w:r>
        <w:t>2010</w:t>
      </w:r>
      <w:proofErr w:type="gramEnd"/>
      <w:r>
        <w:t xml:space="preserve"> and received royal assent on 6 July 2010.</w:t>
      </w:r>
    </w:p>
  </w:footnote>
  <w:footnote w:id="4">
    <w:p w14:paraId="201234E8" w14:textId="77777777" w:rsidR="00CA636E" w:rsidRPr="00585C7C" w:rsidRDefault="00CA636E" w:rsidP="00C84011">
      <w:pPr>
        <w:pStyle w:val="FootnoteText"/>
        <w:spacing w:line="240" w:lineRule="auto"/>
        <w:ind w:left="720" w:hanging="720"/>
        <w:jc w:val="left"/>
      </w:pPr>
      <w:r>
        <w:rPr>
          <w:rStyle w:val="FootnoteReference"/>
        </w:rPr>
        <w:footnoteRef/>
      </w:r>
      <w:r>
        <w:t xml:space="preserve"> </w:t>
      </w:r>
      <w:r>
        <w:tab/>
      </w:r>
      <w:smartTag w:uri="urn:schemas-microsoft-com:office:smarttags" w:element="State">
        <w:smartTag w:uri="urn:schemas-microsoft-com:office:smarttags" w:element="place">
          <w:r>
            <w:t>New South Wales</w:t>
          </w:r>
        </w:smartTag>
      </w:smartTag>
      <w:r>
        <w:t xml:space="preserve"> was the first state to adopt the reformed commercial arbitration legislation in the </w:t>
      </w:r>
      <w:r>
        <w:rPr>
          <w:i/>
        </w:rPr>
        <w:t xml:space="preserve">Commercial Arbitration Act </w:t>
      </w:r>
      <w:r w:rsidRPr="0089610A">
        <w:rPr>
          <w:i/>
        </w:rPr>
        <w:t xml:space="preserve">2010 </w:t>
      </w:r>
      <w:r>
        <w:t xml:space="preserve">(NSW). The NSW legislation commenced on 1 October 2010. It is anticipated that </w:t>
      </w:r>
      <w:smartTag w:uri="urn:schemas-microsoft-com:office:smarttags" w:element="State">
        <w:smartTag w:uri="urn:schemas-microsoft-com:office:smarttags" w:element="place">
          <w:r>
            <w:t>Victoria</w:t>
          </w:r>
        </w:smartTag>
      </w:smartTag>
      <w:r>
        <w:t xml:space="preserve"> will enact this legislation in early 2011.</w:t>
      </w:r>
    </w:p>
  </w:footnote>
  <w:footnote w:id="5">
    <w:p w14:paraId="75845BFB" w14:textId="77777777" w:rsidR="00CA636E" w:rsidRDefault="00CA636E" w:rsidP="00C84011">
      <w:pPr>
        <w:pStyle w:val="FootnoteText"/>
        <w:spacing w:line="240" w:lineRule="auto"/>
        <w:ind w:left="720" w:hanging="720"/>
        <w:jc w:val="left"/>
      </w:pPr>
      <w:r>
        <w:rPr>
          <w:rStyle w:val="FootnoteReference"/>
        </w:rPr>
        <w:footnoteRef/>
      </w:r>
      <w:r>
        <w:t xml:space="preserve"> </w:t>
      </w:r>
      <w:r>
        <w:tab/>
        <w:t xml:space="preserve">Including the Australian Centre for International Commercial Arbitration (ACICA), the Chartered Institute of Arbitrators (Australian Branch) and the </w:t>
      </w:r>
      <w:smartTag w:uri="urn:schemas-microsoft-com:office:smarttags" w:element="PlaceType">
        <w:r>
          <w:t>Institute</w:t>
        </w:r>
      </w:smartTag>
      <w:r>
        <w:t xml:space="preserve"> of </w:t>
      </w:r>
      <w:smartTag w:uri="urn:schemas-microsoft-com:office:smarttags" w:element="PlaceName">
        <w:r>
          <w:t>Arbitrators</w:t>
        </w:r>
      </w:smartTag>
      <w:r>
        <w:t xml:space="preserve"> and Mediators </w:t>
      </w:r>
      <w:smartTag w:uri="urn:schemas-microsoft-com:office:smarttags" w:element="country-region">
        <w:smartTag w:uri="urn:schemas-microsoft-com:office:smarttags" w:element="place">
          <w:r>
            <w:t>Australia</w:t>
          </w:r>
        </w:smartTag>
      </w:smartTag>
      <w:r>
        <w:t xml:space="preserve"> (IAMA).</w:t>
      </w:r>
    </w:p>
  </w:footnote>
  <w:footnote w:id="6">
    <w:p w14:paraId="71C992C2" w14:textId="77777777" w:rsidR="00CA636E" w:rsidRPr="006B26A4" w:rsidRDefault="00CA636E" w:rsidP="00C84011">
      <w:pPr>
        <w:pStyle w:val="FootnoteText"/>
        <w:spacing w:line="240" w:lineRule="auto"/>
        <w:ind w:left="720" w:hanging="720"/>
        <w:jc w:val="left"/>
      </w:pPr>
      <w:r>
        <w:rPr>
          <w:rStyle w:val="FootnoteReference"/>
        </w:rPr>
        <w:footnoteRef/>
      </w:r>
      <w:r>
        <w:t xml:space="preserve"> </w:t>
      </w:r>
      <w:r>
        <w:tab/>
        <w:t xml:space="preserve">The domestic commercial arbitration legislation, prior to the enactment of the </w:t>
      </w:r>
      <w:r w:rsidRPr="0089610A">
        <w:rPr>
          <w:i/>
        </w:rPr>
        <w:t>Commercial Arbitration Act 2010</w:t>
      </w:r>
      <w:r>
        <w:t xml:space="preserve"> in New South Wales was uniform (or substantially uniform) legislation which flowed from the work of SCAG in the late 1970s and early 1980s which was based on the then new and innovative legislative developments in England which resulted in the enactment of new legislation in the form of the </w:t>
      </w:r>
      <w:r>
        <w:rPr>
          <w:i/>
        </w:rPr>
        <w:t xml:space="preserve">Arbitration Act </w:t>
      </w:r>
      <w:r>
        <w:t>1975 (</w:t>
      </w:r>
      <w:proofErr w:type="spellStart"/>
      <w:r>
        <w:t>Eng</w:t>
      </w:r>
      <w:proofErr w:type="spellEnd"/>
      <w:r>
        <w:t xml:space="preserve">) and, principally, the </w:t>
      </w:r>
      <w:r>
        <w:rPr>
          <w:i/>
        </w:rPr>
        <w:t xml:space="preserve">Arbitration Act </w:t>
      </w:r>
      <w:r>
        <w:t>1979 (</w:t>
      </w:r>
      <w:proofErr w:type="spellStart"/>
      <w:r>
        <w:t>Eng</w:t>
      </w:r>
      <w:proofErr w:type="spellEnd"/>
      <w:r>
        <w:t xml:space="preserve">). </w:t>
      </w:r>
      <w:smartTag w:uri="urn:schemas-microsoft-com:office:smarttags" w:element="place">
        <w:smartTag w:uri="urn:schemas-microsoft-com:office:smarttags" w:element="State">
          <w:r>
            <w:t>Victoria</w:t>
          </w:r>
        </w:smartTag>
      </w:smartTag>
      <w:r>
        <w:t xml:space="preserve"> was the first State to enact the legislation SCAG had developed, in the form of the </w:t>
      </w:r>
      <w:r>
        <w:rPr>
          <w:i/>
        </w:rPr>
        <w:t xml:space="preserve">Commercial Arbitration Act </w:t>
      </w:r>
      <w:r>
        <w:t xml:space="preserve">1984. </w:t>
      </w:r>
      <w:smartTag w:uri="urn:schemas-microsoft-com:office:smarttags" w:element="place">
        <w:smartTag w:uri="urn:schemas-microsoft-com:office:smarttags" w:element="State">
          <w:r>
            <w:t>New South Wales</w:t>
          </w:r>
        </w:smartTag>
      </w:smartTag>
      <w:r>
        <w:t xml:space="preserve"> followed shortly afterwards as, in due course, did the other States and the Territories. Apart from in </w:t>
      </w:r>
      <w:smartTag w:uri="urn:schemas-microsoft-com:office:smarttags" w:element="State">
        <w:r>
          <w:t>New South Wales</w:t>
        </w:r>
      </w:smartTag>
      <w:r>
        <w:t xml:space="preserve">, </w:t>
      </w:r>
      <w:proofErr w:type="gramStart"/>
      <w:r>
        <w:t>as a result of</w:t>
      </w:r>
      <w:proofErr w:type="gramEnd"/>
      <w:r>
        <w:t xml:space="preserve"> its enactment of the </w:t>
      </w:r>
      <w:r>
        <w:rPr>
          <w:i/>
        </w:rPr>
        <w:t xml:space="preserve">Commercial Arbitration Act </w:t>
      </w:r>
      <w:r>
        <w:t xml:space="preserve">2010, this is the domestic commercial arbitration legislation still in force in </w:t>
      </w:r>
      <w:smartTag w:uri="urn:schemas-microsoft-com:office:smarttags" w:element="country-region">
        <w:smartTag w:uri="urn:schemas-microsoft-com:office:smarttags" w:element="place">
          <w:r>
            <w:t>Australia</w:t>
          </w:r>
        </w:smartTag>
      </w:smartTag>
      <w:r>
        <w:t>.</w:t>
      </w:r>
    </w:p>
  </w:footnote>
  <w:footnote w:id="7">
    <w:p w14:paraId="5D100FF1" w14:textId="77777777" w:rsidR="00CA636E" w:rsidRPr="009E1BDE" w:rsidRDefault="00CA636E" w:rsidP="00C84011">
      <w:pPr>
        <w:pStyle w:val="FootnoteText"/>
        <w:spacing w:line="240" w:lineRule="auto"/>
        <w:ind w:left="720" w:hanging="720"/>
        <w:jc w:val="left"/>
      </w:pPr>
      <w:r>
        <w:rPr>
          <w:rStyle w:val="FootnoteReference"/>
        </w:rPr>
        <w:footnoteRef/>
      </w:r>
      <w:r>
        <w:t xml:space="preserve"> </w:t>
      </w:r>
      <w:r>
        <w:tab/>
        <w:t xml:space="preserve">See </w:t>
      </w:r>
      <w:r>
        <w:rPr>
          <w:i/>
        </w:rPr>
        <w:t xml:space="preserve">Pioneer Shipping Ltd v BTP </w:t>
      </w:r>
      <w:proofErr w:type="spellStart"/>
      <w:r>
        <w:rPr>
          <w:i/>
        </w:rPr>
        <w:t>Tioxide</w:t>
      </w:r>
      <w:proofErr w:type="spellEnd"/>
      <w:r>
        <w:rPr>
          <w:i/>
        </w:rPr>
        <w:t xml:space="preserve"> Ltd (“The </w:t>
      </w:r>
      <w:proofErr w:type="spellStart"/>
      <w:r>
        <w:rPr>
          <w:i/>
        </w:rPr>
        <w:t>Nema</w:t>
      </w:r>
      <w:proofErr w:type="spellEnd"/>
      <w:r>
        <w:rPr>
          <w:i/>
        </w:rPr>
        <w:t xml:space="preserve">”) </w:t>
      </w:r>
      <w:r>
        <w:t xml:space="preserve">[1982] AC 724 at 742; and see JA Sharkey and JB </w:t>
      </w:r>
      <w:proofErr w:type="spellStart"/>
      <w:r>
        <w:t>Dorter</w:t>
      </w:r>
      <w:proofErr w:type="spellEnd"/>
      <w:r>
        <w:t xml:space="preserve">, </w:t>
      </w:r>
      <w:r>
        <w:rPr>
          <w:i/>
        </w:rPr>
        <w:t xml:space="preserve">Commercial Arbitration </w:t>
      </w:r>
      <w:r>
        <w:t>(1986, LBC), 268 – 274.</w:t>
      </w:r>
    </w:p>
  </w:footnote>
  <w:footnote w:id="8">
    <w:p w14:paraId="4C4066F1" w14:textId="77777777" w:rsidR="00CA636E" w:rsidRPr="006C2F33" w:rsidRDefault="00CA636E" w:rsidP="00C84011">
      <w:pPr>
        <w:pStyle w:val="FootnoteText"/>
        <w:spacing w:line="240" w:lineRule="auto"/>
        <w:ind w:left="720" w:hanging="720"/>
        <w:jc w:val="left"/>
      </w:pPr>
      <w:r>
        <w:rPr>
          <w:rStyle w:val="FootnoteReference"/>
        </w:rPr>
        <w:footnoteRef/>
      </w:r>
      <w:r>
        <w:t xml:space="preserve"> </w:t>
      </w:r>
      <w:r>
        <w:tab/>
        <w:t xml:space="preserve">J Oldham, </w:t>
      </w:r>
      <w:r>
        <w:rPr>
          <w:i/>
        </w:rPr>
        <w:t xml:space="preserve">English Common Law in the Age of </w:t>
      </w:r>
      <w:smartTag w:uri="urn:schemas-microsoft-com:office:smarttags" w:element="City">
        <w:r>
          <w:rPr>
            <w:i/>
          </w:rPr>
          <w:t>Mansfield</w:t>
        </w:r>
      </w:smartTag>
      <w:r>
        <w:rPr>
          <w:i/>
        </w:rPr>
        <w:t xml:space="preserve"> </w:t>
      </w:r>
      <w:r>
        <w:t xml:space="preserve">(2004,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North Carolina</w:t>
          </w:r>
        </w:smartTag>
      </w:smartTag>
      <w:r>
        <w:t xml:space="preserve"> Press), 68 – 72.</w:t>
      </w:r>
    </w:p>
  </w:footnote>
  <w:footnote w:id="9">
    <w:p w14:paraId="5DBA15F3" w14:textId="77777777" w:rsidR="00CA636E" w:rsidRDefault="00CA636E" w:rsidP="00C84011">
      <w:pPr>
        <w:pStyle w:val="FootnoteText"/>
        <w:spacing w:line="240" w:lineRule="auto"/>
        <w:ind w:left="720" w:hanging="720"/>
        <w:jc w:val="left"/>
      </w:pPr>
      <w:r>
        <w:rPr>
          <w:rStyle w:val="FootnoteReference"/>
        </w:rPr>
        <w:footnoteRef/>
      </w:r>
      <w:r>
        <w:t xml:space="preserve"> </w:t>
      </w:r>
      <w:r>
        <w:tab/>
      </w:r>
      <w:r w:rsidRPr="004E1523">
        <w:t>United Nations Commission on International Trade Law (UNCITRAL), Model Law on International Commercial Arbitration 1985 (as adopted by UNCITRAL on 21 June 1985). Adopted by the UN General Assembly 11 December 1985 (General Assembly Resolution 40/72), with revisions (as amended by UNCITRAL and adopted on 7 July 2006) adopted by the UN General Assembly on 4 December 2006 (General Assembly Resolution 61/33</w:t>
      </w:r>
      <w:r>
        <w:t>).</w:t>
      </w:r>
    </w:p>
  </w:footnote>
  <w:footnote w:id="10">
    <w:p w14:paraId="46E8E26B" w14:textId="7490DC25" w:rsidR="00CA636E" w:rsidRPr="00867CBA" w:rsidRDefault="00CA636E" w:rsidP="00AF0DD4">
      <w:pPr>
        <w:pStyle w:val="FootnoteText"/>
        <w:spacing w:line="240" w:lineRule="auto"/>
        <w:ind w:left="720" w:hanging="720"/>
        <w:jc w:val="left"/>
      </w:pPr>
      <w:r>
        <w:rPr>
          <w:rStyle w:val="FootnoteReference"/>
        </w:rPr>
        <w:footnoteRef/>
      </w:r>
      <w:r>
        <w:t xml:space="preserve"> </w:t>
      </w:r>
      <w:r>
        <w:tab/>
        <w:t>And see, in the litigation context, Justice Clyde Croft, ‘</w:t>
      </w:r>
      <w:r w:rsidRPr="00962EA5">
        <w:t>AON and its implications for the Commercial Court</w:t>
      </w:r>
      <w:r>
        <w:t xml:space="preserve">’, a paper presented at the </w:t>
      </w:r>
      <w:r w:rsidRPr="00AF0DD4">
        <w:t xml:space="preserve">Commercial Court CPD and CLE – </w:t>
      </w:r>
      <w:r w:rsidRPr="00867CBA">
        <w:rPr>
          <w:i/>
        </w:rPr>
        <w:t>Aon Risk Services Australia Ltd v ANU</w:t>
      </w:r>
      <w:r w:rsidRPr="00AF0DD4">
        <w:t xml:space="preserve"> [2009] HCA 27: What does this mean for litigation and how will it affect trial preparat</w:t>
      </w:r>
      <w:r>
        <w:t xml:space="preserve">ion?' seminar on 19 August 2010, available at </w:t>
      </w:r>
      <w:hyperlink r:id="rId1" w:history="1">
        <w:r w:rsidRPr="008A3450">
          <w:rPr>
            <w:rStyle w:val="Hyperlink"/>
          </w:rPr>
          <w:t>http://www.supremecourt.vic.gov.au/wps/wcm/connect/justlib/supreme+court/home/library/supreme+-+aon+and+its+implications+for+the++commercial+court</w:t>
        </w:r>
      </w:hyperlink>
      <w:r>
        <w:t xml:space="preserve">. </w:t>
      </w:r>
    </w:p>
  </w:footnote>
  <w:footnote w:id="11">
    <w:p w14:paraId="6F430639" w14:textId="77777777" w:rsidR="00CA636E" w:rsidRDefault="00CA636E" w:rsidP="00AF0DD4">
      <w:pPr>
        <w:pStyle w:val="FootnoteText"/>
        <w:spacing w:line="240" w:lineRule="auto"/>
        <w:ind w:left="720" w:hanging="720"/>
        <w:jc w:val="left"/>
      </w:pPr>
      <w:r>
        <w:rPr>
          <w:rStyle w:val="FootnoteReference"/>
        </w:rPr>
        <w:footnoteRef/>
      </w:r>
      <w:r>
        <w:t xml:space="preserve"> </w:t>
      </w:r>
      <w:r>
        <w:tab/>
        <w:t>As is illustrated by Victorian Supreme Court Practice Note 2 of 2010 (Arbitration Business); which indicates, specifically, the nature of these roles and procedural arrangements for the Arbitration List (</w:t>
      </w:r>
      <w:smartTag w:uri="urn:schemas-microsoft-com:office:smarttags" w:element="address">
        <w:smartTag w:uri="urn:schemas-microsoft-com:office:smarttags" w:element="Street">
          <w:r>
            <w:t>Commercial Court</w:t>
          </w:r>
        </w:smartTag>
      </w:smartTag>
      <w:r>
        <w:t xml:space="preserve"> – List G). </w:t>
      </w:r>
    </w:p>
  </w:footnote>
  <w:footnote w:id="12">
    <w:p w14:paraId="7952B35D" w14:textId="77777777" w:rsidR="00CA636E" w:rsidRPr="009F4ACB" w:rsidRDefault="00CA636E" w:rsidP="00867CBA">
      <w:pPr>
        <w:pStyle w:val="FootnoteText"/>
        <w:spacing w:line="240" w:lineRule="auto"/>
        <w:ind w:left="720" w:hanging="720"/>
        <w:jc w:val="left"/>
        <w:rPr>
          <w:b/>
        </w:rPr>
      </w:pPr>
      <w:r>
        <w:rPr>
          <w:rStyle w:val="FootnoteReference"/>
        </w:rPr>
        <w:footnoteRef/>
      </w:r>
      <w:r>
        <w:t xml:space="preserve"> </w:t>
      </w:r>
      <w:r>
        <w:tab/>
        <w:t xml:space="preserve">Which include the </w:t>
      </w:r>
      <w:r>
        <w:rPr>
          <w:i/>
        </w:rPr>
        <w:t xml:space="preserve">Arbitration Act </w:t>
      </w:r>
      <w:r>
        <w:t>1996 (</w:t>
      </w:r>
      <w:proofErr w:type="spellStart"/>
      <w:r>
        <w:t>Eng</w:t>
      </w:r>
      <w:proofErr w:type="spellEnd"/>
      <w:r>
        <w:t xml:space="preserve">), the </w:t>
      </w:r>
      <w:r>
        <w:rPr>
          <w:i/>
        </w:rPr>
        <w:t xml:space="preserve">Arbitration Act </w:t>
      </w:r>
      <w:r>
        <w:t xml:space="preserve">1996 (NZ), </w:t>
      </w:r>
      <w:r>
        <w:rPr>
          <w:i/>
        </w:rPr>
        <w:t xml:space="preserve">Arbitration Act </w:t>
      </w:r>
      <w:r>
        <w:t xml:space="preserve">(Cap. 10) and </w:t>
      </w:r>
      <w:r>
        <w:rPr>
          <w:i/>
        </w:rPr>
        <w:t>International Arbitration Act</w:t>
      </w:r>
      <w:r>
        <w:t xml:space="preserve"> (Cap. 143A) (</w:t>
      </w:r>
      <w:smartTag w:uri="urn:schemas-microsoft-com:office:smarttags" w:element="country-region">
        <w:r>
          <w:t>Singapore</w:t>
        </w:r>
      </w:smartTag>
      <w:r>
        <w:t xml:space="preserve">), and the </w:t>
      </w:r>
      <w:r>
        <w:rPr>
          <w:i/>
        </w:rPr>
        <w:t>Arbitration Ordinance 1996</w:t>
      </w:r>
      <w:r>
        <w:t xml:space="preserve"> (</w:t>
      </w:r>
      <w:smartTag w:uri="urn:schemas-microsoft-com:office:smarttags" w:element="place">
        <w:r>
          <w:t>Hong Kong</w:t>
        </w:r>
      </w:smartTag>
      <w:r>
        <w:t>).</w:t>
      </w:r>
    </w:p>
  </w:footnote>
  <w:footnote w:id="13">
    <w:p w14:paraId="74B7DDF5" w14:textId="77777777" w:rsidR="00CA636E" w:rsidRDefault="00CA636E" w:rsidP="00C84011">
      <w:pPr>
        <w:pStyle w:val="FootnoteText"/>
        <w:spacing w:line="240" w:lineRule="auto"/>
        <w:ind w:left="720" w:hanging="720"/>
        <w:jc w:val="left"/>
      </w:pPr>
      <w:r>
        <w:rPr>
          <w:rStyle w:val="FootnoteReference"/>
        </w:rPr>
        <w:footnoteRef/>
      </w:r>
      <w:r>
        <w:t xml:space="preserve"> </w:t>
      </w:r>
      <w:r>
        <w:tab/>
      </w:r>
      <w:r w:rsidRPr="004E1523">
        <w:t>United Nations Commission on International Trade Law (UNCITRAL), Model Law on International Commercial Arbitration 1985 (as adopted by UNCITRAL on 21 June 1985). Adopted by the UN General Assembly 11 December 1985 (General Assembly Resolution 40/72), with revisions (as amended by UNCITRAL and adopted on 7 July 2006) adopted by the UN General Assembly on 4 December 2006 (General Assembly Resolution 61/33</w:t>
      </w:r>
      <w:r>
        <w:t>.</w:t>
      </w:r>
    </w:p>
  </w:footnote>
  <w:footnote w:id="14">
    <w:p w14:paraId="4CCB04DA" w14:textId="77777777" w:rsidR="00CA636E" w:rsidRDefault="00CA636E" w:rsidP="00C84011">
      <w:pPr>
        <w:pStyle w:val="FootnoteText"/>
        <w:spacing w:line="240" w:lineRule="auto"/>
        <w:jc w:val="left"/>
      </w:pPr>
      <w:r>
        <w:rPr>
          <w:rStyle w:val="FootnoteReference"/>
        </w:rPr>
        <w:footnoteRef/>
      </w:r>
      <w:r>
        <w:t xml:space="preserve"> </w:t>
      </w:r>
      <w:r>
        <w:tab/>
        <w:t>A position which is reinforced, and required, by s 2A of the CAA (see below).</w:t>
      </w:r>
    </w:p>
  </w:footnote>
  <w:footnote w:id="15">
    <w:p w14:paraId="2385FAFC" w14:textId="77777777" w:rsidR="00CA636E" w:rsidRPr="00AA48A5" w:rsidRDefault="00CA636E" w:rsidP="00C84011">
      <w:pPr>
        <w:pStyle w:val="FootnoteText"/>
        <w:spacing w:line="240" w:lineRule="auto"/>
        <w:ind w:left="720" w:hanging="720"/>
        <w:jc w:val="left"/>
      </w:pPr>
      <w:r>
        <w:rPr>
          <w:rStyle w:val="FootnoteReference"/>
        </w:rPr>
        <w:footnoteRef/>
      </w:r>
      <w:r>
        <w:t xml:space="preserve"> </w:t>
      </w:r>
      <w:r>
        <w:tab/>
        <w:t>The issue was raised in the Commonwealth Attorney General’s Department ‘Review of the International Arbitration Act 1974, Discussion Paper, November 2008 in section H.</w:t>
      </w:r>
    </w:p>
  </w:footnote>
  <w:footnote w:id="16">
    <w:p w14:paraId="65FA5C94" w14:textId="77777777" w:rsidR="00CA636E" w:rsidRDefault="00CA636E" w:rsidP="00C84011">
      <w:pPr>
        <w:pStyle w:val="FootnoteText"/>
        <w:spacing w:line="240" w:lineRule="auto"/>
        <w:jc w:val="left"/>
      </w:pPr>
      <w:r>
        <w:rPr>
          <w:rStyle w:val="FootnoteReference"/>
        </w:rPr>
        <w:footnoteRef/>
      </w:r>
      <w:r>
        <w:t xml:space="preserve"> </w:t>
      </w:r>
      <w:r>
        <w:tab/>
        <w:t>References to sections in the CAA are to SCAG’s Model Bill unless otherwise stated.</w:t>
      </w:r>
    </w:p>
  </w:footnote>
  <w:footnote w:id="17">
    <w:p w14:paraId="50BE7B19" w14:textId="77777777" w:rsidR="00CA636E" w:rsidRDefault="00CA636E" w:rsidP="00C84011">
      <w:pPr>
        <w:pStyle w:val="FootnoteText"/>
        <w:spacing w:line="240" w:lineRule="auto"/>
        <w:jc w:val="left"/>
      </w:pPr>
      <w:r>
        <w:rPr>
          <w:rStyle w:val="FootnoteReference"/>
        </w:rPr>
        <w:footnoteRef/>
      </w:r>
      <w:r>
        <w:t xml:space="preserve"> </w:t>
      </w:r>
      <w:r>
        <w:tab/>
        <w:t>CAA, s 1AC(2)(b).</w:t>
      </w:r>
    </w:p>
  </w:footnote>
  <w:footnote w:id="18">
    <w:p w14:paraId="3685460C" w14:textId="77777777" w:rsidR="00CA636E" w:rsidRPr="00DD7835" w:rsidRDefault="00CA636E" w:rsidP="00333D15">
      <w:pPr>
        <w:pStyle w:val="FootnoteText"/>
        <w:spacing w:line="240" w:lineRule="auto"/>
        <w:ind w:left="720" w:hanging="720"/>
        <w:jc w:val="left"/>
      </w:pPr>
      <w:r>
        <w:rPr>
          <w:rStyle w:val="FootnoteReference"/>
        </w:rPr>
        <w:footnoteRef/>
      </w:r>
      <w:r>
        <w:t xml:space="preserve"> </w:t>
      </w:r>
      <w:r>
        <w:tab/>
        <w:t xml:space="preserve">See, for example, Australian Centre for International Commercial Arbitration </w:t>
      </w:r>
      <w:r w:rsidR="00840148">
        <w:t>Expedited Arbitration Rules, r 3</w:t>
      </w:r>
      <w:r>
        <w:t xml:space="preserve"> “Overriding Objective” and r 13.1.</w:t>
      </w:r>
    </w:p>
  </w:footnote>
  <w:footnote w:id="19">
    <w:p w14:paraId="31DD1DA4" w14:textId="77777777" w:rsidR="00CA636E" w:rsidRDefault="00CA636E" w:rsidP="00C84011">
      <w:pPr>
        <w:pStyle w:val="FootnoteText"/>
        <w:spacing w:line="240" w:lineRule="auto"/>
        <w:jc w:val="left"/>
      </w:pPr>
      <w:r>
        <w:rPr>
          <w:rStyle w:val="FootnoteReference"/>
        </w:rPr>
        <w:footnoteRef/>
      </w:r>
      <w:r>
        <w:t xml:space="preserve"> </w:t>
      </w:r>
      <w:r>
        <w:tab/>
        <w:t>IAA, s 39(2).</w:t>
      </w:r>
    </w:p>
  </w:footnote>
  <w:footnote w:id="20">
    <w:p w14:paraId="0AC6E9E8" w14:textId="77777777" w:rsidR="00CA636E" w:rsidRDefault="00CA636E" w:rsidP="000823CE">
      <w:pPr>
        <w:pStyle w:val="FootnoteText"/>
        <w:spacing w:line="240" w:lineRule="auto"/>
        <w:ind w:left="720" w:hanging="720"/>
        <w:jc w:val="left"/>
      </w:pPr>
      <w:r>
        <w:rPr>
          <w:rStyle w:val="FootnoteReference"/>
        </w:rPr>
        <w:footnoteRef/>
      </w:r>
      <w:r>
        <w:t xml:space="preserve"> </w:t>
      </w:r>
      <w:r>
        <w:tab/>
        <w:t xml:space="preserve">See IAA s 18: </w:t>
      </w:r>
    </w:p>
    <w:p w14:paraId="0C082E25" w14:textId="77777777" w:rsidR="00CA636E" w:rsidRDefault="00CA636E" w:rsidP="000823CE">
      <w:pPr>
        <w:pStyle w:val="FootnoteText"/>
        <w:spacing w:after="120" w:line="240" w:lineRule="auto"/>
        <w:ind w:left="1440"/>
        <w:jc w:val="left"/>
      </w:pPr>
      <w:r>
        <w:t>“(1) A court or authority prescribed for the purposes of this subsection is taken to have been specified in Article 6 of the Model Law as a court or authority competent to perform the functions referred to in Article 11(3) of the Model Law.</w:t>
      </w:r>
    </w:p>
    <w:p w14:paraId="30DEF225" w14:textId="77777777" w:rsidR="00CA636E" w:rsidRDefault="00CA636E" w:rsidP="000823CE">
      <w:pPr>
        <w:pStyle w:val="FootnoteText"/>
        <w:spacing w:after="120" w:line="240" w:lineRule="auto"/>
        <w:ind w:left="1440"/>
        <w:jc w:val="left"/>
        <w:rPr>
          <w:b/>
        </w:rPr>
      </w:pPr>
      <w:r>
        <w:t>(2) A court or authority prescribed for the purposes of this subsection is taken to have been specified in Article 6 of the Model Law as a court or authority competent to perform the functions referred to in Article 11(4) of the Model Law.</w:t>
      </w:r>
      <w:r>
        <w:rPr>
          <w:b/>
        </w:rPr>
        <w:t>”</w:t>
      </w:r>
    </w:p>
    <w:p w14:paraId="73FC51D3" w14:textId="77777777" w:rsidR="00CA636E" w:rsidRPr="00151748" w:rsidRDefault="00CA636E" w:rsidP="00151748">
      <w:pPr>
        <w:pStyle w:val="FootnoteText"/>
        <w:spacing w:after="120" w:line="240" w:lineRule="auto"/>
        <w:ind w:left="720"/>
        <w:jc w:val="left"/>
      </w:pPr>
      <w:r>
        <w:t xml:space="preserve">The functions referred to in Articles 11(3) and 11(4) of the Model Law are the appointment of arbitrators. At this stage, no authority has been prescribed, but </w:t>
      </w:r>
      <w:proofErr w:type="gramStart"/>
      <w:r>
        <w:t>a</w:t>
      </w:r>
      <w:proofErr w:type="gramEnd"/>
      <w:r>
        <w:t xml:space="preserve"> arbitral institution such as ACICA would be appropriate.</w:t>
      </w:r>
    </w:p>
  </w:footnote>
  <w:footnote w:id="21">
    <w:p w14:paraId="31DC0A6F" w14:textId="77777777" w:rsidR="00CA636E" w:rsidRPr="00AA48A5" w:rsidRDefault="00CA636E" w:rsidP="00AA48A5">
      <w:pPr>
        <w:pStyle w:val="FootnoteText"/>
        <w:spacing w:line="240" w:lineRule="auto"/>
        <w:ind w:left="720" w:hanging="720"/>
        <w:jc w:val="left"/>
      </w:pPr>
      <w:r>
        <w:rPr>
          <w:rStyle w:val="FootnoteReference"/>
        </w:rPr>
        <w:footnoteRef/>
      </w:r>
      <w:r>
        <w:t xml:space="preserve"> </w:t>
      </w:r>
      <w:r>
        <w:tab/>
      </w:r>
      <w:r w:rsidRPr="00AA48A5">
        <w:t>United Nations Convention on the Recognition and Enforcement of Foreign Arbitral Awards, opened for signature 10 June</w:t>
      </w:r>
      <w:r>
        <w:t xml:space="preserve"> </w:t>
      </w:r>
      <w:r w:rsidRPr="00AA48A5">
        <w:t>1958, 330 UNTS 38 (entered into force 7 June 1959)</w:t>
      </w:r>
      <w:r>
        <w:t xml:space="preserve"> (“New York Convention”).</w:t>
      </w:r>
    </w:p>
  </w:footnote>
  <w:footnote w:id="22">
    <w:p w14:paraId="618904B0" w14:textId="77777777" w:rsidR="00CA636E" w:rsidRDefault="00CA636E" w:rsidP="00C84011">
      <w:pPr>
        <w:pStyle w:val="FootnoteText"/>
        <w:spacing w:line="240" w:lineRule="auto"/>
        <w:ind w:left="720" w:hanging="720"/>
        <w:jc w:val="left"/>
      </w:pPr>
      <w:r>
        <w:rPr>
          <w:rStyle w:val="FootnoteReference"/>
        </w:rPr>
        <w:footnoteRef/>
      </w:r>
      <w:r>
        <w:t xml:space="preserve"> </w:t>
      </w:r>
      <w:r>
        <w:tab/>
        <w:t>And see s 2A of the CAA, set out above, which requires this approach from the CAA perspective.</w:t>
      </w:r>
    </w:p>
  </w:footnote>
  <w:footnote w:id="23">
    <w:p w14:paraId="6085AEE6" w14:textId="77777777" w:rsidR="00CA636E" w:rsidRDefault="00CA636E" w:rsidP="00C84011">
      <w:pPr>
        <w:pStyle w:val="FootnoteText"/>
        <w:spacing w:line="240" w:lineRule="auto"/>
        <w:jc w:val="left"/>
      </w:pPr>
      <w:r>
        <w:rPr>
          <w:rStyle w:val="FootnoteReference"/>
        </w:rPr>
        <w:footnoteRef/>
      </w:r>
      <w:r>
        <w:t xml:space="preserve"> </w:t>
      </w:r>
      <w:r>
        <w:tab/>
        <w:t>See IAA, s 2D.</w:t>
      </w:r>
    </w:p>
  </w:footnote>
  <w:footnote w:id="24">
    <w:p w14:paraId="03939B07" w14:textId="77777777" w:rsidR="00CA636E" w:rsidRDefault="00CA636E" w:rsidP="00C84011">
      <w:pPr>
        <w:pStyle w:val="FootnoteText"/>
        <w:spacing w:line="240" w:lineRule="auto"/>
        <w:jc w:val="left"/>
      </w:pPr>
      <w:r>
        <w:rPr>
          <w:rStyle w:val="FootnoteReference"/>
        </w:rPr>
        <w:footnoteRef/>
      </w:r>
      <w:r>
        <w:t xml:space="preserve"> </w:t>
      </w:r>
      <w:r>
        <w:tab/>
        <w:t>See CAA, s 2A.</w:t>
      </w:r>
    </w:p>
  </w:footnote>
  <w:footnote w:id="25">
    <w:p w14:paraId="50AF1D7B" w14:textId="77777777" w:rsidR="00CA636E" w:rsidRPr="007B63A2" w:rsidRDefault="00CA636E" w:rsidP="00C84011">
      <w:pPr>
        <w:pStyle w:val="FootnoteText"/>
        <w:spacing w:line="240" w:lineRule="auto"/>
        <w:jc w:val="left"/>
      </w:pPr>
      <w:r>
        <w:rPr>
          <w:rStyle w:val="FootnoteReference"/>
        </w:rPr>
        <w:footnoteRef/>
      </w:r>
      <w:r>
        <w:t xml:space="preserve"> </w:t>
      </w:r>
      <w:r>
        <w:tab/>
      </w:r>
      <w:r w:rsidRPr="007B63A2">
        <w:t>(2007) 230 CLR 89 at 150</w:t>
      </w:r>
      <w:r>
        <w:t xml:space="preserve"> per Gleeson CJ, </w:t>
      </w:r>
      <w:proofErr w:type="spellStart"/>
      <w:r>
        <w:t>Gummow</w:t>
      </w:r>
      <w:proofErr w:type="spellEnd"/>
      <w:r>
        <w:t xml:space="preserve">, </w:t>
      </w:r>
      <w:proofErr w:type="spellStart"/>
      <w:r>
        <w:t>Callinan</w:t>
      </w:r>
      <w:proofErr w:type="spellEnd"/>
      <w:r>
        <w:t xml:space="preserve">, </w:t>
      </w:r>
      <w:proofErr w:type="spellStart"/>
      <w:r>
        <w:t>Heydon</w:t>
      </w:r>
      <w:proofErr w:type="spellEnd"/>
      <w:r>
        <w:t xml:space="preserve"> and </w:t>
      </w:r>
      <w:proofErr w:type="spellStart"/>
      <w:r>
        <w:t>Crennan</w:t>
      </w:r>
      <w:proofErr w:type="spellEnd"/>
      <w:r>
        <w:t xml:space="preserve"> JJ. </w:t>
      </w:r>
    </w:p>
  </w:footnote>
  <w:footnote w:id="26">
    <w:p w14:paraId="690ACB87" w14:textId="77777777" w:rsidR="00CA636E" w:rsidRPr="00EB294C" w:rsidRDefault="00CA636E" w:rsidP="00C84011">
      <w:pPr>
        <w:pStyle w:val="FootnoteText"/>
        <w:spacing w:line="240" w:lineRule="auto"/>
        <w:ind w:left="720" w:hanging="720"/>
        <w:jc w:val="left"/>
      </w:pPr>
      <w:r>
        <w:rPr>
          <w:rStyle w:val="FootnoteReference"/>
        </w:rPr>
        <w:footnoteRef/>
      </w:r>
      <w:r>
        <w:t xml:space="preserve"> </w:t>
      </w:r>
      <w:r>
        <w:tab/>
      </w:r>
      <w:r w:rsidRPr="00EB294C">
        <w:rPr>
          <w:i/>
        </w:rPr>
        <w:t>Australian Securities Commission v Marlborough Gold Mines Ltd</w:t>
      </w:r>
      <w:r w:rsidRPr="00EB294C">
        <w:t xml:space="preserve"> (1993) 177 CLR 485 at 492 per Mason CJ, Brennan, Dawson, Toohey and </w:t>
      </w:r>
      <w:proofErr w:type="spellStart"/>
      <w:r w:rsidRPr="00EB294C">
        <w:t>Gaudron</w:t>
      </w:r>
      <w:proofErr w:type="spellEnd"/>
      <w:r w:rsidRPr="00EB294C">
        <w:t xml:space="preserve"> JJ.</w:t>
      </w:r>
    </w:p>
  </w:footnote>
  <w:footnote w:id="27">
    <w:p w14:paraId="5E2EDDB2" w14:textId="77777777" w:rsidR="00CA636E" w:rsidRDefault="00CA636E" w:rsidP="00274CD9">
      <w:pPr>
        <w:pStyle w:val="FootnoteText"/>
        <w:spacing w:line="240" w:lineRule="auto"/>
        <w:ind w:left="720" w:hanging="720"/>
      </w:pPr>
      <w:r>
        <w:rPr>
          <w:rStyle w:val="FootnoteReference"/>
        </w:rPr>
        <w:footnoteRef/>
      </w:r>
      <w:r>
        <w:t xml:space="preserve"> </w:t>
      </w:r>
      <w:r>
        <w:tab/>
        <w:t xml:space="preserve">The Arbitration List was announced by The Hon. Marilyn Warren AC, Chief Justice of Victoria, 'The Victorian Supreme Court's Perspective on Arbitration' (Speech delivered at the ACICA International Commercial Arbitration Conference on 4 December 2009) available at </w:t>
      </w:r>
    </w:p>
    <w:p w14:paraId="46FBE5D5" w14:textId="2E95FF36" w:rsidR="00CA636E" w:rsidRDefault="00AE3073" w:rsidP="00274CD9">
      <w:pPr>
        <w:pStyle w:val="FootnoteText"/>
        <w:spacing w:line="240" w:lineRule="auto"/>
        <w:ind w:left="720"/>
      </w:pPr>
      <w:hyperlink r:id="rId2" w:history="1">
        <w:r w:rsidR="00CA636E" w:rsidRPr="00FF705F">
          <w:rPr>
            <w:rStyle w:val="Hyperlink"/>
          </w:rPr>
          <w:t>http://www.supremecourt.vic.gov.au/wps/wcm/connect/justlib/supreme+court/home/library/supreme+-+speech+-+remarks+at+the+icac+-+warren+cj%28pdf%29</w:t>
        </w:r>
      </w:hyperlink>
      <w:r w:rsidR="00CA636E">
        <w:t xml:space="preserve">; see also the Hon. Marilyn Warren AC, Chief Justice of Victoria, ‘Victoria’s Commitment to Arbitration Including International Arbitration and Recent Developments’, </w:t>
      </w:r>
    </w:p>
    <w:p w14:paraId="48ACF2FF" w14:textId="5DD20361" w:rsidR="00CA636E" w:rsidRDefault="00CA636E" w:rsidP="00480541">
      <w:pPr>
        <w:pStyle w:val="FootnoteText"/>
        <w:spacing w:line="240" w:lineRule="auto"/>
        <w:ind w:left="720"/>
      </w:pPr>
      <w:proofErr w:type="gramStart"/>
      <w:r w:rsidRPr="007E350E">
        <w:rPr>
          <w:u w:val="single"/>
        </w:rPr>
        <w:t>http://www.commercialcourt.com.au/PDF/Speeches/Speech%20By%20Chief%20Justice%20May%2013.pdf</w:t>
      </w:r>
      <w:r>
        <w:t xml:space="preserve">  (</w:t>
      </w:r>
      <w:proofErr w:type="gramEnd"/>
      <w:r>
        <w:t xml:space="preserve">13 May 2010). </w:t>
      </w:r>
    </w:p>
  </w:footnote>
  <w:footnote w:id="28">
    <w:p w14:paraId="2DF2F994" w14:textId="3B1C6DBE" w:rsidR="00CA636E" w:rsidRPr="007F248E" w:rsidRDefault="00CA636E" w:rsidP="007F248E">
      <w:pPr>
        <w:pStyle w:val="FootnoteText"/>
        <w:spacing w:line="240" w:lineRule="auto"/>
        <w:ind w:left="720" w:hanging="720"/>
        <w:jc w:val="left"/>
      </w:pPr>
      <w:r>
        <w:rPr>
          <w:rStyle w:val="FootnoteReference"/>
        </w:rPr>
        <w:footnoteRef/>
      </w:r>
      <w:r>
        <w:tab/>
        <w:t xml:space="preserve">See Practice Note No 2 of 2010 (Arbitration Business); and Justice Clyde Croft, ‘Arbitration Reform in Australia and the Arbitration List (List G)in the Commercial Court – Supreme Court of Victoria’, presented at a seminar of </w:t>
      </w:r>
      <w:r w:rsidRPr="007F248E">
        <w:t>the Commercial Bar Association of the Victorian Bar on 24 May 2010</w:t>
      </w:r>
      <w:r>
        <w:t xml:space="preserve">, </w:t>
      </w:r>
      <w:hyperlink r:id="rId3" w:history="1">
        <w:r w:rsidRPr="00FF705F">
          <w:rPr>
            <w:rStyle w:val="Hyperlink"/>
          </w:rPr>
          <w:t>http://www.supremecourt.vic.gov.au/wps/wcm/connect/cb14d780438d0ea1b2e2fb34222e6833/Arbitration+Reform+in+Australia+-+Combar+Commentary+-+24+May+2010.pdf?MOD=AJPERES</w:t>
        </w:r>
      </w:hyperlink>
      <w:r>
        <w:t>.</w:t>
      </w:r>
    </w:p>
  </w:footnote>
  <w:footnote w:id="29">
    <w:p w14:paraId="5D5D6D8B" w14:textId="77777777" w:rsidR="00CA636E" w:rsidRDefault="00CA636E" w:rsidP="0002740E">
      <w:pPr>
        <w:pStyle w:val="FootnoteText"/>
        <w:spacing w:line="240" w:lineRule="auto"/>
        <w:ind w:left="720" w:hanging="720"/>
      </w:pPr>
      <w:r>
        <w:rPr>
          <w:rStyle w:val="FootnoteReference"/>
        </w:rPr>
        <w:footnoteRef/>
      </w:r>
      <w:r>
        <w:t xml:space="preserve"> </w:t>
      </w:r>
      <w:r>
        <w:tab/>
        <w:t>In Victoria, Practice Note No 2 of 2010 (Arbitration Business) lists the contact details of my Associates.</w:t>
      </w:r>
    </w:p>
  </w:footnote>
  <w:footnote w:id="30">
    <w:p w14:paraId="644051F9" w14:textId="77777777" w:rsidR="00CA636E" w:rsidRDefault="00CA636E">
      <w:pPr>
        <w:pStyle w:val="FootnoteText"/>
      </w:pPr>
      <w:r>
        <w:rPr>
          <w:rStyle w:val="FootnoteReference"/>
        </w:rPr>
        <w:footnoteRef/>
      </w:r>
      <w:r>
        <w:t xml:space="preserve"> </w:t>
      </w:r>
      <w:r>
        <w:tab/>
        <w:t>Practice Note No. 2 of 2010 – Arbitration Business.</w:t>
      </w:r>
    </w:p>
  </w:footnote>
  <w:footnote w:id="31">
    <w:p w14:paraId="1295AD8E" w14:textId="77777777" w:rsidR="00CA636E" w:rsidRDefault="00CA636E" w:rsidP="00DB4258">
      <w:pPr>
        <w:pStyle w:val="FootnoteText"/>
        <w:spacing w:line="240" w:lineRule="auto"/>
        <w:ind w:left="720" w:hanging="720"/>
      </w:pPr>
      <w:r>
        <w:rPr>
          <w:rStyle w:val="FootnoteReference"/>
        </w:rPr>
        <w:footnoteRef/>
      </w:r>
      <w:r>
        <w:t xml:space="preserve"> </w:t>
      </w:r>
      <w:r>
        <w:tab/>
        <w:t>Noting in this respect that the Victorian Supreme Court Arbitration List (List G) is available 24 hours per day, seven days per week and hearings can and do take place outside court hours as required.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0461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85F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8E36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1405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2C8D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2A0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78C2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F27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E68E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4E07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2229F6"/>
    <w:multiLevelType w:val="hybridMultilevel"/>
    <w:tmpl w:val="07EC69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6B0FE5"/>
    <w:multiLevelType w:val="hybridMultilevel"/>
    <w:tmpl w:val="DC0E8A30"/>
    <w:lvl w:ilvl="0" w:tplc="29603D68">
      <w:start w:val="1"/>
      <w:numFmt w:val="lowerLetter"/>
      <w:lvlText w:val="(%1)"/>
      <w:lvlJc w:val="left"/>
      <w:pPr>
        <w:tabs>
          <w:tab w:val="num" w:pos="1080"/>
        </w:tabs>
        <w:ind w:left="1080" w:hanging="360"/>
      </w:pPr>
      <w:rPr>
        <w:rFonts w:hint="default"/>
      </w:rPr>
    </w:lvl>
    <w:lvl w:ilvl="1" w:tplc="00190409">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2" w15:restartNumberingAfterBreak="0">
    <w:nsid w:val="2DD460AD"/>
    <w:multiLevelType w:val="hybridMultilevel"/>
    <w:tmpl w:val="0C7413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1E128D"/>
    <w:multiLevelType w:val="hybridMultilevel"/>
    <w:tmpl w:val="A64C41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4C7585"/>
    <w:multiLevelType w:val="hybridMultilevel"/>
    <w:tmpl w:val="871842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14"/>
  </w:num>
  <w:num w:numId="4">
    <w:abstractNumId w:val="13"/>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7DE"/>
    <w:rsid w:val="000153D3"/>
    <w:rsid w:val="0002740E"/>
    <w:rsid w:val="000310EB"/>
    <w:rsid w:val="00037EA1"/>
    <w:rsid w:val="000418B4"/>
    <w:rsid w:val="000823CE"/>
    <w:rsid w:val="00084FB2"/>
    <w:rsid w:val="00092B86"/>
    <w:rsid w:val="000C15F2"/>
    <w:rsid w:val="000E4796"/>
    <w:rsid w:val="000E5828"/>
    <w:rsid w:val="0010231E"/>
    <w:rsid w:val="00151748"/>
    <w:rsid w:val="00163D43"/>
    <w:rsid w:val="001644CB"/>
    <w:rsid w:val="00170C6F"/>
    <w:rsid w:val="00174234"/>
    <w:rsid w:val="001A09D1"/>
    <w:rsid w:val="001A42E6"/>
    <w:rsid w:val="001B0F87"/>
    <w:rsid w:val="001B25FE"/>
    <w:rsid w:val="001C76CD"/>
    <w:rsid w:val="001D5A86"/>
    <w:rsid w:val="001E690E"/>
    <w:rsid w:val="001E759A"/>
    <w:rsid w:val="00207A5C"/>
    <w:rsid w:val="002157C5"/>
    <w:rsid w:val="00222189"/>
    <w:rsid w:val="00222747"/>
    <w:rsid w:val="00225F6E"/>
    <w:rsid w:val="00252D5C"/>
    <w:rsid w:val="0025548F"/>
    <w:rsid w:val="002726D9"/>
    <w:rsid w:val="00272CA4"/>
    <w:rsid w:val="00273B55"/>
    <w:rsid w:val="00274CD9"/>
    <w:rsid w:val="002A666D"/>
    <w:rsid w:val="002B1B62"/>
    <w:rsid w:val="002D190E"/>
    <w:rsid w:val="002E77F8"/>
    <w:rsid w:val="002F7F2F"/>
    <w:rsid w:val="0030167B"/>
    <w:rsid w:val="00302B96"/>
    <w:rsid w:val="00302FA1"/>
    <w:rsid w:val="00303225"/>
    <w:rsid w:val="00304808"/>
    <w:rsid w:val="00315414"/>
    <w:rsid w:val="00321755"/>
    <w:rsid w:val="00333253"/>
    <w:rsid w:val="00333D15"/>
    <w:rsid w:val="0035102A"/>
    <w:rsid w:val="00370F37"/>
    <w:rsid w:val="00383B91"/>
    <w:rsid w:val="00394258"/>
    <w:rsid w:val="00394D3C"/>
    <w:rsid w:val="003952B1"/>
    <w:rsid w:val="003A5793"/>
    <w:rsid w:val="003B388B"/>
    <w:rsid w:val="003C39B3"/>
    <w:rsid w:val="003E186A"/>
    <w:rsid w:val="003E2546"/>
    <w:rsid w:val="003F671D"/>
    <w:rsid w:val="004159E3"/>
    <w:rsid w:val="00430491"/>
    <w:rsid w:val="00443CC0"/>
    <w:rsid w:val="00445E1E"/>
    <w:rsid w:val="00466B69"/>
    <w:rsid w:val="00476537"/>
    <w:rsid w:val="00480541"/>
    <w:rsid w:val="0049162B"/>
    <w:rsid w:val="004B5A7B"/>
    <w:rsid w:val="004C4AAC"/>
    <w:rsid w:val="004C4B41"/>
    <w:rsid w:val="004D729A"/>
    <w:rsid w:val="004E757A"/>
    <w:rsid w:val="005244DD"/>
    <w:rsid w:val="00531DB5"/>
    <w:rsid w:val="0053761D"/>
    <w:rsid w:val="00557E86"/>
    <w:rsid w:val="00584A85"/>
    <w:rsid w:val="00584B88"/>
    <w:rsid w:val="00585A62"/>
    <w:rsid w:val="00585C7C"/>
    <w:rsid w:val="0058769A"/>
    <w:rsid w:val="005B67CF"/>
    <w:rsid w:val="005C4D9B"/>
    <w:rsid w:val="005C5A59"/>
    <w:rsid w:val="005E12F3"/>
    <w:rsid w:val="005F1C21"/>
    <w:rsid w:val="00604E7D"/>
    <w:rsid w:val="0061063F"/>
    <w:rsid w:val="006134C9"/>
    <w:rsid w:val="00616ADD"/>
    <w:rsid w:val="00621309"/>
    <w:rsid w:val="00622D86"/>
    <w:rsid w:val="00631A8E"/>
    <w:rsid w:val="0063307A"/>
    <w:rsid w:val="00647BC5"/>
    <w:rsid w:val="00680D2D"/>
    <w:rsid w:val="006900EC"/>
    <w:rsid w:val="006B26A4"/>
    <w:rsid w:val="006C2F33"/>
    <w:rsid w:val="006F5D56"/>
    <w:rsid w:val="00713363"/>
    <w:rsid w:val="00721AA5"/>
    <w:rsid w:val="00722BAB"/>
    <w:rsid w:val="00782E51"/>
    <w:rsid w:val="007B63A2"/>
    <w:rsid w:val="007B6DC4"/>
    <w:rsid w:val="007C4596"/>
    <w:rsid w:val="007C65FB"/>
    <w:rsid w:val="007E350E"/>
    <w:rsid w:val="007F08B3"/>
    <w:rsid w:val="007F248E"/>
    <w:rsid w:val="007F5FF5"/>
    <w:rsid w:val="008063A8"/>
    <w:rsid w:val="00815BC3"/>
    <w:rsid w:val="00821DB5"/>
    <w:rsid w:val="00840148"/>
    <w:rsid w:val="00867CBA"/>
    <w:rsid w:val="0087148C"/>
    <w:rsid w:val="0087312C"/>
    <w:rsid w:val="00875A08"/>
    <w:rsid w:val="008906F6"/>
    <w:rsid w:val="00892A25"/>
    <w:rsid w:val="0089610A"/>
    <w:rsid w:val="008A60E7"/>
    <w:rsid w:val="008B0AA8"/>
    <w:rsid w:val="008C4053"/>
    <w:rsid w:val="008D241A"/>
    <w:rsid w:val="008E435D"/>
    <w:rsid w:val="008E62A7"/>
    <w:rsid w:val="00902EC7"/>
    <w:rsid w:val="00906B27"/>
    <w:rsid w:val="00911946"/>
    <w:rsid w:val="0091237A"/>
    <w:rsid w:val="0093032E"/>
    <w:rsid w:val="00933AC9"/>
    <w:rsid w:val="009414E4"/>
    <w:rsid w:val="009523B8"/>
    <w:rsid w:val="009562C2"/>
    <w:rsid w:val="009615FC"/>
    <w:rsid w:val="009628FA"/>
    <w:rsid w:val="00962EA5"/>
    <w:rsid w:val="00963C81"/>
    <w:rsid w:val="00965495"/>
    <w:rsid w:val="009714BA"/>
    <w:rsid w:val="0098708D"/>
    <w:rsid w:val="0099172E"/>
    <w:rsid w:val="009962E4"/>
    <w:rsid w:val="0099716E"/>
    <w:rsid w:val="009D0D47"/>
    <w:rsid w:val="009D35A1"/>
    <w:rsid w:val="009D41D3"/>
    <w:rsid w:val="009E1BDE"/>
    <w:rsid w:val="009F4ACB"/>
    <w:rsid w:val="009F4D81"/>
    <w:rsid w:val="009F683A"/>
    <w:rsid w:val="00A13724"/>
    <w:rsid w:val="00A57A0A"/>
    <w:rsid w:val="00A63587"/>
    <w:rsid w:val="00A96BCB"/>
    <w:rsid w:val="00AA0903"/>
    <w:rsid w:val="00AA48A5"/>
    <w:rsid w:val="00AC0C42"/>
    <w:rsid w:val="00AC77E3"/>
    <w:rsid w:val="00AD0B45"/>
    <w:rsid w:val="00AD5AA3"/>
    <w:rsid w:val="00AE3073"/>
    <w:rsid w:val="00AE4B32"/>
    <w:rsid w:val="00AF0C82"/>
    <w:rsid w:val="00AF0DD4"/>
    <w:rsid w:val="00AF7861"/>
    <w:rsid w:val="00B112D6"/>
    <w:rsid w:val="00B16340"/>
    <w:rsid w:val="00B21A12"/>
    <w:rsid w:val="00B40D82"/>
    <w:rsid w:val="00B62899"/>
    <w:rsid w:val="00B66395"/>
    <w:rsid w:val="00B67176"/>
    <w:rsid w:val="00B71A3C"/>
    <w:rsid w:val="00B75E65"/>
    <w:rsid w:val="00B83B9D"/>
    <w:rsid w:val="00B90A80"/>
    <w:rsid w:val="00BA1837"/>
    <w:rsid w:val="00BA4B01"/>
    <w:rsid w:val="00BA7828"/>
    <w:rsid w:val="00BE046B"/>
    <w:rsid w:val="00BE219A"/>
    <w:rsid w:val="00BE6700"/>
    <w:rsid w:val="00BE749C"/>
    <w:rsid w:val="00C30F94"/>
    <w:rsid w:val="00C35330"/>
    <w:rsid w:val="00C4124B"/>
    <w:rsid w:val="00C52EC6"/>
    <w:rsid w:val="00C84011"/>
    <w:rsid w:val="00C862B8"/>
    <w:rsid w:val="00CA636E"/>
    <w:rsid w:val="00CD104B"/>
    <w:rsid w:val="00CE52E1"/>
    <w:rsid w:val="00CE7FF2"/>
    <w:rsid w:val="00D67EE0"/>
    <w:rsid w:val="00D7628E"/>
    <w:rsid w:val="00D932BF"/>
    <w:rsid w:val="00D97466"/>
    <w:rsid w:val="00DB4258"/>
    <w:rsid w:val="00DB5EDD"/>
    <w:rsid w:val="00DC3535"/>
    <w:rsid w:val="00DD2C12"/>
    <w:rsid w:val="00DD7835"/>
    <w:rsid w:val="00DE6AF8"/>
    <w:rsid w:val="00DF1C7A"/>
    <w:rsid w:val="00DF2D08"/>
    <w:rsid w:val="00E034E1"/>
    <w:rsid w:val="00E11D8E"/>
    <w:rsid w:val="00E12657"/>
    <w:rsid w:val="00E47190"/>
    <w:rsid w:val="00E56B6D"/>
    <w:rsid w:val="00E62D16"/>
    <w:rsid w:val="00E748F0"/>
    <w:rsid w:val="00E87000"/>
    <w:rsid w:val="00E96CF4"/>
    <w:rsid w:val="00EB294C"/>
    <w:rsid w:val="00EB440E"/>
    <w:rsid w:val="00EB46D5"/>
    <w:rsid w:val="00EB77DE"/>
    <w:rsid w:val="00ED0A0E"/>
    <w:rsid w:val="00ED35E3"/>
    <w:rsid w:val="00ED4BD7"/>
    <w:rsid w:val="00EE1979"/>
    <w:rsid w:val="00F41A92"/>
    <w:rsid w:val="00F42E69"/>
    <w:rsid w:val="00F641E8"/>
    <w:rsid w:val="00F643BB"/>
    <w:rsid w:val="00F92A83"/>
    <w:rsid w:val="00FA0CB3"/>
    <w:rsid w:val="00FC692E"/>
    <w:rsid w:val="00FD1F8B"/>
    <w:rsid w:val="00FE04F3"/>
    <w:rsid w:val="00FE0961"/>
    <w:rsid w:val="00FE5B54"/>
    <w:rsid w:val="00FE676D"/>
    <w:rsid w:val="00FF1D25"/>
    <w:rsid w:val="00FF2AD9"/>
    <w:rsid w:val="00FF302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665DF64"/>
  <w15:chartTrackingRefBased/>
  <w15:docId w15:val="{131D742F-55AA-4F03-8EE1-C2848732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7EA1"/>
    <w:pPr>
      <w:spacing w:line="360" w:lineRule="auto"/>
      <w:jc w:val="both"/>
    </w:pPr>
    <w:rPr>
      <w:sz w:val="24"/>
      <w:szCs w:val="24"/>
    </w:rPr>
  </w:style>
  <w:style w:type="paragraph" w:styleId="Heading1">
    <w:name w:val="heading 1"/>
    <w:basedOn w:val="Normal"/>
    <w:next w:val="Normal"/>
    <w:qFormat/>
    <w:rsid w:val="00906B27"/>
    <w:pPr>
      <w:keepNext/>
      <w:spacing w:before="240" w:after="120"/>
      <w:outlineLvl w:val="0"/>
    </w:pPr>
    <w:rPr>
      <w:rFonts w:ascii="Arial" w:hAnsi="Arial" w:cs="Arial"/>
      <w:b/>
      <w:bCs/>
      <w:kern w:val="32"/>
      <w:sz w:val="30"/>
      <w:szCs w:val="32"/>
    </w:rPr>
  </w:style>
  <w:style w:type="paragraph" w:styleId="Heading2">
    <w:name w:val="heading 2"/>
    <w:basedOn w:val="Normal"/>
    <w:next w:val="Normal"/>
    <w:qFormat/>
    <w:rsid w:val="00C4124B"/>
    <w:pPr>
      <w:keepNext/>
      <w:tabs>
        <w:tab w:val="left" w:pos="8280"/>
      </w:tabs>
      <w:autoSpaceDE w:val="0"/>
      <w:autoSpaceDN w:val="0"/>
      <w:adjustRightInd w:val="0"/>
      <w:spacing w:after="120"/>
      <w:outlineLvl w:val="1"/>
    </w:pPr>
    <w:rPr>
      <w:rFonts w:ascii="Arial" w:hAnsi="Arial"/>
      <w:i/>
      <w:sz w:val="28"/>
    </w:rPr>
  </w:style>
  <w:style w:type="paragraph" w:styleId="Heading3">
    <w:name w:val="heading 3"/>
    <w:basedOn w:val="Normal"/>
    <w:next w:val="Normal"/>
    <w:qFormat/>
    <w:rsid w:val="00C4124B"/>
    <w:pPr>
      <w:keepNext/>
      <w:spacing w:before="240" w:after="60"/>
      <w:outlineLvl w:val="2"/>
    </w:pPr>
    <w:rPr>
      <w:rFonts w:cs="Arial"/>
      <w:b/>
      <w:bCs/>
      <w:sz w:val="26"/>
      <w:szCs w:val="26"/>
    </w:rPr>
  </w:style>
  <w:style w:type="paragraph" w:styleId="Heading4">
    <w:name w:val="heading 4"/>
    <w:basedOn w:val="Normal"/>
    <w:next w:val="Normal"/>
    <w:qFormat/>
    <w:rsid w:val="00037EA1"/>
    <w:pPr>
      <w:keepNext/>
      <w:spacing w:after="12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75A08"/>
    <w:rPr>
      <w:sz w:val="20"/>
      <w:szCs w:val="20"/>
    </w:rPr>
  </w:style>
  <w:style w:type="character" w:styleId="FootnoteReference">
    <w:name w:val="footnote reference"/>
    <w:basedOn w:val="DefaultParagraphFont"/>
    <w:semiHidden/>
    <w:rsid w:val="00875A08"/>
    <w:rPr>
      <w:vertAlign w:val="superscript"/>
    </w:rPr>
  </w:style>
  <w:style w:type="paragraph" w:styleId="TOC1">
    <w:name w:val="toc 1"/>
    <w:basedOn w:val="Normal"/>
    <w:next w:val="Normal"/>
    <w:autoRedefine/>
    <w:semiHidden/>
    <w:rsid w:val="00333253"/>
    <w:pPr>
      <w:tabs>
        <w:tab w:val="right" w:leader="dot" w:pos="8296"/>
      </w:tabs>
      <w:spacing w:before="120" w:after="120"/>
      <w:jc w:val="center"/>
    </w:pPr>
    <w:rPr>
      <w:rFonts w:ascii="Arial" w:hAnsi="Arial" w:cs="Arial"/>
      <w:b/>
      <w:bCs/>
      <w:caps/>
      <w:sz w:val="20"/>
      <w:szCs w:val="20"/>
    </w:rPr>
  </w:style>
  <w:style w:type="character" w:styleId="Hyperlink">
    <w:name w:val="Hyperlink"/>
    <w:basedOn w:val="DefaultParagraphFont"/>
    <w:rsid w:val="009562C2"/>
    <w:rPr>
      <w:color w:val="000000"/>
      <w:u w:val="single"/>
    </w:rPr>
  </w:style>
  <w:style w:type="paragraph" w:styleId="TOC2">
    <w:name w:val="toc 2"/>
    <w:basedOn w:val="Normal"/>
    <w:next w:val="Normal"/>
    <w:autoRedefine/>
    <w:semiHidden/>
    <w:rsid w:val="00D7628E"/>
    <w:pPr>
      <w:ind w:left="240"/>
      <w:jc w:val="left"/>
    </w:pPr>
    <w:rPr>
      <w:smallCaps/>
      <w:sz w:val="20"/>
      <w:szCs w:val="20"/>
    </w:rPr>
  </w:style>
  <w:style w:type="paragraph" w:styleId="TOC3">
    <w:name w:val="toc 3"/>
    <w:basedOn w:val="Normal"/>
    <w:next w:val="Normal"/>
    <w:autoRedefine/>
    <w:semiHidden/>
    <w:rsid w:val="00D7628E"/>
    <w:pPr>
      <w:ind w:left="480"/>
      <w:jc w:val="left"/>
    </w:pPr>
    <w:rPr>
      <w:i/>
      <w:iCs/>
      <w:sz w:val="20"/>
      <w:szCs w:val="20"/>
    </w:rPr>
  </w:style>
  <w:style w:type="paragraph" w:styleId="TOC4">
    <w:name w:val="toc 4"/>
    <w:basedOn w:val="Normal"/>
    <w:next w:val="Normal"/>
    <w:autoRedefine/>
    <w:semiHidden/>
    <w:rsid w:val="00D7628E"/>
    <w:pPr>
      <w:ind w:left="720"/>
      <w:jc w:val="left"/>
    </w:pPr>
    <w:rPr>
      <w:sz w:val="18"/>
      <w:szCs w:val="18"/>
    </w:rPr>
  </w:style>
  <w:style w:type="paragraph" w:styleId="TOC5">
    <w:name w:val="toc 5"/>
    <w:basedOn w:val="Normal"/>
    <w:next w:val="Normal"/>
    <w:autoRedefine/>
    <w:semiHidden/>
    <w:rsid w:val="00906B27"/>
    <w:pPr>
      <w:ind w:left="960"/>
      <w:jc w:val="left"/>
    </w:pPr>
    <w:rPr>
      <w:sz w:val="18"/>
      <w:szCs w:val="18"/>
    </w:rPr>
  </w:style>
  <w:style w:type="paragraph" w:styleId="TOC6">
    <w:name w:val="toc 6"/>
    <w:basedOn w:val="Normal"/>
    <w:next w:val="Normal"/>
    <w:autoRedefine/>
    <w:semiHidden/>
    <w:rsid w:val="00906B27"/>
    <w:pPr>
      <w:ind w:left="1200"/>
      <w:jc w:val="left"/>
    </w:pPr>
    <w:rPr>
      <w:sz w:val="18"/>
      <w:szCs w:val="18"/>
    </w:rPr>
  </w:style>
  <w:style w:type="paragraph" w:styleId="TOC7">
    <w:name w:val="toc 7"/>
    <w:basedOn w:val="Normal"/>
    <w:next w:val="Normal"/>
    <w:autoRedefine/>
    <w:semiHidden/>
    <w:rsid w:val="00906B27"/>
    <w:pPr>
      <w:ind w:left="1440"/>
      <w:jc w:val="left"/>
    </w:pPr>
    <w:rPr>
      <w:sz w:val="18"/>
      <w:szCs w:val="18"/>
    </w:rPr>
  </w:style>
  <w:style w:type="paragraph" w:styleId="TOC8">
    <w:name w:val="toc 8"/>
    <w:basedOn w:val="Normal"/>
    <w:next w:val="Normal"/>
    <w:autoRedefine/>
    <w:semiHidden/>
    <w:rsid w:val="00906B27"/>
    <w:pPr>
      <w:ind w:left="1680"/>
      <w:jc w:val="left"/>
    </w:pPr>
    <w:rPr>
      <w:sz w:val="18"/>
      <w:szCs w:val="18"/>
    </w:rPr>
  </w:style>
  <w:style w:type="paragraph" w:styleId="TOC9">
    <w:name w:val="toc 9"/>
    <w:basedOn w:val="Normal"/>
    <w:next w:val="Normal"/>
    <w:autoRedefine/>
    <w:semiHidden/>
    <w:rsid w:val="00906B27"/>
    <w:pPr>
      <w:ind w:left="1920"/>
      <w:jc w:val="left"/>
    </w:pPr>
    <w:rPr>
      <w:sz w:val="18"/>
      <w:szCs w:val="18"/>
    </w:rPr>
  </w:style>
  <w:style w:type="character" w:customStyle="1" w:styleId="partiesnames">
    <w:name w:val="partiesnames"/>
    <w:basedOn w:val="DefaultParagraphFont"/>
    <w:rsid w:val="00EB294C"/>
  </w:style>
  <w:style w:type="paragraph" w:styleId="Footer">
    <w:name w:val="footer"/>
    <w:basedOn w:val="Normal"/>
    <w:rsid w:val="009523B8"/>
    <w:pPr>
      <w:tabs>
        <w:tab w:val="center" w:pos="4153"/>
        <w:tab w:val="right" w:pos="8306"/>
      </w:tabs>
    </w:pPr>
  </w:style>
  <w:style w:type="character" w:styleId="PageNumber">
    <w:name w:val="page number"/>
    <w:basedOn w:val="DefaultParagraphFont"/>
    <w:rsid w:val="009523B8"/>
  </w:style>
  <w:style w:type="paragraph" w:styleId="EndnoteText">
    <w:name w:val="endnote text"/>
    <w:basedOn w:val="Normal"/>
    <w:link w:val="EndnoteTextChar"/>
    <w:rsid w:val="00FD1F8B"/>
    <w:rPr>
      <w:sz w:val="20"/>
      <w:szCs w:val="20"/>
    </w:rPr>
  </w:style>
  <w:style w:type="character" w:customStyle="1" w:styleId="EndnoteTextChar">
    <w:name w:val="Endnote Text Char"/>
    <w:basedOn w:val="DefaultParagraphFont"/>
    <w:link w:val="EndnoteText"/>
    <w:rsid w:val="00FD1F8B"/>
  </w:style>
  <w:style w:type="character" w:styleId="EndnoteReference">
    <w:name w:val="endnote reference"/>
    <w:basedOn w:val="DefaultParagraphFont"/>
    <w:rsid w:val="00FD1F8B"/>
    <w:rPr>
      <w:vertAlign w:val="superscript"/>
    </w:rPr>
  </w:style>
  <w:style w:type="paragraph" w:styleId="BalloonText">
    <w:name w:val="Balloon Text"/>
    <w:basedOn w:val="Normal"/>
    <w:link w:val="BalloonTextChar"/>
    <w:rsid w:val="00370F3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70F37"/>
    <w:rPr>
      <w:rFonts w:ascii="Tahoma" w:hAnsi="Tahoma" w:cs="Tahoma"/>
      <w:sz w:val="16"/>
      <w:szCs w:val="16"/>
    </w:rPr>
  </w:style>
  <w:style w:type="character" w:styleId="FollowedHyperlink">
    <w:name w:val="FollowedHyperlink"/>
    <w:basedOn w:val="DefaultParagraphFont"/>
    <w:rsid w:val="00867CB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633778">
      <w:bodyDiv w:val="1"/>
      <w:marLeft w:val="0"/>
      <w:marRight w:val="0"/>
      <w:marTop w:val="0"/>
      <w:marBottom w:val="0"/>
      <w:divBdr>
        <w:top w:val="none" w:sz="0" w:space="0" w:color="auto"/>
        <w:left w:val="none" w:sz="0" w:space="0" w:color="auto"/>
        <w:bottom w:val="none" w:sz="0" w:space="0" w:color="auto"/>
        <w:right w:val="none" w:sz="0" w:space="0" w:color="auto"/>
      </w:divBdr>
      <w:divsChild>
        <w:div w:id="588004233">
          <w:marLeft w:val="0"/>
          <w:marRight w:val="0"/>
          <w:marTop w:val="0"/>
          <w:marBottom w:val="0"/>
          <w:divBdr>
            <w:top w:val="none" w:sz="0" w:space="0" w:color="auto"/>
            <w:left w:val="none" w:sz="0" w:space="0" w:color="auto"/>
            <w:bottom w:val="none" w:sz="0" w:space="0" w:color="auto"/>
            <w:right w:val="none" w:sz="0" w:space="0" w:color="auto"/>
          </w:divBdr>
        </w:div>
        <w:div w:id="1373186519">
          <w:marLeft w:val="0"/>
          <w:marRight w:val="0"/>
          <w:marTop w:val="0"/>
          <w:marBottom w:val="0"/>
          <w:divBdr>
            <w:top w:val="none" w:sz="0" w:space="0" w:color="auto"/>
            <w:left w:val="none" w:sz="0" w:space="0" w:color="auto"/>
            <w:bottom w:val="none" w:sz="0" w:space="0" w:color="auto"/>
            <w:right w:val="none" w:sz="0" w:space="0" w:color="auto"/>
          </w:divBdr>
        </w:div>
      </w:divsChild>
    </w:div>
    <w:div w:id="1558735908">
      <w:bodyDiv w:val="1"/>
      <w:marLeft w:val="136"/>
      <w:marRight w:val="109"/>
      <w:marTop w:val="109"/>
      <w:marBottom w:val="0"/>
      <w:divBdr>
        <w:top w:val="none" w:sz="0" w:space="0" w:color="auto"/>
        <w:left w:val="none" w:sz="0" w:space="0" w:color="auto"/>
        <w:bottom w:val="none" w:sz="0" w:space="0" w:color="auto"/>
        <w:right w:val="single" w:sz="6" w:space="5" w:color="FFFFFF"/>
      </w:divBdr>
      <w:divsChild>
        <w:div w:id="1595091109">
          <w:marLeft w:val="0"/>
          <w:marRight w:val="0"/>
          <w:marTop w:val="0"/>
          <w:marBottom w:val="0"/>
          <w:divBdr>
            <w:top w:val="none" w:sz="0" w:space="0" w:color="auto"/>
            <w:left w:val="none" w:sz="0" w:space="0" w:color="auto"/>
            <w:bottom w:val="none" w:sz="0" w:space="0" w:color="auto"/>
            <w:right w:val="none" w:sz="0" w:space="0" w:color="auto"/>
          </w:divBdr>
          <w:divsChild>
            <w:div w:id="1921326198">
              <w:marLeft w:val="0"/>
              <w:marRight w:val="0"/>
              <w:marTop w:val="0"/>
              <w:marBottom w:val="0"/>
              <w:divBdr>
                <w:top w:val="none" w:sz="0" w:space="0" w:color="auto"/>
                <w:left w:val="none" w:sz="0" w:space="0" w:color="auto"/>
                <w:bottom w:val="none" w:sz="0" w:space="0" w:color="auto"/>
                <w:right w:val="none" w:sz="0" w:space="0" w:color="auto"/>
              </w:divBdr>
              <w:divsChild>
                <w:div w:id="54999644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59870688">
                      <w:blockQuote w:val="1"/>
                      <w:marLeft w:val="340"/>
                      <w:marRight w:val="720"/>
                      <w:marTop w:val="160"/>
                      <w:marBottom w:val="200"/>
                      <w:divBdr>
                        <w:top w:val="none" w:sz="0" w:space="0" w:color="auto"/>
                        <w:left w:val="none" w:sz="0" w:space="0" w:color="auto"/>
                        <w:bottom w:val="none" w:sz="0" w:space="0" w:color="auto"/>
                        <w:right w:val="none" w:sz="0" w:space="0" w:color="auto"/>
                      </w:divBdr>
                    </w:div>
                    <w:div w:id="160657521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83822886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05265333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mlaw.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austlii.edu.au/au/journals/VicJSchol/2010/56.pdf" TargetMode="External"/><Relationship Id="rId2" Type="http://schemas.openxmlformats.org/officeDocument/2006/relationships/hyperlink" Target="https://www.supremecourt.vic.gov.au/about-the-court/speeches/aon-and-its-implications-for-the-commercial-court" TargetMode="External"/><Relationship Id="rId1" Type="http://schemas.openxmlformats.org/officeDocument/2006/relationships/hyperlink" Target="https://www.supremecourt.vic.gov.au/about-the-court/speeches/aon-and-its-implications-for-the-commercial-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9" ma:contentTypeDescription="Create a new document." ma:contentTypeScope="" ma:versionID="fd6e178f3c84e428f07a72f808ccbb0a">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d6db6542bac248780420748ee41ba040"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Props1.xml><?xml version="1.0" encoding="utf-8"?>
<ds:datastoreItem xmlns:ds="http://schemas.openxmlformats.org/officeDocument/2006/customXml" ds:itemID="{A2421F5D-197E-471C-AE95-2E37D5D1A7C1}">
  <ds:schemaRefs>
    <ds:schemaRef ds:uri="http://schemas.microsoft.com/office/2006/metadata/longProperties"/>
  </ds:schemaRefs>
</ds:datastoreItem>
</file>

<file path=customXml/itemProps2.xml><?xml version="1.0" encoding="utf-8"?>
<ds:datastoreItem xmlns:ds="http://schemas.openxmlformats.org/officeDocument/2006/customXml" ds:itemID="{D93DA071-10C8-427A-A073-62873C71B351}">
  <ds:schemaRefs>
    <ds:schemaRef ds:uri="http://schemas.microsoft.com/sharepoint/v3/contenttype/forms"/>
  </ds:schemaRefs>
</ds:datastoreItem>
</file>

<file path=customXml/itemProps3.xml><?xml version="1.0" encoding="utf-8"?>
<ds:datastoreItem xmlns:ds="http://schemas.openxmlformats.org/officeDocument/2006/customXml" ds:itemID="{98EA68A9-3A91-47FF-BB6D-35886EAC2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4AB800-7035-4E5D-A925-A2CFDD0F4257}">
  <ds:schemaRefs>
    <ds:schemaRef ds:uri="http://schemas.microsoft.com/office/2006/metadata/properties"/>
    <ds:schemaRef ds:uri="http://schemas.microsoft.com/office/infopath/2007/PartnerControls"/>
    <ds:schemaRef ds:uri="263eaefd-0475-4860-b86f-622cd66f4e0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4162</Words>
  <Characters>23726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Aim – consistent interpretation, correct interpretation, under both Act, in line with international best jurisprudence</vt:lpstr>
    </vt:vector>
  </TitlesOfParts>
  <Company>Dept. of Justice Victoria</Company>
  <LinksUpToDate>false</LinksUpToDate>
  <CharactersWithSpaces>27833</CharactersWithSpaces>
  <SharedDoc>false</SharedDoc>
  <HLinks>
    <vt:vector size="138" baseType="variant">
      <vt:variant>
        <vt:i4>6160468</vt:i4>
      </vt:variant>
      <vt:variant>
        <vt:i4>111</vt:i4>
      </vt:variant>
      <vt:variant>
        <vt:i4>0</vt:i4>
      </vt:variant>
      <vt:variant>
        <vt:i4>5</vt:i4>
      </vt:variant>
      <vt:variant>
        <vt:lpwstr>http://www.comlaw.gov.au/</vt:lpwstr>
      </vt:variant>
      <vt:variant>
        <vt:lpwstr/>
      </vt:variant>
      <vt:variant>
        <vt:i4>1835057</vt:i4>
      </vt:variant>
      <vt:variant>
        <vt:i4>104</vt:i4>
      </vt:variant>
      <vt:variant>
        <vt:i4>0</vt:i4>
      </vt:variant>
      <vt:variant>
        <vt:i4>5</vt:i4>
      </vt:variant>
      <vt:variant>
        <vt:lpwstr/>
      </vt:variant>
      <vt:variant>
        <vt:lpwstr>_Toc274907720</vt:lpwstr>
      </vt:variant>
      <vt:variant>
        <vt:i4>2031665</vt:i4>
      </vt:variant>
      <vt:variant>
        <vt:i4>98</vt:i4>
      </vt:variant>
      <vt:variant>
        <vt:i4>0</vt:i4>
      </vt:variant>
      <vt:variant>
        <vt:i4>5</vt:i4>
      </vt:variant>
      <vt:variant>
        <vt:lpwstr/>
      </vt:variant>
      <vt:variant>
        <vt:lpwstr>_Toc274907719</vt:lpwstr>
      </vt:variant>
      <vt:variant>
        <vt:i4>2031665</vt:i4>
      </vt:variant>
      <vt:variant>
        <vt:i4>92</vt:i4>
      </vt:variant>
      <vt:variant>
        <vt:i4>0</vt:i4>
      </vt:variant>
      <vt:variant>
        <vt:i4>5</vt:i4>
      </vt:variant>
      <vt:variant>
        <vt:lpwstr/>
      </vt:variant>
      <vt:variant>
        <vt:lpwstr>_Toc274907718</vt:lpwstr>
      </vt:variant>
      <vt:variant>
        <vt:i4>2031665</vt:i4>
      </vt:variant>
      <vt:variant>
        <vt:i4>86</vt:i4>
      </vt:variant>
      <vt:variant>
        <vt:i4>0</vt:i4>
      </vt:variant>
      <vt:variant>
        <vt:i4>5</vt:i4>
      </vt:variant>
      <vt:variant>
        <vt:lpwstr/>
      </vt:variant>
      <vt:variant>
        <vt:lpwstr>_Toc274907717</vt:lpwstr>
      </vt:variant>
      <vt:variant>
        <vt:i4>2031665</vt:i4>
      </vt:variant>
      <vt:variant>
        <vt:i4>80</vt:i4>
      </vt:variant>
      <vt:variant>
        <vt:i4>0</vt:i4>
      </vt:variant>
      <vt:variant>
        <vt:i4>5</vt:i4>
      </vt:variant>
      <vt:variant>
        <vt:lpwstr/>
      </vt:variant>
      <vt:variant>
        <vt:lpwstr>_Toc274907716</vt:lpwstr>
      </vt:variant>
      <vt:variant>
        <vt:i4>2031665</vt:i4>
      </vt:variant>
      <vt:variant>
        <vt:i4>74</vt:i4>
      </vt:variant>
      <vt:variant>
        <vt:i4>0</vt:i4>
      </vt:variant>
      <vt:variant>
        <vt:i4>5</vt:i4>
      </vt:variant>
      <vt:variant>
        <vt:lpwstr/>
      </vt:variant>
      <vt:variant>
        <vt:lpwstr>_Toc274907715</vt:lpwstr>
      </vt:variant>
      <vt:variant>
        <vt:i4>2031665</vt:i4>
      </vt:variant>
      <vt:variant>
        <vt:i4>68</vt:i4>
      </vt:variant>
      <vt:variant>
        <vt:i4>0</vt:i4>
      </vt:variant>
      <vt:variant>
        <vt:i4>5</vt:i4>
      </vt:variant>
      <vt:variant>
        <vt:lpwstr/>
      </vt:variant>
      <vt:variant>
        <vt:lpwstr>_Toc274907714</vt:lpwstr>
      </vt:variant>
      <vt:variant>
        <vt:i4>2031665</vt:i4>
      </vt:variant>
      <vt:variant>
        <vt:i4>62</vt:i4>
      </vt:variant>
      <vt:variant>
        <vt:i4>0</vt:i4>
      </vt:variant>
      <vt:variant>
        <vt:i4>5</vt:i4>
      </vt:variant>
      <vt:variant>
        <vt:lpwstr/>
      </vt:variant>
      <vt:variant>
        <vt:lpwstr>_Toc274907713</vt:lpwstr>
      </vt:variant>
      <vt:variant>
        <vt:i4>2031665</vt:i4>
      </vt:variant>
      <vt:variant>
        <vt:i4>56</vt:i4>
      </vt:variant>
      <vt:variant>
        <vt:i4>0</vt:i4>
      </vt:variant>
      <vt:variant>
        <vt:i4>5</vt:i4>
      </vt:variant>
      <vt:variant>
        <vt:lpwstr/>
      </vt:variant>
      <vt:variant>
        <vt:lpwstr>_Toc274907712</vt:lpwstr>
      </vt:variant>
      <vt:variant>
        <vt:i4>2031665</vt:i4>
      </vt:variant>
      <vt:variant>
        <vt:i4>50</vt:i4>
      </vt:variant>
      <vt:variant>
        <vt:i4>0</vt:i4>
      </vt:variant>
      <vt:variant>
        <vt:i4>5</vt:i4>
      </vt:variant>
      <vt:variant>
        <vt:lpwstr/>
      </vt:variant>
      <vt:variant>
        <vt:lpwstr>_Toc274907711</vt:lpwstr>
      </vt:variant>
      <vt:variant>
        <vt:i4>2031665</vt:i4>
      </vt:variant>
      <vt:variant>
        <vt:i4>44</vt:i4>
      </vt:variant>
      <vt:variant>
        <vt:i4>0</vt:i4>
      </vt:variant>
      <vt:variant>
        <vt:i4>5</vt:i4>
      </vt:variant>
      <vt:variant>
        <vt:lpwstr/>
      </vt:variant>
      <vt:variant>
        <vt:lpwstr>_Toc274907710</vt:lpwstr>
      </vt:variant>
      <vt:variant>
        <vt:i4>1966129</vt:i4>
      </vt:variant>
      <vt:variant>
        <vt:i4>38</vt:i4>
      </vt:variant>
      <vt:variant>
        <vt:i4>0</vt:i4>
      </vt:variant>
      <vt:variant>
        <vt:i4>5</vt:i4>
      </vt:variant>
      <vt:variant>
        <vt:lpwstr/>
      </vt:variant>
      <vt:variant>
        <vt:lpwstr>_Toc274907709</vt:lpwstr>
      </vt:variant>
      <vt:variant>
        <vt:i4>1966129</vt:i4>
      </vt:variant>
      <vt:variant>
        <vt:i4>32</vt:i4>
      </vt:variant>
      <vt:variant>
        <vt:i4>0</vt:i4>
      </vt:variant>
      <vt:variant>
        <vt:i4>5</vt:i4>
      </vt:variant>
      <vt:variant>
        <vt:lpwstr/>
      </vt:variant>
      <vt:variant>
        <vt:lpwstr>_Toc274907708</vt:lpwstr>
      </vt:variant>
      <vt:variant>
        <vt:i4>1966129</vt:i4>
      </vt:variant>
      <vt:variant>
        <vt:i4>26</vt:i4>
      </vt:variant>
      <vt:variant>
        <vt:i4>0</vt:i4>
      </vt:variant>
      <vt:variant>
        <vt:i4>5</vt:i4>
      </vt:variant>
      <vt:variant>
        <vt:lpwstr/>
      </vt:variant>
      <vt:variant>
        <vt:lpwstr>_Toc274907707</vt:lpwstr>
      </vt:variant>
      <vt:variant>
        <vt:i4>1966129</vt:i4>
      </vt:variant>
      <vt:variant>
        <vt:i4>20</vt:i4>
      </vt:variant>
      <vt:variant>
        <vt:i4>0</vt:i4>
      </vt:variant>
      <vt:variant>
        <vt:i4>5</vt:i4>
      </vt:variant>
      <vt:variant>
        <vt:lpwstr/>
      </vt:variant>
      <vt:variant>
        <vt:lpwstr>_Toc274907706</vt:lpwstr>
      </vt:variant>
      <vt:variant>
        <vt:i4>1966129</vt:i4>
      </vt:variant>
      <vt:variant>
        <vt:i4>14</vt:i4>
      </vt:variant>
      <vt:variant>
        <vt:i4>0</vt:i4>
      </vt:variant>
      <vt:variant>
        <vt:i4>5</vt:i4>
      </vt:variant>
      <vt:variant>
        <vt:lpwstr/>
      </vt:variant>
      <vt:variant>
        <vt:lpwstr>_Toc274907705</vt:lpwstr>
      </vt:variant>
      <vt:variant>
        <vt:i4>1966129</vt:i4>
      </vt:variant>
      <vt:variant>
        <vt:i4>8</vt:i4>
      </vt:variant>
      <vt:variant>
        <vt:i4>0</vt:i4>
      </vt:variant>
      <vt:variant>
        <vt:i4>5</vt:i4>
      </vt:variant>
      <vt:variant>
        <vt:lpwstr/>
      </vt:variant>
      <vt:variant>
        <vt:lpwstr>_Toc274907704</vt:lpwstr>
      </vt:variant>
      <vt:variant>
        <vt:i4>1966129</vt:i4>
      </vt:variant>
      <vt:variant>
        <vt:i4>2</vt:i4>
      </vt:variant>
      <vt:variant>
        <vt:i4>0</vt:i4>
      </vt:variant>
      <vt:variant>
        <vt:i4>5</vt:i4>
      </vt:variant>
      <vt:variant>
        <vt:lpwstr/>
      </vt:variant>
      <vt:variant>
        <vt:lpwstr>_Toc274907703</vt:lpwstr>
      </vt:variant>
      <vt:variant>
        <vt:i4>4718676</vt:i4>
      </vt:variant>
      <vt:variant>
        <vt:i4>9</vt:i4>
      </vt:variant>
      <vt:variant>
        <vt:i4>0</vt:i4>
      </vt:variant>
      <vt:variant>
        <vt:i4>5</vt:i4>
      </vt:variant>
      <vt:variant>
        <vt:lpwstr>http://www.supremecourt.vic.gov.au/wps/wcm/connect/cb14d780438d0ea1b2e2fb34222e6833/Arbitration+Reform+in+Australia+-+Combar+Commentary+-+24+May+2010.pdf?MOD=AJPERES</vt:lpwstr>
      </vt:variant>
      <vt:variant>
        <vt:lpwstr/>
      </vt:variant>
      <vt:variant>
        <vt:i4>2031705</vt:i4>
      </vt:variant>
      <vt:variant>
        <vt:i4>6</vt:i4>
      </vt:variant>
      <vt:variant>
        <vt:i4>0</vt:i4>
      </vt:variant>
      <vt:variant>
        <vt:i4>5</vt:i4>
      </vt:variant>
      <vt:variant>
        <vt:lpwstr>http://www.commercialcourt.com.au/PDF/Speeches/Speech By Chief Justice May 13.pdf</vt:lpwstr>
      </vt:variant>
      <vt:variant>
        <vt:lpwstr/>
      </vt:variant>
      <vt:variant>
        <vt:i4>4653140</vt:i4>
      </vt:variant>
      <vt:variant>
        <vt:i4>3</vt:i4>
      </vt:variant>
      <vt:variant>
        <vt:i4>0</vt:i4>
      </vt:variant>
      <vt:variant>
        <vt:i4>65541</vt:i4>
      </vt:variant>
      <vt:variant>
        <vt:lpwstr>http://www.supremecourt.vic.gov.au/wps/wcm/connect/justlib/supreme+court/home/library/supreme+-+speech+-+remarks+at+the+icac+-+warren+cj%2528pdf%2529</vt:lpwstr>
      </vt:variant>
      <vt:variant>
        <vt:lpwstr/>
      </vt:variant>
      <vt:variant>
        <vt:i4>7798847</vt:i4>
      </vt:variant>
      <vt:variant>
        <vt:i4>0</vt:i4>
      </vt:variant>
      <vt:variant>
        <vt:i4>0</vt:i4>
      </vt:variant>
      <vt:variant>
        <vt:i4>5</vt:i4>
      </vt:variant>
      <vt:variant>
        <vt:lpwstr>http://www.supremecourt.vic.gov.au/wps/wcm/connect/justlib/supreme+court/home/library/supreme+-+aon+and+its+implications+for+the++commercial+court</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 consistent interpretation, correct interpretation, under both Act, in line with international best jurisprudence</dc:title>
  <dc:subject/>
  <dc:creator>dmarkham</dc:creator>
  <cp:keywords/>
  <cp:lastModifiedBy>Ala Al-Mahaidi</cp:lastModifiedBy>
  <cp:revision>7</cp:revision>
  <cp:lastPrinted>2017-12-18T04:08:00Z</cp:lastPrinted>
  <dcterms:created xsi:type="dcterms:W3CDTF">2017-12-18T04:25:00Z</dcterms:created>
  <dcterms:modified xsi:type="dcterms:W3CDTF">2021-09-03T05:56:00Z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302587149</vt:i4>
  </property>
  <property fmtid="{D5CDD505-2E9C-101B-9397-08002B2CF9AE}" pid="3" name="Order">
    <vt:lpwstr>565100.000000000</vt:lpwstr>
  </property>
  <property fmtid="{D5CDD505-2E9C-101B-9397-08002B2CF9AE}" pid="4" name="ContentTypeId">
    <vt:lpwstr>0x010100FC344B925675ED46837EB14F9BF5688C</vt:lpwstr>
  </property>
</Properties>
</file>