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D5A6F" w14:textId="77777777" w:rsidR="00403C40" w:rsidRPr="00F538EB" w:rsidRDefault="00403C40" w:rsidP="00403C40">
      <w:pPr>
        <w:spacing w:before="240" w:after="240"/>
        <w:jc w:val="center"/>
        <w:rPr>
          <w:rFonts w:ascii="Arial" w:hAnsi="Arial" w:cs="Arial"/>
          <w:b/>
          <w:sz w:val="28"/>
        </w:rPr>
      </w:pPr>
      <w:r w:rsidRPr="00F538EB">
        <w:rPr>
          <w:rFonts w:ascii="Arial" w:hAnsi="Arial" w:cs="Arial"/>
          <w:b/>
          <w:sz w:val="28"/>
        </w:rPr>
        <w:t xml:space="preserve">Interlocutory Applications </w:t>
      </w:r>
      <w:r w:rsidR="00E74EC7" w:rsidRPr="00F538EB">
        <w:rPr>
          <w:rFonts w:ascii="Arial" w:hAnsi="Arial" w:cs="Arial"/>
          <w:b/>
          <w:sz w:val="28"/>
        </w:rPr>
        <w:t>a</w:t>
      </w:r>
      <w:r w:rsidR="00C3392C" w:rsidRPr="00F538EB">
        <w:rPr>
          <w:rFonts w:ascii="Arial" w:hAnsi="Arial" w:cs="Arial"/>
          <w:b/>
          <w:sz w:val="28"/>
        </w:rPr>
        <w:t>nd Directions Hearings</w:t>
      </w:r>
      <w:r w:rsidR="00E74EC7" w:rsidRPr="00F538EB">
        <w:rPr>
          <w:rFonts w:ascii="Arial" w:hAnsi="Arial" w:cs="Arial"/>
          <w:b/>
          <w:sz w:val="28"/>
        </w:rPr>
        <w:t xml:space="preserve"> </w:t>
      </w:r>
      <w:r w:rsidRPr="00F538EB">
        <w:rPr>
          <w:rFonts w:ascii="Arial" w:hAnsi="Arial" w:cs="Arial"/>
          <w:b/>
          <w:sz w:val="28"/>
        </w:rPr>
        <w:t>in the Employment &amp; Industrial List, Supreme Court of Victoria</w:t>
      </w:r>
    </w:p>
    <w:p w14:paraId="66B301CE" w14:textId="77777777" w:rsidR="00403C40" w:rsidRDefault="00403C40" w:rsidP="00403C40">
      <w:pPr>
        <w:spacing w:before="240" w:after="240"/>
        <w:jc w:val="center"/>
        <w:rPr>
          <w:rFonts w:ascii="Arial" w:hAnsi="Arial" w:cs="Arial"/>
          <w:sz w:val="24"/>
        </w:rPr>
      </w:pPr>
      <w:r>
        <w:rPr>
          <w:rFonts w:ascii="Arial" w:hAnsi="Arial" w:cs="Arial"/>
        </w:rPr>
        <w:t>Speech given by The Hon. Associate Justice Ierodiaconou*</w:t>
      </w:r>
    </w:p>
    <w:p w14:paraId="7C591F7D" w14:textId="77777777" w:rsidR="00403C40" w:rsidRDefault="0070023A" w:rsidP="00403C40">
      <w:pPr>
        <w:spacing w:before="240" w:after="480" w:line="240" w:lineRule="atLeast"/>
        <w:jc w:val="center"/>
        <w:rPr>
          <w:rFonts w:ascii="Arial" w:hAnsi="Arial" w:cs="Arial"/>
          <w:b/>
        </w:rPr>
      </w:pPr>
      <w:r>
        <w:rPr>
          <w:rFonts w:ascii="Arial" w:hAnsi="Arial" w:cs="Arial"/>
          <w:b/>
        </w:rPr>
        <w:t xml:space="preserve">Annual Employment Law Update 2016, CPD and Networking Seminar, </w:t>
      </w:r>
      <w:r w:rsidR="00403C40">
        <w:rPr>
          <w:rFonts w:ascii="Arial" w:hAnsi="Arial" w:cs="Arial"/>
          <w:b/>
        </w:rPr>
        <w:t xml:space="preserve">Victorian Bar, </w:t>
      </w:r>
      <w:r w:rsidR="00403C40" w:rsidRPr="00403C40">
        <w:rPr>
          <w:rFonts w:ascii="Arial" w:hAnsi="Arial" w:cs="Arial"/>
          <w:b/>
        </w:rPr>
        <w:t>14 November</w:t>
      </w:r>
      <w:r w:rsidR="00403C40" w:rsidRPr="006543D3">
        <w:rPr>
          <w:b/>
        </w:rPr>
        <w:t xml:space="preserve"> </w:t>
      </w:r>
      <w:r w:rsidR="00403C40">
        <w:rPr>
          <w:rFonts w:ascii="Arial" w:hAnsi="Arial" w:cs="Arial"/>
          <w:b/>
        </w:rPr>
        <w:t>2016</w:t>
      </w:r>
      <w:r w:rsidR="00B01F34">
        <w:rPr>
          <w:rFonts w:ascii="Arial" w:hAnsi="Arial" w:cs="Arial"/>
          <w:b/>
        </w:rPr>
        <w:t>.</w:t>
      </w:r>
    </w:p>
    <w:p w14:paraId="021A0596" w14:textId="77777777" w:rsidR="00403C40" w:rsidRPr="00F538EB" w:rsidRDefault="00403C40" w:rsidP="00403C40">
      <w:pPr>
        <w:spacing w:before="240" w:line="240" w:lineRule="atLeast"/>
        <w:ind w:left="720"/>
        <w:rPr>
          <w:rFonts w:ascii="Arial" w:hAnsi="Arial" w:cs="Arial"/>
          <w:b/>
        </w:rPr>
      </w:pPr>
      <w:r w:rsidRPr="00F538EB">
        <w:rPr>
          <w:rFonts w:ascii="Arial" w:hAnsi="Arial" w:cs="Arial"/>
          <w:b/>
        </w:rPr>
        <w:t>Introduction</w:t>
      </w:r>
    </w:p>
    <w:p w14:paraId="3B54F2AE" w14:textId="77777777" w:rsidR="00403C40" w:rsidRDefault="002C5B7B"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Justice McDonald, members of the profession and other supporters, g</w:t>
      </w:r>
      <w:r w:rsidR="00403C40">
        <w:rPr>
          <w:rFonts w:ascii="Arial" w:hAnsi="Arial" w:cs="Arial"/>
          <w:lang w:val="en-AU"/>
        </w:rPr>
        <w:t>ood afternoon.  I would like to begin by acknowledging the traditional custodians of the land on which we meet today.  I offer my respects to their elders, past and present, and extend respect to those with Aboriginal and Torres Strait Island heritage here today.</w:t>
      </w:r>
    </w:p>
    <w:p w14:paraId="44EED6FA" w14:textId="77777777" w:rsidR="00403C40" w:rsidRDefault="002C5B7B"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Today I will be discussing interlocutory applications</w:t>
      </w:r>
      <w:r w:rsidR="00C3392C">
        <w:rPr>
          <w:rFonts w:ascii="Arial" w:hAnsi="Arial" w:cs="Arial"/>
          <w:lang w:val="en-AU"/>
        </w:rPr>
        <w:t xml:space="preserve"> and directions hearings</w:t>
      </w:r>
      <w:r>
        <w:rPr>
          <w:rFonts w:ascii="Arial" w:hAnsi="Arial" w:cs="Arial"/>
          <w:lang w:val="en-AU"/>
        </w:rPr>
        <w:t xml:space="preserve"> in the Employment &amp; Industrial List of the Supreme Court of Victoria (‘the List’).  I will update you on arrangements for 2017, and also discuss the common types of </w:t>
      </w:r>
      <w:r w:rsidR="00533CEF">
        <w:rPr>
          <w:rFonts w:ascii="Arial" w:hAnsi="Arial" w:cs="Arial"/>
          <w:lang w:val="en-AU"/>
        </w:rPr>
        <w:t xml:space="preserve">interlocutory </w:t>
      </w:r>
      <w:r>
        <w:rPr>
          <w:rFonts w:ascii="Arial" w:hAnsi="Arial" w:cs="Arial"/>
          <w:lang w:val="en-AU"/>
        </w:rPr>
        <w:t>applications being made in the List.  I will share some practical suggestions with you regarding the List.</w:t>
      </w:r>
    </w:p>
    <w:p w14:paraId="19BA1688" w14:textId="77777777" w:rsidR="002C5B7B" w:rsidRPr="00EA2C34" w:rsidRDefault="002C5B7B" w:rsidP="00403C40">
      <w:pPr>
        <w:pStyle w:val="ListParagraph"/>
        <w:numPr>
          <w:ilvl w:val="0"/>
          <w:numId w:val="1"/>
        </w:numPr>
        <w:spacing w:after="240" w:line="480" w:lineRule="atLeast"/>
        <w:ind w:left="720" w:hanging="720"/>
        <w:jc w:val="both"/>
        <w:rPr>
          <w:rFonts w:ascii="Arial" w:hAnsi="Arial" w:cs="Arial"/>
          <w:lang w:val="en-AU"/>
        </w:rPr>
      </w:pPr>
      <w:r w:rsidRPr="00EA2C34">
        <w:rPr>
          <w:rFonts w:ascii="Arial" w:hAnsi="Arial" w:cs="Arial"/>
          <w:lang w:val="en-AU"/>
        </w:rPr>
        <w:t>Jus</w:t>
      </w:r>
      <w:r w:rsidR="00533CEF" w:rsidRPr="00EA2C34">
        <w:rPr>
          <w:rFonts w:ascii="Arial" w:hAnsi="Arial" w:cs="Arial"/>
          <w:lang w:val="en-AU"/>
        </w:rPr>
        <w:t xml:space="preserve">tice McDonald will </w:t>
      </w:r>
      <w:r w:rsidR="00EA2C34" w:rsidRPr="00EA2C34">
        <w:rPr>
          <w:rFonts w:ascii="Arial" w:hAnsi="Arial" w:cs="Arial"/>
          <w:lang w:val="en-AU"/>
        </w:rPr>
        <w:t xml:space="preserve">share his insights </w:t>
      </w:r>
      <w:r w:rsidR="00533CEF" w:rsidRPr="00EA2C34">
        <w:rPr>
          <w:rFonts w:ascii="Arial" w:hAnsi="Arial" w:cs="Arial"/>
          <w:lang w:val="en-AU"/>
        </w:rPr>
        <w:t>regarding the List generally.  His Honour will also discuss applications for interlocutory injunctions</w:t>
      </w:r>
      <w:r w:rsidR="00EA2C34" w:rsidRPr="00EA2C34">
        <w:rPr>
          <w:rFonts w:ascii="Arial" w:hAnsi="Arial" w:cs="Arial"/>
          <w:lang w:val="en-AU"/>
        </w:rPr>
        <w:t>.</w:t>
      </w:r>
    </w:p>
    <w:p w14:paraId="12FF0D7D" w14:textId="77777777" w:rsidR="00533CEF" w:rsidRPr="00F538EB" w:rsidRDefault="00533CEF" w:rsidP="00716454">
      <w:pPr>
        <w:spacing w:before="240" w:line="240" w:lineRule="atLeast"/>
        <w:ind w:left="720"/>
        <w:rPr>
          <w:rFonts w:ascii="Arial" w:hAnsi="Arial" w:cs="Arial"/>
          <w:b/>
        </w:rPr>
      </w:pPr>
      <w:r w:rsidRPr="00F538EB">
        <w:rPr>
          <w:rFonts w:ascii="Arial" w:hAnsi="Arial" w:cs="Arial"/>
          <w:b/>
        </w:rPr>
        <w:t>2017 Arrangements</w:t>
      </w:r>
    </w:p>
    <w:p w14:paraId="5DB54315" w14:textId="3F584B19" w:rsidR="00716454" w:rsidRDefault="00533CEF"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 xml:space="preserve">As you will be aware, during 2016, directions and applications in the List have been listed once a month.  The List has grown to a point where it can be justified </w:t>
      </w:r>
      <w:r w:rsidR="0070023A">
        <w:rPr>
          <w:rFonts w:ascii="Arial" w:hAnsi="Arial" w:cs="Arial"/>
          <w:lang w:val="en-AU"/>
        </w:rPr>
        <w:t xml:space="preserve">to allocate </w:t>
      </w:r>
      <w:r w:rsidR="00E4632B">
        <w:rPr>
          <w:rFonts w:ascii="Arial" w:hAnsi="Arial" w:cs="Arial"/>
          <w:lang w:val="en-AU"/>
        </w:rPr>
        <w:t xml:space="preserve">two days a </w:t>
      </w:r>
      <w:proofErr w:type="gramStart"/>
      <w:r w:rsidR="00E4632B">
        <w:rPr>
          <w:rFonts w:ascii="Arial" w:hAnsi="Arial" w:cs="Arial"/>
          <w:lang w:val="en-AU"/>
        </w:rPr>
        <w:t>month  for</w:t>
      </w:r>
      <w:proofErr w:type="gramEnd"/>
      <w:r w:rsidR="00E4632B">
        <w:rPr>
          <w:rFonts w:ascii="Arial" w:hAnsi="Arial" w:cs="Arial"/>
          <w:lang w:val="en-AU"/>
        </w:rPr>
        <w:t xml:space="preserve"> directions and applications in the List.  These dates will shortly be listed on the Court’s website.  </w:t>
      </w:r>
      <w:r w:rsidR="005B2392">
        <w:rPr>
          <w:rFonts w:ascii="Arial" w:hAnsi="Arial" w:cs="Arial"/>
          <w:lang w:val="en-AU"/>
        </w:rPr>
        <w:t xml:space="preserve">  </w:t>
      </w:r>
    </w:p>
    <w:p w14:paraId="0DDB7232" w14:textId="77777777" w:rsidR="00125BAE" w:rsidRDefault="00125BAE"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During 2016, the List days for directions and applications have been on Fridays.  In 2017, the List days will move to Mondays.</w:t>
      </w:r>
    </w:p>
    <w:p w14:paraId="36B89B6A" w14:textId="77777777" w:rsidR="006A0413" w:rsidRDefault="006A0413" w:rsidP="00DE56BF">
      <w:pPr>
        <w:spacing w:before="240" w:line="240" w:lineRule="atLeast"/>
        <w:ind w:left="720"/>
        <w:rPr>
          <w:rFonts w:ascii="Arial" w:hAnsi="Arial" w:cs="Arial"/>
          <w:b/>
          <w:color w:val="FF0000"/>
        </w:rPr>
      </w:pPr>
    </w:p>
    <w:p w14:paraId="632F14A3" w14:textId="77777777" w:rsidR="006A0413" w:rsidRDefault="006A0413" w:rsidP="006A0413">
      <w:pPr>
        <w:pStyle w:val="FootnoteText"/>
        <w:ind w:left="360"/>
        <w:rPr>
          <w:rFonts w:ascii="Arial" w:hAnsi="Arial" w:cs="Arial"/>
          <w:sz w:val="18"/>
          <w:szCs w:val="18"/>
        </w:rPr>
      </w:pPr>
      <w:r>
        <w:rPr>
          <w:rFonts w:ascii="Arial" w:hAnsi="Arial" w:cs="Arial"/>
          <w:sz w:val="18"/>
          <w:szCs w:val="18"/>
        </w:rPr>
        <w:t xml:space="preserve">*Associate Justice of the Supreme Court of Victoria.  I would like to thank my Associate, </w:t>
      </w:r>
      <w:proofErr w:type="spellStart"/>
      <w:proofErr w:type="gramStart"/>
      <w:r>
        <w:rPr>
          <w:rFonts w:ascii="Arial" w:hAnsi="Arial" w:cs="Arial"/>
          <w:sz w:val="18"/>
          <w:szCs w:val="18"/>
        </w:rPr>
        <w:t>Kalina</w:t>
      </w:r>
      <w:proofErr w:type="spellEnd"/>
      <w:r>
        <w:rPr>
          <w:rFonts w:ascii="Arial" w:hAnsi="Arial" w:cs="Arial"/>
          <w:sz w:val="18"/>
          <w:szCs w:val="18"/>
        </w:rPr>
        <w:t xml:space="preserve">  </w:t>
      </w:r>
      <w:proofErr w:type="spellStart"/>
      <w:r>
        <w:rPr>
          <w:rFonts w:ascii="Arial" w:hAnsi="Arial" w:cs="Arial"/>
          <w:sz w:val="18"/>
          <w:szCs w:val="18"/>
        </w:rPr>
        <w:t>Sobczak</w:t>
      </w:r>
      <w:proofErr w:type="spellEnd"/>
      <w:proofErr w:type="gramEnd"/>
      <w:r>
        <w:rPr>
          <w:rFonts w:ascii="Arial" w:hAnsi="Arial" w:cs="Arial"/>
          <w:sz w:val="18"/>
          <w:szCs w:val="18"/>
        </w:rPr>
        <w:t>, for her editorial assistance.</w:t>
      </w:r>
    </w:p>
    <w:p w14:paraId="203796F8" w14:textId="77777777" w:rsidR="006A0413" w:rsidRDefault="006A0413" w:rsidP="00DE56BF">
      <w:pPr>
        <w:spacing w:before="240" w:line="240" w:lineRule="atLeast"/>
        <w:ind w:left="720"/>
        <w:rPr>
          <w:rFonts w:ascii="Arial" w:hAnsi="Arial" w:cs="Arial"/>
          <w:b/>
          <w:color w:val="FF0000"/>
        </w:rPr>
      </w:pPr>
    </w:p>
    <w:p w14:paraId="0FA77533" w14:textId="77777777" w:rsidR="00DE56BF" w:rsidRPr="00F538EB" w:rsidRDefault="00DE56BF" w:rsidP="006A0413">
      <w:pPr>
        <w:spacing w:before="240" w:line="240" w:lineRule="atLeast"/>
        <w:ind w:firstLine="360"/>
        <w:rPr>
          <w:rFonts w:ascii="Arial" w:hAnsi="Arial" w:cs="Arial"/>
          <w:b/>
        </w:rPr>
      </w:pPr>
      <w:r w:rsidRPr="00F538EB">
        <w:rPr>
          <w:rFonts w:ascii="Arial" w:hAnsi="Arial" w:cs="Arial"/>
          <w:b/>
        </w:rPr>
        <w:lastRenderedPageBreak/>
        <w:t>Practical Suggestions</w:t>
      </w:r>
    </w:p>
    <w:p w14:paraId="2647D57C" w14:textId="77777777" w:rsidR="00DE56BF" w:rsidRDefault="00DE56BF" w:rsidP="00DE56BF">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 xml:space="preserve">I want to offer some practical suggestions for interlocutory applications </w:t>
      </w:r>
      <w:r w:rsidR="00C872F2">
        <w:rPr>
          <w:rFonts w:ascii="Arial" w:hAnsi="Arial" w:cs="Arial"/>
          <w:lang w:val="en-AU"/>
        </w:rPr>
        <w:t xml:space="preserve">and directions </w:t>
      </w:r>
      <w:r>
        <w:rPr>
          <w:rFonts w:ascii="Arial" w:hAnsi="Arial" w:cs="Arial"/>
          <w:lang w:val="en-AU"/>
        </w:rPr>
        <w:t xml:space="preserve">in the List.  </w:t>
      </w:r>
    </w:p>
    <w:p w14:paraId="2CD5B31D" w14:textId="467975EB" w:rsidR="00533CEF" w:rsidRDefault="005B2392"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If you have not already, please familiarise yourself with th</w:t>
      </w:r>
      <w:r w:rsidR="00716454">
        <w:rPr>
          <w:rFonts w:ascii="Arial" w:hAnsi="Arial" w:cs="Arial"/>
          <w:lang w:val="en-AU"/>
        </w:rPr>
        <w:t>e</w:t>
      </w:r>
      <w:r w:rsidR="002D5281">
        <w:rPr>
          <w:rFonts w:ascii="Arial" w:hAnsi="Arial" w:cs="Arial"/>
          <w:lang w:val="en-AU"/>
        </w:rPr>
        <w:t xml:space="preserve"> </w:t>
      </w:r>
      <w:r w:rsidR="00716454">
        <w:rPr>
          <w:rFonts w:ascii="Arial" w:hAnsi="Arial" w:cs="Arial"/>
          <w:lang w:val="en-AU"/>
        </w:rPr>
        <w:t>List</w:t>
      </w:r>
      <w:r w:rsidR="002D5281">
        <w:rPr>
          <w:rFonts w:ascii="Arial" w:hAnsi="Arial" w:cs="Arial"/>
          <w:lang w:val="en-AU"/>
        </w:rPr>
        <w:t xml:space="preserve"> </w:t>
      </w:r>
      <w:r>
        <w:rPr>
          <w:rFonts w:ascii="Arial" w:hAnsi="Arial" w:cs="Arial"/>
          <w:lang w:val="en-AU"/>
        </w:rPr>
        <w:t>page</w:t>
      </w:r>
      <w:r w:rsidR="00716454">
        <w:rPr>
          <w:rFonts w:ascii="Arial" w:hAnsi="Arial" w:cs="Arial"/>
          <w:lang w:val="en-AU"/>
        </w:rPr>
        <w:t xml:space="preserve"> on the </w:t>
      </w:r>
      <w:r w:rsidR="002D5281">
        <w:rPr>
          <w:rFonts w:ascii="Arial" w:hAnsi="Arial" w:cs="Arial"/>
          <w:lang w:val="en-AU"/>
        </w:rPr>
        <w:t xml:space="preserve">Supreme </w:t>
      </w:r>
      <w:r w:rsidR="00716454">
        <w:rPr>
          <w:rFonts w:ascii="Arial" w:hAnsi="Arial" w:cs="Arial"/>
          <w:lang w:val="en-AU"/>
        </w:rPr>
        <w:t xml:space="preserve">Court </w:t>
      </w:r>
      <w:r w:rsidR="002D5281">
        <w:rPr>
          <w:rFonts w:ascii="Arial" w:hAnsi="Arial" w:cs="Arial"/>
          <w:lang w:val="en-AU"/>
        </w:rPr>
        <w:t xml:space="preserve">of Victoria </w:t>
      </w:r>
      <w:r w:rsidR="00126C12">
        <w:rPr>
          <w:rFonts w:ascii="Arial" w:hAnsi="Arial" w:cs="Arial"/>
          <w:lang w:val="en-AU"/>
        </w:rPr>
        <w:t>website</w:t>
      </w:r>
      <w:r>
        <w:rPr>
          <w:rFonts w:ascii="Arial" w:hAnsi="Arial" w:cs="Arial"/>
          <w:lang w:val="en-AU"/>
        </w:rPr>
        <w:t xml:space="preserve">.  I know that our associates will be happy if you read the information on that page before contacting them with queries.  Many of the answers </w:t>
      </w:r>
      <w:r w:rsidR="00F62C12">
        <w:rPr>
          <w:rFonts w:ascii="Arial" w:hAnsi="Arial" w:cs="Arial"/>
          <w:lang w:val="en-AU"/>
        </w:rPr>
        <w:t xml:space="preserve">can be found </w:t>
      </w:r>
      <w:r>
        <w:rPr>
          <w:rFonts w:ascii="Arial" w:hAnsi="Arial" w:cs="Arial"/>
          <w:lang w:val="en-AU"/>
        </w:rPr>
        <w:t xml:space="preserve">there.  </w:t>
      </w:r>
      <w:r w:rsidR="00716454">
        <w:rPr>
          <w:rFonts w:ascii="Arial" w:hAnsi="Arial" w:cs="Arial"/>
          <w:lang w:val="en-AU"/>
        </w:rPr>
        <w:t>If you go to the ‘Law an</w:t>
      </w:r>
      <w:r w:rsidR="009213AF">
        <w:rPr>
          <w:rFonts w:ascii="Arial" w:hAnsi="Arial" w:cs="Arial"/>
          <w:lang w:val="en-AU"/>
        </w:rPr>
        <w:t xml:space="preserve">d Practice’ tab on the website, </w:t>
      </w:r>
      <w:r w:rsidR="00F538EB">
        <w:rPr>
          <w:rFonts w:ascii="Arial" w:hAnsi="Arial" w:cs="Arial"/>
          <w:lang w:val="en-AU"/>
        </w:rPr>
        <w:t xml:space="preserve">you will see a drop down menu </w:t>
      </w:r>
      <w:r w:rsidR="00B92CFF">
        <w:rPr>
          <w:rFonts w:ascii="Arial" w:hAnsi="Arial" w:cs="Arial"/>
          <w:lang w:val="en-AU"/>
        </w:rPr>
        <w:t>u</w:t>
      </w:r>
      <w:r w:rsidR="00716454">
        <w:rPr>
          <w:rFonts w:ascii="Arial" w:hAnsi="Arial" w:cs="Arial"/>
          <w:lang w:val="en-AU"/>
        </w:rPr>
        <w:t>nder the hea</w:t>
      </w:r>
      <w:r w:rsidR="00B92CFF">
        <w:rPr>
          <w:rFonts w:ascii="Arial" w:hAnsi="Arial" w:cs="Arial"/>
          <w:lang w:val="en-AU"/>
        </w:rPr>
        <w:t>d</w:t>
      </w:r>
      <w:r w:rsidR="00716454">
        <w:rPr>
          <w:rFonts w:ascii="Arial" w:hAnsi="Arial" w:cs="Arial"/>
          <w:lang w:val="en-AU"/>
        </w:rPr>
        <w:t xml:space="preserve">ing ‘Specialist Areas of Law’, </w:t>
      </w:r>
      <w:r w:rsidR="009D358F">
        <w:rPr>
          <w:rFonts w:ascii="Arial" w:hAnsi="Arial" w:cs="Arial"/>
          <w:lang w:val="en-AU"/>
        </w:rPr>
        <w:t xml:space="preserve">and </w:t>
      </w:r>
      <w:r w:rsidR="00716454">
        <w:rPr>
          <w:rFonts w:ascii="Arial" w:hAnsi="Arial" w:cs="Arial"/>
          <w:lang w:val="en-AU"/>
        </w:rPr>
        <w:t>you will see a link to the List</w:t>
      </w:r>
      <w:r w:rsidR="0070023A">
        <w:rPr>
          <w:rFonts w:ascii="Arial" w:hAnsi="Arial" w:cs="Arial"/>
          <w:lang w:val="en-AU"/>
        </w:rPr>
        <w:t xml:space="preserve"> page</w:t>
      </w:r>
      <w:r w:rsidR="009D358F">
        <w:rPr>
          <w:rFonts w:ascii="Arial" w:hAnsi="Arial" w:cs="Arial"/>
          <w:lang w:val="en-AU"/>
        </w:rPr>
        <w:t xml:space="preserve"> there</w:t>
      </w:r>
      <w:r w:rsidR="001F4109">
        <w:rPr>
          <w:rStyle w:val="FootnoteReference"/>
          <w:rFonts w:ascii="Arial" w:hAnsi="Arial" w:cs="Arial"/>
          <w:lang w:val="en-AU"/>
        </w:rPr>
        <w:footnoteReference w:id="1"/>
      </w:r>
      <w:r w:rsidR="00716454">
        <w:rPr>
          <w:rFonts w:ascii="Arial" w:hAnsi="Arial" w:cs="Arial"/>
          <w:lang w:val="en-AU"/>
        </w:rPr>
        <w:t xml:space="preserve">.  </w:t>
      </w:r>
      <w:r>
        <w:rPr>
          <w:rFonts w:ascii="Arial" w:hAnsi="Arial" w:cs="Arial"/>
          <w:lang w:val="en-AU"/>
        </w:rPr>
        <w:t xml:space="preserve">The List Practice Note is on the </w:t>
      </w:r>
      <w:r w:rsidR="009D358F">
        <w:rPr>
          <w:rFonts w:ascii="Arial" w:hAnsi="Arial" w:cs="Arial"/>
          <w:lang w:val="en-AU"/>
        </w:rPr>
        <w:t xml:space="preserve">List </w:t>
      </w:r>
      <w:r>
        <w:rPr>
          <w:rFonts w:ascii="Arial" w:hAnsi="Arial" w:cs="Arial"/>
          <w:lang w:val="en-AU"/>
        </w:rPr>
        <w:t xml:space="preserve">page. </w:t>
      </w:r>
      <w:r w:rsidR="00716454">
        <w:rPr>
          <w:rFonts w:ascii="Arial" w:hAnsi="Arial" w:cs="Arial"/>
          <w:lang w:val="en-AU"/>
        </w:rPr>
        <w:t xml:space="preserve">So are </w:t>
      </w:r>
      <w:r w:rsidR="00A634C9">
        <w:rPr>
          <w:rFonts w:ascii="Arial" w:hAnsi="Arial" w:cs="Arial"/>
          <w:lang w:val="en-AU"/>
        </w:rPr>
        <w:t xml:space="preserve">the </w:t>
      </w:r>
      <w:r w:rsidR="00716454">
        <w:rPr>
          <w:rFonts w:ascii="Arial" w:hAnsi="Arial" w:cs="Arial"/>
          <w:lang w:val="en-AU"/>
        </w:rPr>
        <w:t>standard directions and the interlocutory application form.  That form must accompany each summons.</w:t>
      </w:r>
    </w:p>
    <w:p w14:paraId="1D453ACD" w14:textId="0F9C33A8" w:rsidR="002D5281" w:rsidRPr="002D5281" w:rsidRDefault="002D5281" w:rsidP="002D5281">
      <w:pPr>
        <w:pStyle w:val="ListParagraph"/>
        <w:numPr>
          <w:ilvl w:val="0"/>
          <w:numId w:val="1"/>
        </w:numPr>
        <w:spacing w:after="240" w:line="480" w:lineRule="atLeast"/>
        <w:ind w:left="720" w:hanging="720"/>
        <w:jc w:val="both"/>
        <w:rPr>
          <w:rFonts w:ascii="Arial" w:hAnsi="Arial" w:cs="Arial"/>
          <w:lang w:val="en-AU"/>
        </w:rPr>
      </w:pPr>
      <w:r w:rsidRPr="002D5281">
        <w:rPr>
          <w:rFonts w:ascii="Arial" w:hAnsi="Arial" w:cs="Arial"/>
          <w:lang w:val="en-AU"/>
        </w:rPr>
        <w:t>In light of the overarching obligations</w:t>
      </w:r>
      <w:r w:rsidR="00924A42">
        <w:rPr>
          <w:rFonts w:ascii="Arial" w:hAnsi="Arial" w:cs="Arial"/>
          <w:lang w:val="en-AU"/>
        </w:rPr>
        <w:t xml:space="preserve"> under the </w:t>
      </w:r>
      <w:r w:rsidR="00924A42" w:rsidRPr="003B52B3">
        <w:rPr>
          <w:rFonts w:ascii="Arial" w:hAnsi="Arial" w:cs="Arial"/>
          <w:i/>
          <w:lang w:val="en-AU"/>
        </w:rPr>
        <w:t>Civil Procedure Act 2010</w:t>
      </w:r>
      <w:r w:rsidR="009D358F">
        <w:rPr>
          <w:rFonts w:ascii="Arial" w:hAnsi="Arial" w:cs="Arial"/>
          <w:lang w:val="en-AU"/>
        </w:rPr>
        <w:t xml:space="preserve">  (‘t</w:t>
      </w:r>
      <w:r w:rsidR="00924A42">
        <w:rPr>
          <w:rFonts w:ascii="Arial" w:hAnsi="Arial" w:cs="Arial"/>
          <w:lang w:val="en-AU"/>
        </w:rPr>
        <w:t>he Act’)</w:t>
      </w:r>
      <w:r w:rsidRPr="002D5281">
        <w:rPr>
          <w:rFonts w:ascii="Arial" w:hAnsi="Arial" w:cs="Arial"/>
          <w:lang w:val="en-AU"/>
        </w:rPr>
        <w:t xml:space="preserve">, prior to the directions hearings parties are encouraged to confer and </w:t>
      </w:r>
      <w:r w:rsidR="00924A42">
        <w:rPr>
          <w:rFonts w:ascii="Arial" w:hAnsi="Arial" w:cs="Arial"/>
          <w:lang w:val="en-AU"/>
        </w:rPr>
        <w:t>email to chambers</w:t>
      </w:r>
      <w:r w:rsidRPr="00924A42">
        <w:rPr>
          <w:rFonts w:ascii="Arial" w:hAnsi="Arial" w:cs="Arial"/>
          <w:lang w:val="en-AU"/>
        </w:rPr>
        <w:t xml:space="preserve"> a minute of proposed consent orders executed by the parties in a PDF and an editable version by 4:00pm two days prior to the directions hearing. If appropriate the Court may make orders on the papers dispensing with the requirement of appearances</w:t>
      </w:r>
      <w:r w:rsidR="0050121A">
        <w:rPr>
          <w:rStyle w:val="FootnoteReference"/>
          <w:rFonts w:ascii="Arial" w:hAnsi="Arial" w:cs="Arial"/>
          <w:lang w:val="en-AU"/>
        </w:rPr>
        <w:footnoteReference w:id="2"/>
      </w:r>
      <w:r w:rsidRPr="00924A42">
        <w:rPr>
          <w:rFonts w:ascii="Arial" w:hAnsi="Arial" w:cs="Arial"/>
          <w:lang w:val="en-AU"/>
        </w:rPr>
        <w:t>.</w:t>
      </w:r>
    </w:p>
    <w:p w14:paraId="03ED8718" w14:textId="60AE6EAA" w:rsidR="0091188B" w:rsidRDefault="002D5281"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In relation to applications</w:t>
      </w:r>
      <w:r w:rsidR="009D358F">
        <w:rPr>
          <w:rFonts w:ascii="Arial" w:hAnsi="Arial" w:cs="Arial"/>
          <w:lang w:val="en-AU"/>
        </w:rPr>
        <w:t>;</w:t>
      </w:r>
      <w:r>
        <w:rPr>
          <w:rFonts w:ascii="Arial" w:hAnsi="Arial" w:cs="Arial"/>
          <w:lang w:val="en-AU"/>
        </w:rPr>
        <w:t xml:space="preserve"> b</w:t>
      </w:r>
      <w:r w:rsidR="00716454">
        <w:rPr>
          <w:rFonts w:ascii="Arial" w:hAnsi="Arial" w:cs="Arial"/>
          <w:lang w:val="en-AU"/>
        </w:rPr>
        <w:t xml:space="preserve">efore issuing a summons, you will need to complete an interlocutory application form and contact </w:t>
      </w:r>
      <w:r w:rsidR="00924A42">
        <w:rPr>
          <w:rFonts w:ascii="Arial" w:hAnsi="Arial" w:cs="Arial"/>
          <w:lang w:val="en-AU"/>
        </w:rPr>
        <w:t>the</w:t>
      </w:r>
      <w:r w:rsidR="00F62C12">
        <w:rPr>
          <w:rFonts w:ascii="Arial" w:hAnsi="Arial" w:cs="Arial"/>
          <w:lang w:val="en-AU"/>
        </w:rPr>
        <w:t xml:space="preserve"> </w:t>
      </w:r>
      <w:r w:rsidR="00716454">
        <w:rPr>
          <w:rFonts w:ascii="Arial" w:hAnsi="Arial" w:cs="Arial"/>
          <w:lang w:val="en-AU"/>
        </w:rPr>
        <w:t>Registry</w:t>
      </w:r>
      <w:r w:rsidR="00924A42">
        <w:rPr>
          <w:rFonts w:ascii="Arial" w:hAnsi="Arial" w:cs="Arial"/>
          <w:lang w:val="en-AU"/>
        </w:rPr>
        <w:t xml:space="preserve"> Applications Coordinator</w:t>
      </w:r>
      <w:r w:rsidR="00716454">
        <w:rPr>
          <w:rFonts w:ascii="Arial" w:hAnsi="Arial" w:cs="Arial"/>
          <w:lang w:val="en-AU"/>
        </w:rPr>
        <w:t xml:space="preserve"> for a hearing date.  </w:t>
      </w:r>
      <w:r w:rsidR="00577B06">
        <w:rPr>
          <w:rFonts w:ascii="Arial" w:hAnsi="Arial" w:cs="Arial"/>
          <w:lang w:val="en-AU"/>
        </w:rPr>
        <w:t xml:space="preserve">Putting aside urgent matters such as interlocutory injunction applications, </w:t>
      </w:r>
      <w:r w:rsidR="00924A42">
        <w:rPr>
          <w:rFonts w:ascii="Arial" w:hAnsi="Arial" w:cs="Arial"/>
          <w:lang w:val="en-AU"/>
        </w:rPr>
        <w:t xml:space="preserve">the </w:t>
      </w:r>
      <w:r w:rsidR="00577B06">
        <w:rPr>
          <w:rFonts w:ascii="Arial" w:hAnsi="Arial" w:cs="Arial"/>
          <w:lang w:val="en-AU"/>
        </w:rPr>
        <w:t>Registry</w:t>
      </w:r>
      <w:r w:rsidR="00716454">
        <w:rPr>
          <w:rFonts w:ascii="Arial" w:hAnsi="Arial" w:cs="Arial"/>
          <w:lang w:val="en-AU"/>
        </w:rPr>
        <w:t xml:space="preserve"> </w:t>
      </w:r>
      <w:r w:rsidR="00924A42">
        <w:rPr>
          <w:rFonts w:ascii="Arial" w:hAnsi="Arial" w:cs="Arial"/>
          <w:lang w:val="en-AU"/>
        </w:rPr>
        <w:t xml:space="preserve">Applications Coordinator </w:t>
      </w:r>
      <w:r w:rsidR="00716454">
        <w:rPr>
          <w:rFonts w:ascii="Arial" w:hAnsi="Arial" w:cs="Arial"/>
          <w:lang w:val="en-AU"/>
        </w:rPr>
        <w:t>will generally give you a hearing date on one of the fortnightly List days.  However, if the matter is over two hours</w:t>
      </w:r>
      <w:r w:rsidR="00A634C9">
        <w:rPr>
          <w:rFonts w:ascii="Arial" w:hAnsi="Arial" w:cs="Arial"/>
          <w:lang w:val="en-AU"/>
        </w:rPr>
        <w:t xml:space="preserve"> in duration</w:t>
      </w:r>
      <w:r w:rsidR="00716454">
        <w:rPr>
          <w:rFonts w:ascii="Arial" w:hAnsi="Arial" w:cs="Arial"/>
          <w:lang w:val="en-AU"/>
        </w:rPr>
        <w:t xml:space="preserve">, you will be allocated a special fixture listing.  </w:t>
      </w:r>
      <w:r w:rsidR="00D6792B">
        <w:rPr>
          <w:rFonts w:ascii="Arial" w:hAnsi="Arial" w:cs="Arial"/>
          <w:lang w:val="en-AU"/>
        </w:rPr>
        <w:t>I encourage you to contact the other party’s legal practitione</w:t>
      </w:r>
      <w:r w:rsidR="005337E5">
        <w:rPr>
          <w:rFonts w:ascii="Arial" w:hAnsi="Arial" w:cs="Arial"/>
          <w:lang w:val="en-AU"/>
        </w:rPr>
        <w:t xml:space="preserve">rs to discuss the time estimate so that it can be as realistic as possible. </w:t>
      </w:r>
    </w:p>
    <w:p w14:paraId="4A64552C" w14:textId="69FF3388" w:rsidR="00E54D20" w:rsidRDefault="0091188B"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lastRenderedPageBreak/>
        <w:t>On occasion parties have contact</w:t>
      </w:r>
      <w:r w:rsidR="00B92CFF">
        <w:rPr>
          <w:rFonts w:ascii="Arial" w:hAnsi="Arial" w:cs="Arial"/>
          <w:lang w:val="en-AU"/>
        </w:rPr>
        <w:t>ed</w:t>
      </w:r>
      <w:r>
        <w:rPr>
          <w:rFonts w:ascii="Arial" w:hAnsi="Arial" w:cs="Arial"/>
          <w:lang w:val="en-AU"/>
        </w:rPr>
        <w:t xml:space="preserve"> chambers attempting to have applications listed </w:t>
      </w:r>
      <w:r w:rsidR="00E54D20">
        <w:rPr>
          <w:rFonts w:ascii="Arial" w:hAnsi="Arial" w:cs="Arial"/>
          <w:lang w:val="en-AU"/>
        </w:rPr>
        <w:t xml:space="preserve">on </w:t>
      </w:r>
      <w:r w:rsidR="00B92CFF">
        <w:rPr>
          <w:rFonts w:ascii="Arial" w:hAnsi="Arial" w:cs="Arial"/>
          <w:lang w:val="en-AU"/>
        </w:rPr>
        <w:t xml:space="preserve">a </w:t>
      </w:r>
      <w:r w:rsidR="00E54D20">
        <w:rPr>
          <w:rFonts w:ascii="Arial" w:hAnsi="Arial" w:cs="Arial"/>
          <w:lang w:val="en-AU"/>
        </w:rPr>
        <w:t>‘liberty to apply’</w:t>
      </w:r>
      <w:r w:rsidR="00B92CFF">
        <w:rPr>
          <w:rFonts w:ascii="Arial" w:hAnsi="Arial" w:cs="Arial"/>
          <w:lang w:val="en-AU"/>
        </w:rPr>
        <w:t xml:space="preserve"> basis or have sought to bring applications at the directions hearing</w:t>
      </w:r>
      <w:r w:rsidR="00E54D20">
        <w:rPr>
          <w:rFonts w:ascii="Arial" w:hAnsi="Arial" w:cs="Arial"/>
          <w:lang w:val="en-AU"/>
        </w:rPr>
        <w:t xml:space="preserve">.  </w:t>
      </w:r>
      <w:r w:rsidR="00B92CFF">
        <w:rPr>
          <w:rFonts w:ascii="Arial" w:hAnsi="Arial" w:cs="Arial"/>
          <w:lang w:val="en-AU"/>
        </w:rPr>
        <w:t xml:space="preserve">In both circumstances </w:t>
      </w:r>
      <w:r w:rsidR="00A634C9">
        <w:rPr>
          <w:rFonts w:ascii="Arial" w:hAnsi="Arial" w:cs="Arial"/>
          <w:lang w:val="en-AU"/>
        </w:rPr>
        <w:t>t</w:t>
      </w:r>
      <w:r w:rsidR="00E54D20">
        <w:rPr>
          <w:rFonts w:ascii="Arial" w:hAnsi="Arial" w:cs="Arial"/>
          <w:lang w:val="en-AU"/>
        </w:rPr>
        <w:t xml:space="preserve">hey have been directed to issue a summons.  </w:t>
      </w:r>
    </w:p>
    <w:p w14:paraId="06244E55" w14:textId="2EACA76F" w:rsidR="00AD4753" w:rsidRDefault="00AD4753" w:rsidP="00403C40">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 xml:space="preserve">In addition to the usual requirements for filing, a scanned copy of any materials parties intend to rely on (including a copy of any exhibits to any affidavits and an outline of submissions) should be emailed to chambers by 1:00pm two days prior to the hearing. Parties are also encouraged to arrange transcript of </w:t>
      </w:r>
      <w:r w:rsidR="00F62C12">
        <w:rPr>
          <w:rFonts w:ascii="Arial" w:hAnsi="Arial" w:cs="Arial"/>
          <w:lang w:val="en-AU"/>
        </w:rPr>
        <w:t>the hearing</w:t>
      </w:r>
      <w:r w:rsidR="0050121A">
        <w:rPr>
          <w:rStyle w:val="FootnoteReference"/>
          <w:rFonts w:ascii="Arial" w:hAnsi="Arial" w:cs="Arial"/>
          <w:lang w:val="en-AU"/>
        </w:rPr>
        <w:footnoteReference w:id="3"/>
      </w:r>
      <w:r>
        <w:rPr>
          <w:rFonts w:ascii="Arial" w:hAnsi="Arial" w:cs="Arial"/>
          <w:lang w:val="en-AU"/>
        </w:rPr>
        <w:t>.</w:t>
      </w:r>
    </w:p>
    <w:p w14:paraId="39DDC216" w14:textId="77777777" w:rsidR="00BC6B8C" w:rsidRDefault="00126C12" w:rsidP="00BC6B8C">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Putting to one side interlocutory injunctions, the most common types of interlocutory applications in our List concern discovery, objections to subpoenas, pleading amendments, and security for costs.</w:t>
      </w:r>
      <w:r w:rsidR="00BC6B8C">
        <w:rPr>
          <w:rFonts w:ascii="Arial" w:hAnsi="Arial" w:cs="Arial"/>
          <w:lang w:val="en-AU"/>
        </w:rPr>
        <w:t xml:space="preserve"> These are all matters of practice and procedure.  As you all know, it is imperative to identify the applicable principles.  In matters of practice and procedure, these principles are not always from employment and industrial cases.  I will give some examples to illustrate.</w:t>
      </w:r>
    </w:p>
    <w:p w14:paraId="0B6B8A1B" w14:textId="36BB00F4" w:rsidR="006E35FB" w:rsidRDefault="0096377F" w:rsidP="006E35FB">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A recent</w:t>
      </w:r>
      <w:r w:rsidR="00C952DA">
        <w:rPr>
          <w:rFonts w:ascii="Arial" w:hAnsi="Arial" w:cs="Arial"/>
          <w:lang w:val="en-AU"/>
        </w:rPr>
        <w:t xml:space="preserve"> decision in a defamation proceeding</w:t>
      </w:r>
      <w:r>
        <w:rPr>
          <w:rFonts w:ascii="Arial" w:hAnsi="Arial" w:cs="Arial"/>
          <w:lang w:val="en-AU"/>
        </w:rPr>
        <w:t xml:space="preserve"> provides guidance on </w:t>
      </w:r>
      <w:r w:rsidR="00C952DA">
        <w:rPr>
          <w:rFonts w:ascii="Arial" w:hAnsi="Arial" w:cs="Arial"/>
          <w:lang w:val="en-AU"/>
        </w:rPr>
        <w:t xml:space="preserve">discovery: see </w:t>
      </w:r>
      <w:r w:rsidR="00C952DA" w:rsidRPr="001F4109">
        <w:rPr>
          <w:rFonts w:ascii="Arial" w:hAnsi="Arial" w:cs="Arial"/>
          <w:i/>
          <w:lang w:val="en-AU"/>
        </w:rPr>
        <w:t>Hanks v Johnstone (No 3)</w:t>
      </w:r>
      <w:r w:rsidR="001F4109">
        <w:rPr>
          <w:rStyle w:val="FootnoteReference"/>
          <w:rFonts w:ascii="Arial" w:hAnsi="Arial" w:cs="Arial"/>
          <w:i/>
          <w:lang w:val="en-AU"/>
        </w:rPr>
        <w:footnoteReference w:id="4"/>
      </w:r>
      <w:r w:rsidR="00C952DA">
        <w:rPr>
          <w:rFonts w:ascii="Arial" w:hAnsi="Arial" w:cs="Arial"/>
          <w:lang w:val="en-AU"/>
        </w:rPr>
        <w:t>.  The decision considers</w:t>
      </w:r>
      <w:r w:rsidR="004A5E74">
        <w:rPr>
          <w:rFonts w:ascii="Arial" w:hAnsi="Arial" w:cs="Arial"/>
          <w:lang w:val="en-AU"/>
        </w:rPr>
        <w:t xml:space="preserve"> </w:t>
      </w:r>
      <w:r>
        <w:rPr>
          <w:rFonts w:ascii="Arial" w:hAnsi="Arial" w:cs="Arial"/>
          <w:lang w:val="en-AU"/>
        </w:rPr>
        <w:t>the reasonable search obligation</w:t>
      </w:r>
      <w:r w:rsidR="004A5E74">
        <w:rPr>
          <w:rFonts w:ascii="Arial" w:hAnsi="Arial" w:cs="Arial"/>
          <w:lang w:val="en-AU"/>
        </w:rPr>
        <w:t xml:space="preserve"> in </w:t>
      </w:r>
      <w:r w:rsidR="004A5E74" w:rsidRPr="004A5E74">
        <w:rPr>
          <w:rFonts w:ascii="Arial" w:hAnsi="Arial" w:cs="Arial"/>
          <w:lang w:val="en-AU"/>
        </w:rPr>
        <w:t xml:space="preserve">r 29.01.1(5) of the </w:t>
      </w:r>
      <w:r w:rsidR="004A5E74" w:rsidRPr="00C952DA">
        <w:rPr>
          <w:rFonts w:ascii="Arial" w:hAnsi="Arial" w:cs="Arial"/>
          <w:i/>
          <w:lang w:val="en-AU"/>
        </w:rPr>
        <w:t>Supreme Court (General Civil Procedure) Rules 2015</w:t>
      </w:r>
      <w:r>
        <w:rPr>
          <w:rFonts w:ascii="Arial" w:hAnsi="Arial" w:cs="Arial"/>
          <w:lang w:val="en-AU"/>
        </w:rPr>
        <w:t xml:space="preserve">.  </w:t>
      </w:r>
      <w:r w:rsidR="00525D93">
        <w:rPr>
          <w:rFonts w:ascii="Arial" w:hAnsi="Arial" w:cs="Arial"/>
          <w:lang w:val="en-AU"/>
        </w:rPr>
        <w:t>I</w:t>
      </w:r>
      <w:r w:rsidR="00F32B29">
        <w:rPr>
          <w:rFonts w:ascii="Arial" w:hAnsi="Arial" w:cs="Arial"/>
          <w:lang w:val="en-AU"/>
        </w:rPr>
        <w:t xml:space="preserve">t concerned whether or not there was an obligation to recover </w:t>
      </w:r>
      <w:r w:rsidR="004A5E74">
        <w:rPr>
          <w:rFonts w:ascii="Arial" w:hAnsi="Arial" w:cs="Arial"/>
          <w:lang w:val="en-AU"/>
        </w:rPr>
        <w:t xml:space="preserve">the </w:t>
      </w:r>
      <w:proofErr w:type="spellStart"/>
      <w:r w:rsidR="00C952DA">
        <w:rPr>
          <w:rFonts w:ascii="Arial" w:hAnsi="Arial" w:cs="Arial"/>
          <w:lang w:val="en-AU"/>
        </w:rPr>
        <w:t>back up</w:t>
      </w:r>
      <w:proofErr w:type="spellEnd"/>
      <w:r w:rsidR="00C952DA">
        <w:rPr>
          <w:rFonts w:ascii="Arial" w:hAnsi="Arial" w:cs="Arial"/>
          <w:lang w:val="en-AU"/>
        </w:rPr>
        <w:t xml:space="preserve"> of the </w:t>
      </w:r>
      <w:r w:rsidR="004A5E74">
        <w:rPr>
          <w:rFonts w:ascii="Arial" w:hAnsi="Arial" w:cs="Arial"/>
          <w:lang w:val="en-AU"/>
        </w:rPr>
        <w:t xml:space="preserve">plaintiff’s </w:t>
      </w:r>
      <w:r w:rsidR="00F32B29">
        <w:rPr>
          <w:rFonts w:ascii="Arial" w:hAnsi="Arial" w:cs="Arial"/>
          <w:lang w:val="en-AU"/>
        </w:rPr>
        <w:t>deleted text messages</w:t>
      </w:r>
      <w:r w:rsidR="00C952DA">
        <w:rPr>
          <w:rFonts w:ascii="Arial" w:hAnsi="Arial" w:cs="Arial"/>
          <w:lang w:val="en-AU"/>
        </w:rPr>
        <w:t xml:space="preserve">.  The </w:t>
      </w:r>
      <w:proofErr w:type="spellStart"/>
      <w:r w:rsidR="00C952DA">
        <w:rPr>
          <w:rFonts w:ascii="Arial" w:hAnsi="Arial" w:cs="Arial"/>
          <w:lang w:val="en-AU"/>
        </w:rPr>
        <w:t>back up</w:t>
      </w:r>
      <w:proofErr w:type="spellEnd"/>
      <w:r w:rsidR="00C952DA">
        <w:rPr>
          <w:rFonts w:ascii="Arial" w:hAnsi="Arial" w:cs="Arial"/>
          <w:lang w:val="en-AU"/>
        </w:rPr>
        <w:t xml:space="preserve"> was stored in</w:t>
      </w:r>
      <w:r w:rsidR="00F32B29">
        <w:rPr>
          <w:rFonts w:ascii="Arial" w:hAnsi="Arial" w:cs="Arial"/>
          <w:lang w:val="en-AU"/>
        </w:rPr>
        <w:t xml:space="preserve"> </w:t>
      </w:r>
      <w:r w:rsidR="00C952DA">
        <w:rPr>
          <w:rFonts w:ascii="Arial" w:hAnsi="Arial" w:cs="Arial"/>
          <w:lang w:val="en-AU"/>
        </w:rPr>
        <w:t>his</w:t>
      </w:r>
      <w:r w:rsidR="00F32B29">
        <w:rPr>
          <w:rFonts w:ascii="Arial" w:hAnsi="Arial" w:cs="Arial"/>
          <w:lang w:val="en-AU"/>
        </w:rPr>
        <w:t xml:space="preserve"> </w:t>
      </w:r>
      <w:r w:rsidR="00C952DA">
        <w:rPr>
          <w:rFonts w:ascii="Arial" w:hAnsi="Arial" w:cs="Arial"/>
          <w:lang w:val="en-AU"/>
        </w:rPr>
        <w:t>Apple iC</w:t>
      </w:r>
      <w:r w:rsidR="00F32B29">
        <w:rPr>
          <w:rFonts w:ascii="Arial" w:hAnsi="Arial" w:cs="Arial"/>
          <w:lang w:val="en-AU"/>
        </w:rPr>
        <w:t>loud</w:t>
      </w:r>
      <w:r w:rsidR="00C952DA">
        <w:rPr>
          <w:rFonts w:ascii="Arial" w:hAnsi="Arial" w:cs="Arial"/>
          <w:lang w:val="en-AU"/>
        </w:rPr>
        <w:t xml:space="preserve"> account</w:t>
      </w:r>
      <w:r w:rsidR="00F32B29">
        <w:rPr>
          <w:rFonts w:ascii="Arial" w:hAnsi="Arial" w:cs="Arial"/>
          <w:lang w:val="en-AU"/>
        </w:rPr>
        <w:t xml:space="preserve">.  </w:t>
      </w:r>
      <w:r>
        <w:rPr>
          <w:rFonts w:ascii="Arial" w:hAnsi="Arial" w:cs="Arial"/>
          <w:lang w:val="en-AU"/>
        </w:rPr>
        <w:t xml:space="preserve"> Justice J</w:t>
      </w:r>
      <w:r w:rsidR="00E25AE6">
        <w:rPr>
          <w:rFonts w:ascii="Arial" w:hAnsi="Arial" w:cs="Arial"/>
          <w:lang w:val="en-AU"/>
        </w:rPr>
        <w:t>ohn</w:t>
      </w:r>
      <w:r>
        <w:rPr>
          <w:rFonts w:ascii="Arial" w:hAnsi="Arial" w:cs="Arial"/>
          <w:lang w:val="en-AU"/>
        </w:rPr>
        <w:t xml:space="preserve"> Dixon</w:t>
      </w:r>
      <w:r w:rsidR="00F32B29">
        <w:rPr>
          <w:rFonts w:ascii="Arial" w:hAnsi="Arial" w:cs="Arial"/>
          <w:lang w:val="en-AU"/>
        </w:rPr>
        <w:t xml:space="preserve"> ordered that </w:t>
      </w:r>
      <w:r w:rsidR="004A5E74">
        <w:rPr>
          <w:rFonts w:ascii="Arial" w:hAnsi="Arial" w:cs="Arial"/>
          <w:lang w:val="en-AU"/>
        </w:rPr>
        <w:t xml:space="preserve">the defendant </w:t>
      </w:r>
      <w:r w:rsidR="00F32B29">
        <w:rPr>
          <w:rFonts w:ascii="Arial" w:hAnsi="Arial" w:cs="Arial"/>
          <w:lang w:val="en-AU"/>
        </w:rPr>
        <w:t xml:space="preserve">obtain software to access the </w:t>
      </w:r>
      <w:r w:rsidR="00C952DA">
        <w:rPr>
          <w:rFonts w:ascii="Arial" w:hAnsi="Arial" w:cs="Arial"/>
          <w:lang w:val="en-AU"/>
        </w:rPr>
        <w:t>iC</w:t>
      </w:r>
      <w:r w:rsidR="00F32B29">
        <w:rPr>
          <w:rFonts w:ascii="Arial" w:hAnsi="Arial" w:cs="Arial"/>
          <w:lang w:val="en-AU"/>
        </w:rPr>
        <w:t>loud an</w:t>
      </w:r>
      <w:r w:rsidR="004A5E74">
        <w:rPr>
          <w:rFonts w:ascii="Arial" w:hAnsi="Arial" w:cs="Arial"/>
          <w:lang w:val="en-AU"/>
        </w:rPr>
        <w:t>d provide it to the plaintiff.  The plaintiff would then access</w:t>
      </w:r>
      <w:r w:rsidR="00AF4E4D">
        <w:rPr>
          <w:rFonts w:ascii="Arial" w:hAnsi="Arial" w:cs="Arial"/>
          <w:lang w:val="en-AU"/>
        </w:rPr>
        <w:t xml:space="preserve"> the backed up messages in the iC</w:t>
      </w:r>
      <w:r w:rsidR="004A5E74">
        <w:rPr>
          <w:rFonts w:ascii="Arial" w:hAnsi="Arial" w:cs="Arial"/>
          <w:lang w:val="en-AU"/>
        </w:rPr>
        <w:t>loud and assess whether or not they were discoverable.  His Honour stated:</w:t>
      </w:r>
    </w:p>
    <w:p w14:paraId="379DE58E" w14:textId="77777777" w:rsidR="00240C6F" w:rsidRDefault="004A5E74" w:rsidP="00240C6F">
      <w:pPr>
        <w:pStyle w:val="ListParagraph"/>
        <w:spacing w:after="240" w:line="480" w:lineRule="atLeast"/>
        <w:ind w:left="1440"/>
        <w:jc w:val="both"/>
        <w:rPr>
          <w:rFonts w:ascii="Arial" w:hAnsi="Arial" w:cs="Arial"/>
          <w:i/>
          <w:lang w:val="en-AU"/>
        </w:rPr>
      </w:pPr>
      <w:r w:rsidRPr="00474900">
        <w:rPr>
          <w:rFonts w:ascii="Arial" w:hAnsi="Arial" w:cs="Arial"/>
          <w:sz w:val="22"/>
          <w:szCs w:val="22"/>
          <w:lang w:val="en-AU"/>
        </w:rPr>
        <w:t xml:space="preserve">As s 55(4) [of the Civil Procedure Act] permits, I will order that the defendant purchase and make available to the plaintiff a licensed copy of the </w:t>
      </w:r>
      <w:proofErr w:type="spellStart"/>
      <w:r w:rsidRPr="00474900">
        <w:rPr>
          <w:rFonts w:ascii="Arial" w:hAnsi="Arial" w:cs="Arial"/>
          <w:sz w:val="22"/>
          <w:szCs w:val="22"/>
          <w:lang w:val="en-AU"/>
        </w:rPr>
        <w:lastRenderedPageBreak/>
        <w:t>Wondershare</w:t>
      </w:r>
      <w:proofErr w:type="spellEnd"/>
      <w:r w:rsidRPr="00474900">
        <w:rPr>
          <w:rFonts w:ascii="Arial" w:hAnsi="Arial" w:cs="Arial"/>
          <w:sz w:val="22"/>
          <w:szCs w:val="22"/>
          <w:lang w:val="en-AU"/>
        </w:rPr>
        <w:t xml:space="preserve"> </w:t>
      </w:r>
      <w:proofErr w:type="spellStart"/>
      <w:r w:rsidRPr="00474900">
        <w:rPr>
          <w:rFonts w:ascii="Arial" w:hAnsi="Arial" w:cs="Arial"/>
          <w:sz w:val="22"/>
          <w:szCs w:val="22"/>
          <w:lang w:val="en-AU"/>
        </w:rPr>
        <w:t>Dr.Fone</w:t>
      </w:r>
      <w:proofErr w:type="spellEnd"/>
      <w:r w:rsidRPr="00474900">
        <w:rPr>
          <w:rFonts w:ascii="Arial" w:hAnsi="Arial" w:cs="Arial"/>
          <w:sz w:val="22"/>
          <w:szCs w:val="22"/>
          <w:lang w:val="en-AU"/>
        </w:rPr>
        <w:t xml:space="preserve"> or equivalent software with appropriate instructions for its use or indemnify the plaintiff in respect of that expense. Following that search a further affidavit can be provided by the plaintiff confirming the search process undertaken and the discoverable docum</w:t>
      </w:r>
      <w:r w:rsidR="00240C6F" w:rsidRPr="00474900">
        <w:rPr>
          <w:rFonts w:ascii="Arial" w:hAnsi="Arial" w:cs="Arial"/>
          <w:sz w:val="22"/>
          <w:szCs w:val="22"/>
          <w:lang w:val="en-AU"/>
        </w:rPr>
        <w:t>ents, if any, which were found.</w:t>
      </w:r>
      <w:r w:rsidR="00240C6F">
        <w:rPr>
          <w:rStyle w:val="FootnoteReference"/>
          <w:rFonts w:ascii="Arial" w:hAnsi="Arial" w:cs="Arial"/>
          <w:i/>
          <w:lang w:val="en-AU"/>
        </w:rPr>
        <w:footnoteReference w:id="5"/>
      </w:r>
      <w:r w:rsidRPr="004A5E74">
        <w:rPr>
          <w:rFonts w:ascii="Arial" w:hAnsi="Arial" w:cs="Arial"/>
          <w:i/>
          <w:lang w:val="en-AU"/>
        </w:rPr>
        <w:t xml:space="preserve"> </w:t>
      </w:r>
    </w:p>
    <w:p w14:paraId="3F7C57D2" w14:textId="5243705C" w:rsidR="004A5E74" w:rsidRPr="00474900" w:rsidRDefault="00A504B9" w:rsidP="00240C6F">
      <w:pPr>
        <w:spacing w:after="240" w:line="480" w:lineRule="atLeast"/>
        <w:ind w:left="720" w:hanging="720"/>
        <w:jc w:val="both"/>
        <w:rPr>
          <w:rFonts w:ascii="Arial" w:hAnsi="Arial" w:cs="Arial"/>
          <w:sz w:val="24"/>
          <w:szCs w:val="24"/>
        </w:rPr>
      </w:pPr>
      <w:r w:rsidRPr="00474C6B">
        <w:rPr>
          <w:rFonts w:ascii="Arial" w:hAnsi="Arial" w:cs="Arial"/>
          <w:sz w:val="24"/>
          <w:szCs w:val="24"/>
        </w:rPr>
        <w:t>14</w:t>
      </w:r>
      <w:r w:rsidR="00240C6F">
        <w:rPr>
          <w:rFonts w:ascii="Arial" w:hAnsi="Arial" w:cs="Arial"/>
        </w:rPr>
        <w:t>.</w:t>
      </w:r>
      <w:r w:rsidR="00240C6F">
        <w:rPr>
          <w:rFonts w:ascii="Arial" w:hAnsi="Arial" w:cs="Arial"/>
        </w:rPr>
        <w:tab/>
      </w:r>
      <w:r w:rsidR="00E25AE6" w:rsidRPr="00474900">
        <w:rPr>
          <w:rFonts w:ascii="Arial" w:hAnsi="Arial" w:cs="Arial"/>
          <w:sz w:val="24"/>
          <w:szCs w:val="24"/>
        </w:rPr>
        <w:t xml:space="preserve">Justice Elliott’s recent decision in </w:t>
      </w:r>
      <w:r w:rsidR="00E25AE6" w:rsidRPr="00474900">
        <w:rPr>
          <w:rFonts w:ascii="Arial" w:hAnsi="Arial" w:cs="Arial"/>
          <w:i/>
          <w:sz w:val="24"/>
          <w:szCs w:val="24"/>
        </w:rPr>
        <w:t>IOOF Holdings Ltd v Maurice Blackburn Pty Ltd</w:t>
      </w:r>
      <w:r w:rsidR="00474900">
        <w:rPr>
          <w:rStyle w:val="FootnoteReference"/>
          <w:rFonts w:ascii="Arial" w:hAnsi="Arial" w:cs="Arial"/>
          <w:i/>
          <w:sz w:val="24"/>
          <w:szCs w:val="24"/>
        </w:rPr>
        <w:footnoteReference w:id="6"/>
      </w:r>
      <w:r w:rsidR="00E25AE6" w:rsidRPr="00474900">
        <w:rPr>
          <w:rFonts w:ascii="Arial" w:hAnsi="Arial" w:cs="Arial"/>
          <w:sz w:val="24"/>
          <w:szCs w:val="24"/>
        </w:rPr>
        <w:t xml:space="preserve"> outlines applicable principles in respect of discovery</w:t>
      </w:r>
      <w:r w:rsidR="0003048A" w:rsidRPr="00474900">
        <w:rPr>
          <w:rFonts w:ascii="Arial" w:hAnsi="Arial" w:cs="Arial"/>
          <w:sz w:val="24"/>
          <w:szCs w:val="24"/>
        </w:rPr>
        <w:t>, legal professional privilege</w:t>
      </w:r>
      <w:r w:rsidR="00E25AE6" w:rsidRPr="00474900">
        <w:rPr>
          <w:rFonts w:ascii="Arial" w:hAnsi="Arial" w:cs="Arial"/>
          <w:sz w:val="24"/>
          <w:szCs w:val="24"/>
        </w:rPr>
        <w:t xml:space="preserve"> and waiver.  </w:t>
      </w:r>
      <w:r w:rsidR="00A11481" w:rsidRPr="00474900">
        <w:rPr>
          <w:rFonts w:ascii="Arial" w:hAnsi="Arial" w:cs="Arial"/>
          <w:sz w:val="24"/>
          <w:szCs w:val="24"/>
        </w:rPr>
        <w:t>Amongst other things, the decision makes rulings on whether privilege could be maintained over documents relating to an investigation report, and over internal law firm documents such as administrative task lists.</w:t>
      </w:r>
    </w:p>
    <w:p w14:paraId="2041E7F6" w14:textId="10EB47A7" w:rsidR="00C43FC9" w:rsidRPr="00474900" w:rsidRDefault="00A504B9" w:rsidP="00240C6F">
      <w:pPr>
        <w:spacing w:after="240" w:line="480" w:lineRule="atLeast"/>
        <w:ind w:left="720" w:hanging="720"/>
        <w:jc w:val="both"/>
        <w:rPr>
          <w:rFonts w:ascii="Arial" w:hAnsi="Arial" w:cs="Arial"/>
          <w:sz w:val="24"/>
          <w:szCs w:val="24"/>
        </w:rPr>
      </w:pPr>
      <w:r>
        <w:rPr>
          <w:rFonts w:ascii="Arial" w:hAnsi="Arial" w:cs="Arial"/>
          <w:sz w:val="24"/>
          <w:szCs w:val="24"/>
        </w:rPr>
        <w:t>15.</w:t>
      </w:r>
      <w:r w:rsidR="00240C6F" w:rsidRPr="00474900">
        <w:rPr>
          <w:rFonts w:ascii="Arial" w:hAnsi="Arial" w:cs="Arial"/>
          <w:sz w:val="24"/>
          <w:szCs w:val="24"/>
        </w:rPr>
        <w:tab/>
      </w:r>
      <w:r w:rsidR="00C43FC9" w:rsidRPr="00474900">
        <w:rPr>
          <w:rFonts w:ascii="Arial" w:hAnsi="Arial" w:cs="Arial"/>
          <w:sz w:val="24"/>
          <w:szCs w:val="24"/>
        </w:rPr>
        <w:t xml:space="preserve">The Court of Appeal decision in </w:t>
      </w:r>
      <w:r w:rsidR="00C43FC9" w:rsidRPr="00474900">
        <w:rPr>
          <w:rFonts w:ascii="Arial" w:hAnsi="Arial" w:cs="Arial"/>
          <w:i/>
          <w:sz w:val="24"/>
          <w:szCs w:val="24"/>
        </w:rPr>
        <w:t xml:space="preserve">Mandie v </w:t>
      </w:r>
      <w:proofErr w:type="spellStart"/>
      <w:r w:rsidR="00C43FC9" w:rsidRPr="00474900">
        <w:rPr>
          <w:rFonts w:ascii="Arial" w:hAnsi="Arial" w:cs="Arial"/>
          <w:i/>
          <w:sz w:val="24"/>
          <w:szCs w:val="24"/>
        </w:rPr>
        <w:t>Memar</w:t>
      </w:r>
      <w:r w:rsidR="00F62C12">
        <w:rPr>
          <w:rFonts w:ascii="Arial" w:hAnsi="Arial" w:cs="Arial"/>
          <w:i/>
          <w:sz w:val="24"/>
          <w:szCs w:val="24"/>
        </w:rPr>
        <w:t>t</w:t>
      </w:r>
      <w:proofErr w:type="spellEnd"/>
      <w:r w:rsidR="00474900">
        <w:rPr>
          <w:rFonts w:ascii="Arial" w:hAnsi="Arial" w:cs="Arial"/>
          <w:i/>
          <w:sz w:val="24"/>
          <w:szCs w:val="24"/>
        </w:rPr>
        <w:t xml:space="preserve"> Nominees Pty Ltd</w:t>
      </w:r>
      <w:r w:rsidR="00474900">
        <w:rPr>
          <w:rStyle w:val="FootnoteReference"/>
          <w:rFonts w:ascii="Arial" w:hAnsi="Arial" w:cs="Arial"/>
          <w:sz w:val="24"/>
          <w:szCs w:val="24"/>
        </w:rPr>
        <w:footnoteReference w:id="7"/>
      </w:r>
      <w:r w:rsidR="00C43FC9" w:rsidRPr="00474900">
        <w:rPr>
          <w:rFonts w:ascii="Arial" w:hAnsi="Arial" w:cs="Arial"/>
          <w:sz w:val="24"/>
          <w:szCs w:val="24"/>
        </w:rPr>
        <w:t xml:space="preserve"> outlines applicable principles in respect of amendment of pleadings.  </w:t>
      </w:r>
      <w:r w:rsidR="00BF6C0C" w:rsidRPr="00474900">
        <w:rPr>
          <w:rFonts w:ascii="Arial" w:hAnsi="Arial" w:cs="Arial"/>
          <w:sz w:val="24"/>
          <w:szCs w:val="24"/>
        </w:rPr>
        <w:t>The decision specifically deals with objections to pleadings on the basis they would not survive a summary judgment application.  It considers how the Act</w:t>
      </w:r>
      <w:r w:rsidR="00924A42">
        <w:rPr>
          <w:rFonts w:ascii="Arial" w:hAnsi="Arial" w:cs="Arial"/>
          <w:sz w:val="24"/>
          <w:szCs w:val="24"/>
        </w:rPr>
        <w:t xml:space="preserve"> </w:t>
      </w:r>
      <w:r w:rsidR="00BF6C0C" w:rsidRPr="00474900">
        <w:rPr>
          <w:rFonts w:ascii="Arial" w:hAnsi="Arial" w:cs="Arial"/>
          <w:sz w:val="24"/>
          <w:szCs w:val="24"/>
        </w:rPr>
        <w:t xml:space="preserve">applies in that </w:t>
      </w:r>
      <w:r w:rsidR="0016339F" w:rsidRPr="00474900">
        <w:rPr>
          <w:rFonts w:ascii="Arial" w:hAnsi="Arial" w:cs="Arial"/>
          <w:sz w:val="24"/>
          <w:szCs w:val="24"/>
        </w:rPr>
        <w:t>context</w:t>
      </w:r>
      <w:r w:rsidR="0016339F">
        <w:rPr>
          <w:rFonts w:ascii="Arial" w:hAnsi="Arial" w:cs="Arial"/>
          <w:sz w:val="24"/>
          <w:szCs w:val="24"/>
        </w:rPr>
        <w:t>.</w:t>
      </w:r>
      <w:r w:rsidR="0016339F" w:rsidRPr="00474900">
        <w:rPr>
          <w:rFonts w:ascii="Arial" w:hAnsi="Arial" w:cs="Arial"/>
          <w:sz w:val="24"/>
          <w:szCs w:val="24"/>
        </w:rPr>
        <w:t xml:space="preserve"> </w:t>
      </w:r>
      <w:r w:rsidR="0016339F">
        <w:rPr>
          <w:rFonts w:ascii="Arial" w:hAnsi="Arial" w:cs="Arial"/>
          <w:sz w:val="24"/>
          <w:szCs w:val="24"/>
        </w:rPr>
        <w:t>The</w:t>
      </w:r>
      <w:r w:rsidR="00A11544">
        <w:rPr>
          <w:rFonts w:ascii="Arial" w:hAnsi="Arial" w:cs="Arial"/>
          <w:sz w:val="24"/>
          <w:szCs w:val="24"/>
        </w:rPr>
        <w:t xml:space="preserve"> principles were applied in </w:t>
      </w:r>
      <w:r w:rsidR="00AF4E4D">
        <w:rPr>
          <w:rFonts w:ascii="Arial" w:hAnsi="Arial" w:cs="Arial"/>
          <w:sz w:val="24"/>
          <w:szCs w:val="24"/>
        </w:rPr>
        <w:t xml:space="preserve">a recent ruling in the List; </w:t>
      </w:r>
      <w:r w:rsidR="00A11544" w:rsidRPr="003B52B3">
        <w:rPr>
          <w:rFonts w:ascii="Arial" w:hAnsi="Arial" w:cs="Arial"/>
          <w:i/>
          <w:sz w:val="24"/>
          <w:szCs w:val="24"/>
        </w:rPr>
        <w:t>Bannon v Nauru Phosphate Royalties Trust (No 2)</w:t>
      </w:r>
      <w:r w:rsidR="00A11544">
        <w:rPr>
          <w:rStyle w:val="FootnoteReference"/>
          <w:rFonts w:ascii="Arial" w:hAnsi="Arial" w:cs="Arial"/>
          <w:i/>
          <w:sz w:val="24"/>
          <w:szCs w:val="24"/>
        </w:rPr>
        <w:footnoteReference w:id="8"/>
      </w:r>
      <w:r w:rsidR="00AF4E4D">
        <w:rPr>
          <w:rFonts w:ascii="Arial" w:hAnsi="Arial" w:cs="Arial"/>
          <w:i/>
          <w:sz w:val="24"/>
          <w:szCs w:val="24"/>
        </w:rPr>
        <w:t>.</w:t>
      </w:r>
    </w:p>
    <w:p w14:paraId="1B6C8596" w14:textId="475D8C88" w:rsidR="00BF6C0C" w:rsidRPr="00A504B9" w:rsidRDefault="00A504B9" w:rsidP="00A504B9">
      <w:pPr>
        <w:spacing w:after="240" w:line="480" w:lineRule="atLeast"/>
        <w:ind w:left="720" w:hanging="720"/>
        <w:jc w:val="both"/>
        <w:rPr>
          <w:rFonts w:ascii="Arial" w:hAnsi="Arial" w:cs="Arial"/>
          <w:sz w:val="24"/>
          <w:szCs w:val="24"/>
        </w:rPr>
      </w:pPr>
      <w:r w:rsidRPr="00474C6B">
        <w:rPr>
          <w:rFonts w:ascii="Arial" w:hAnsi="Arial" w:cs="Arial"/>
          <w:sz w:val="24"/>
          <w:szCs w:val="24"/>
        </w:rPr>
        <w:t>16</w:t>
      </w:r>
      <w:r>
        <w:rPr>
          <w:rFonts w:ascii="Arial" w:hAnsi="Arial" w:cs="Arial"/>
        </w:rPr>
        <w:t>.</w:t>
      </w:r>
      <w:r>
        <w:rPr>
          <w:rFonts w:ascii="Arial" w:hAnsi="Arial" w:cs="Arial"/>
        </w:rPr>
        <w:tab/>
      </w:r>
      <w:r w:rsidR="00BF6C0C" w:rsidRPr="00A504B9">
        <w:rPr>
          <w:rFonts w:ascii="Arial" w:hAnsi="Arial" w:cs="Arial"/>
          <w:sz w:val="24"/>
          <w:szCs w:val="24"/>
        </w:rPr>
        <w:t xml:space="preserve">Justice </w:t>
      </w:r>
      <w:proofErr w:type="spellStart"/>
      <w:r w:rsidR="00BF6C0C" w:rsidRPr="00A504B9">
        <w:rPr>
          <w:rFonts w:ascii="Arial" w:hAnsi="Arial" w:cs="Arial"/>
          <w:sz w:val="24"/>
          <w:szCs w:val="24"/>
        </w:rPr>
        <w:t>Sifris</w:t>
      </w:r>
      <w:proofErr w:type="spellEnd"/>
      <w:r w:rsidR="00BF6C0C" w:rsidRPr="00A504B9">
        <w:rPr>
          <w:rFonts w:ascii="Arial" w:hAnsi="Arial" w:cs="Arial"/>
          <w:sz w:val="24"/>
          <w:szCs w:val="24"/>
        </w:rPr>
        <w:t xml:space="preserve">’ recent decision </w:t>
      </w:r>
      <w:r w:rsidR="00BF6C0C" w:rsidRPr="00A504B9">
        <w:rPr>
          <w:rFonts w:ascii="Arial" w:hAnsi="Arial" w:cs="Arial"/>
          <w:i/>
          <w:sz w:val="24"/>
          <w:szCs w:val="24"/>
        </w:rPr>
        <w:t xml:space="preserve">Finance &amp; Guarantee Company Pty Ltd v </w:t>
      </w:r>
      <w:proofErr w:type="spellStart"/>
      <w:r w:rsidR="00BF6C0C" w:rsidRPr="00A504B9">
        <w:rPr>
          <w:rFonts w:ascii="Arial" w:hAnsi="Arial" w:cs="Arial"/>
          <w:i/>
          <w:sz w:val="24"/>
          <w:szCs w:val="24"/>
        </w:rPr>
        <w:t>Auswild</w:t>
      </w:r>
      <w:proofErr w:type="spellEnd"/>
      <w:r w:rsidR="00BF6C0C" w:rsidRPr="00A504B9">
        <w:rPr>
          <w:rFonts w:ascii="Arial" w:hAnsi="Arial" w:cs="Arial"/>
          <w:i/>
          <w:sz w:val="24"/>
          <w:szCs w:val="24"/>
        </w:rPr>
        <w:t xml:space="preserve"> &amp; </w:t>
      </w:r>
      <w:proofErr w:type="spellStart"/>
      <w:r w:rsidR="00BF6C0C" w:rsidRPr="00A504B9">
        <w:rPr>
          <w:rFonts w:ascii="Arial" w:hAnsi="Arial" w:cs="Arial"/>
          <w:i/>
          <w:sz w:val="24"/>
          <w:szCs w:val="24"/>
        </w:rPr>
        <w:t>Ors</w:t>
      </w:r>
      <w:proofErr w:type="spellEnd"/>
      <w:r w:rsidR="00BF6C0C" w:rsidRPr="00A504B9">
        <w:rPr>
          <w:rFonts w:ascii="Arial" w:hAnsi="Arial" w:cs="Arial"/>
          <w:i/>
          <w:sz w:val="24"/>
          <w:szCs w:val="24"/>
        </w:rPr>
        <w:t xml:space="preserve"> (No 2)</w:t>
      </w:r>
      <w:r w:rsidR="00405987" w:rsidRPr="00A504B9">
        <w:rPr>
          <w:rStyle w:val="FootnoteReference"/>
          <w:rFonts w:ascii="Arial" w:hAnsi="Arial" w:cs="Arial"/>
          <w:i/>
          <w:sz w:val="24"/>
          <w:szCs w:val="24"/>
        </w:rPr>
        <w:footnoteReference w:id="9"/>
      </w:r>
      <w:r w:rsidR="00BF6C0C" w:rsidRPr="00A504B9">
        <w:rPr>
          <w:rFonts w:ascii="Arial" w:hAnsi="Arial" w:cs="Arial"/>
          <w:sz w:val="24"/>
          <w:szCs w:val="24"/>
        </w:rPr>
        <w:t xml:space="preserve"> concerns an application to amend a statement of claim in the context of a pleading of dishonesty. It</w:t>
      </w:r>
      <w:r w:rsidR="00A96BA5" w:rsidRPr="00A504B9">
        <w:rPr>
          <w:rFonts w:ascii="Arial" w:hAnsi="Arial" w:cs="Arial"/>
          <w:sz w:val="24"/>
          <w:szCs w:val="24"/>
        </w:rPr>
        <w:t xml:space="preserve"> </w:t>
      </w:r>
      <w:r w:rsidR="00F13D67" w:rsidRPr="00A504B9">
        <w:rPr>
          <w:rFonts w:ascii="Arial" w:hAnsi="Arial" w:cs="Arial"/>
          <w:sz w:val="24"/>
          <w:szCs w:val="24"/>
        </w:rPr>
        <w:t>provides useful guidance in respect of such pleadings.</w:t>
      </w:r>
    </w:p>
    <w:p w14:paraId="2D4D8E54" w14:textId="789A1596" w:rsidR="006E35FB" w:rsidRPr="00A504B9" w:rsidRDefault="00A504B9" w:rsidP="00A504B9">
      <w:pPr>
        <w:spacing w:after="240" w:line="480" w:lineRule="atLeast"/>
        <w:ind w:left="720" w:hanging="720"/>
        <w:jc w:val="both"/>
        <w:rPr>
          <w:rFonts w:ascii="Arial" w:hAnsi="Arial" w:cs="Arial"/>
          <w:sz w:val="24"/>
          <w:szCs w:val="24"/>
        </w:rPr>
      </w:pPr>
      <w:r w:rsidRPr="00474C6B">
        <w:rPr>
          <w:rFonts w:ascii="Arial" w:hAnsi="Arial" w:cs="Arial"/>
          <w:sz w:val="24"/>
          <w:szCs w:val="24"/>
        </w:rPr>
        <w:t>17</w:t>
      </w:r>
      <w:r>
        <w:rPr>
          <w:rFonts w:ascii="Arial" w:hAnsi="Arial" w:cs="Arial"/>
        </w:rPr>
        <w:t>.</w:t>
      </w:r>
      <w:r>
        <w:rPr>
          <w:rFonts w:ascii="Arial" w:hAnsi="Arial" w:cs="Arial"/>
        </w:rPr>
        <w:tab/>
      </w:r>
      <w:r w:rsidR="00F13D67" w:rsidRPr="00A504B9">
        <w:rPr>
          <w:rFonts w:ascii="Arial" w:hAnsi="Arial" w:cs="Arial"/>
          <w:sz w:val="24"/>
          <w:szCs w:val="24"/>
        </w:rPr>
        <w:t xml:space="preserve">Turning now to the example of applications for </w:t>
      </w:r>
      <w:r w:rsidR="006E35FB" w:rsidRPr="00A504B9">
        <w:rPr>
          <w:rFonts w:ascii="Arial" w:hAnsi="Arial" w:cs="Arial"/>
          <w:sz w:val="24"/>
          <w:szCs w:val="24"/>
        </w:rPr>
        <w:t xml:space="preserve">security </w:t>
      </w:r>
      <w:r w:rsidR="00F13D67" w:rsidRPr="00A504B9">
        <w:rPr>
          <w:rFonts w:ascii="Arial" w:hAnsi="Arial" w:cs="Arial"/>
          <w:sz w:val="24"/>
          <w:szCs w:val="24"/>
        </w:rPr>
        <w:t xml:space="preserve">of </w:t>
      </w:r>
      <w:r w:rsidR="00AF4E4D">
        <w:rPr>
          <w:rFonts w:ascii="Arial" w:hAnsi="Arial" w:cs="Arial"/>
          <w:sz w:val="24"/>
          <w:szCs w:val="24"/>
        </w:rPr>
        <w:t>costs;</w:t>
      </w:r>
      <w:r w:rsidR="006E35FB" w:rsidRPr="00A504B9">
        <w:rPr>
          <w:rFonts w:ascii="Arial" w:hAnsi="Arial" w:cs="Arial"/>
          <w:sz w:val="24"/>
          <w:szCs w:val="24"/>
        </w:rPr>
        <w:t xml:space="preserve"> disputes sometimes arise over the form of security.  Justice Hargrave rec</w:t>
      </w:r>
      <w:r w:rsidR="00847C44" w:rsidRPr="00A504B9">
        <w:rPr>
          <w:rFonts w:ascii="Arial" w:hAnsi="Arial" w:cs="Arial"/>
          <w:sz w:val="24"/>
          <w:szCs w:val="24"/>
        </w:rPr>
        <w:t xml:space="preserve">ently ruled on </w:t>
      </w:r>
      <w:r w:rsidR="00847C44" w:rsidRPr="00A504B9">
        <w:rPr>
          <w:rFonts w:ascii="Arial" w:hAnsi="Arial" w:cs="Arial"/>
          <w:sz w:val="24"/>
          <w:szCs w:val="24"/>
        </w:rPr>
        <w:lastRenderedPageBreak/>
        <w:t>whether a deed of</w:t>
      </w:r>
      <w:r w:rsidR="006E35FB" w:rsidRPr="00A504B9">
        <w:rPr>
          <w:rFonts w:ascii="Arial" w:hAnsi="Arial" w:cs="Arial"/>
          <w:sz w:val="24"/>
          <w:szCs w:val="24"/>
        </w:rPr>
        <w:t xml:space="preserve"> indemnity may be adequate security.  See: </w:t>
      </w:r>
      <w:r w:rsidR="006E35FB" w:rsidRPr="00A504B9">
        <w:rPr>
          <w:rFonts w:ascii="Arial" w:hAnsi="Arial" w:cs="Arial"/>
          <w:i/>
          <w:sz w:val="24"/>
          <w:szCs w:val="24"/>
        </w:rPr>
        <w:t xml:space="preserve">Australian Property Custodian Holdings Ltd (in </w:t>
      </w:r>
      <w:proofErr w:type="spellStart"/>
      <w:r w:rsidR="006E35FB" w:rsidRPr="00A504B9">
        <w:rPr>
          <w:rFonts w:ascii="Arial" w:hAnsi="Arial" w:cs="Arial"/>
          <w:i/>
          <w:sz w:val="24"/>
          <w:szCs w:val="24"/>
        </w:rPr>
        <w:t>liq</w:t>
      </w:r>
      <w:proofErr w:type="spellEnd"/>
      <w:r w:rsidR="006E35FB" w:rsidRPr="00A504B9">
        <w:rPr>
          <w:rFonts w:ascii="Arial" w:hAnsi="Arial" w:cs="Arial"/>
          <w:i/>
          <w:sz w:val="24"/>
          <w:szCs w:val="24"/>
        </w:rPr>
        <w:t xml:space="preserve">) (rec and </w:t>
      </w:r>
      <w:proofErr w:type="spellStart"/>
      <w:r w:rsidR="006E35FB" w:rsidRPr="00A504B9">
        <w:rPr>
          <w:rFonts w:ascii="Arial" w:hAnsi="Arial" w:cs="Arial"/>
          <w:i/>
          <w:sz w:val="24"/>
          <w:szCs w:val="24"/>
        </w:rPr>
        <w:t>mgr</w:t>
      </w:r>
      <w:proofErr w:type="spellEnd"/>
      <w:r w:rsidR="006E35FB" w:rsidRPr="00A504B9">
        <w:rPr>
          <w:rFonts w:ascii="Arial" w:hAnsi="Arial" w:cs="Arial"/>
          <w:i/>
          <w:sz w:val="24"/>
          <w:szCs w:val="24"/>
        </w:rPr>
        <w:t xml:space="preserve"> </w:t>
      </w:r>
      <w:proofErr w:type="spellStart"/>
      <w:r w:rsidR="006E35FB" w:rsidRPr="00A504B9">
        <w:rPr>
          <w:rFonts w:ascii="Arial" w:hAnsi="Arial" w:cs="Arial"/>
          <w:i/>
          <w:sz w:val="24"/>
          <w:szCs w:val="24"/>
        </w:rPr>
        <w:t>apptd</w:t>
      </w:r>
      <w:proofErr w:type="spellEnd"/>
      <w:r w:rsidR="006E35FB" w:rsidRPr="00A504B9">
        <w:rPr>
          <w:rFonts w:ascii="Arial" w:hAnsi="Arial" w:cs="Arial"/>
          <w:i/>
          <w:sz w:val="24"/>
          <w:szCs w:val="24"/>
        </w:rPr>
        <w:t>) v Pitcher Partners</w:t>
      </w:r>
      <w:r w:rsidR="00405987" w:rsidRPr="00A504B9">
        <w:rPr>
          <w:rStyle w:val="FootnoteReference"/>
          <w:rFonts w:ascii="Arial" w:hAnsi="Arial" w:cs="Arial"/>
          <w:i/>
          <w:sz w:val="24"/>
          <w:szCs w:val="24"/>
        </w:rPr>
        <w:footnoteReference w:id="10"/>
      </w:r>
      <w:r w:rsidR="006E35FB" w:rsidRPr="00A504B9">
        <w:rPr>
          <w:rFonts w:ascii="Arial" w:hAnsi="Arial" w:cs="Arial"/>
          <w:sz w:val="24"/>
          <w:szCs w:val="24"/>
        </w:rPr>
        <w:t>.</w:t>
      </w:r>
    </w:p>
    <w:p w14:paraId="135A0742" w14:textId="498EA9F4" w:rsidR="00BC6B8C" w:rsidRPr="00A504B9" w:rsidRDefault="00A504B9" w:rsidP="00A504B9">
      <w:pPr>
        <w:spacing w:after="240" w:line="480" w:lineRule="atLeast"/>
        <w:ind w:left="720" w:hanging="720"/>
        <w:jc w:val="both"/>
        <w:rPr>
          <w:rFonts w:ascii="Arial" w:hAnsi="Arial" w:cs="Arial"/>
          <w:sz w:val="24"/>
          <w:szCs w:val="24"/>
        </w:rPr>
      </w:pPr>
      <w:r w:rsidRPr="00043835">
        <w:rPr>
          <w:rFonts w:ascii="Arial" w:hAnsi="Arial" w:cs="Arial"/>
          <w:sz w:val="24"/>
          <w:szCs w:val="24"/>
        </w:rPr>
        <w:t>18.</w:t>
      </w:r>
      <w:r w:rsidRPr="00043835">
        <w:rPr>
          <w:rFonts w:ascii="Arial" w:hAnsi="Arial" w:cs="Arial"/>
          <w:sz w:val="24"/>
          <w:szCs w:val="24"/>
        </w:rPr>
        <w:tab/>
      </w:r>
      <w:r w:rsidR="00BC6B8C" w:rsidRPr="00A504B9">
        <w:rPr>
          <w:rFonts w:ascii="Arial" w:hAnsi="Arial" w:cs="Arial"/>
          <w:sz w:val="24"/>
          <w:szCs w:val="24"/>
        </w:rPr>
        <w:t xml:space="preserve">As you all know, we must all comply with the overarching obligations in the </w:t>
      </w:r>
      <w:r w:rsidR="00BF6C0C" w:rsidRPr="00A504B9">
        <w:rPr>
          <w:rFonts w:ascii="Arial" w:hAnsi="Arial" w:cs="Arial"/>
          <w:sz w:val="24"/>
          <w:szCs w:val="24"/>
        </w:rPr>
        <w:t xml:space="preserve">Act.  </w:t>
      </w:r>
      <w:r w:rsidR="00BC6B8C" w:rsidRPr="00A504B9">
        <w:rPr>
          <w:rFonts w:ascii="Arial" w:hAnsi="Arial" w:cs="Arial"/>
          <w:sz w:val="24"/>
          <w:szCs w:val="24"/>
        </w:rPr>
        <w:t xml:space="preserve">I often ask parties how that Act applies to the application they are making.  Be prepared to answer that question.  A recent decision </w:t>
      </w:r>
      <w:proofErr w:type="gramStart"/>
      <w:r w:rsidR="00BC6B8C" w:rsidRPr="00A504B9">
        <w:rPr>
          <w:rFonts w:ascii="Arial" w:hAnsi="Arial" w:cs="Arial"/>
          <w:sz w:val="24"/>
          <w:szCs w:val="24"/>
        </w:rPr>
        <w:t xml:space="preserve">in </w:t>
      </w:r>
      <w:r w:rsidR="00A11544" w:rsidRPr="00A504B9">
        <w:rPr>
          <w:rFonts w:ascii="Arial" w:hAnsi="Arial" w:cs="Arial"/>
          <w:sz w:val="24"/>
          <w:szCs w:val="24"/>
        </w:rPr>
        <w:t xml:space="preserve"> the</w:t>
      </w:r>
      <w:proofErr w:type="gramEnd"/>
      <w:r w:rsidR="00A11544" w:rsidRPr="00A504B9">
        <w:rPr>
          <w:rFonts w:ascii="Arial" w:hAnsi="Arial" w:cs="Arial"/>
          <w:sz w:val="24"/>
          <w:szCs w:val="24"/>
        </w:rPr>
        <w:t xml:space="preserve"> </w:t>
      </w:r>
      <w:r w:rsidR="00BC6B8C" w:rsidRPr="00A504B9">
        <w:rPr>
          <w:rFonts w:ascii="Arial" w:hAnsi="Arial" w:cs="Arial"/>
          <w:sz w:val="24"/>
          <w:szCs w:val="24"/>
        </w:rPr>
        <w:t xml:space="preserve">List which highlights how </w:t>
      </w:r>
      <w:r w:rsidR="00F62C12" w:rsidRPr="00A504B9">
        <w:rPr>
          <w:rFonts w:ascii="Arial" w:hAnsi="Arial" w:cs="Arial"/>
          <w:sz w:val="24"/>
          <w:szCs w:val="24"/>
        </w:rPr>
        <w:t xml:space="preserve">the </w:t>
      </w:r>
      <w:r w:rsidR="00BC6B8C" w:rsidRPr="00A504B9">
        <w:rPr>
          <w:rFonts w:ascii="Arial" w:hAnsi="Arial" w:cs="Arial"/>
          <w:sz w:val="24"/>
          <w:szCs w:val="24"/>
        </w:rPr>
        <w:t xml:space="preserve">Act applies to discovery and subpoenas is the decision of Justice J Forrest in </w:t>
      </w:r>
      <w:r w:rsidR="00BC6B8C" w:rsidRPr="00A504B9">
        <w:rPr>
          <w:rFonts w:ascii="Arial" w:hAnsi="Arial" w:cs="Arial"/>
          <w:i/>
          <w:sz w:val="24"/>
          <w:szCs w:val="24"/>
        </w:rPr>
        <w:t>Volunteer Fire Brigades Victoria Inc v Country Fire Authority</w:t>
      </w:r>
      <w:r w:rsidR="0098504C" w:rsidRPr="00A504B9">
        <w:rPr>
          <w:rStyle w:val="FootnoteReference"/>
          <w:rFonts w:ascii="Arial" w:hAnsi="Arial" w:cs="Arial"/>
          <w:i/>
          <w:sz w:val="24"/>
          <w:szCs w:val="24"/>
        </w:rPr>
        <w:footnoteReference w:id="11"/>
      </w:r>
      <w:r w:rsidR="00BC6B8C" w:rsidRPr="00A504B9">
        <w:rPr>
          <w:rFonts w:ascii="Arial" w:hAnsi="Arial" w:cs="Arial"/>
          <w:sz w:val="24"/>
          <w:szCs w:val="24"/>
        </w:rPr>
        <w:t xml:space="preserve">.  The decision also contains useful outlines of applicable principles in respect of discovery and subpoenas.  </w:t>
      </w:r>
    </w:p>
    <w:p w14:paraId="2E66B003" w14:textId="43D9999C" w:rsidR="003469CB" w:rsidRPr="00F538EB" w:rsidRDefault="00A504B9" w:rsidP="00F538EB">
      <w:pPr>
        <w:spacing w:after="240" w:line="480" w:lineRule="atLeast"/>
        <w:ind w:left="720" w:hanging="720"/>
        <w:jc w:val="both"/>
        <w:rPr>
          <w:rFonts w:ascii="Arial" w:hAnsi="Arial" w:cs="Arial"/>
          <w:sz w:val="24"/>
          <w:szCs w:val="24"/>
        </w:rPr>
      </w:pPr>
      <w:r w:rsidRPr="00A504B9">
        <w:rPr>
          <w:rFonts w:ascii="Arial" w:hAnsi="Arial" w:cs="Arial"/>
          <w:sz w:val="24"/>
          <w:szCs w:val="24"/>
        </w:rPr>
        <w:t>19.</w:t>
      </w:r>
      <w:r w:rsidRPr="00A504B9">
        <w:rPr>
          <w:rFonts w:ascii="Arial" w:hAnsi="Arial" w:cs="Arial"/>
          <w:sz w:val="24"/>
          <w:szCs w:val="24"/>
        </w:rPr>
        <w:tab/>
      </w:r>
      <w:r w:rsidR="00BC6B8C" w:rsidRPr="00A504B9">
        <w:rPr>
          <w:rFonts w:ascii="Arial" w:hAnsi="Arial" w:cs="Arial"/>
          <w:sz w:val="24"/>
          <w:szCs w:val="24"/>
        </w:rPr>
        <w:t>The Law Library of Victoria has an excellent fortnightl</w:t>
      </w:r>
      <w:r w:rsidR="00AF4E4D">
        <w:rPr>
          <w:rFonts w:ascii="Arial" w:hAnsi="Arial" w:cs="Arial"/>
          <w:sz w:val="24"/>
          <w:szCs w:val="24"/>
        </w:rPr>
        <w:t xml:space="preserve">y bulletin which </w:t>
      </w:r>
      <w:r w:rsidR="00BC6B8C" w:rsidRPr="00A504B9">
        <w:rPr>
          <w:rFonts w:ascii="Arial" w:hAnsi="Arial" w:cs="Arial"/>
          <w:sz w:val="24"/>
          <w:szCs w:val="24"/>
        </w:rPr>
        <w:t xml:space="preserve">contains </w:t>
      </w:r>
      <w:r w:rsidR="0050121A">
        <w:rPr>
          <w:rFonts w:ascii="Arial" w:hAnsi="Arial" w:cs="Arial"/>
          <w:sz w:val="24"/>
          <w:szCs w:val="24"/>
        </w:rPr>
        <w:t xml:space="preserve">catchwords and </w:t>
      </w:r>
      <w:r w:rsidR="00BC6B8C" w:rsidRPr="00A504B9">
        <w:rPr>
          <w:rFonts w:ascii="Arial" w:hAnsi="Arial" w:cs="Arial"/>
          <w:sz w:val="24"/>
          <w:szCs w:val="24"/>
        </w:rPr>
        <w:t>links to all decisions published in our Court, including decisions</w:t>
      </w:r>
      <w:r w:rsidR="00EE50BA" w:rsidRPr="00A504B9">
        <w:rPr>
          <w:rFonts w:ascii="Arial" w:hAnsi="Arial" w:cs="Arial"/>
          <w:sz w:val="24"/>
          <w:szCs w:val="24"/>
        </w:rPr>
        <w:t xml:space="preserve"> on practice and procedure</w:t>
      </w:r>
      <w:r w:rsidR="00BC6B8C" w:rsidRPr="00A504B9">
        <w:rPr>
          <w:rFonts w:ascii="Arial" w:hAnsi="Arial" w:cs="Arial"/>
          <w:sz w:val="24"/>
          <w:szCs w:val="24"/>
        </w:rPr>
        <w:t>.  The bulletin is free.  I encourage you to visit the Law Library of Victoria website and sign up to</w:t>
      </w:r>
      <w:r w:rsidR="00EE50BA" w:rsidRPr="00A504B9">
        <w:rPr>
          <w:rFonts w:ascii="Arial" w:hAnsi="Arial" w:cs="Arial"/>
          <w:sz w:val="24"/>
          <w:szCs w:val="24"/>
        </w:rPr>
        <w:t xml:space="preserve"> it</w:t>
      </w:r>
      <w:r w:rsidR="00BC6B8C" w:rsidRPr="00A504B9">
        <w:rPr>
          <w:rFonts w:ascii="Arial" w:hAnsi="Arial" w:cs="Arial"/>
          <w:sz w:val="24"/>
          <w:szCs w:val="24"/>
        </w:rPr>
        <w:t>.</w:t>
      </w:r>
    </w:p>
    <w:p w14:paraId="347B35E3" w14:textId="77777777" w:rsidR="005B2392" w:rsidRPr="00F538EB" w:rsidRDefault="00E54D20" w:rsidP="00E54D20">
      <w:pPr>
        <w:pStyle w:val="ListParagraph"/>
        <w:spacing w:after="240" w:line="480" w:lineRule="atLeast"/>
        <w:jc w:val="both"/>
        <w:rPr>
          <w:rFonts w:ascii="Arial" w:hAnsi="Arial" w:cs="Arial"/>
          <w:b/>
          <w:lang w:val="en-AU"/>
        </w:rPr>
      </w:pPr>
      <w:r w:rsidRPr="00F538EB">
        <w:rPr>
          <w:rFonts w:ascii="Arial" w:hAnsi="Arial" w:cs="Arial"/>
          <w:b/>
          <w:lang w:val="en-AU"/>
        </w:rPr>
        <w:t>Practical Suggestions - Summary</w:t>
      </w:r>
    </w:p>
    <w:p w14:paraId="75CF1449" w14:textId="24FCF438" w:rsidR="005B2392" w:rsidRPr="00A504B9" w:rsidRDefault="00A504B9" w:rsidP="00A504B9">
      <w:pPr>
        <w:spacing w:after="240" w:line="480" w:lineRule="atLeast"/>
        <w:jc w:val="both"/>
        <w:rPr>
          <w:rFonts w:ascii="Arial" w:hAnsi="Arial" w:cs="Arial"/>
          <w:sz w:val="24"/>
          <w:szCs w:val="24"/>
        </w:rPr>
      </w:pPr>
      <w:r w:rsidRPr="00A504B9">
        <w:rPr>
          <w:rFonts w:ascii="Arial" w:hAnsi="Arial" w:cs="Arial"/>
          <w:sz w:val="24"/>
          <w:szCs w:val="24"/>
        </w:rPr>
        <w:t>20.</w:t>
      </w:r>
      <w:r w:rsidRPr="00A504B9">
        <w:rPr>
          <w:rFonts w:ascii="Arial" w:hAnsi="Arial" w:cs="Arial"/>
          <w:sz w:val="24"/>
          <w:szCs w:val="24"/>
        </w:rPr>
        <w:tab/>
      </w:r>
      <w:r w:rsidR="005B2392" w:rsidRPr="00A504B9">
        <w:rPr>
          <w:rFonts w:ascii="Arial" w:hAnsi="Arial" w:cs="Arial"/>
          <w:sz w:val="24"/>
          <w:szCs w:val="24"/>
        </w:rPr>
        <w:t>In summary, I of</w:t>
      </w:r>
      <w:r w:rsidR="007A57D7" w:rsidRPr="00A504B9">
        <w:rPr>
          <w:rFonts w:ascii="Arial" w:hAnsi="Arial" w:cs="Arial"/>
          <w:sz w:val="24"/>
          <w:szCs w:val="24"/>
        </w:rPr>
        <w:t xml:space="preserve">fer the following </w:t>
      </w:r>
      <w:r w:rsidR="00361D3C" w:rsidRPr="00A504B9">
        <w:rPr>
          <w:rFonts w:ascii="Arial" w:hAnsi="Arial" w:cs="Arial"/>
          <w:sz w:val="24"/>
          <w:szCs w:val="24"/>
        </w:rPr>
        <w:t xml:space="preserve">six </w:t>
      </w:r>
      <w:r w:rsidR="007A57D7" w:rsidRPr="00A504B9">
        <w:rPr>
          <w:rFonts w:ascii="Arial" w:hAnsi="Arial" w:cs="Arial"/>
          <w:sz w:val="24"/>
          <w:szCs w:val="24"/>
        </w:rPr>
        <w:t>practical suggestions</w:t>
      </w:r>
      <w:r w:rsidR="002D5281" w:rsidRPr="00A504B9">
        <w:rPr>
          <w:rFonts w:ascii="Arial" w:hAnsi="Arial" w:cs="Arial"/>
          <w:sz w:val="24"/>
          <w:szCs w:val="24"/>
        </w:rPr>
        <w:t>:</w:t>
      </w:r>
    </w:p>
    <w:p w14:paraId="244A3805" w14:textId="77777777" w:rsidR="005B2392" w:rsidRPr="00A504B9" w:rsidRDefault="00361D3C" w:rsidP="00B01F34">
      <w:pPr>
        <w:pStyle w:val="ListParagraph"/>
        <w:spacing w:after="240" w:line="480" w:lineRule="atLeast"/>
        <w:ind w:left="2160" w:hanging="720"/>
        <w:jc w:val="both"/>
        <w:rPr>
          <w:rFonts w:ascii="Arial" w:hAnsi="Arial" w:cs="Arial"/>
          <w:lang w:val="en-AU"/>
        </w:rPr>
      </w:pPr>
      <w:r w:rsidRPr="00A504B9">
        <w:rPr>
          <w:rFonts w:ascii="Arial" w:hAnsi="Arial" w:cs="Arial"/>
          <w:lang w:val="en-AU"/>
        </w:rPr>
        <w:t>1.</w:t>
      </w:r>
      <w:r w:rsidRPr="00A504B9">
        <w:rPr>
          <w:rFonts w:ascii="Arial" w:hAnsi="Arial" w:cs="Arial"/>
          <w:lang w:val="en-AU"/>
        </w:rPr>
        <w:tab/>
      </w:r>
      <w:r w:rsidR="005B2392" w:rsidRPr="00A504B9">
        <w:rPr>
          <w:rFonts w:ascii="Arial" w:hAnsi="Arial" w:cs="Arial"/>
          <w:lang w:val="en-AU"/>
        </w:rPr>
        <w:t xml:space="preserve">Familiarise yourself with the </w:t>
      </w:r>
      <w:r w:rsidR="002D5281" w:rsidRPr="00A504B9">
        <w:rPr>
          <w:rFonts w:ascii="Arial" w:hAnsi="Arial" w:cs="Arial"/>
          <w:lang w:val="en-AU"/>
        </w:rPr>
        <w:t xml:space="preserve">List </w:t>
      </w:r>
      <w:r w:rsidR="005B2392" w:rsidRPr="00A504B9">
        <w:rPr>
          <w:rFonts w:ascii="Arial" w:hAnsi="Arial" w:cs="Arial"/>
          <w:lang w:val="en-AU"/>
        </w:rPr>
        <w:t xml:space="preserve">page on the </w:t>
      </w:r>
      <w:r w:rsidR="002D5281" w:rsidRPr="00A504B9">
        <w:rPr>
          <w:rFonts w:ascii="Arial" w:hAnsi="Arial" w:cs="Arial"/>
          <w:lang w:val="en-AU"/>
        </w:rPr>
        <w:t xml:space="preserve">Court </w:t>
      </w:r>
      <w:r w:rsidR="005B2392" w:rsidRPr="00A504B9">
        <w:rPr>
          <w:rFonts w:ascii="Arial" w:hAnsi="Arial" w:cs="Arial"/>
          <w:lang w:val="en-AU"/>
        </w:rPr>
        <w:t>website;</w:t>
      </w:r>
    </w:p>
    <w:p w14:paraId="4E53E943" w14:textId="77777777" w:rsidR="002D5281" w:rsidRPr="00A504B9" w:rsidRDefault="00361D3C" w:rsidP="00B01F34">
      <w:pPr>
        <w:pStyle w:val="ListParagraph"/>
        <w:spacing w:after="240" w:line="480" w:lineRule="atLeast"/>
        <w:ind w:left="2160" w:hanging="720"/>
        <w:jc w:val="both"/>
        <w:rPr>
          <w:rFonts w:ascii="Arial" w:hAnsi="Arial" w:cs="Arial"/>
          <w:lang w:val="en-AU"/>
        </w:rPr>
      </w:pPr>
      <w:r w:rsidRPr="00A504B9">
        <w:rPr>
          <w:rFonts w:ascii="Arial" w:hAnsi="Arial" w:cs="Arial"/>
          <w:lang w:val="en-AU"/>
        </w:rPr>
        <w:t>2.</w:t>
      </w:r>
      <w:r w:rsidRPr="00A504B9">
        <w:rPr>
          <w:rFonts w:ascii="Arial" w:hAnsi="Arial" w:cs="Arial"/>
          <w:lang w:val="en-AU"/>
        </w:rPr>
        <w:tab/>
      </w:r>
      <w:r w:rsidR="002D5281" w:rsidRPr="00A504B9">
        <w:rPr>
          <w:rFonts w:ascii="Arial" w:hAnsi="Arial" w:cs="Arial"/>
          <w:lang w:val="en-AU"/>
        </w:rPr>
        <w:t xml:space="preserve">Confer with </w:t>
      </w:r>
      <w:r w:rsidR="00924A42" w:rsidRPr="00A504B9">
        <w:rPr>
          <w:rFonts w:ascii="Arial" w:hAnsi="Arial" w:cs="Arial"/>
          <w:lang w:val="en-AU"/>
        </w:rPr>
        <w:t>the other party’s legal practitioners</w:t>
      </w:r>
      <w:r w:rsidR="00AD4753" w:rsidRPr="00A504B9">
        <w:rPr>
          <w:rFonts w:ascii="Arial" w:hAnsi="Arial" w:cs="Arial"/>
          <w:lang w:val="en-AU"/>
        </w:rPr>
        <w:t xml:space="preserve"> in relation to</w:t>
      </w:r>
      <w:r w:rsidR="002D5281" w:rsidRPr="00A504B9">
        <w:rPr>
          <w:rFonts w:ascii="Arial" w:hAnsi="Arial" w:cs="Arial"/>
          <w:lang w:val="en-AU"/>
        </w:rPr>
        <w:t xml:space="preserve"> a </w:t>
      </w:r>
      <w:r w:rsidR="00AD4753" w:rsidRPr="00A504B9">
        <w:rPr>
          <w:rFonts w:ascii="Arial" w:hAnsi="Arial" w:cs="Arial"/>
          <w:lang w:val="en-AU"/>
        </w:rPr>
        <w:t xml:space="preserve">minute of </w:t>
      </w:r>
      <w:r w:rsidR="002D5281" w:rsidRPr="00A504B9">
        <w:rPr>
          <w:rFonts w:ascii="Arial" w:hAnsi="Arial" w:cs="Arial"/>
          <w:lang w:val="en-AU"/>
        </w:rPr>
        <w:t xml:space="preserve">consent order </w:t>
      </w:r>
      <w:r w:rsidR="00924A42" w:rsidRPr="00A504B9">
        <w:rPr>
          <w:rFonts w:ascii="Arial" w:hAnsi="Arial" w:cs="Arial"/>
          <w:lang w:val="en-AU"/>
        </w:rPr>
        <w:t xml:space="preserve">and email </w:t>
      </w:r>
      <w:r w:rsidR="00AD4753" w:rsidRPr="00A504B9">
        <w:rPr>
          <w:rFonts w:ascii="Arial" w:hAnsi="Arial" w:cs="Arial"/>
          <w:lang w:val="en-AU"/>
        </w:rPr>
        <w:t>the minute to chambers for the orders to be made on the papers av</w:t>
      </w:r>
      <w:r w:rsidR="00B01F34" w:rsidRPr="00A504B9">
        <w:rPr>
          <w:rFonts w:ascii="Arial" w:hAnsi="Arial" w:cs="Arial"/>
          <w:lang w:val="en-AU"/>
        </w:rPr>
        <w:t>oiding the need for appearances;</w:t>
      </w:r>
      <w:r w:rsidR="002D5281" w:rsidRPr="00A504B9">
        <w:rPr>
          <w:rFonts w:ascii="Arial" w:hAnsi="Arial" w:cs="Arial"/>
          <w:lang w:val="en-AU"/>
        </w:rPr>
        <w:t xml:space="preserve"> </w:t>
      </w:r>
    </w:p>
    <w:p w14:paraId="04289A31" w14:textId="77777777" w:rsidR="005B2392" w:rsidRPr="00A504B9" w:rsidRDefault="00361D3C" w:rsidP="00B01F34">
      <w:pPr>
        <w:pStyle w:val="ListParagraph"/>
        <w:spacing w:after="240" w:line="480" w:lineRule="atLeast"/>
        <w:ind w:left="2160" w:hanging="720"/>
        <w:jc w:val="both"/>
        <w:rPr>
          <w:rFonts w:ascii="Arial" w:hAnsi="Arial" w:cs="Arial"/>
          <w:lang w:val="en-AU"/>
        </w:rPr>
      </w:pPr>
      <w:r w:rsidRPr="00A504B9">
        <w:rPr>
          <w:rFonts w:ascii="Arial" w:hAnsi="Arial" w:cs="Arial"/>
          <w:lang w:val="en-AU"/>
        </w:rPr>
        <w:t>3.</w:t>
      </w:r>
      <w:r w:rsidRPr="00A504B9">
        <w:rPr>
          <w:rFonts w:ascii="Arial" w:hAnsi="Arial" w:cs="Arial"/>
          <w:lang w:val="en-AU"/>
        </w:rPr>
        <w:tab/>
      </w:r>
      <w:r w:rsidR="00383F2E" w:rsidRPr="00A504B9">
        <w:rPr>
          <w:rFonts w:ascii="Arial" w:hAnsi="Arial" w:cs="Arial"/>
          <w:lang w:val="en-AU"/>
        </w:rPr>
        <w:t xml:space="preserve">Prior to contacting </w:t>
      </w:r>
      <w:r w:rsidR="00F62C12" w:rsidRPr="00A504B9">
        <w:rPr>
          <w:rFonts w:ascii="Arial" w:hAnsi="Arial" w:cs="Arial"/>
          <w:lang w:val="en-AU"/>
        </w:rPr>
        <w:t xml:space="preserve">the </w:t>
      </w:r>
      <w:r w:rsidR="00383F2E" w:rsidRPr="00A504B9">
        <w:rPr>
          <w:rFonts w:ascii="Arial" w:hAnsi="Arial" w:cs="Arial"/>
          <w:lang w:val="en-AU"/>
        </w:rPr>
        <w:t xml:space="preserve">Registry </w:t>
      </w:r>
      <w:r w:rsidR="00AD4753" w:rsidRPr="00A504B9">
        <w:rPr>
          <w:rFonts w:ascii="Arial" w:hAnsi="Arial" w:cs="Arial"/>
          <w:lang w:val="en-AU"/>
        </w:rPr>
        <w:t xml:space="preserve">Applications Coordinator </w:t>
      </w:r>
      <w:r w:rsidR="00383F2E" w:rsidRPr="00A504B9">
        <w:rPr>
          <w:rFonts w:ascii="Arial" w:hAnsi="Arial" w:cs="Arial"/>
          <w:lang w:val="en-AU"/>
        </w:rPr>
        <w:t>for the return date for a summons in the List, l</w:t>
      </w:r>
      <w:r w:rsidR="007C061A" w:rsidRPr="00A504B9">
        <w:rPr>
          <w:rFonts w:ascii="Arial" w:hAnsi="Arial" w:cs="Arial"/>
          <w:lang w:val="en-AU"/>
        </w:rPr>
        <w:t>iaise with the other party to discuss an estimate of the duration</w:t>
      </w:r>
      <w:r w:rsidR="00383F2E" w:rsidRPr="00A504B9">
        <w:rPr>
          <w:rFonts w:ascii="Arial" w:hAnsi="Arial" w:cs="Arial"/>
          <w:lang w:val="en-AU"/>
        </w:rPr>
        <w:t>, and in particular whether it will be in excess of two hours</w:t>
      </w:r>
      <w:r w:rsidR="007C061A" w:rsidRPr="00A504B9">
        <w:rPr>
          <w:rFonts w:ascii="Arial" w:hAnsi="Arial" w:cs="Arial"/>
          <w:lang w:val="en-AU"/>
        </w:rPr>
        <w:t>;</w:t>
      </w:r>
    </w:p>
    <w:p w14:paraId="24AFFE07" w14:textId="77777777" w:rsidR="007C061A" w:rsidRPr="00A504B9" w:rsidRDefault="00361D3C" w:rsidP="00B01F34">
      <w:pPr>
        <w:pStyle w:val="ListParagraph"/>
        <w:spacing w:after="240" w:line="480" w:lineRule="atLeast"/>
        <w:ind w:left="2160" w:hanging="720"/>
        <w:jc w:val="both"/>
        <w:rPr>
          <w:rFonts w:ascii="Arial" w:hAnsi="Arial" w:cs="Arial"/>
          <w:lang w:val="en-AU"/>
        </w:rPr>
      </w:pPr>
      <w:r w:rsidRPr="00A504B9">
        <w:rPr>
          <w:rFonts w:ascii="Arial" w:hAnsi="Arial" w:cs="Arial"/>
          <w:lang w:val="en-AU"/>
        </w:rPr>
        <w:lastRenderedPageBreak/>
        <w:t>4.</w:t>
      </w:r>
      <w:r w:rsidRPr="00A504B9">
        <w:rPr>
          <w:rFonts w:ascii="Arial" w:hAnsi="Arial" w:cs="Arial"/>
          <w:lang w:val="en-AU"/>
        </w:rPr>
        <w:tab/>
      </w:r>
      <w:r w:rsidR="0098504C" w:rsidRPr="00A504B9">
        <w:rPr>
          <w:rFonts w:ascii="Arial" w:hAnsi="Arial" w:cs="Arial"/>
          <w:lang w:val="en-AU"/>
        </w:rPr>
        <w:t>In addition to the usual requirements for filing</w:t>
      </w:r>
      <w:r w:rsidR="00E74EC7" w:rsidRPr="00A504B9">
        <w:rPr>
          <w:rFonts w:ascii="Arial" w:hAnsi="Arial" w:cs="Arial"/>
          <w:lang w:val="en-AU"/>
        </w:rPr>
        <w:t xml:space="preserve">, </w:t>
      </w:r>
      <w:r w:rsidR="00AD4753" w:rsidRPr="00A504B9">
        <w:rPr>
          <w:rFonts w:ascii="Arial" w:hAnsi="Arial" w:cs="Arial"/>
          <w:lang w:val="en-AU"/>
        </w:rPr>
        <w:t xml:space="preserve">email a </w:t>
      </w:r>
      <w:r w:rsidR="00E74EC7" w:rsidRPr="00A504B9">
        <w:rPr>
          <w:rFonts w:ascii="Arial" w:hAnsi="Arial" w:cs="Arial"/>
          <w:lang w:val="en-AU"/>
        </w:rPr>
        <w:t>scanned</w:t>
      </w:r>
      <w:r w:rsidR="00F62C12" w:rsidRPr="00A504B9">
        <w:rPr>
          <w:rFonts w:ascii="Arial" w:hAnsi="Arial" w:cs="Arial"/>
          <w:lang w:val="en-AU"/>
        </w:rPr>
        <w:t xml:space="preserve"> copy of any materials you</w:t>
      </w:r>
      <w:r w:rsidR="00E74EC7" w:rsidRPr="00A504B9">
        <w:rPr>
          <w:rFonts w:ascii="Arial" w:hAnsi="Arial" w:cs="Arial"/>
          <w:lang w:val="en-AU"/>
        </w:rPr>
        <w:t xml:space="preserve"> intend to rely on (including a copy of any exhibits to any affidavits and an outline of submissions) to chambers</w:t>
      </w:r>
      <w:r w:rsidR="00B01F34" w:rsidRPr="00A504B9">
        <w:rPr>
          <w:rFonts w:ascii="Arial" w:hAnsi="Arial" w:cs="Arial"/>
          <w:lang w:val="en-AU"/>
        </w:rPr>
        <w:t xml:space="preserve"> two days prior to the hearing;</w:t>
      </w:r>
    </w:p>
    <w:p w14:paraId="0EB11D2D" w14:textId="25217542" w:rsidR="00383F2E" w:rsidRPr="00A504B9" w:rsidRDefault="00361D3C" w:rsidP="00B01F34">
      <w:pPr>
        <w:pStyle w:val="ListParagraph"/>
        <w:spacing w:after="240" w:line="480" w:lineRule="atLeast"/>
        <w:ind w:left="2160" w:hanging="720"/>
        <w:jc w:val="both"/>
        <w:rPr>
          <w:rFonts w:ascii="Arial" w:hAnsi="Arial" w:cs="Arial"/>
          <w:lang w:val="en-AU"/>
        </w:rPr>
      </w:pPr>
      <w:r w:rsidRPr="00A504B9">
        <w:rPr>
          <w:rFonts w:ascii="Arial" w:hAnsi="Arial" w:cs="Arial"/>
          <w:lang w:val="en-AU"/>
        </w:rPr>
        <w:t>5.</w:t>
      </w:r>
      <w:r w:rsidRPr="00A504B9">
        <w:rPr>
          <w:rFonts w:ascii="Arial" w:hAnsi="Arial" w:cs="Arial"/>
          <w:lang w:val="en-AU"/>
        </w:rPr>
        <w:tab/>
      </w:r>
      <w:r w:rsidR="00383F2E" w:rsidRPr="00A504B9">
        <w:rPr>
          <w:rFonts w:ascii="Arial" w:hAnsi="Arial" w:cs="Arial"/>
          <w:lang w:val="en-AU"/>
        </w:rPr>
        <w:t>Directions hearings are for timetabling issues.  If there is an application that needs to be made, it should be done by summon</w:t>
      </w:r>
      <w:r w:rsidR="00B01F34" w:rsidRPr="00A504B9">
        <w:rPr>
          <w:rFonts w:ascii="Arial" w:hAnsi="Arial" w:cs="Arial"/>
          <w:lang w:val="en-AU"/>
        </w:rPr>
        <w:t>s, in accordance with the Rules;</w:t>
      </w:r>
      <w:r w:rsidR="0050121A">
        <w:rPr>
          <w:rFonts w:ascii="Arial" w:hAnsi="Arial" w:cs="Arial"/>
          <w:lang w:val="en-AU"/>
        </w:rPr>
        <w:t xml:space="preserve"> and</w:t>
      </w:r>
    </w:p>
    <w:p w14:paraId="3BB8F787" w14:textId="77777777" w:rsidR="00361D3C" w:rsidRPr="00A504B9" w:rsidRDefault="00B01F34" w:rsidP="00361D3C">
      <w:pPr>
        <w:pStyle w:val="ListParagraph"/>
        <w:spacing w:after="240" w:line="480" w:lineRule="atLeast"/>
        <w:ind w:left="1440"/>
        <w:jc w:val="both"/>
        <w:rPr>
          <w:rFonts w:ascii="Arial" w:hAnsi="Arial" w:cs="Arial"/>
          <w:lang w:val="en-AU"/>
        </w:rPr>
      </w:pPr>
      <w:r w:rsidRPr="00A504B9">
        <w:rPr>
          <w:rFonts w:ascii="Arial" w:hAnsi="Arial" w:cs="Arial"/>
          <w:lang w:val="en-AU"/>
        </w:rPr>
        <w:t>6.</w:t>
      </w:r>
      <w:r w:rsidRPr="00A504B9">
        <w:rPr>
          <w:rFonts w:ascii="Arial" w:hAnsi="Arial" w:cs="Arial"/>
          <w:lang w:val="en-AU"/>
        </w:rPr>
        <w:tab/>
      </w:r>
      <w:r w:rsidR="00361D3C" w:rsidRPr="00A504B9">
        <w:rPr>
          <w:rFonts w:ascii="Arial" w:hAnsi="Arial" w:cs="Arial"/>
          <w:lang w:val="en-AU"/>
        </w:rPr>
        <w:t>Sign up to the Law Library o</w:t>
      </w:r>
      <w:r w:rsidRPr="00A504B9">
        <w:rPr>
          <w:rFonts w:ascii="Arial" w:hAnsi="Arial" w:cs="Arial"/>
          <w:lang w:val="en-AU"/>
        </w:rPr>
        <w:t>f Victoria fortnightly bulletin.</w:t>
      </w:r>
    </w:p>
    <w:p w14:paraId="41FCC804" w14:textId="77777777" w:rsidR="00361D3C" w:rsidRPr="00A504B9" w:rsidRDefault="00361D3C" w:rsidP="00B01F34">
      <w:pPr>
        <w:pStyle w:val="ListParagraph"/>
        <w:spacing w:after="240" w:line="480" w:lineRule="atLeast"/>
        <w:ind w:left="2160" w:hanging="720"/>
        <w:jc w:val="both"/>
        <w:rPr>
          <w:rFonts w:ascii="Arial" w:hAnsi="Arial" w:cs="Arial"/>
          <w:lang w:val="en-AU"/>
        </w:rPr>
      </w:pPr>
    </w:p>
    <w:p w14:paraId="1992105B" w14:textId="77777777" w:rsidR="006543D3" w:rsidRPr="00A504B9" w:rsidRDefault="006543D3">
      <w:pPr>
        <w:rPr>
          <w:sz w:val="24"/>
          <w:szCs w:val="24"/>
        </w:rPr>
      </w:pPr>
    </w:p>
    <w:sectPr w:rsidR="006543D3" w:rsidRPr="00A504B9" w:rsidSect="003469CB">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16A3" w14:textId="77777777" w:rsidR="00535DD9" w:rsidRDefault="00535DD9" w:rsidP="00DE56BF">
      <w:pPr>
        <w:spacing w:after="0" w:line="240" w:lineRule="auto"/>
      </w:pPr>
      <w:r>
        <w:separator/>
      </w:r>
    </w:p>
  </w:endnote>
  <w:endnote w:type="continuationSeparator" w:id="0">
    <w:p w14:paraId="48482761" w14:textId="77777777" w:rsidR="00535DD9" w:rsidRDefault="00535DD9" w:rsidP="00DE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00780" w14:textId="77777777" w:rsidR="00535DD9" w:rsidRDefault="00535DD9" w:rsidP="00DE56BF">
      <w:pPr>
        <w:spacing w:after="0" w:line="240" w:lineRule="auto"/>
      </w:pPr>
      <w:r>
        <w:separator/>
      </w:r>
    </w:p>
  </w:footnote>
  <w:footnote w:type="continuationSeparator" w:id="0">
    <w:p w14:paraId="1E2053D0" w14:textId="77777777" w:rsidR="00535DD9" w:rsidRDefault="00535DD9" w:rsidP="00DE56BF">
      <w:pPr>
        <w:spacing w:after="0" w:line="240" w:lineRule="auto"/>
      </w:pPr>
      <w:r>
        <w:continuationSeparator/>
      </w:r>
    </w:p>
  </w:footnote>
  <w:footnote w:id="1">
    <w:p w14:paraId="1735A6E8" w14:textId="7976E3CB" w:rsidR="001F4109" w:rsidRPr="00CF4C40" w:rsidRDefault="001F4109">
      <w:pPr>
        <w:pStyle w:val="FootnoteText"/>
        <w:rPr>
          <w:rFonts w:ascii="Arial" w:hAnsi="Arial" w:cs="Arial"/>
        </w:rPr>
      </w:pPr>
      <w:r>
        <w:rPr>
          <w:rStyle w:val="FootnoteReference"/>
        </w:rPr>
        <w:footnoteRef/>
      </w:r>
      <w:r>
        <w:t xml:space="preserve"> &lt;</w:t>
      </w:r>
      <w:hyperlink r:id="rId1" w:history="1">
        <w:r w:rsidRPr="00CF4C40">
          <w:rPr>
            <w:rStyle w:val="Hyperlink"/>
            <w:rFonts w:ascii="Arial" w:hAnsi="Arial" w:cs="Arial"/>
            <w:color w:val="auto"/>
          </w:rPr>
          <w:t>http://www.supremecourt.vic.gov.au/home/law+and+practice/specialist+areas+of+law/employment+and+industrial/employment+and+industrial</w:t>
        </w:r>
      </w:hyperlink>
      <w:r w:rsidRPr="00CF4C40">
        <w:rPr>
          <w:rFonts w:ascii="Arial" w:hAnsi="Arial" w:cs="Arial"/>
        </w:rPr>
        <w:t>&gt;.</w:t>
      </w:r>
    </w:p>
  </w:footnote>
  <w:footnote w:id="2">
    <w:p w14:paraId="42A95CFF" w14:textId="77777777" w:rsidR="00CF4C40" w:rsidRPr="00CF4C40" w:rsidRDefault="0050121A">
      <w:pPr>
        <w:pStyle w:val="FootnoteText"/>
        <w:rPr>
          <w:rFonts w:ascii="Arial" w:hAnsi="Arial" w:cs="Arial"/>
        </w:rPr>
      </w:pPr>
      <w:r w:rsidRPr="00CF4C40">
        <w:rPr>
          <w:rStyle w:val="FootnoteReference"/>
          <w:rFonts w:ascii="Arial" w:hAnsi="Arial" w:cs="Arial"/>
        </w:rPr>
        <w:footnoteRef/>
      </w:r>
      <w:r w:rsidRPr="00CF4C40">
        <w:rPr>
          <w:rFonts w:ascii="Arial" w:hAnsi="Arial" w:cs="Arial"/>
        </w:rPr>
        <w:t xml:space="preserve"> Practice Note No.2 of 2016, Employment and Industrial List, Supreme Court of Victoria, Common </w:t>
      </w:r>
    </w:p>
    <w:p w14:paraId="76765CDD" w14:textId="575BE59D" w:rsidR="0050121A" w:rsidRPr="00CF4C40" w:rsidRDefault="00CF4C40">
      <w:pPr>
        <w:pStyle w:val="FootnoteText"/>
        <w:rPr>
          <w:rFonts w:ascii="Arial" w:hAnsi="Arial" w:cs="Arial"/>
        </w:rPr>
      </w:pPr>
      <w:r w:rsidRPr="00CF4C40">
        <w:rPr>
          <w:rFonts w:ascii="Arial" w:hAnsi="Arial" w:cs="Arial"/>
        </w:rPr>
        <w:t xml:space="preserve">  </w:t>
      </w:r>
      <w:r>
        <w:rPr>
          <w:rFonts w:ascii="Arial" w:hAnsi="Arial" w:cs="Arial"/>
        </w:rPr>
        <w:t xml:space="preserve"> </w:t>
      </w:r>
      <w:r w:rsidR="0050121A" w:rsidRPr="00CF4C40">
        <w:rPr>
          <w:rFonts w:ascii="Arial" w:hAnsi="Arial" w:cs="Arial"/>
        </w:rPr>
        <w:t>Law Division.</w:t>
      </w:r>
    </w:p>
  </w:footnote>
  <w:footnote w:id="3">
    <w:p w14:paraId="30A023A5" w14:textId="7C28C648" w:rsidR="0050121A" w:rsidRDefault="0050121A">
      <w:pPr>
        <w:pStyle w:val="FootnoteText"/>
      </w:pPr>
      <w:r>
        <w:rPr>
          <w:rStyle w:val="FootnoteReference"/>
        </w:rPr>
        <w:footnoteRef/>
      </w:r>
      <w:r>
        <w:t xml:space="preserve"> </w:t>
      </w:r>
      <w:r w:rsidRPr="00CF4C40">
        <w:rPr>
          <w:rFonts w:ascii="Arial" w:hAnsi="Arial" w:cs="Arial"/>
        </w:rPr>
        <w:t>Practice Note, above n 2.</w:t>
      </w:r>
    </w:p>
  </w:footnote>
  <w:footnote w:id="4">
    <w:p w14:paraId="0050BE7E" w14:textId="77777777" w:rsidR="001F4109" w:rsidRPr="00240C6F" w:rsidRDefault="001F4109">
      <w:pPr>
        <w:pStyle w:val="FootnoteText"/>
        <w:rPr>
          <w:rFonts w:ascii="Arial" w:hAnsi="Arial" w:cs="Arial"/>
        </w:rPr>
      </w:pPr>
      <w:r w:rsidRPr="00240C6F">
        <w:rPr>
          <w:rStyle w:val="FootnoteReference"/>
          <w:rFonts w:ascii="Arial" w:hAnsi="Arial" w:cs="Arial"/>
        </w:rPr>
        <w:footnoteRef/>
      </w:r>
      <w:r w:rsidRPr="00240C6F">
        <w:rPr>
          <w:rFonts w:ascii="Arial" w:hAnsi="Arial" w:cs="Arial"/>
        </w:rPr>
        <w:t xml:space="preserve"> [2016] VSC 629.</w:t>
      </w:r>
    </w:p>
  </w:footnote>
  <w:footnote w:id="5">
    <w:p w14:paraId="34A8A1B2" w14:textId="77777777" w:rsidR="00240C6F" w:rsidRDefault="00240C6F" w:rsidP="00B01F34">
      <w:pPr>
        <w:spacing w:after="0" w:line="480" w:lineRule="atLeast"/>
        <w:jc w:val="both"/>
      </w:pPr>
      <w:r w:rsidRPr="00240C6F">
        <w:rPr>
          <w:rStyle w:val="FootnoteReference"/>
          <w:rFonts w:ascii="Arial" w:hAnsi="Arial" w:cs="Arial"/>
          <w:sz w:val="20"/>
          <w:szCs w:val="20"/>
        </w:rPr>
        <w:footnoteRef/>
      </w:r>
      <w:r w:rsidRPr="00240C6F">
        <w:rPr>
          <w:rFonts w:ascii="Arial" w:hAnsi="Arial" w:cs="Arial"/>
          <w:sz w:val="20"/>
          <w:szCs w:val="20"/>
        </w:rPr>
        <w:t xml:space="preserve"> [2016] VSC 629</w:t>
      </w:r>
      <w:r w:rsidRPr="00240C6F">
        <w:rPr>
          <w:rFonts w:ascii="Arial" w:hAnsi="Arial" w:cs="Arial"/>
          <w:i/>
          <w:sz w:val="20"/>
          <w:szCs w:val="20"/>
        </w:rPr>
        <w:t xml:space="preserve"> </w:t>
      </w:r>
      <w:r>
        <w:rPr>
          <w:rFonts w:ascii="Arial" w:hAnsi="Arial" w:cs="Arial"/>
          <w:i/>
          <w:sz w:val="20"/>
          <w:szCs w:val="20"/>
        </w:rPr>
        <w:t>[</w:t>
      </w:r>
      <w:r w:rsidRPr="00240C6F">
        <w:rPr>
          <w:rFonts w:ascii="Arial" w:hAnsi="Arial" w:cs="Arial"/>
          <w:i/>
          <w:sz w:val="20"/>
          <w:szCs w:val="20"/>
        </w:rPr>
        <w:t>40]</w:t>
      </w:r>
      <w:r>
        <w:rPr>
          <w:rFonts w:ascii="Arial" w:hAnsi="Arial" w:cs="Arial"/>
          <w:i/>
          <w:sz w:val="20"/>
          <w:szCs w:val="20"/>
        </w:rPr>
        <w:t>.</w:t>
      </w:r>
    </w:p>
  </w:footnote>
  <w:footnote w:id="6">
    <w:p w14:paraId="444FECCD" w14:textId="77777777" w:rsidR="00474900" w:rsidRDefault="00474900" w:rsidP="0016339F">
      <w:pPr>
        <w:pStyle w:val="FootnoteText"/>
      </w:pPr>
      <w:r>
        <w:rPr>
          <w:rStyle w:val="FootnoteReference"/>
        </w:rPr>
        <w:footnoteRef/>
      </w:r>
      <w:r>
        <w:t xml:space="preserve"> </w:t>
      </w:r>
      <w:r w:rsidRPr="00474900">
        <w:rPr>
          <w:rFonts w:ascii="Arial" w:hAnsi="Arial" w:cs="Arial"/>
        </w:rPr>
        <w:t>[2016] VSC 311</w:t>
      </w:r>
      <w:r>
        <w:rPr>
          <w:rFonts w:ascii="Arial" w:hAnsi="Arial" w:cs="Arial"/>
        </w:rPr>
        <w:t>.</w:t>
      </w:r>
    </w:p>
  </w:footnote>
  <w:footnote w:id="7">
    <w:p w14:paraId="493C531B" w14:textId="77777777" w:rsidR="00474900" w:rsidRPr="00474900" w:rsidRDefault="00474900" w:rsidP="0016339F">
      <w:pPr>
        <w:pStyle w:val="FootnoteText"/>
      </w:pPr>
      <w:r>
        <w:rPr>
          <w:rStyle w:val="FootnoteReference"/>
        </w:rPr>
        <w:footnoteRef/>
      </w:r>
      <w:r>
        <w:t xml:space="preserve"> </w:t>
      </w:r>
      <w:r w:rsidRPr="00474900">
        <w:rPr>
          <w:rFonts w:ascii="Arial" w:hAnsi="Arial" w:cs="Arial"/>
        </w:rPr>
        <w:t>[2016</w:t>
      </w:r>
      <w:r w:rsidRPr="003B52B3">
        <w:rPr>
          <w:rFonts w:ascii="Arial" w:hAnsi="Arial" w:cs="Arial"/>
        </w:rPr>
        <w:t>] VSCA 4</w:t>
      </w:r>
      <w:r w:rsidR="0016339F">
        <w:rPr>
          <w:rFonts w:ascii="Arial" w:hAnsi="Arial" w:cs="Arial"/>
        </w:rPr>
        <w:t>.</w:t>
      </w:r>
    </w:p>
  </w:footnote>
  <w:footnote w:id="8">
    <w:p w14:paraId="2A4D1C76" w14:textId="77777777" w:rsidR="00A11544" w:rsidRPr="00B01F34" w:rsidRDefault="00A11544" w:rsidP="0016339F">
      <w:pPr>
        <w:pStyle w:val="FootnoteText"/>
        <w:rPr>
          <w:rFonts w:ascii="Arial" w:hAnsi="Arial" w:cs="Arial"/>
        </w:rPr>
      </w:pPr>
      <w:r>
        <w:rPr>
          <w:rStyle w:val="FootnoteReference"/>
        </w:rPr>
        <w:footnoteRef/>
      </w:r>
      <w:r>
        <w:t xml:space="preserve"> </w:t>
      </w:r>
      <w:r w:rsidRPr="00B01F34">
        <w:rPr>
          <w:rFonts w:ascii="Arial" w:hAnsi="Arial" w:cs="Arial"/>
        </w:rPr>
        <w:t>[2016]VSC 558.</w:t>
      </w:r>
    </w:p>
  </w:footnote>
  <w:footnote w:id="9">
    <w:p w14:paraId="6B4992B0" w14:textId="77777777" w:rsidR="00405987" w:rsidRDefault="00405987" w:rsidP="0016339F">
      <w:pPr>
        <w:pStyle w:val="FootnoteText"/>
      </w:pPr>
      <w:r>
        <w:rPr>
          <w:rStyle w:val="FootnoteReference"/>
        </w:rPr>
        <w:footnoteRef/>
      </w:r>
      <w:r>
        <w:t xml:space="preserve"> </w:t>
      </w:r>
      <w:r w:rsidRPr="00667846">
        <w:rPr>
          <w:rFonts w:ascii="Arial" w:hAnsi="Arial" w:cs="Arial"/>
        </w:rPr>
        <w:t>[2016] VSC 559</w:t>
      </w:r>
      <w:r>
        <w:rPr>
          <w:rFonts w:ascii="Arial" w:hAnsi="Arial" w:cs="Arial"/>
        </w:rPr>
        <w:t>.</w:t>
      </w:r>
    </w:p>
  </w:footnote>
  <w:footnote w:id="10">
    <w:p w14:paraId="008D5025" w14:textId="77777777" w:rsidR="00405987" w:rsidRDefault="00405987">
      <w:pPr>
        <w:pStyle w:val="FootnoteText"/>
      </w:pPr>
      <w:r>
        <w:rPr>
          <w:rStyle w:val="FootnoteReference"/>
        </w:rPr>
        <w:footnoteRef/>
      </w:r>
      <w:r>
        <w:t xml:space="preserve"> </w:t>
      </w:r>
      <w:r w:rsidRPr="00667846">
        <w:rPr>
          <w:rFonts w:ascii="Arial" w:hAnsi="Arial" w:cs="Arial"/>
        </w:rPr>
        <w:t>[2016] VSC 399</w:t>
      </w:r>
      <w:r>
        <w:rPr>
          <w:rFonts w:ascii="Arial" w:hAnsi="Arial" w:cs="Arial"/>
        </w:rPr>
        <w:t>.</w:t>
      </w:r>
    </w:p>
  </w:footnote>
  <w:footnote w:id="11">
    <w:p w14:paraId="484845A0" w14:textId="77777777" w:rsidR="0098504C" w:rsidRDefault="0098504C">
      <w:pPr>
        <w:pStyle w:val="FootnoteText"/>
      </w:pPr>
      <w:r>
        <w:rPr>
          <w:rStyle w:val="FootnoteReference"/>
        </w:rPr>
        <w:footnoteRef/>
      </w:r>
      <w:r>
        <w:t xml:space="preserve"> </w:t>
      </w:r>
      <w:r w:rsidRPr="00667846">
        <w:rPr>
          <w:rFonts w:ascii="Arial" w:hAnsi="Arial" w:cs="Arial"/>
        </w:rPr>
        <w:t>[2016] VSC 573</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369496"/>
      <w:docPartObj>
        <w:docPartGallery w:val="Page Numbers (Top of Page)"/>
        <w:docPartUnique/>
      </w:docPartObj>
    </w:sdtPr>
    <w:sdtEndPr>
      <w:rPr>
        <w:noProof/>
      </w:rPr>
    </w:sdtEndPr>
    <w:sdtContent>
      <w:p w14:paraId="73A8F6F9" w14:textId="77777777" w:rsidR="003469CB" w:rsidRDefault="003469CB">
        <w:pPr>
          <w:pStyle w:val="Header"/>
          <w:jc w:val="right"/>
        </w:pPr>
        <w:r>
          <w:fldChar w:fldCharType="begin"/>
        </w:r>
        <w:r>
          <w:instrText xml:space="preserve"> PAGE   \* MERGEFORMAT </w:instrText>
        </w:r>
        <w:r>
          <w:fldChar w:fldCharType="separate"/>
        </w:r>
        <w:r w:rsidR="00F538EB">
          <w:rPr>
            <w:noProof/>
          </w:rPr>
          <w:t>6</w:t>
        </w:r>
        <w:r>
          <w:rPr>
            <w:noProof/>
          </w:rPr>
          <w:fldChar w:fldCharType="end"/>
        </w:r>
      </w:p>
    </w:sdtContent>
  </w:sdt>
  <w:p w14:paraId="34179123" w14:textId="77777777" w:rsidR="003469CB" w:rsidRDefault="0034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85116"/>
    <w:multiLevelType w:val="hybridMultilevel"/>
    <w:tmpl w:val="E8A81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82E4431"/>
    <w:multiLevelType w:val="hybridMultilevel"/>
    <w:tmpl w:val="8FD69D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D3"/>
    <w:rsid w:val="0003048A"/>
    <w:rsid w:val="00043835"/>
    <w:rsid w:val="0007613E"/>
    <w:rsid w:val="000B260B"/>
    <w:rsid w:val="000F5CEB"/>
    <w:rsid w:val="00125BAE"/>
    <w:rsid w:val="00126C12"/>
    <w:rsid w:val="0014453A"/>
    <w:rsid w:val="0016339F"/>
    <w:rsid w:val="001F4109"/>
    <w:rsid w:val="001F7A05"/>
    <w:rsid w:val="00240C6F"/>
    <w:rsid w:val="002C5B7B"/>
    <w:rsid w:val="002D5281"/>
    <w:rsid w:val="0030716A"/>
    <w:rsid w:val="003469CB"/>
    <w:rsid w:val="00361D3C"/>
    <w:rsid w:val="00383F2E"/>
    <w:rsid w:val="003B52B3"/>
    <w:rsid w:val="003C0A96"/>
    <w:rsid w:val="00403C40"/>
    <w:rsid w:val="00405987"/>
    <w:rsid w:val="00474900"/>
    <w:rsid w:val="00474C6B"/>
    <w:rsid w:val="004A5E74"/>
    <w:rsid w:val="004B6E9C"/>
    <w:rsid w:val="0050121A"/>
    <w:rsid w:val="00525D93"/>
    <w:rsid w:val="005337E5"/>
    <w:rsid w:val="00533CEF"/>
    <w:rsid w:val="00535DD9"/>
    <w:rsid w:val="00577B06"/>
    <w:rsid w:val="005A1AB4"/>
    <w:rsid w:val="005B2392"/>
    <w:rsid w:val="005C08B6"/>
    <w:rsid w:val="006543D3"/>
    <w:rsid w:val="006A0413"/>
    <w:rsid w:val="006E35FB"/>
    <w:rsid w:val="0070023A"/>
    <w:rsid w:val="00716454"/>
    <w:rsid w:val="007A57D7"/>
    <w:rsid w:val="007B2E68"/>
    <w:rsid w:val="007C061A"/>
    <w:rsid w:val="00847C44"/>
    <w:rsid w:val="008A2C5F"/>
    <w:rsid w:val="0091188B"/>
    <w:rsid w:val="009213AF"/>
    <w:rsid w:val="00924A42"/>
    <w:rsid w:val="0096377F"/>
    <w:rsid w:val="0098504C"/>
    <w:rsid w:val="009D358F"/>
    <w:rsid w:val="00A0121B"/>
    <w:rsid w:val="00A11481"/>
    <w:rsid w:val="00A11544"/>
    <w:rsid w:val="00A504B9"/>
    <w:rsid w:val="00A634C9"/>
    <w:rsid w:val="00A96BA5"/>
    <w:rsid w:val="00AD4753"/>
    <w:rsid w:val="00AF4E4D"/>
    <w:rsid w:val="00B01F34"/>
    <w:rsid w:val="00B6236C"/>
    <w:rsid w:val="00B92CFF"/>
    <w:rsid w:val="00BC6B8C"/>
    <w:rsid w:val="00BF6C0C"/>
    <w:rsid w:val="00C3392C"/>
    <w:rsid w:val="00C43FC9"/>
    <w:rsid w:val="00C872F2"/>
    <w:rsid w:val="00C952DA"/>
    <w:rsid w:val="00CA342D"/>
    <w:rsid w:val="00CF4C40"/>
    <w:rsid w:val="00D21EB3"/>
    <w:rsid w:val="00D4768E"/>
    <w:rsid w:val="00D6792B"/>
    <w:rsid w:val="00DB3776"/>
    <w:rsid w:val="00DE56BF"/>
    <w:rsid w:val="00E00D8F"/>
    <w:rsid w:val="00E23FCC"/>
    <w:rsid w:val="00E25100"/>
    <w:rsid w:val="00E2584E"/>
    <w:rsid w:val="00E25AE6"/>
    <w:rsid w:val="00E277BD"/>
    <w:rsid w:val="00E40A59"/>
    <w:rsid w:val="00E4632B"/>
    <w:rsid w:val="00E53D01"/>
    <w:rsid w:val="00E54D20"/>
    <w:rsid w:val="00E74EC7"/>
    <w:rsid w:val="00EA2C34"/>
    <w:rsid w:val="00EE50BA"/>
    <w:rsid w:val="00F03D13"/>
    <w:rsid w:val="00F13D67"/>
    <w:rsid w:val="00F32B29"/>
    <w:rsid w:val="00F538EB"/>
    <w:rsid w:val="00F62C1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0036"/>
  <w15:chartTrackingRefBased/>
  <w15:docId w15:val="{56DE2358-28C0-47E0-9B9E-78BB81F7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40"/>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6E35FB"/>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DE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BF"/>
    <w:rPr>
      <w:rFonts w:ascii="Segoe UI" w:hAnsi="Segoe UI" w:cs="Segoe UI"/>
      <w:sz w:val="18"/>
      <w:szCs w:val="18"/>
    </w:rPr>
  </w:style>
  <w:style w:type="paragraph" w:styleId="Header">
    <w:name w:val="header"/>
    <w:basedOn w:val="Normal"/>
    <w:link w:val="HeaderChar"/>
    <w:uiPriority w:val="99"/>
    <w:unhideWhenUsed/>
    <w:rsid w:val="00DE5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BF"/>
  </w:style>
  <w:style w:type="paragraph" w:styleId="Footer">
    <w:name w:val="footer"/>
    <w:basedOn w:val="Normal"/>
    <w:link w:val="FooterChar"/>
    <w:uiPriority w:val="99"/>
    <w:unhideWhenUsed/>
    <w:rsid w:val="00DE5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BF"/>
  </w:style>
  <w:style w:type="paragraph" w:styleId="FootnoteText">
    <w:name w:val="footnote text"/>
    <w:basedOn w:val="Normal"/>
    <w:link w:val="FootnoteTextChar"/>
    <w:semiHidden/>
    <w:unhideWhenUsed/>
    <w:rsid w:val="001F4109"/>
    <w:pPr>
      <w:spacing w:after="0" w:line="240" w:lineRule="auto"/>
    </w:pPr>
    <w:rPr>
      <w:sz w:val="20"/>
      <w:szCs w:val="20"/>
    </w:rPr>
  </w:style>
  <w:style w:type="character" w:customStyle="1" w:styleId="FootnoteTextChar">
    <w:name w:val="Footnote Text Char"/>
    <w:basedOn w:val="DefaultParagraphFont"/>
    <w:link w:val="FootnoteText"/>
    <w:semiHidden/>
    <w:rsid w:val="001F4109"/>
    <w:rPr>
      <w:sz w:val="20"/>
      <w:szCs w:val="20"/>
    </w:rPr>
  </w:style>
  <w:style w:type="character" w:styleId="FootnoteReference">
    <w:name w:val="footnote reference"/>
    <w:basedOn w:val="DefaultParagraphFont"/>
    <w:uiPriority w:val="99"/>
    <w:semiHidden/>
    <w:unhideWhenUsed/>
    <w:rsid w:val="001F4109"/>
    <w:rPr>
      <w:vertAlign w:val="superscript"/>
    </w:rPr>
  </w:style>
  <w:style w:type="character" w:styleId="Hyperlink">
    <w:name w:val="Hyperlink"/>
    <w:basedOn w:val="DefaultParagraphFont"/>
    <w:uiPriority w:val="99"/>
    <w:unhideWhenUsed/>
    <w:rsid w:val="001F4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971003">
      <w:bodyDiv w:val="1"/>
      <w:marLeft w:val="0"/>
      <w:marRight w:val="0"/>
      <w:marTop w:val="0"/>
      <w:marBottom w:val="0"/>
      <w:divBdr>
        <w:top w:val="none" w:sz="0" w:space="0" w:color="auto"/>
        <w:left w:val="none" w:sz="0" w:space="0" w:color="auto"/>
        <w:bottom w:val="none" w:sz="0" w:space="0" w:color="auto"/>
        <w:right w:val="none" w:sz="0" w:space="0" w:color="auto"/>
      </w:divBdr>
    </w:div>
    <w:div w:id="2134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ecourt.vic.gov.au/law-and-practice/specialist-lists-of-the-court/employment-and-industrial-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769145637E74DA6EFD64B338068AF" ma:contentTypeVersion="2" ma:contentTypeDescription="Create a new document." ma:contentTypeScope="" ma:versionID="ca9541b02417943b54c63f84874a6dd3">
  <xsd:schema xmlns:xsd="http://www.w3.org/2001/XMLSchema" xmlns:xs="http://www.w3.org/2001/XMLSchema" xmlns:p="http://schemas.microsoft.com/office/2006/metadata/properties" xmlns:ns2="bfa68fe7-3394-4043-be30-b0e3914e81d0" targetNamespace="http://schemas.microsoft.com/office/2006/metadata/properties" ma:root="true" ma:fieldsID="6b163cddaa50d158f9933a7789e48823" ns2:_="">
    <xsd:import namespace="bfa68fe7-3394-4043-be30-b0e3914e81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8fe7-3394-4043-be30-b0e3914e8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0A66C-B304-4421-BC72-30292E07560F}">
  <ds:schemaRefs>
    <ds:schemaRef ds:uri="http://schemas.openxmlformats.org/officeDocument/2006/bibliography"/>
  </ds:schemaRefs>
</ds:datastoreItem>
</file>

<file path=customXml/itemProps2.xml><?xml version="1.0" encoding="utf-8"?>
<ds:datastoreItem xmlns:ds="http://schemas.openxmlformats.org/officeDocument/2006/customXml" ds:itemID="{6C592943-FCCC-49A7-98C7-0F8DCFF1E5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F9CE9-1700-43FA-BF7E-45A4A7B6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8fe7-3394-4043-be30-b0e3914e8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3FEFF-AC7E-454D-9613-253B2AE11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Associate Justice Ierodiaconou</dc:creator>
  <cp:keywords/>
  <dc:description/>
  <cp:lastModifiedBy>Ala Al-Mahaidi</cp:lastModifiedBy>
  <cp:revision>3</cp:revision>
  <cp:lastPrinted>2016-11-14T04:20:00Z</cp:lastPrinted>
  <dcterms:created xsi:type="dcterms:W3CDTF">2016-11-15T00:05:00Z</dcterms:created>
  <dcterms:modified xsi:type="dcterms:W3CDTF">2021-09-03T05:31:00Z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0x01010001D769145637E74DA6EFD64B338068AF</vt:lpwstr>
  </property>
</Properties>
</file>