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A0E21" w14:textId="77777777" w:rsidR="009D22E5" w:rsidRDefault="009D22E5" w:rsidP="000F6B8C">
      <w:pPr>
        <w:jc w:val="center"/>
        <w:rPr>
          <w:rFonts w:ascii="Book Antiqua" w:hAnsi="Book Antiqua"/>
          <w:b/>
          <w:sz w:val="28"/>
          <w:szCs w:val="28"/>
        </w:rPr>
      </w:pPr>
      <w:r w:rsidRPr="00194293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015210A" wp14:editId="65A13EDE">
            <wp:extent cx="1247775" cy="124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CF444" w14:textId="77777777" w:rsidR="000602EA" w:rsidRPr="00E7405B" w:rsidRDefault="000F6B8C" w:rsidP="000F6B8C">
      <w:pPr>
        <w:jc w:val="center"/>
        <w:rPr>
          <w:rFonts w:ascii="Book Antiqua" w:hAnsi="Book Antiqua"/>
          <w:b/>
          <w:sz w:val="28"/>
          <w:szCs w:val="28"/>
        </w:rPr>
      </w:pPr>
      <w:r w:rsidRPr="00E7405B">
        <w:rPr>
          <w:rFonts w:ascii="Book Antiqua" w:hAnsi="Book Antiqua"/>
          <w:b/>
          <w:sz w:val="28"/>
          <w:szCs w:val="28"/>
        </w:rPr>
        <w:t>Notice to the Profession</w:t>
      </w:r>
    </w:p>
    <w:p w14:paraId="6EE373F2" w14:textId="77777777" w:rsidR="000F6B8C" w:rsidRPr="00E7405B" w:rsidRDefault="000F6B8C" w:rsidP="000F6B8C">
      <w:pPr>
        <w:jc w:val="center"/>
        <w:rPr>
          <w:rFonts w:ascii="Book Antiqua" w:hAnsi="Book Antiqua"/>
          <w:sz w:val="24"/>
          <w:szCs w:val="24"/>
        </w:rPr>
      </w:pPr>
      <w:r w:rsidRPr="00E7405B">
        <w:rPr>
          <w:rFonts w:ascii="Book Antiqua" w:hAnsi="Book Antiqua"/>
          <w:sz w:val="24"/>
          <w:szCs w:val="24"/>
        </w:rPr>
        <w:t>The Chief Justice has authorised the issue of the following notice</w:t>
      </w:r>
      <w:r w:rsidR="000A2AC5">
        <w:rPr>
          <w:rFonts w:ascii="Book Antiqua" w:hAnsi="Book Antiqua"/>
          <w:sz w:val="24"/>
          <w:szCs w:val="24"/>
        </w:rPr>
        <w:t>.</w:t>
      </w:r>
    </w:p>
    <w:p w14:paraId="26E4014E" w14:textId="77777777" w:rsidR="000A2AC5" w:rsidRDefault="000A2AC5" w:rsidP="000F6B8C">
      <w:pPr>
        <w:jc w:val="center"/>
        <w:rPr>
          <w:rFonts w:ascii="Book Antiqua" w:hAnsi="Book Antiqua"/>
        </w:rPr>
      </w:pPr>
    </w:p>
    <w:p w14:paraId="1412CC0E" w14:textId="77777777" w:rsidR="00C05985" w:rsidRPr="00C05985" w:rsidRDefault="001604BF" w:rsidP="00C05985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 w:cstheme="minorHAnsi"/>
          <w:b/>
          <w:color w:val="000000"/>
          <w:sz w:val="28"/>
          <w:szCs w:val="28"/>
        </w:rPr>
      </w:pPr>
      <w:r w:rsidRPr="001604BF">
        <w:rPr>
          <w:rFonts w:ascii="Book Antiqua" w:hAnsi="Book Antiqua" w:cstheme="minorHAnsi"/>
          <w:b/>
          <w:color w:val="000000"/>
          <w:sz w:val="28"/>
          <w:szCs w:val="28"/>
        </w:rPr>
        <w:t>I</w:t>
      </w:r>
      <w:r>
        <w:rPr>
          <w:rFonts w:ascii="Book Antiqua" w:hAnsi="Book Antiqua" w:cstheme="minorHAnsi"/>
          <w:b/>
          <w:color w:val="000000"/>
          <w:sz w:val="28"/>
          <w:szCs w:val="28"/>
        </w:rPr>
        <w:t>n</w:t>
      </w:r>
      <w:r w:rsidRPr="001604BF">
        <w:rPr>
          <w:rFonts w:ascii="Book Antiqua" w:hAnsi="Book Antiqua" w:cstheme="minorHAnsi"/>
          <w:b/>
          <w:color w:val="000000"/>
          <w:sz w:val="28"/>
          <w:szCs w:val="28"/>
        </w:rPr>
        <w:t xml:space="preserve"> P</w:t>
      </w:r>
      <w:r>
        <w:rPr>
          <w:rFonts w:ascii="Book Antiqua" w:hAnsi="Book Antiqua" w:cstheme="minorHAnsi"/>
          <w:b/>
          <w:color w:val="000000"/>
          <w:sz w:val="28"/>
          <w:szCs w:val="28"/>
        </w:rPr>
        <w:t>erson</w:t>
      </w:r>
      <w:r w:rsidRPr="001604BF">
        <w:rPr>
          <w:rFonts w:ascii="Book Antiqua" w:hAnsi="Book Antiqua" w:cstheme="minorHAnsi"/>
          <w:b/>
          <w:color w:val="000000"/>
          <w:sz w:val="28"/>
          <w:szCs w:val="28"/>
        </w:rPr>
        <w:t xml:space="preserve"> </w:t>
      </w:r>
      <w:r w:rsidR="00AA0152">
        <w:rPr>
          <w:rFonts w:ascii="Book Antiqua" w:hAnsi="Book Antiqua" w:cstheme="minorHAnsi"/>
          <w:b/>
          <w:color w:val="000000"/>
          <w:sz w:val="28"/>
          <w:szCs w:val="28"/>
        </w:rPr>
        <w:t>Hearings</w:t>
      </w:r>
    </w:p>
    <w:p w14:paraId="302AE9D6" w14:textId="77777777" w:rsidR="00003C40" w:rsidRDefault="001604BF" w:rsidP="00134002">
      <w:p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sz w:val="24"/>
          <w:szCs w:val="24"/>
        </w:rPr>
      </w:pPr>
      <w:r w:rsidRPr="001604BF">
        <w:rPr>
          <w:rFonts w:ascii="Book Antiqua" w:hAnsi="Book Antiqua" w:cstheme="minorHAnsi"/>
          <w:sz w:val="24"/>
          <w:szCs w:val="24"/>
        </w:rPr>
        <w:t xml:space="preserve">From </w:t>
      </w:r>
      <w:r w:rsidR="00772FE6">
        <w:rPr>
          <w:rFonts w:ascii="Book Antiqua" w:hAnsi="Book Antiqua" w:cstheme="minorHAnsi"/>
          <w:sz w:val="24"/>
          <w:szCs w:val="24"/>
        </w:rPr>
        <w:t>26 October</w:t>
      </w:r>
      <w:r w:rsidRPr="001604BF">
        <w:rPr>
          <w:rFonts w:ascii="Book Antiqua" w:hAnsi="Book Antiqua" w:cstheme="minorHAnsi"/>
          <w:sz w:val="24"/>
          <w:szCs w:val="24"/>
        </w:rPr>
        <w:t xml:space="preserve"> 2021, </w:t>
      </w:r>
      <w:proofErr w:type="gramStart"/>
      <w:r w:rsidR="00003C40">
        <w:rPr>
          <w:rFonts w:ascii="Book Antiqua" w:hAnsi="Book Antiqua" w:cstheme="minorHAnsi"/>
          <w:sz w:val="24"/>
          <w:szCs w:val="24"/>
        </w:rPr>
        <w:t>with the exception of</w:t>
      </w:r>
      <w:proofErr w:type="gramEnd"/>
      <w:r w:rsidR="00003C40">
        <w:rPr>
          <w:rFonts w:ascii="Book Antiqua" w:hAnsi="Book Antiqua" w:cstheme="minorHAnsi"/>
          <w:sz w:val="24"/>
          <w:szCs w:val="24"/>
        </w:rPr>
        <w:t xml:space="preserve"> criminal jury trials</w:t>
      </w:r>
      <w:r w:rsidR="00F37C0C">
        <w:rPr>
          <w:rStyle w:val="FootnoteReference"/>
          <w:rFonts w:ascii="Book Antiqua" w:hAnsi="Book Antiqua" w:cstheme="minorHAnsi"/>
          <w:sz w:val="24"/>
          <w:szCs w:val="24"/>
        </w:rPr>
        <w:footnoteReference w:id="1"/>
      </w:r>
      <w:r w:rsidR="00003C40">
        <w:rPr>
          <w:rFonts w:ascii="Book Antiqua" w:hAnsi="Book Antiqua" w:cstheme="minorHAnsi"/>
          <w:sz w:val="24"/>
          <w:szCs w:val="24"/>
        </w:rPr>
        <w:t xml:space="preserve"> </w:t>
      </w:r>
      <w:r w:rsidR="00772FE6">
        <w:rPr>
          <w:rFonts w:ascii="Book Antiqua" w:hAnsi="Book Antiqua" w:cstheme="minorHAnsi"/>
          <w:sz w:val="24"/>
          <w:szCs w:val="24"/>
        </w:rPr>
        <w:t xml:space="preserve">in person hearings in the </w:t>
      </w:r>
      <w:r w:rsidR="00AA0152">
        <w:rPr>
          <w:rFonts w:ascii="Book Antiqua" w:hAnsi="Book Antiqua" w:cstheme="minorHAnsi"/>
          <w:sz w:val="24"/>
          <w:szCs w:val="24"/>
        </w:rPr>
        <w:t xml:space="preserve">Court of Appeal, </w:t>
      </w:r>
      <w:r w:rsidR="00003C40">
        <w:rPr>
          <w:rFonts w:ascii="Book Antiqua" w:hAnsi="Book Antiqua" w:cstheme="minorHAnsi"/>
          <w:sz w:val="24"/>
          <w:szCs w:val="24"/>
        </w:rPr>
        <w:t xml:space="preserve">Criminal Division, </w:t>
      </w:r>
      <w:r w:rsidR="00772FE6">
        <w:rPr>
          <w:rFonts w:ascii="Book Antiqua" w:hAnsi="Book Antiqua" w:cstheme="minorHAnsi"/>
          <w:sz w:val="24"/>
          <w:szCs w:val="24"/>
        </w:rPr>
        <w:t xml:space="preserve">Commercial Court and Common Law Divisions </w:t>
      </w:r>
      <w:r w:rsidR="00AA0152">
        <w:rPr>
          <w:rFonts w:ascii="Book Antiqua" w:hAnsi="Book Antiqua" w:cstheme="minorHAnsi"/>
          <w:sz w:val="24"/>
          <w:szCs w:val="24"/>
        </w:rPr>
        <w:t xml:space="preserve">may be permitted by exception where there are special reasons why a virtual hearing is not practicable. </w:t>
      </w:r>
    </w:p>
    <w:p w14:paraId="73759A02" w14:textId="77777777" w:rsidR="001604BF" w:rsidRPr="001604BF" w:rsidRDefault="00AA0152" w:rsidP="00134002">
      <w:p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Consideration of exceptions will also </w:t>
      </w:r>
      <w:proofErr w:type="gramStart"/>
      <w:r>
        <w:rPr>
          <w:rFonts w:ascii="Book Antiqua" w:hAnsi="Book Antiqua" w:cstheme="minorHAnsi"/>
          <w:sz w:val="24"/>
          <w:szCs w:val="24"/>
        </w:rPr>
        <w:t>take into account</w:t>
      </w:r>
      <w:proofErr w:type="gramEnd"/>
      <w:r>
        <w:rPr>
          <w:rFonts w:ascii="Book Antiqua" w:hAnsi="Book Antiqua" w:cstheme="minorHAnsi"/>
          <w:sz w:val="24"/>
          <w:szCs w:val="24"/>
        </w:rPr>
        <w:t xml:space="preserve"> </w:t>
      </w:r>
      <w:r w:rsidR="001604BF" w:rsidRPr="001604BF">
        <w:rPr>
          <w:rFonts w:ascii="Book Antiqua" w:hAnsi="Book Antiqua" w:cstheme="minorHAnsi"/>
          <w:sz w:val="24"/>
          <w:szCs w:val="24"/>
        </w:rPr>
        <w:t>the availability of a courtroom and appropriate safeguards with respect to the following:</w:t>
      </w:r>
    </w:p>
    <w:p w14:paraId="01A2295B" w14:textId="77777777" w:rsidR="00F403D3" w:rsidRDefault="001604BF" w:rsidP="001340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sz w:val="24"/>
          <w:szCs w:val="24"/>
        </w:rPr>
      </w:pPr>
      <w:r w:rsidRPr="001604BF">
        <w:rPr>
          <w:rFonts w:ascii="Book Antiqua" w:hAnsi="Book Antiqua" w:cstheme="minorHAnsi"/>
          <w:sz w:val="24"/>
          <w:szCs w:val="24"/>
        </w:rPr>
        <w:t>A limit on the number of persons attending the court</w:t>
      </w:r>
      <w:r w:rsidR="00003C40">
        <w:rPr>
          <w:rFonts w:ascii="Book Antiqua" w:hAnsi="Book Antiqua" w:cstheme="minorHAnsi"/>
          <w:sz w:val="24"/>
          <w:szCs w:val="24"/>
        </w:rPr>
        <w:t xml:space="preserve"> </w:t>
      </w:r>
      <w:r w:rsidRPr="001604BF">
        <w:rPr>
          <w:rFonts w:ascii="Book Antiqua" w:hAnsi="Book Antiqua" w:cstheme="minorHAnsi"/>
          <w:sz w:val="24"/>
          <w:szCs w:val="24"/>
        </w:rPr>
        <w:t xml:space="preserve">assessed by reference to the functionality of the courtroom and applicable density and distancing requirements governing both the courtroom and the court building. </w:t>
      </w:r>
    </w:p>
    <w:p w14:paraId="45192774" w14:textId="77777777" w:rsidR="001604BF" w:rsidRPr="001604BF" w:rsidRDefault="001604BF" w:rsidP="001340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sz w:val="24"/>
          <w:szCs w:val="24"/>
        </w:rPr>
      </w:pPr>
      <w:r w:rsidRPr="001604BF">
        <w:rPr>
          <w:rFonts w:ascii="Book Antiqua" w:hAnsi="Book Antiqua" w:cstheme="minorHAnsi"/>
          <w:sz w:val="24"/>
          <w:szCs w:val="24"/>
        </w:rPr>
        <w:t xml:space="preserve">Commonly, in person participants may be limited to court staff, counsel, </w:t>
      </w:r>
      <w:proofErr w:type="gramStart"/>
      <w:r w:rsidRPr="001604BF">
        <w:rPr>
          <w:rFonts w:ascii="Book Antiqua" w:hAnsi="Book Antiqua" w:cstheme="minorHAnsi"/>
          <w:sz w:val="24"/>
          <w:szCs w:val="24"/>
        </w:rPr>
        <w:t>solicitors</w:t>
      </w:r>
      <w:proofErr w:type="gramEnd"/>
      <w:r w:rsidRPr="001604BF">
        <w:rPr>
          <w:rFonts w:ascii="Book Antiqua" w:hAnsi="Book Antiqua" w:cstheme="minorHAnsi"/>
          <w:sz w:val="24"/>
          <w:szCs w:val="24"/>
        </w:rPr>
        <w:t xml:space="preserve"> and the witness under e</w:t>
      </w:r>
      <w:r>
        <w:rPr>
          <w:rFonts w:ascii="Book Antiqua" w:hAnsi="Book Antiqua" w:cstheme="minorHAnsi"/>
          <w:sz w:val="24"/>
          <w:szCs w:val="24"/>
        </w:rPr>
        <w:t>xamination from time to time.</w:t>
      </w:r>
      <w:r>
        <w:rPr>
          <w:rStyle w:val="FootnoteReference"/>
          <w:rFonts w:ascii="Book Antiqua" w:hAnsi="Book Antiqua" w:cstheme="minorHAnsi"/>
          <w:sz w:val="24"/>
          <w:szCs w:val="24"/>
        </w:rPr>
        <w:footnoteReference w:id="2"/>
      </w:r>
    </w:p>
    <w:p w14:paraId="5E18A134" w14:textId="77777777" w:rsidR="001604BF" w:rsidRPr="001604BF" w:rsidRDefault="001604BF" w:rsidP="001340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sz w:val="24"/>
          <w:szCs w:val="24"/>
        </w:rPr>
      </w:pPr>
      <w:r w:rsidRPr="001604BF">
        <w:rPr>
          <w:rFonts w:ascii="Book Antiqua" w:hAnsi="Book Antiqua" w:cstheme="minorHAnsi"/>
          <w:sz w:val="24"/>
          <w:szCs w:val="24"/>
        </w:rPr>
        <w:t>Staggered start times to minimise attendees interacting with other persons at the Court may apply.</w:t>
      </w:r>
    </w:p>
    <w:p w14:paraId="71ED434B" w14:textId="77777777" w:rsidR="001604BF" w:rsidRPr="001604BF" w:rsidRDefault="001604BF" w:rsidP="001340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sz w:val="24"/>
          <w:szCs w:val="24"/>
        </w:rPr>
      </w:pPr>
      <w:r w:rsidRPr="001604BF">
        <w:rPr>
          <w:rFonts w:ascii="Book Antiqua" w:hAnsi="Book Antiqua" w:cstheme="minorHAnsi"/>
          <w:sz w:val="24"/>
          <w:szCs w:val="24"/>
        </w:rPr>
        <w:t>All attendees using a specified entrance and exit within specified times.</w:t>
      </w:r>
    </w:p>
    <w:p w14:paraId="363B9AAB" w14:textId="77777777" w:rsidR="001604BF" w:rsidRPr="001604BF" w:rsidRDefault="001604BF" w:rsidP="001340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sz w:val="24"/>
          <w:szCs w:val="24"/>
        </w:rPr>
      </w:pPr>
      <w:r w:rsidRPr="001604BF">
        <w:rPr>
          <w:rFonts w:ascii="Book Antiqua" w:hAnsi="Book Antiqua" w:cstheme="minorHAnsi"/>
          <w:sz w:val="24"/>
          <w:szCs w:val="24"/>
        </w:rPr>
        <w:t>Physical distancing</w:t>
      </w:r>
      <w:r w:rsidR="00003C40">
        <w:rPr>
          <w:rFonts w:ascii="Book Antiqua" w:hAnsi="Book Antiqua" w:cstheme="minorHAnsi"/>
          <w:sz w:val="24"/>
          <w:szCs w:val="24"/>
        </w:rPr>
        <w:t xml:space="preserve"> and mask wearing in accordance with public health directions</w:t>
      </w:r>
      <w:r w:rsidRPr="001604BF">
        <w:rPr>
          <w:rFonts w:ascii="Book Antiqua" w:hAnsi="Book Antiqua" w:cstheme="minorHAnsi"/>
          <w:sz w:val="24"/>
          <w:szCs w:val="24"/>
        </w:rPr>
        <w:t>.</w:t>
      </w:r>
    </w:p>
    <w:p w14:paraId="27A966DE" w14:textId="77777777" w:rsidR="001604BF" w:rsidRPr="001604BF" w:rsidRDefault="001604BF" w:rsidP="0013400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sz w:val="24"/>
          <w:szCs w:val="24"/>
        </w:rPr>
      </w:pPr>
      <w:r w:rsidRPr="001604BF">
        <w:rPr>
          <w:rFonts w:ascii="Book Antiqua" w:hAnsi="Book Antiqua" w:cstheme="minorHAnsi"/>
          <w:sz w:val="24"/>
          <w:szCs w:val="24"/>
        </w:rPr>
        <w:t>The acknowledgement of the parties that the trial may need to be completed virtually if there is a change in COVID</w:t>
      </w:r>
      <w:r w:rsidR="00003C40">
        <w:rPr>
          <w:rFonts w:ascii="Book Antiqua" w:hAnsi="Book Antiqua" w:cstheme="minorHAnsi"/>
          <w:sz w:val="24"/>
          <w:szCs w:val="24"/>
        </w:rPr>
        <w:t>-</w:t>
      </w:r>
      <w:r w:rsidRPr="001604BF">
        <w:rPr>
          <w:rFonts w:ascii="Book Antiqua" w:hAnsi="Book Antiqua" w:cstheme="minorHAnsi"/>
          <w:sz w:val="24"/>
          <w:szCs w:val="24"/>
        </w:rPr>
        <w:t>19 related circumstances.</w:t>
      </w:r>
    </w:p>
    <w:p w14:paraId="28DC16D6" w14:textId="77777777" w:rsidR="00CB4970" w:rsidRDefault="001604BF" w:rsidP="00CB4970">
      <w:p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sz w:val="24"/>
          <w:szCs w:val="24"/>
        </w:rPr>
      </w:pPr>
      <w:r w:rsidRPr="00CB4970">
        <w:rPr>
          <w:rFonts w:ascii="Book Antiqua" w:hAnsi="Book Antiqua" w:cstheme="minorHAnsi"/>
          <w:sz w:val="24"/>
          <w:szCs w:val="24"/>
        </w:rPr>
        <w:t xml:space="preserve">Applications by email for in person hearings </w:t>
      </w:r>
      <w:r w:rsidR="00E44383" w:rsidRPr="00CB4970">
        <w:rPr>
          <w:rFonts w:ascii="Book Antiqua" w:hAnsi="Book Antiqua" w:cstheme="minorHAnsi"/>
          <w:sz w:val="24"/>
          <w:szCs w:val="24"/>
        </w:rPr>
        <w:t xml:space="preserve">in the Court of Appeal </w:t>
      </w:r>
      <w:r w:rsidRPr="00CB4970">
        <w:rPr>
          <w:rFonts w:ascii="Book Antiqua" w:hAnsi="Book Antiqua" w:cstheme="minorHAnsi"/>
          <w:sz w:val="24"/>
          <w:szCs w:val="24"/>
        </w:rPr>
        <w:t xml:space="preserve">should be sent to </w:t>
      </w:r>
      <w:hyperlink r:id="rId12" w:history="1">
        <w:r w:rsidR="00CB4970" w:rsidRPr="00173AE9">
          <w:rPr>
            <w:rStyle w:val="Hyperlink"/>
            <w:rFonts w:ascii="Book Antiqua" w:hAnsi="Book Antiqua" w:cstheme="minorHAnsi"/>
            <w:sz w:val="24"/>
            <w:szCs w:val="24"/>
          </w:rPr>
          <w:t>coaregistry@supcourt.vic.gov.au</w:t>
        </w:r>
      </w:hyperlink>
      <w:r w:rsidR="00CB4970">
        <w:rPr>
          <w:rFonts w:ascii="Book Antiqua" w:hAnsi="Book Antiqua" w:cstheme="minorHAnsi"/>
          <w:sz w:val="24"/>
          <w:szCs w:val="24"/>
        </w:rPr>
        <w:t xml:space="preserve"> </w:t>
      </w:r>
      <w:r w:rsidR="00E44383" w:rsidRPr="00CB4970">
        <w:rPr>
          <w:rFonts w:ascii="Book Antiqua" w:hAnsi="Book Antiqua" w:cstheme="minorHAnsi"/>
          <w:sz w:val="24"/>
          <w:szCs w:val="24"/>
        </w:rPr>
        <w:t xml:space="preserve">  </w:t>
      </w:r>
    </w:p>
    <w:p w14:paraId="1E64CE76" w14:textId="63262D72" w:rsidR="00CE54BB" w:rsidRPr="00CB4970" w:rsidRDefault="00E44383" w:rsidP="00F029C5">
      <w:p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sz w:val="24"/>
          <w:szCs w:val="24"/>
        </w:rPr>
      </w:pPr>
      <w:r w:rsidRPr="00CB4970">
        <w:rPr>
          <w:rFonts w:ascii="Book Antiqua" w:hAnsi="Book Antiqua" w:cstheme="minorHAnsi"/>
          <w:sz w:val="24"/>
          <w:szCs w:val="24"/>
        </w:rPr>
        <w:t xml:space="preserve">In the Trial Division, applications should be </w:t>
      </w:r>
      <w:r w:rsidR="00F029C5">
        <w:rPr>
          <w:rFonts w:ascii="Book Antiqua" w:hAnsi="Book Antiqua" w:cstheme="minorHAnsi"/>
          <w:sz w:val="24"/>
          <w:szCs w:val="24"/>
        </w:rPr>
        <w:t xml:space="preserve">made by submitting an </w:t>
      </w:r>
      <w:r w:rsidR="00F029C5" w:rsidRPr="003F577C">
        <w:rPr>
          <w:rFonts w:ascii="Book Antiqua" w:hAnsi="Book Antiqua" w:cstheme="minorHAnsi"/>
          <w:sz w:val="24"/>
          <w:szCs w:val="24"/>
        </w:rPr>
        <w:t>‘</w:t>
      </w:r>
      <w:hyperlink r:id="rId13" w:history="1">
        <w:r w:rsidR="00F029C5" w:rsidRPr="003F577C">
          <w:rPr>
            <w:rStyle w:val="Hyperlink"/>
            <w:rFonts w:ascii="Book Antiqua" w:hAnsi="Book Antiqua" w:cstheme="minorHAnsi"/>
            <w:sz w:val="24"/>
            <w:szCs w:val="24"/>
          </w:rPr>
          <w:t>In person hearing application form</w:t>
        </w:r>
      </w:hyperlink>
      <w:r w:rsidR="00F029C5" w:rsidRPr="003F577C">
        <w:rPr>
          <w:rFonts w:ascii="Book Antiqua" w:hAnsi="Book Antiqua" w:cstheme="minorHAnsi"/>
          <w:sz w:val="24"/>
          <w:szCs w:val="24"/>
        </w:rPr>
        <w:t>’</w:t>
      </w:r>
      <w:r w:rsidR="00F029C5">
        <w:rPr>
          <w:rFonts w:ascii="Book Antiqua" w:hAnsi="Book Antiqua" w:cstheme="minorHAnsi"/>
          <w:sz w:val="24"/>
          <w:szCs w:val="24"/>
        </w:rPr>
        <w:t xml:space="preserve"> by email to the relevant address noted in the form.</w:t>
      </w:r>
    </w:p>
    <w:p w14:paraId="1C51399F" w14:textId="77777777" w:rsidR="00AA0152" w:rsidRDefault="001604BF" w:rsidP="00134002">
      <w:p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sz w:val="24"/>
          <w:szCs w:val="24"/>
        </w:rPr>
      </w:pPr>
      <w:r w:rsidRPr="001604BF">
        <w:rPr>
          <w:rFonts w:ascii="Book Antiqua" w:hAnsi="Book Antiqua" w:cstheme="minorHAnsi"/>
          <w:sz w:val="24"/>
          <w:szCs w:val="24"/>
        </w:rPr>
        <w:t xml:space="preserve">All other parties should be copied on the email.  </w:t>
      </w:r>
    </w:p>
    <w:p w14:paraId="731C3770" w14:textId="77777777" w:rsidR="001604BF" w:rsidRPr="001604BF" w:rsidRDefault="00AA0152" w:rsidP="00134002">
      <w:p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lastRenderedPageBreak/>
        <w:t>Exceptions for i</w:t>
      </w:r>
      <w:r w:rsidR="001604BF" w:rsidRPr="001604BF">
        <w:rPr>
          <w:rFonts w:ascii="Book Antiqua" w:hAnsi="Book Antiqua" w:cstheme="minorHAnsi"/>
          <w:sz w:val="24"/>
          <w:szCs w:val="24"/>
        </w:rPr>
        <w:t xml:space="preserve">n person </w:t>
      </w:r>
      <w:r>
        <w:rPr>
          <w:rFonts w:ascii="Book Antiqua" w:hAnsi="Book Antiqua" w:cstheme="minorHAnsi"/>
          <w:sz w:val="24"/>
          <w:szCs w:val="24"/>
        </w:rPr>
        <w:t>hearings</w:t>
      </w:r>
      <w:r w:rsidR="00E44383">
        <w:rPr>
          <w:rFonts w:ascii="Book Antiqua" w:hAnsi="Book Antiqua" w:cstheme="minorHAnsi"/>
          <w:sz w:val="24"/>
          <w:szCs w:val="24"/>
        </w:rPr>
        <w:t xml:space="preserve"> in the Court of Appeal</w:t>
      </w:r>
      <w:r w:rsidR="001604BF" w:rsidRPr="001604BF">
        <w:rPr>
          <w:rFonts w:ascii="Book Antiqua" w:hAnsi="Book Antiqua" w:cstheme="minorHAnsi"/>
          <w:sz w:val="24"/>
          <w:szCs w:val="24"/>
        </w:rPr>
        <w:t xml:space="preserve">, with the appropriate safeguards, will be confirmed by </w:t>
      </w:r>
      <w:r w:rsidR="00E44383">
        <w:rPr>
          <w:rFonts w:ascii="Book Antiqua" w:hAnsi="Book Antiqua" w:cstheme="minorHAnsi"/>
          <w:sz w:val="24"/>
          <w:szCs w:val="24"/>
        </w:rPr>
        <w:t xml:space="preserve">a Judicial Registrar.  In the Trial Division, </w:t>
      </w:r>
      <w:r w:rsidR="001604BF" w:rsidRPr="001604BF">
        <w:rPr>
          <w:rFonts w:ascii="Book Antiqua" w:hAnsi="Book Antiqua" w:cstheme="minorHAnsi"/>
          <w:sz w:val="24"/>
          <w:szCs w:val="24"/>
        </w:rPr>
        <w:t>the principal judge of the relevant division</w:t>
      </w:r>
      <w:r w:rsidR="00E44383">
        <w:rPr>
          <w:rFonts w:ascii="Book Antiqua" w:hAnsi="Book Antiqua" w:cstheme="minorHAnsi"/>
          <w:sz w:val="24"/>
          <w:szCs w:val="24"/>
        </w:rPr>
        <w:t xml:space="preserve"> will provide such confirmation</w:t>
      </w:r>
      <w:r w:rsidR="001604BF" w:rsidRPr="001604BF">
        <w:rPr>
          <w:rFonts w:ascii="Book Antiqua" w:hAnsi="Book Antiqua" w:cstheme="minorHAnsi"/>
          <w:sz w:val="24"/>
          <w:szCs w:val="24"/>
        </w:rPr>
        <w:t>.</w:t>
      </w:r>
    </w:p>
    <w:p w14:paraId="1C87CA1D" w14:textId="77777777" w:rsidR="00AA0152" w:rsidRDefault="00AA0152" w:rsidP="00134002">
      <w:p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color w:val="000000"/>
          <w:sz w:val="24"/>
          <w:szCs w:val="24"/>
        </w:rPr>
      </w:pPr>
      <w:r>
        <w:rPr>
          <w:rFonts w:ascii="Book Antiqua" w:hAnsi="Book Antiqua" w:cstheme="minorHAnsi"/>
          <w:color w:val="000000"/>
          <w:sz w:val="24"/>
          <w:szCs w:val="24"/>
        </w:rPr>
        <w:t xml:space="preserve">All </w:t>
      </w:r>
      <w:r w:rsidR="00F029C5">
        <w:rPr>
          <w:rFonts w:ascii="Book Antiqua" w:hAnsi="Book Antiqua" w:cstheme="minorHAnsi"/>
          <w:color w:val="000000"/>
          <w:sz w:val="24"/>
          <w:szCs w:val="24"/>
        </w:rPr>
        <w:t>persons attending in person at C</w:t>
      </w:r>
      <w:r>
        <w:rPr>
          <w:rFonts w:ascii="Book Antiqua" w:hAnsi="Book Antiqua" w:cstheme="minorHAnsi"/>
          <w:color w:val="000000"/>
          <w:sz w:val="24"/>
          <w:szCs w:val="24"/>
        </w:rPr>
        <w:t>ourt venues are strongly encouraged to be vaccinated</w:t>
      </w:r>
      <w:r w:rsidR="00CE54BB">
        <w:rPr>
          <w:rFonts w:ascii="Book Antiqua" w:hAnsi="Book Antiqua" w:cstheme="minorHAnsi"/>
          <w:color w:val="000000"/>
          <w:sz w:val="24"/>
          <w:szCs w:val="24"/>
        </w:rPr>
        <w:t xml:space="preserve"> for COVID-19</w:t>
      </w:r>
      <w:r>
        <w:rPr>
          <w:rFonts w:ascii="Book Antiqua" w:hAnsi="Book Antiqua" w:cstheme="minorHAnsi"/>
          <w:color w:val="000000"/>
          <w:sz w:val="24"/>
          <w:szCs w:val="24"/>
        </w:rPr>
        <w:t xml:space="preserve">. </w:t>
      </w:r>
    </w:p>
    <w:p w14:paraId="206168EB" w14:textId="77777777" w:rsidR="00AA0152" w:rsidRDefault="00AA0152" w:rsidP="00134002">
      <w:p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color w:val="000000"/>
          <w:sz w:val="24"/>
          <w:szCs w:val="24"/>
        </w:rPr>
      </w:pPr>
      <w:r>
        <w:rPr>
          <w:rFonts w:ascii="Book Antiqua" w:hAnsi="Book Antiqua" w:cstheme="minorHAnsi"/>
          <w:color w:val="000000"/>
          <w:sz w:val="24"/>
          <w:szCs w:val="24"/>
        </w:rPr>
        <w:t xml:space="preserve">The Court is </w:t>
      </w:r>
      <w:proofErr w:type="gramStart"/>
      <w:r>
        <w:rPr>
          <w:rFonts w:ascii="Book Antiqua" w:hAnsi="Book Antiqua" w:cstheme="minorHAnsi"/>
          <w:color w:val="000000"/>
          <w:sz w:val="24"/>
          <w:szCs w:val="24"/>
        </w:rPr>
        <w:t>making arrangements</w:t>
      </w:r>
      <w:proofErr w:type="gramEnd"/>
      <w:r w:rsidR="00A0382F">
        <w:rPr>
          <w:rFonts w:ascii="Book Antiqua" w:hAnsi="Book Antiqua" w:cstheme="minorHAnsi"/>
          <w:color w:val="000000"/>
          <w:sz w:val="24"/>
          <w:szCs w:val="24"/>
        </w:rPr>
        <w:t xml:space="preserve"> as a pilot</w:t>
      </w:r>
      <w:r>
        <w:rPr>
          <w:rFonts w:ascii="Book Antiqua" w:hAnsi="Book Antiqua" w:cstheme="minorHAnsi"/>
          <w:color w:val="000000"/>
          <w:sz w:val="24"/>
          <w:szCs w:val="24"/>
        </w:rPr>
        <w:t xml:space="preserve"> for </w:t>
      </w:r>
      <w:r w:rsidR="00003C40">
        <w:rPr>
          <w:rFonts w:ascii="Book Antiqua" w:hAnsi="Book Antiqua" w:cstheme="minorHAnsi"/>
          <w:color w:val="000000"/>
          <w:sz w:val="24"/>
          <w:szCs w:val="24"/>
        </w:rPr>
        <w:t xml:space="preserve">periodic </w:t>
      </w:r>
      <w:r w:rsidR="00CE54BB">
        <w:rPr>
          <w:rFonts w:ascii="Book Antiqua" w:hAnsi="Book Antiqua" w:cstheme="minorHAnsi"/>
          <w:color w:val="000000"/>
          <w:sz w:val="24"/>
          <w:szCs w:val="24"/>
        </w:rPr>
        <w:t xml:space="preserve">sentinel </w:t>
      </w:r>
      <w:r>
        <w:rPr>
          <w:rFonts w:ascii="Book Antiqua" w:hAnsi="Book Antiqua" w:cstheme="minorHAnsi"/>
          <w:color w:val="000000"/>
          <w:sz w:val="24"/>
          <w:szCs w:val="24"/>
        </w:rPr>
        <w:t xml:space="preserve">rapid antigen testing </w:t>
      </w:r>
      <w:r w:rsidR="00CE54BB">
        <w:rPr>
          <w:rFonts w:ascii="Book Antiqua" w:hAnsi="Book Antiqua" w:cstheme="minorHAnsi"/>
          <w:color w:val="000000"/>
          <w:sz w:val="24"/>
          <w:szCs w:val="24"/>
        </w:rPr>
        <w:t xml:space="preserve">for those attending on site. Testing will be on a voluntary </w:t>
      </w:r>
      <w:proofErr w:type="gramStart"/>
      <w:r w:rsidR="00CE54BB">
        <w:rPr>
          <w:rFonts w:ascii="Book Antiqua" w:hAnsi="Book Antiqua" w:cstheme="minorHAnsi"/>
          <w:color w:val="000000"/>
          <w:sz w:val="24"/>
          <w:szCs w:val="24"/>
        </w:rPr>
        <w:t>basis</w:t>
      </w:r>
      <w:proofErr w:type="gramEnd"/>
      <w:r w:rsidR="00CE54BB">
        <w:rPr>
          <w:rFonts w:ascii="Book Antiqua" w:hAnsi="Book Antiqua" w:cstheme="minorHAnsi"/>
          <w:color w:val="000000"/>
          <w:sz w:val="24"/>
          <w:szCs w:val="24"/>
        </w:rPr>
        <w:t xml:space="preserve"> but individuals are strongly encouraged to take up the opportunity when it is offered.</w:t>
      </w:r>
      <w:r>
        <w:rPr>
          <w:rFonts w:ascii="Book Antiqua" w:hAnsi="Book Antiqua" w:cstheme="minorHAnsi"/>
          <w:color w:val="000000"/>
          <w:sz w:val="24"/>
          <w:szCs w:val="24"/>
        </w:rPr>
        <w:t xml:space="preserve"> </w:t>
      </w:r>
    </w:p>
    <w:p w14:paraId="5402C38E" w14:textId="77777777" w:rsidR="0024569C" w:rsidRDefault="0024569C" w:rsidP="00134002">
      <w:p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color w:val="000000"/>
          <w:sz w:val="24"/>
          <w:szCs w:val="24"/>
        </w:rPr>
      </w:pPr>
      <w:r>
        <w:rPr>
          <w:rFonts w:ascii="Book Antiqua" w:hAnsi="Book Antiqua" w:cstheme="minorHAnsi"/>
          <w:color w:val="000000"/>
          <w:sz w:val="24"/>
          <w:szCs w:val="24"/>
        </w:rPr>
        <w:t>This Notice replaces the Notice to the Profession issued on 17 May 2021.</w:t>
      </w:r>
    </w:p>
    <w:p w14:paraId="091503AB" w14:textId="77777777" w:rsidR="00CE54BB" w:rsidRDefault="00CE54BB" w:rsidP="00134002">
      <w:pPr>
        <w:autoSpaceDE w:val="0"/>
        <w:autoSpaceDN w:val="0"/>
        <w:adjustRightInd w:val="0"/>
        <w:spacing w:before="120" w:after="120"/>
        <w:rPr>
          <w:rFonts w:ascii="Book Antiqua" w:hAnsi="Book Antiqua" w:cstheme="minorHAnsi"/>
          <w:color w:val="000000"/>
          <w:sz w:val="24"/>
          <w:szCs w:val="24"/>
        </w:rPr>
      </w:pPr>
    </w:p>
    <w:p w14:paraId="063A6BE0" w14:textId="77777777" w:rsidR="00E7405B" w:rsidRPr="00E7405B" w:rsidRDefault="00E7405B" w:rsidP="00134002">
      <w:pPr>
        <w:spacing w:before="120" w:after="120" w:line="240" w:lineRule="auto"/>
        <w:jc w:val="right"/>
        <w:rPr>
          <w:rFonts w:ascii="Book Antiqua" w:hAnsi="Book Antiqua"/>
          <w:sz w:val="24"/>
          <w:szCs w:val="24"/>
        </w:rPr>
      </w:pPr>
      <w:r w:rsidRPr="00E7405B">
        <w:rPr>
          <w:rFonts w:ascii="Book Antiqua" w:hAnsi="Book Antiqua"/>
          <w:sz w:val="24"/>
          <w:szCs w:val="24"/>
        </w:rPr>
        <w:t>Vivienne Macgillivray</w:t>
      </w:r>
    </w:p>
    <w:p w14:paraId="0A491F0F" w14:textId="77777777" w:rsidR="00E7405B" w:rsidRPr="00E7405B" w:rsidRDefault="00E7405B" w:rsidP="00134002">
      <w:pPr>
        <w:spacing w:before="120" w:after="120" w:line="240" w:lineRule="auto"/>
        <w:jc w:val="right"/>
        <w:rPr>
          <w:rFonts w:ascii="Book Antiqua" w:hAnsi="Book Antiqua"/>
          <w:sz w:val="24"/>
          <w:szCs w:val="24"/>
        </w:rPr>
      </w:pPr>
      <w:r w:rsidRPr="00E7405B">
        <w:rPr>
          <w:rFonts w:ascii="Book Antiqua" w:hAnsi="Book Antiqua"/>
          <w:sz w:val="24"/>
          <w:szCs w:val="24"/>
        </w:rPr>
        <w:t>Executive Associate to the Chief Justice</w:t>
      </w:r>
    </w:p>
    <w:p w14:paraId="32393C25" w14:textId="77777777" w:rsidR="007916A7" w:rsidRPr="00E7405B" w:rsidRDefault="003F653A" w:rsidP="00134002">
      <w:pPr>
        <w:spacing w:before="120" w:after="120" w:line="240" w:lineRule="auto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1579CD">
        <w:rPr>
          <w:rFonts w:ascii="Book Antiqua" w:hAnsi="Book Antiqua"/>
          <w:sz w:val="24"/>
          <w:szCs w:val="24"/>
        </w:rPr>
        <w:t xml:space="preserve">  </w:t>
      </w:r>
      <w:r w:rsidR="00F029C5">
        <w:rPr>
          <w:rFonts w:ascii="Book Antiqua" w:hAnsi="Book Antiqua"/>
          <w:sz w:val="24"/>
          <w:szCs w:val="24"/>
        </w:rPr>
        <w:t>21</w:t>
      </w:r>
      <w:r w:rsidR="001579CD">
        <w:rPr>
          <w:rFonts w:ascii="Book Antiqua" w:hAnsi="Book Antiqua"/>
          <w:sz w:val="24"/>
          <w:szCs w:val="24"/>
        </w:rPr>
        <w:t xml:space="preserve"> </w:t>
      </w:r>
      <w:r w:rsidR="00772FE6">
        <w:rPr>
          <w:rFonts w:ascii="Book Antiqua" w:hAnsi="Book Antiqua"/>
          <w:sz w:val="24"/>
          <w:szCs w:val="24"/>
        </w:rPr>
        <w:t>October</w:t>
      </w:r>
      <w:r>
        <w:rPr>
          <w:rFonts w:ascii="Book Antiqua" w:hAnsi="Book Antiqua"/>
          <w:sz w:val="24"/>
          <w:szCs w:val="24"/>
        </w:rPr>
        <w:t xml:space="preserve"> 2021</w:t>
      </w:r>
      <w:r w:rsidR="006F7CB1">
        <w:rPr>
          <w:rFonts w:ascii="Book Antiqua" w:hAnsi="Book Antiqua"/>
          <w:sz w:val="24"/>
          <w:szCs w:val="24"/>
        </w:rPr>
        <w:t xml:space="preserve"> </w:t>
      </w:r>
    </w:p>
    <w:sectPr w:rsidR="007916A7" w:rsidRPr="00E740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23967" w14:textId="77777777" w:rsidR="00F8458C" w:rsidRDefault="00F8458C" w:rsidP="00511CAC">
      <w:pPr>
        <w:spacing w:after="0" w:line="240" w:lineRule="auto"/>
      </w:pPr>
      <w:r>
        <w:separator/>
      </w:r>
    </w:p>
  </w:endnote>
  <w:endnote w:type="continuationSeparator" w:id="0">
    <w:p w14:paraId="41E12C6A" w14:textId="77777777" w:rsidR="00F8458C" w:rsidRDefault="00F8458C" w:rsidP="00511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52935" w14:textId="77777777" w:rsidR="001F0E4B" w:rsidRDefault="001F0E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2017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0927B2" w14:textId="5AD1E74C" w:rsidR="000A2AC5" w:rsidRDefault="000A2A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01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44ACDB" w14:textId="77777777" w:rsidR="000A2AC5" w:rsidRDefault="000A2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FF748" w14:textId="77777777" w:rsidR="001F0E4B" w:rsidRDefault="001F0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E90F9" w14:textId="77777777" w:rsidR="00F8458C" w:rsidRDefault="00F8458C" w:rsidP="00511CAC">
      <w:pPr>
        <w:spacing w:after="0" w:line="240" w:lineRule="auto"/>
      </w:pPr>
      <w:r>
        <w:separator/>
      </w:r>
    </w:p>
  </w:footnote>
  <w:footnote w:type="continuationSeparator" w:id="0">
    <w:p w14:paraId="484C7833" w14:textId="77777777" w:rsidR="00F8458C" w:rsidRDefault="00F8458C" w:rsidP="00511CAC">
      <w:pPr>
        <w:spacing w:after="0" w:line="240" w:lineRule="auto"/>
      </w:pPr>
      <w:r>
        <w:continuationSeparator/>
      </w:r>
    </w:p>
  </w:footnote>
  <w:footnote w:id="1">
    <w:p w14:paraId="38AC0AE7" w14:textId="77777777" w:rsidR="00F37C0C" w:rsidRPr="00F029C5" w:rsidRDefault="00F37C0C" w:rsidP="00F029C5">
      <w:pPr>
        <w:pStyle w:val="FootnoteText"/>
        <w:ind w:left="720" w:hanging="720"/>
        <w:rPr>
          <w:rFonts w:ascii="Book Antiqua" w:hAnsi="Book Antiqua"/>
        </w:rPr>
      </w:pPr>
      <w:r>
        <w:rPr>
          <w:rStyle w:val="FootnoteReference"/>
        </w:rPr>
        <w:footnoteRef/>
      </w:r>
      <w:r>
        <w:t xml:space="preserve"> </w:t>
      </w:r>
      <w:r w:rsidR="00F029C5">
        <w:tab/>
      </w:r>
      <w:r w:rsidRPr="00F029C5">
        <w:rPr>
          <w:rFonts w:ascii="Book Antiqua" w:hAnsi="Book Antiqua"/>
        </w:rPr>
        <w:t xml:space="preserve">Separate arrangements will be in place in respect of criminal jury trials.  Parties in criminal trials will be contacted about the applicable arrangements on a </w:t>
      </w:r>
      <w:proofErr w:type="gramStart"/>
      <w:r w:rsidRPr="00F029C5">
        <w:rPr>
          <w:rFonts w:ascii="Book Antiqua" w:hAnsi="Book Antiqua"/>
        </w:rPr>
        <w:t>case by case</w:t>
      </w:r>
      <w:proofErr w:type="gramEnd"/>
      <w:r w:rsidRPr="00F029C5">
        <w:rPr>
          <w:rFonts w:ascii="Book Antiqua" w:hAnsi="Book Antiqua"/>
        </w:rPr>
        <w:t xml:space="preserve"> basis.</w:t>
      </w:r>
    </w:p>
  </w:footnote>
  <w:footnote w:id="2">
    <w:p w14:paraId="3B2B199C" w14:textId="77777777" w:rsidR="001604BF" w:rsidRPr="00134002" w:rsidRDefault="001604BF" w:rsidP="00F029C5">
      <w:pPr>
        <w:pStyle w:val="FootnoteText"/>
        <w:ind w:left="720" w:hanging="720"/>
        <w:rPr>
          <w:rFonts w:ascii="Book Antiqua" w:hAnsi="Book Antiqua"/>
        </w:rPr>
      </w:pPr>
      <w:r w:rsidRPr="00134002">
        <w:rPr>
          <w:rStyle w:val="FootnoteReference"/>
          <w:rFonts w:ascii="Book Antiqua" w:hAnsi="Book Antiqua"/>
        </w:rPr>
        <w:footnoteRef/>
      </w:r>
      <w:r w:rsidRPr="00134002">
        <w:rPr>
          <w:rFonts w:ascii="Book Antiqua" w:hAnsi="Book Antiqua"/>
        </w:rPr>
        <w:t xml:space="preserve"> </w:t>
      </w:r>
      <w:r w:rsidR="00F029C5">
        <w:rPr>
          <w:rFonts w:ascii="Book Antiqua" w:hAnsi="Book Antiqua"/>
        </w:rPr>
        <w:tab/>
      </w:r>
      <w:r w:rsidRPr="00134002">
        <w:rPr>
          <w:rFonts w:ascii="Book Antiqua" w:hAnsi="Book Antiqua"/>
        </w:rPr>
        <w:t xml:space="preserve">Subject to the availability of the necessary technology, </w:t>
      </w:r>
      <w:r w:rsidR="00F403D3">
        <w:rPr>
          <w:rFonts w:ascii="Book Antiqua" w:hAnsi="Book Antiqua"/>
        </w:rPr>
        <w:t>hearings</w:t>
      </w:r>
      <w:r w:rsidRPr="00134002">
        <w:rPr>
          <w:rFonts w:ascii="Book Antiqua" w:hAnsi="Book Antiqua"/>
        </w:rPr>
        <w:t xml:space="preserve"> may be </w:t>
      </w:r>
      <w:proofErr w:type="gramStart"/>
      <w:r w:rsidRPr="00134002">
        <w:rPr>
          <w:rFonts w:ascii="Book Antiqua" w:hAnsi="Book Antiqua"/>
        </w:rPr>
        <w:t>streamed</w:t>
      </w:r>
      <w:proofErr w:type="gramEnd"/>
      <w:r w:rsidRPr="00134002">
        <w:rPr>
          <w:rFonts w:ascii="Book Antiqua" w:hAnsi="Book Antiqua"/>
        </w:rPr>
        <w:t xml:space="preserve"> </w:t>
      </w:r>
      <w:r w:rsidR="00F403D3">
        <w:rPr>
          <w:rFonts w:ascii="Book Antiqua" w:hAnsi="Book Antiqua"/>
        </w:rPr>
        <w:t xml:space="preserve">or </w:t>
      </w:r>
      <w:r w:rsidR="00E44383">
        <w:rPr>
          <w:rFonts w:ascii="Book Antiqua" w:hAnsi="Book Antiqua"/>
        </w:rPr>
        <w:t>l</w:t>
      </w:r>
      <w:r w:rsidR="00F403D3">
        <w:rPr>
          <w:rFonts w:ascii="Book Antiqua" w:hAnsi="Book Antiqua"/>
        </w:rPr>
        <w:t xml:space="preserve">inks provided </w:t>
      </w:r>
      <w:r w:rsidRPr="00134002">
        <w:rPr>
          <w:rFonts w:ascii="Book Antiqua" w:hAnsi="Book Antiqua"/>
        </w:rPr>
        <w:t>to permit other persons to observe</w:t>
      </w:r>
      <w:r w:rsidR="00F403D3">
        <w:rPr>
          <w:rFonts w:ascii="Book Antiqua" w:hAnsi="Book Antiqua"/>
        </w:rPr>
        <w:t xml:space="preserve"> or participate.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731E2" w14:textId="77777777" w:rsidR="001F0E4B" w:rsidRDefault="001F0E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183D0" w14:textId="195E4798" w:rsidR="001F0E4B" w:rsidRDefault="001F0E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82EF" w14:textId="77777777" w:rsidR="001F0E4B" w:rsidRDefault="001F0E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0A86A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963A4"/>
    <w:multiLevelType w:val="hybridMultilevel"/>
    <w:tmpl w:val="CD48C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54481"/>
    <w:multiLevelType w:val="hybridMultilevel"/>
    <w:tmpl w:val="85769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61EC0"/>
    <w:multiLevelType w:val="hybridMultilevel"/>
    <w:tmpl w:val="D5D4BE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61446"/>
    <w:multiLevelType w:val="hybridMultilevel"/>
    <w:tmpl w:val="42288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8C"/>
    <w:rsid w:val="00003C40"/>
    <w:rsid w:val="00023158"/>
    <w:rsid w:val="000602EA"/>
    <w:rsid w:val="00081270"/>
    <w:rsid w:val="0008744F"/>
    <w:rsid w:val="000A2AC5"/>
    <w:rsid w:val="000C4613"/>
    <w:rsid w:val="000F53F4"/>
    <w:rsid w:val="000F6B8C"/>
    <w:rsid w:val="00124255"/>
    <w:rsid w:val="00134002"/>
    <w:rsid w:val="001467A7"/>
    <w:rsid w:val="001579CD"/>
    <w:rsid w:val="001604BF"/>
    <w:rsid w:val="00162036"/>
    <w:rsid w:val="00171DB7"/>
    <w:rsid w:val="00194398"/>
    <w:rsid w:val="001C28AE"/>
    <w:rsid w:val="001D0668"/>
    <w:rsid w:val="001F0C6C"/>
    <w:rsid w:val="001F0E4B"/>
    <w:rsid w:val="001F5C32"/>
    <w:rsid w:val="0024569C"/>
    <w:rsid w:val="00246EFC"/>
    <w:rsid w:val="00264DB2"/>
    <w:rsid w:val="0029140F"/>
    <w:rsid w:val="002A2B03"/>
    <w:rsid w:val="002E2EA8"/>
    <w:rsid w:val="003919DD"/>
    <w:rsid w:val="003A4428"/>
    <w:rsid w:val="003E355A"/>
    <w:rsid w:val="003F577C"/>
    <w:rsid w:val="003F653A"/>
    <w:rsid w:val="003F6EA5"/>
    <w:rsid w:val="00403B56"/>
    <w:rsid w:val="004102E5"/>
    <w:rsid w:val="004275F4"/>
    <w:rsid w:val="00454C3A"/>
    <w:rsid w:val="00472615"/>
    <w:rsid w:val="004A3BA2"/>
    <w:rsid w:val="004B5017"/>
    <w:rsid w:val="004E22C3"/>
    <w:rsid w:val="00511CAC"/>
    <w:rsid w:val="00525D30"/>
    <w:rsid w:val="00527863"/>
    <w:rsid w:val="005478DD"/>
    <w:rsid w:val="0057210C"/>
    <w:rsid w:val="0058404A"/>
    <w:rsid w:val="005A0F1C"/>
    <w:rsid w:val="005B196D"/>
    <w:rsid w:val="005D2520"/>
    <w:rsid w:val="00626B80"/>
    <w:rsid w:val="0063136A"/>
    <w:rsid w:val="00631B8A"/>
    <w:rsid w:val="0068591F"/>
    <w:rsid w:val="006A572D"/>
    <w:rsid w:val="006C787D"/>
    <w:rsid w:val="006D73FB"/>
    <w:rsid w:val="006F7CB1"/>
    <w:rsid w:val="007001E2"/>
    <w:rsid w:val="0070358E"/>
    <w:rsid w:val="00723248"/>
    <w:rsid w:val="00772D1F"/>
    <w:rsid w:val="00772FE6"/>
    <w:rsid w:val="0077356B"/>
    <w:rsid w:val="007916A7"/>
    <w:rsid w:val="007A50FB"/>
    <w:rsid w:val="0083365B"/>
    <w:rsid w:val="00842F2E"/>
    <w:rsid w:val="00870A48"/>
    <w:rsid w:val="008C5466"/>
    <w:rsid w:val="008E49BD"/>
    <w:rsid w:val="008E6908"/>
    <w:rsid w:val="008E6D03"/>
    <w:rsid w:val="0091255B"/>
    <w:rsid w:val="00954FCE"/>
    <w:rsid w:val="00995837"/>
    <w:rsid w:val="009C7BE9"/>
    <w:rsid w:val="009D22E5"/>
    <w:rsid w:val="009F0CA8"/>
    <w:rsid w:val="00A023B4"/>
    <w:rsid w:val="00A02A8B"/>
    <w:rsid w:val="00A0382F"/>
    <w:rsid w:val="00A717EF"/>
    <w:rsid w:val="00A87EDF"/>
    <w:rsid w:val="00AA0152"/>
    <w:rsid w:val="00AF54F5"/>
    <w:rsid w:val="00B36720"/>
    <w:rsid w:val="00B377EC"/>
    <w:rsid w:val="00BB6C47"/>
    <w:rsid w:val="00BB7CC9"/>
    <w:rsid w:val="00BC1848"/>
    <w:rsid w:val="00BD4554"/>
    <w:rsid w:val="00BF3AFC"/>
    <w:rsid w:val="00C02AB2"/>
    <w:rsid w:val="00C05985"/>
    <w:rsid w:val="00C2085B"/>
    <w:rsid w:val="00C5229D"/>
    <w:rsid w:val="00C70B41"/>
    <w:rsid w:val="00C83100"/>
    <w:rsid w:val="00CB4970"/>
    <w:rsid w:val="00CB5554"/>
    <w:rsid w:val="00CD79E9"/>
    <w:rsid w:val="00CE54BB"/>
    <w:rsid w:val="00D47D40"/>
    <w:rsid w:val="00D609F6"/>
    <w:rsid w:val="00D767F6"/>
    <w:rsid w:val="00D91186"/>
    <w:rsid w:val="00DB72A3"/>
    <w:rsid w:val="00E27075"/>
    <w:rsid w:val="00E375F9"/>
    <w:rsid w:val="00E44383"/>
    <w:rsid w:val="00E4581A"/>
    <w:rsid w:val="00E6215F"/>
    <w:rsid w:val="00E66F70"/>
    <w:rsid w:val="00E679BC"/>
    <w:rsid w:val="00E7405B"/>
    <w:rsid w:val="00E7534F"/>
    <w:rsid w:val="00E8047F"/>
    <w:rsid w:val="00E81DE5"/>
    <w:rsid w:val="00EA6B46"/>
    <w:rsid w:val="00EB0150"/>
    <w:rsid w:val="00EF00D3"/>
    <w:rsid w:val="00F029C5"/>
    <w:rsid w:val="00F37C0C"/>
    <w:rsid w:val="00F403D3"/>
    <w:rsid w:val="00F45733"/>
    <w:rsid w:val="00F47175"/>
    <w:rsid w:val="00F656DF"/>
    <w:rsid w:val="00F759F0"/>
    <w:rsid w:val="00F81CCE"/>
    <w:rsid w:val="00F8458C"/>
    <w:rsid w:val="00F9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B85123"/>
  <w15:chartTrackingRefBased/>
  <w15:docId w15:val="{902B5D8D-9E8E-42C3-8628-F5EC360B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C05985"/>
    <w:pPr>
      <w:keepNext/>
      <w:keepLines/>
      <w:widowControl w:val="0"/>
      <w:spacing w:before="120" w:after="120" w:line="240" w:lineRule="auto"/>
      <w:ind w:left="720" w:hanging="720"/>
      <w:jc w:val="center"/>
      <w:outlineLvl w:val="0"/>
    </w:pPr>
    <w:rPr>
      <w:rFonts w:ascii="Book Antiqua" w:eastAsia="Times New Roman" w:hAnsi="Book Antiqua" w:cstheme="minorHAnsi"/>
      <w:b/>
      <w:bCs/>
      <w:caps/>
      <w:kern w:val="32"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1C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1C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1CA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5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2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AC5"/>
  </w:style>
  <w:style w:type="paragraph" w:styleId="Footer">
    <w:name w:val="footer"/>
    <w:basedOn w:val="Normal"/>
    <w:link w:val="FooterChar"/>
    <w:uiPriority w:val="99"/>
    <w:unhideWhenUsed/>
    <w:rsid w:val="000A2A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AC5"/>
  </w:style>
  <w:style w:type="paragraph" w:styleId="BalloonText">
    <w:name w:val="Balloon Text"/>
    <w:basedOn w:val="Normal"/>
    <w:link w:val="BalloonTextChar"/>
    <w:uiPriority w:val="99"/>
    <w:semiHidden/>
    <w:unhideWhenUsed/>
    <w:rsid w:val="00B36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2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F53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05985"/>
    <w:rPr>
      <w:rFonts w:ascii="Book Antiqua" w:eastAsia="Times New Roman" w:hAnsi="Book Antiqua" w:cstheme="minorHAnsi"/>
      <w:b/>
      <w:bCs/>
      <w:caps/>
      <w:kern w:val="32"/>
      <w:sz w:val="28"/>
      <w:szCs w:val="28"/>
      <w:lang w:eastAsia="en-AU"/>
    </w:rPr>
  </w:style>
  <w:style w:type="character" w:styleId="Hyperlink">
    <w:name w:val="Hyperlink"/>
    <w:unhideWhenUsed/>
    <w:rsid w:val="00C05985"/>
    <w:rPr>
      <w:color w:val="0000FF"/>
      <w:u w:val="single"/>
    </w:rPr>
  </w:style>
  <w:style w:type="paragraph" w:styleId="ListBullet">
    <w:name w:val="List Bullet"/>
    <w:basedOn w:val="Normal"/>
    <w:unhideWhenUsed/>
    <w:rsid w:val="00C05985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26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B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B8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5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premecourt.vic.gov.au/forms-fees-and-services/forms-templates-and-guidelines/in-person-hearing-form-application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aregistry@supcourt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A6A1460CFDC49A0A6EF7D0997F2FC" ma:contentTypeVersion="13" ma:contentTypeDescription="Create a new document." ma:contentTypeScope="" ma:versionID="ca1a40c7d5a2c5f027e1d5791fc28b6c">
  <xsd:schema xmlns:xsd="http://www.w3.org/2001/XMLSchema" xmlns:xs="http://www.w3.org/2001/XMLSchema" xmlns:p="http://schemas.microsoft.com/office/2006/metadata/properties" xmlns:ns2="3bf330ff-a67c-4e2e-a2c7-c4d8290980c0" xmlns:ns3="8885d047-c88c-41a6-b8f3-9efabc51400d" targetNamespace="http://schemas.microsoft.com/office/2006/metadata/properties" ma:root="true" ma:fieldsID="e7dcc889e72cac23bdf93a19a1aa9bd3" ns2:_="" ns3:_="">
    <xsd:import namespace="3bf330ff-a67c-4e2e-a2c7-c4d8290980c0"/>
    <xsd:import namespace="8885d047-c88c-41a6-b8f3-9efabc514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330ff-a67c-4e2e-a2c7-c4d829098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5d047-c88c-41a6-b8f3-9efabc514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98055E-BCD0-4B49-817A-5C59D62D2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330ff-a67c-4e2e-a2c7-c4d8290980c0"/>
    <ds:schemaRef ds:uri="8885d047-c88c-41a6-b8f3-9efabc514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8F01B-438B-4CF5-9D8F-F44A3ADDC05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bf330ff-a67c-4e2e-a2c7-c4d8290980c0"/>
    <ds:schemaRef ds:uri="http://schemas.microsoft.com/office/2006/documentManagement/types"/>
    <ds:schemaRef ds:uri="8885d047-c88c-41a6-b8f3-9efabc51400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A2DC600-2876-4FB5-B5AC-C6FE0F2F8D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9A35C-FFC4-4F60-ADC8-BA16FA90C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2163</Characters>
  <Application>Microsoft Office Word</Application>
  <DocSecurity>0</DocSecurity>
  <Lines>80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Registrar Pedley</dc:creator>
  <cp:keywords/>
  <dc:description/>
  <cp:lastModifiedBy>Ala Al-Mahaidi</cp:lastModifiedBy>
  <cp:revision>4</cp:revision>
  <cp:lastPrinted>2020-02-07T04:46:00Z</cp:lastPrinted>
  <dcterms:created xsi:type="dcterms:W3CDTF">2021-10-20T00:16:00Z</dcterms:created>
  <dcterms:modified xsi:type="dcterms:W3CDTF">2021-10-20T04:27:00Z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0x010100AC0A6A1460CFDC49A0A6EF7D0997F2FC</vt:lpwstr>
  </property>
</Properties>
</file>