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0E8D" w14:textId="2B9C96B8" w:rsidR="004D708F" w:rsidRDefault="004D708F" w:rsidP="00B73B6F">
      <w:r>
        <w:t xml:space="preserve">The purpose of this form is to </w:t>
      </w:r>
      <w:r w:rsidR="00406C91">
        <w:t xml:space="preserve">facilitate </w:t>
      </w:r>
      <w:r w:rsidR="00683F33">
        <w:t>in person hearing</w:t>
      </w:r>
      <w:r w:rsidR="0043044D">
        <w:t>s</w:t>
      </w:r>
      <w:r w:rsidR="00683F33">
        <w:t xml:space="preserve"> </w:t>
      </w:r>
      <w:r w:rsidR="004F33F6">
        <w:t xml:space="preserve">in the Commercial Court or Common Law Division </w:t>
      </w:r>
      <w:r w:rsidR="00683F33">
        <w:t xml:space="preserve">in accordance with the Notice to </w:t>
      </w:r>
      <w:r w:rsidR="00406C91">
        <w:t xml:space="preserve">the </w:t>
      </w:r>
      <w:r w:rsidR="00683F33">
        <w:t xml:space="preserve">Profession </w:t>
      </w:r>
      <w:r w:rsidR="00406C91">
        <w:t xml:space="preserve">– In Person Hearings </w:t>
      </w:r>
      <w:r w:rsidR="00683F33">
        <w:t xml:space="preserve">dated </w:t>
      </w:r>
      <w:r w:rsidR="00A61750">
        <w:t>3</w:t>
      </w:r>
      <w:r w:rsidR="00A5056E">
        <w:t xml:space="preserve"> </w:t>
      </w:r>
      <w:r w:rsidR="00A61750">
        <w:t>March</w:t>
      </w:r>
      <w:r w:rsidR="00406C91">
        <w:t xml:space="preserve"> 202</w:t>
      </w:r>
      <w:r w:rsidR="00A61750">
        <w:t>2</w:t>
      </w:r>
      <w:r w:rsidR="00683F33">
        <w:t xml:space="preserve">. </w:t>
      </w:r>
      <w:r w:rsidR="001F6564">
        <w:t xml:space="preserve">It </w:t>
      </w:r>
      <w:r w:rsidR="002676B4">
        <w:t xml:space="preserve">does not apply to Criminal Division or Court of Appeal matters. </w:t>
      </w:r>
    </w:p>
    <w:p w14:paraId="1C3A0E38" w14:textId="065F10FE" w:rsidR="00BA6682" w:rsidRDefault="007F3AF6" w:rsidP="00AB79BB">
      <w:pPr>
        <w:spacing w:after="120"/>
      </w:pPr>
      <w:r>
        <w:t xml:space="preserve">It is the responsibility of the </w:t>
      </w:r>
      <w:r w:rsidR="00490388">
        <w:t xml:space="preserve">party </w:t>
      </w:r>
      <w:r w:rsidR="008D5F52">
        <w:t xml:space="preserve">seeking </w:t>
      </w:r>
      <w:r w:rsidR="00406C91">
        <w:t xml:space="preserve">an in person hearing </w:t>
      </w:r>
      <w:r>
        <w:t>to complete th</w:t>
      </w:r>
      <w:r w:rsidR="00406C91">
        <w:t>e</w:t>
      </w:r>
      <w:r>
        <w:t xml:space="preserve"> information </w:t>
      </w:r>
      <w:r w:rsidR="00406C91">
        <w:t xml:space="preserve">required below </w:t>
      </w:r>
      <w:r>
        <w:t xml:space="preserve">and submit </w:t>
      </w:r>
      <w:r w:rsidR="00406C91">
        <w:t xml:space="preserve">the form </w:t>
      </w:r>
      <w:r>
        <w:t>to</w:t>
      </w:r>
      <w:r w:rsidR="00BA6682">
        <w:t xml:space="preserve"> the relevant email address (copying all parties):</w:t>
      </w:r>
    </w:p>
    <w:p w14:paraId="7A402965" w14:textId="77777777" w:rsidR="00BA6682" w:rsidRDefault="007F3AF6" w:rsidP="00AB79BB">
      <w:pPr>
        <w:pStyle w:val="ListParagraph"/>
        <w:numPr>
          <w:ilvl w:val="0"/>
          <w:numId w:val="4"/>
        </w:numPr>
      </w:pPr>
      <w:r>
        <w:t xml:space="preserve">the </w:t>
      </w:r>
      <w:hyperlink r:id="rId11" w:history="1">
        <w:r w:rsidRPr="00BA6682">
          <w:rPr>
            <w:rStyle w:val="Hyperlink"/>
          </w:rPr>
          <w:t xml:space="preserve">presiding </w:t>
        </w:r>
        <w:r w:rsidR="00933985" w:rsidRPr="00BA6682">
          <w:rPr>
            <w:rStyle w:val="Hyperlink"/>
          </w:rPr>
          <w:t xml:space="preserve">judicial officer’s </w:t>
        </w:r>
        <w:r w:rsidRPr="00BA6682">
          <w:rPr>
            <w:rStyle w:val="Hyperlink"/>
          </w:rPr>
          <w:t>chambers</w:t>
        </w:r>
      </w:hyperlink>
      <w:r w:rsidR="00933985">
        <w:t xml:space="preserve"> (if allocated)</w:t>
      </w:r>
      <w:r w:rsidR="00BA6682">
        <w:t>;</w:t>
      </w:r>
      <w:r w:rsidR="00933985">
        <w:t xml:space="preserve"> or</w:t>
      </w:r>
    </w:p>
    <w:p w14:paraId="0A810A98" w14:textId="77777777" w:rsidR="00BA6682" w:rsidRDefault="00A61750" w:rsidP="00AB79BB">
      <w:pPr>
        <w:pStyle w:val="ListParagraph"/>
        <w:numPr>
          <w:ilvl w:val="0"/>
          <w:numId w:val="4"/>
        </w:numPr>
      </w:pPr>
      <w:hyperlink r:id="rId12" w:history="1">
        <w:r w:rsidR="003909AF">
          <w:rPr>
            <w:rStyle w:val="Hyperlink"/>
          </w:rPr>
          <w:t>civil.listings@supcourt.vic.gov.au</w:t>
        </w:r>
      </w:hyperlink>
      <w:r w:rsidR="00BA6682">
        <w:t xml:space="preserve"> for unallocated Common Law Division </w:t>
      </w:r>
      <w:r w:rsidR="00406C91">
        <w:t>hearings</w:t>
      </w:r>
      <w:r w:rsidR="00BA6682">
        <w:t>; or</w:t>
      </w:r>
    </w:p>
    <w:p w14:paraId="13802949" w14:textId="77777777" w:rsidR="00BA6682" w:rsidRDefault="00A61750" w:rsidP="00AB79BB">
      <w:pPr>
        <w:pStyle w:val="ListParagraph"/>
        <w:numPr>
          <w:ilvl w:val="0"/>
          <w:numId w:val="4"/>
        </w:numPr>
      </w:pPr>
      <w:hyperlink r:id="rId13" w:history="1">
        <w:r w:rsidR="00BA6682">
          <w:rPr>
            <w:rStyle w:val="Hyperlink"/>
          </w:rPr>
          <w:t>commercialcourt@supcourt.vic.gov.au</w:t>
        </w:r>
      </w:hyperlink>
      <w:r w:rsidR="00BA6682">
        <w:rPr>
          <w:color w:val="1F497D"/>
        </w:rPr>
        <w:t xml:space="preserve"> for </w:t>
      </w:r>
      <w:r w:rsidR="00BA6682" w:rsidRPr="00AB79BB">
        <w:t xml:space="preserve">unallocated Commercial Court </w:t>
      </w:r>
      <w:r w:rsidR="007F4A24">
        <w:t>hearings</w:t>
      </w:r>
      <w:r w:rsidR="00BA6682">
        <w:t>.</w:t>
      </w:r>
    </w:p>
    <w:p w14:paraId="36BC949C" w14:textId="77777777" w:rsidR="00BA28BE" w:rsidRDefault="00BA28BE"/>
    <w:p w14:paraId="7B9DFC42" w14:textId="77777777" w:rsidR="00261685" w:rsidRPr="00BA28BE" w:rsidRDefault="00261685" w:rsidP="00BA28BE">
      <w:r w:rsidRPr="00AD5E2A">
        <w:rPr>
          <w:b/>
        </w:rPr>
        <w:t>PROCEEDING DETAILS:</w:t>
      </w:r>
    </w:p>
    <w:tbl>
      <w:tblPr>
        <w:tblStyle w:val="TableGrid"/>
        <w:tblW w:w="0" w:type="auto"/>
        <w:tblLook w:val="04A0" w:firstRow="1" w:lastRow="0" w:firstColumn="1" w:lastColumn="0" w:noHBand="0" w:noVBand="1"/>
      </w:tblPr>
      <w:tblGrid>
        <w:gridCol w:w="4945"/>
        <w:gridCol w:w="4071"/>
      </w:tblGrid>
      <w:tr w:rsidR="00933985" w14:paraId="36212627" w14:textId="77777777" w:rsidTr="00AB79BB">
        <w:tc>
          <w:tcPr>
            <w:tcW w:w="4945" w:type="dxa"/>
          </w:tcPr>
          <w:p w14:paraId="76E37D23" w14:textId="77777777" w:rsidR="00933985" w:rsidRDefault="00933985" w:rsidP="006C2D70">
            <w:r>
              <w:t>Proceeding Number and Name (short form)</w:t>
            </w:r>
          </w:p>
        </w:tc>
        <w:tc>
          <w:tcPr>
            <w:tcW w:w="4071" w:type="dxa"/>
          </w:tcPr>
          <w:p w14:paraId="1044B003" w14:textId="77777777" w:rsidR="00933985" w:rsidRDefault="00933985" w:rsidP="006C2D70"/>
        </w:tc>
      </w:tr>
      <w:tr w:rsidR="00A20FD3" w14:paraId="51F81E9B" w14:textId="77777777" w:rsidTr="00AB79BB">
        <w:tc>
          <w:tcPr>
            <w:tcW w:w="4945" w:type="dxa"/>
          </w:tcPr>
          <w:p w14:paraId="30C16F73" w14:textId="77777777" w:rsidR="00A20FD3" w:rsidRDefault="00A20FD3" w:rsidP="006C2D70">
            <w:r>
              <w:t xml:space="preserve">Hearing type </w:t>
            </w:r>
            <w:proofErr w:type="gramStart"/>
            <w:r>
              <w:t>e.g.</w:t>
            </w:r>
            <w:proofErr w:type="gramEnd"/>
            <w:r>
              <w:t xml:space="preserve"> trial, interlocutory application etc.</w:t>
            </w:r>
          </w:p>
        </w:tc>
        <w:tc>
          <w:tcPr>
            <w:tcW w:w="4071" w:type="dxa"/>
          </w:tcPr>
          <w:p w14:paraId="07DD5AFC" w14:textId="77777777" w:rsidR="00A20FD3" w:rsidRDefault="00A20FD3" w:rsidP="006C2D70"/>
        </w:tc>
      </w:tr>
      <w:tr w:rsidR="00261685" w14:paraId="1D952C89" w14:textId="77777777" w:rsidTr="00AB79BB">
        <w:tc>
          <w:tcPr>
            <w:tcW w:w="4945" w:type="dxa"/>
          </w:tcPr>
          <w:p w14:paraId="36BB0ED4" w14:textId="77777777" w:rsidR="00261685" w:rsidRDefault="00261685" w:rsidP="006C2D70">
            <w:r>
              <w:t>Hearing Date</w:t>
            </w:r>
          </w:p>
        </w:tc>
        <w:tc>
          <w:tcPr>
            <w:tcW w:w="4071" w:type="dxa"/>
          </w:tcPr>
          <w:p w14:paraId="4134B1C8" w14:textId="77777777" w:rsidR="00261685" w:rsidRDefault="00261685" w:rsidP="006C2D70"/>
        </w:tc>
      </w:tr>
      <w:tr w:rsidR="00261685" w14:paraId="123D9471" w14:textId="77777777" w:rsidTr="00AB79BB">
        <w:tc>
          <w:tcPr>
            <w:tcW w:w="4945" w:type="dxa"/>
          </w:tcPr>
          <w:p w14:paraId="7EDA464D" w14:textId="77777777" w:rsidR="00261685" w:rsidRDefault="00261685" w:rsidP="006C2D70">
            <w:r>
              <w:t>Hearing Time</w:t>
            </w:r>
          </w:p>
        </w:tc>
        <w:tc>
          <w:tcPr>
            <w:tcW w:w="4071" w:type="dxa"/>
          </w:tcPr>
          <w:p w14:paraId="16C80391" w14:textId="77777777" w:rsidR="00261685" w:rsidRDefault="00261685" w:rsidP="006C2D70"/>
        </w:tc>
      </w:tr>
      <w:tr w:rsidR="00261685" w14:paraId="755C36B9" w14:textId="77777777" w:rsidTr="00AB79BB">
        <w:tc>
          <w:tcPr>
            <w:tcW w:w="4945" w:type="dxa"/>
          </w:tcPr>
          <w:p w14:paraId="5F746075" w14:textId="77777777" w:rsidR="00261685" w:rsidRDefault="00261685" w:rsidP="006C2D70">
            <w:r>
              <w:t>Judicial Officer</w:t>
            </w:r>
            <w:r w:rsidR="00933985">
              <w:t xml:space="preserve"> (if allocated</w:t>
            </w:r>
            <w:r w:rsidR="00DD6360">
              <w:t>)</w:t>
            </w:r>
          </w:p>
        </w:tc>
        <w:tc>
          <w:tcPr>
            <w:tcW w:w="4071" w:type="dxa"/>
          </w:tcPr>
          <w:p w14:paraId="0EA54532" w14:textId="77777777" w:rsidR="00261685" w:rsidRDefault="00261685" w:rsidP="006C2D70"/>
        </w:tc>
      </w:tr>
      <w:tr w:rsidR="00261685" w14:paraId="45D3B882" w14:textId="77777777" w:rsidTr="00AB79BB">
        <w:tc>
          <w:tcPr>
            <w:tcW w:w="4945" w:type="dxa"/>
          </w:tcPr>
          <w:p w14:paraId="6DAC53CF" w14:textId="77777777" w:rsidR="00261685" w:rsidRDefault="00BC7EC1" w:rsidP="006C2D70">
            <w:r>
              <w:t>Division</w:t>
            </w:r>
            <w:r w:rsidR="00235D68">
              <w:t xml:space="preserve"> and List</w:t>
            </w:r>
          </w:p>
        </w:tc>
        <w:tc>
          <w:tcPr>
            <w:tcW w:w="4071" w:type="dxa"/>
          </w:tcPr>
          <w:p w14:paraId="07182F1A" w14:textId="77777777" w:rsidR="00261685" w:rsidRPr="00631840" w:rsidRDefault="00261685" w:rsidP="00631840"/>
        </w:tc>
      </w:tr>
    </w:tbl>
    <w:p w14:paraId="417C595F" w14:textId="6BECB051" w:rsidR="00933985" w:rsidRPr="00AD5E2A" w:rsidRDefault="00BA28BE" w:rsidP="00933985">
      <w:pPr>
        <w:rPr>
          <w:b/>
        </w:rPr>
      </w:pPr>
      <w:r>
        <w:rPr>
          <w:b/>
        </w:rPr>
        <w:br/>
      </w:r>
      <w:r w:rsidR="00933985">
        <w:rPr>
          <w:b/>
        </w:rPr>
        <w:t>HEARING</w:t>
      </w:r>
      <w:r w:rsidR="00933985" w:rsidRPr="00AD5E2A">
        <w:rPr>
          <w:b/>
        </w:rPr>
        <w:t xml:space="preserve"> DETAILS:</w:t>
      </w:r>
    </w:p>
    <w:tbl>
      <w:tblPr>
        <w:tblStyle w:val="TableGrid"/>
        <w:tblW w:w="0" w:type="auto"/>
        <w:tblLook w:val="04A0" w:firstRow="1" w:lastRow="0" w:firstColumn="1" w:lastColumn="0" w:noHBand="0" w:noVBand="1"/>
      </w:tblPr>
      <w:tblGrid>
        <w:gridCol w:w="4945"/>
        <w:gridCol w:w="4071"/>
      </w:tblGrid>
      <w:tr w:rsidR="004526AC" w14:paraId="3715E59E" w14:textId="77777777" w:rsidTr="001021DF">
        <w:tc>
          <w:tcPr>
            <w:tcW w:w="4945" w:type="dxa"/>
          </w:tcPr>
          <w:p w14:paraId="5A7D6EB9" w14:textId="77777777" w:rsidR="004526AC" w:rsidRDefault="004526AC" w:rsidP="004526AC">
            <w:r w:rsidRPr="00A40748">
              <w:t>Expected Duration of Hearing (if not in accord with estimate previously given please explain why)</w:t>
            </w:r>
          </w:p>
        </w:tc>
        <w:tc>
          <w:tcPr>
            <w:tcW w:w="4071" w:type="dxa"/>
          </w:tcPr>
          <w:p w14:paraId="190D878D" w14:textId="77777777" w:rsidR="004526AC" w:rsidRDefault="004526AC" w:rsidP="004526AC"/>
        </w:tc>
      </w:tr>
      <w:tr w:rsidR="001021DF" w14:paraId="4974321D" w14:textId="77777777" w:rsidTr="001021DF">
        <w:tc>
          <w:tcPr>
            <w:tcW w:w="4945" w:type="dxa"/>
          </w:tcPr>
          <w:p w14:paraId="5E16BD7B" w14:textId="77777777" w:rsidR="001021DF" w:rsidRDefault="001021DF" w:rsidP="006C2D70">
            <w:r>
              <w:t>Is there an electronic court book?</w:t>
            </w:r>
          </w:p>
        </w:tc>
        <w:tc>
          <w:tcPr>
            <w:tcW w:w="4071" w:type="dxa"/>
          </w:tcPr>
          <w:p w14:paraId="297004C8" w14:textId="77777777" w:rsidR="001021DF" w:rsidRDefault="001021DF" w:rsidP="006C2D70"/>
        </w:tc>
      </w:tr>
      <w:tr w:rsidR="001021DF" w14:paraId="18325145" w14:textId="77777777" w:rsidTr="00AB79BB">
        <w:tc>
          <w:tcPr>
            <w:tcW w:w="4945" w:type="dxa"/>
          </w:tcPr>
          <w:p w14:paraId="09B36AFD" w14:textId="242BE0B1" w:rsidR="006930D4" w:rsidRDefault="006930D4" w:rsidP="00C012DF">
            <w:r w:rsidRPr="001021DF">
              <w:rPr>
                <w:b/>
                <w:bCs/>
              </w:rPr>
              <w:t>Hearing Plan</w:t>
            </w:r>
            <w:r>
              <w:t xml:space="preserve">. Describe the plan </w:t>
            </w:r>
            <w:r w:rsidR="00C075DB">
              <w:t>proposed for the conduct of the hearing</w:t>
            </w:r>
            <w:r w:rsidR="007C04CE">
              <w:t>, identifying those portions to be conducted in person,</w:t>
            </w:r>
            <w:r w:rsidR="00C075DB">
              <w:t xml:space="preserve"> including:</w:t>
            </w:r>
          </w:p>
          <w:p w14:paraId="431C2754" w14:textId="77777777" w:rsidR="00C075DB" w:rsidRDefault="00C075DB" w:rsidP="00C012DF"/>
          <w:p w14:paraId="2A1D9CEE" w14:textId="77777777" w:rsidR="00C075DB" w:rsidRPr="00324A5A" w:rsidRDefault="006930D4" w:rsidP="001021DF">
            <w:pPr>
              <w:pStyle w:val="ListParagraph"/>
              <w:numPr>
                <w:ilvl w:val="0"/>
                <w:numId w:val="6"/>
              </w:numPr>
            </w:pPr>
            <w:r w:rsidRPr="00324A5A">
              <w:t xml:space="preserve">Total number </w:t>
            </w:r>
            <w:r w:rsidR="00C075DB" w:rsidRPr="00324A5A">
              <w:t>of witnesses to be called by all parties</w:t>
            </w:r>
            <w:r w:rsidR="00C075DB" w:rsidRPr="001021DF">
              <w:t xml:space="preserve"> (provide witness list if not yet filed)</w:t>
            </w:r>
          </w:p>
          <w:p w14:paraId="4D1A2104" w14:textId="77777777" w:rsidR="00E82EBD" w:rsidRDefault="00E82EBD" w:rsidP="00C075DB">
            <w:pPr>
              <w:pStyle w:val="ListParagraph"/>
              <w:numPr>
                <w:ilvl w:val="0"/>
                <w:numId w:val="6"/>
              </w:numPr>
            </w:pPr>
            <w:r w:rsidRPr="00E82EBD">
              <w:t>W</w:t>
            </w:r>
            <w:r>
              <w:t xml:space="preserve">hether witnesses will be </w:t>
            </w:r>
            <w:r w:rsidRPr="00E82EBD">
              <w:t>cross-examin</w:t>
            </w:r>
            <w:r>
              <w:t>ed</w:t>
            </w:r>
          </w:p>
          <w:p w14:paraId="7E716606" w14:textId="77777777" w:rsidR="00324A5A" w:rsidRDefault="00324A5A" w:rsidP="00C075DB">
            <w:pPr>
              <w:pStyle w:val="ListParagraph"/>
              <w:numPr>
                <w:ilvl w:val="0"/>
                <w:numId w:val="6"/>
              </w:numPr>
            </w:pPr>
            <w:r w:rsidRPr="001021DF">
              <w:t>W</w:t>
            </w:r>
            <w:r w:rsidR="006930D4" w:rsidRPr="00324A5A">
              <w:t>h</w:t>
            </w:r>
            <w:r>
              <w:t xml:space="preserve">ich </w:t>
            </w:r>
            <w:r w:rsidR="006930D4" w:rsidRPr="00324A5A">
              <w:t xml:space="preserve">witnesses are anticipated to give evidence in-person </w:t>
            </w:r>
            <w:r>
              <w:t xml:space="preserve">and which </w:t>
            </w:r>
            <w:r w:rsidR="006930D4" w:rsidRPr="00324A5A">
              <w:t xml:space="preserve">remotely and the anticipated dates(s) they will give </w:t>
            </w:r>
            <w:proofErr w:type="gramStart"/>
            <w:r w:rsidR="006930D4" w:rsidRPr="00324A5A">
              <w:t>evidence</w:t>
            </w:r>
            <w:proofErr w:type="gramEnd"/>
          </w:p>
          <w:p w14:paraId="5F63F0A2" w14:textId="5E80D225" w:rsidR="00490D19" w:rsidRDefault="001021DF">
            <w:pPr>
              <w:pStyle w:val="ListParagraph"/>
              <w:numPr>
                <w:ilvl w:val="0"/>
                <w:numId w:val="6"/>
              </w:numPr>
            </w:pPr>
            <w:r>
              <w:t>Whether there will be concurrent expert evidence</w:t>
            </w:r>
            <w:r w:rsidR="00724D07">
              <w:t xml:space="preserve">, whether this is anticipated to be given in person or remotely, and the anticipated date(s) the evidence will be given.  </w:t>
            </w:r>
          </w:p>
          <w:p w14:paraId="0F0ABA39" w14:textId="36527CF5" w:rsidR="00EC4299" w:rsidRPr="001021DF" w:rsidRDefault="00EC4299">
            <w:pPr>
              <w:pStyle w:val="ListParagraph"/>
              <w:numPr>
                <w:ilvl w:val="0"/>
                <w:numId w:val="6"/>
              </w:numPr>
            </w:pPr>
            <w:r>
              <w:t>Whether there is a need for any hybrid arrangements outside of witness arrangements (some parties in person and some remote)</w:t>
            </w:r>
          </w:p>
          <w:p w14:paraId="18136BD1" w14:textId="77777777" w:rsidR="006C2EEF" w:rsidRDefault="006C2EEF" w:rsidP="001E7578"/>
        </w:tc>
        <w:tc>
          <w:tcPr>
            <w:tcW w:w="4071" w:type="dxa"/>
          </w:tcPr>
          <w:p w14:paraId="3C1BF928" w14:textId="77777777" w:rsidR="006C2EEF" w:rsidRDefault="006C2EEF" w:rsidP="006C2D70"/>
        </w:tc>
      </w:tr>
    </w:tbl>
    <w:p w14:paraId="5D648075" w14:textId="77777777" w:rsidR="005628E2" w:rsidRDefault="00646C70">
      <w:pPr>
        <w:keepNext/>
        <w:rPr>
          <w:b/>
        </w:rPr>
      </w:pPr>
      <w:r>
        <w:rPr>
          <w:b/>
        </w:rPr>
        <w:lastRenderedPageBreak/>
        <w:br/>
      </w:r>
      <w:r w:rsidR="005628E2" w:rsidRPr="005628E2">
        <w:rPr>
          <w:b/>
        </w:rPr>
        <w:t xml:space="preserve">ATTENDEES IN </w:t>
      </w:r>
      <w:r w:rsidR="00724D07">
        <w:rPr>
          <w:b/>
        </w:rPr>
        <w:t>PERSON</w:t>
      </w:r>
      <w:r w:rsidR="005628E2" w:rsidRPr="005628E2">
        <w:rPr>
          <w:b/>
        </w:rPr>
        <w:t>:</w:t>
      </w:r>
    </w:p>
    <w:p w14:paraId="73A0F1C6" w14:textId="723507B6" w:rsidR="00483010" w:rsidRPr="001E7578" w:rsidRDefault="00483010" w:rsidP="001E7578">
      <w:pPr>
        <w:keepNext/>
        <w:rPr>
          <w:i/>
          <w:iCs/>
        </w:rPr>
      </w:pPr>
      <w:r w:rsidRPr="001E7578">
        <w:rPr>
          <w:i/>
          <w:iCs/>
        </w:rPr>
        <w:t>Please provide maximum numbers of each type of participant expected onsite for the portions of the hearing which are to be conducted in person, as this will impact upon the courtroom that is allocated and can best accommodate the hearing</w:t>
      </w:r>
    </w:p>
    <w:tbl>
      <w:tblPr>
        <w:tblStyle w:val="TableGrid"/>
        <w:tblW w:w="0" w:type="auto"/>
        <w:tblLook w:val="04A0" w:firstRow="1" w:lastRow="0" w:firstColumn="1" w:lastColumn="0" w:noHBand="0" w:noVBand="1"/>
      </w:tblPr>
      <w:tblGrid>
        <w:gridCol w:w="4945"/>
        <w:gridCol w:w="4071"/>
      </w:tblGrid>
      <w:tr w:rsidR="005628E2" w14:paraId="1F16F118" w14:textId="77777777" w:rsidTr="001E7578">
        <w:tc>
          <w:tcPr>
            <w:tcW w:w="4945" w:type="dxa"/>
          </w:tcPr>
          <w:p w14:paraId="00684101" w14:textId="77777777" w:rsidR="005628E2" w:rsidRPr="00395859" w:rsidRDefault="00905732" w:rsidP="00933985">
            <w:pPr>
              <w:rPr>
                <w:highlight w:val="yellow"/>
              </w:rPr>
            </w:pPr>
            <w:r w:rsidRPr="00905732">
              <w:t>Total number of Barristers</w:t>
            </w:r>
            <w:r w:rsidR="00933985">
              <w:t>/Advocates/In person litigants</w:t>
            </w:r>
            <w:r w:rsidRPr="00905732">
              <w:t xml:space="preserve"> </w:t>
            </w:r>
            <w:r w:rsidR="00933985">
              <w:t>across</w:t>
            </w:r>
            <w:r w:rsidRPr="00905732">
              <w:t xml:space="preserve"> all parties</w:t>
            </w:r>
          </w:p>
        </w:tc>
        <w:tc>
          <w:tcPr>
            <w:tcW w:w="4071" w:type="dxa"/>
          </w:tcPr>
          <w:p w14:paraId="3A927172" w14:textId="77777777" w:rsidR="005628E2" w:rsidRDefault="005628E2" w:rsidP="00261685"/>
        </w:tc>
      </w:tr>
      <w:tr w:rsidR="00426F99" w14:paraId="25AAADAB" w14:textId="77777777" w:rsidTr="001E7578">
        <w:tc>
          <w:tcPr>
            <w:tcW w:w="4945" w:type="dxa"/>
          </w:tcPr>
          <w:p w14:paraId="4E2BDCF1" w14:textId="77777777" w:rsidR="00426F99" w:rsidRDefault="00DD6360" w:rsidP="00933985">
            <w:r>
              <w:t>Total n</w:t>
            </w:r>
            <w:r w:rsidR="00BC7EC1">
              <w:t xml:space="preserve">umber of </w:t>
            </w:r>
            <w:r w:rsidR="00933985">
              <w:t xml:space="preserve">other legal </w:t>
            </w:r>
            <w:r w:rsidR="00BC7EC1">
              <w:t>representatives</w:t>
            </w:r>
            <w:r w:rsidR="006E6405">
              <w:t xml:space="preserve"> </w:t>
            </w:r>
            <w:proofErr w:type="gramStart"/>
            <w:r w:rsidR="006E6405">
              <w:t>e.g.</w:t>
            </w:r>
            <w:proofErr w:type="gramEnd"/>
            <w:r w:rsidR="006E6405">
              <w:t xml:space="preserve"> instructing solicitors</w:t>
            </w:r>
          </w:p>
        </w:tc>
        <w:tc>
          <w:tcPr>
            <w:tcW w:w="4071" w:type="dxa"/>
          </w:tcPr>
          <w:p w14:paraId="03C7DE60" w14:textId="77777777" w:rsidR="00426F99" w:rsidRDefault="00426F99" w:rsidP="00C012DF">
            <w:pPr>
              <w:tabs>
                <w:tab w:val="left" w:pos="2740"/>
              </w:tabs>
            </w:pPr>
          </w:p>
        </w:tc>
      </w:tr>
      <w:tr w:rsidR="005628E2" w14:paraId="6569D19D" w14:textId="77777777" w:rsidTr="001E7578">
        <w:tc>
          <w:tcPr>
            <w:tcW w:w="4945" w:type="dxa"/>
          </w:tcPr>
          <w:p w14:paraId="1FD533B8" w14:textId="77777777" w:rsidR="005628E2" w:rsidRPr="00FA671E" w:rsidRDefault="00933985" w:rsidP="00933985">
            <w:r>
              <w:t>Total number of parties and observers</w:t>
            </w:r>
            <w:r w:rsidDel="00933985">
              <w:t xml:space="preserve"> </w:t>
            </w:r>
          </w:p>
        </w:tc>
        <w:tc>
          <w:tcPr>
            <w:tcW w:w="4071" w:type="dxa"/>
          </w:tcPr>
          <w:p w14:paraId="512DCEF8" w14:textId="77777777" w:rsidR="005628E2" w:rsidRDefault="005628E2" w:rsidP="00261685"/>
        </w:tc>
      </w:tr>
      <w:tr w:rsidR="00283DE0" w14:paraId="69676EC2" w14:textId="77777777" w:rsidTr="001E7578">
        <w:tc>
          <w:tcPr>
            <w:tcW w:w="4945" w:type="dxa"/>
          </w:tcPr>
          <w:p w14:paraId="279B65DA" w14:textId="77777777" w:rsidR="00283DE0" w:rsidRDefault="006E6405" w:rsidP="00261685">
            <w:r>
              <w:t>Whether a p</w:t>
            </w:r>
            <w:r w:rsidR="00EE6DDE">
              <w:t>erson in custody</w:t>
            </w:r>
            <w:r>
              <w:t xml:space="preserve"> will be</w:t>
            </w:r>
            <w:r w:rsidR="00EE6DDE">
              <w:t xml:space="preserve"> </w:t>
            </w:r>
            <w:r w:rsidR="00FC135F">
              <w:t>attending</w:t>
            </w:r>
          </w:p>
        </w:tc>
        <w:tc>
          <w:tcPr>
            <w:tcW w:w="4071" w:type="dxa"/>
          </w:tcPr>
          <w:p w14:paraId="0F9F32AA" w14:textId="77777777" w:rsidR="00283DE0" w:rsidRDefault="00283DE0" w:rsidP="00261685"/>
        </w:tc>
      </w:tr>
      <w:tr w:rsidR="007F4A24" w14:paraId="63672F70" w14:textId="77777777" w:rsidTr="001E7578">
        <w:tc>
          <w:tcPr>
            <w:tcW w:w="4945" w:type="dxa"/>
          </w:tcPr>
          <w:p w14:paraId="401101DC" w14:textId="77777777" w:rsidR="007F4A24" w:rsidRDefault="007F4A24" w:rsidP="00261685">
            <w:r>
              <w:t>Special needs of attendees that might impact on courtroom requirements (</w:t>
            </w:r>
            <w:proofErr w:type="gramStart"/>
            <w:r>
              <w:t>e.g.</w:t>
            </w:r>
            <w:proofErr w:type="gramEnd"/>
            <w:r>
              <w:t xml:space="preserve"> disability access)</w:t>
            </w:r>
          </w:p>
        </w:tc>
        <w:tc>
          <w:tcPr>
            <w:tcW w:w="4071" w:type="dxa"/>
          </w:tcPr>
          <w:p w14:paraId="678138A6" w14:textId="77777777" w:rsidR="007F4A24" w:rsidRDefault="007F4A24" w:rsidP="00261685"/>
        </w:tc>
      </w:tr>
    </w:tbl>
    <w:p w14:paraId="0893D48D" w14:textId="77777777" w:rsidR="00813392" w:rsidRDefault="00813392" w:rsidP="00C82A94">
      <w:pPr>
        <w:rPr>
          <w:b/>
        </w:rPr>
      </w:pPr>
    </w:p>
    <w:sectPr w:rsidR="00813392" w:rsidSect="00C82A94">
      <w:headerReference w:type="even" r:id="rId14"/>
      <w:headerReference w:type="default" r:id="rId15"/>
      <w:footerReference w:type="even" r:id="rId16"/>
      <w:footerReference w:type="default" r:id="rId17"/>
      <w:headerReference w:type="first" r:id="rId18"/>
      <w:footerReference w:type="first" r:id="rId19"/>
      <w:pgSz w:w="11906" w:h="16838"/>
      <w:pgMar w:top="25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E174" w14:textId="77777777" w:rsidR="00FF651B" w:rsidRDefault="00FF651B">
      <w:pPr>
        <w:spacing w:after="0" w:line="240" w:lineRule="auto"/>
      </w:pPr>
      <w:r>
        <w:separator/>
      </w:r>
    </w:p>
  </w:endnote>
  <w:endnote w:type="continuationSeparator" w:id="0">
    <w:p w14:paraId="5C7C9565" w14:textId="77777777" w:rsidR="00FF651B" w:rsidRDefault="00FF651B">
      <w:pPr>
        <w:spacing w:after="0" w:line="240" w:lineRule="auto"/>
      </w:pPr>
      <w:r>
        <w:continuationSeparator/>
      </w:r>
    </w:p>
  </w:endnote>
  <w:endnote w:type="continuationNotice" w:id="1">
    <w:p w14:paraId="61517BE0" w14:textId="77777777" w:rsidR="00FF651B" w:rsidRDefault="00FF6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A889" w14:textId="77777777" w:rsidR="00C36EA6" w:rsidRDefault="00C36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F3BE" w14:textId="77777777" w:rsidR="00C36EA6" w:rsidRDefault="00C36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9C05" w14:textId="77777777" w:rsidR="00B73B6F" w:rsidRPr="00C82A94" w:rsidRDefault="00B73B6F">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48F1" w14:textId="77777777" w:rsidR="00FF651B" w:rsidRDefault="00FF651B">
      <w:pPr>
        <w:spacing w:after="0" w:line="240" w:lineRule="auto"/>
      </w:pPr>
      <w:r>
        <w:separator/>
      </w:r>
    </w:p>
  </w:footnote>
  <w:footnote w:type="continuationSeparator" w:id="0">
    <w:p w14:paraId="2CCF3AB0" w14:textId="77777777" w:rsidR="00FF651B" w:rsidRDefault="00FF651B">
      <w:pPr>
        <w:spacing w:after="0" w:line="240" w:lineRule="auto"/>
      </w:pPr>
      <w:r>
        <w:continuationSeparator/>
      </w:r>
    </w:p>
  </w:footnote>
  <w:footnote w:type="continuationNotice" w:id="1">
    <w:p w14:paraId="3A05A9E5" w14:textId="77777777" w:rsidR="00FF651B" w:rsidRDefault="00FF6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FD9C" w14:textId="77777777" w:rsidR="00C36EA6" w:rsidRDefault="00C36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1DAD" w14:textId="77777777" w:rsidR="00D8003D" w:rsidRDefault="00D8003D" w:rsidP="00D8003D">
    <w:pPr>
      <w:pStyle w:val="Header"/>
      <w:rPr>
        <w:b/>
        <w:sz w:val="28"/>
        <w:szCs w:val="28"/>
      </w:rPr>
    </w:pPr>
  </w:p>
  <w:p w14:paraId="058C5A41" w14:textId="77777777" w:rsidR="00341C41" w:rsidRPr="00C92E2B" w:rsidRDefault="00341C41" w:rsidP="00341C41">
    <w:pPr>
      <w:pStyle w:val="Header"/>
      <w:rPr>
        <w:b/>
        <w:color w:val="C00000"/>
        <w:sz w:val="36"/>
        <w:szCs w:val="28"/>
      </w:rPr>
    </w:pPr>
    <w:r w:rsidRPr="00C92E2B">
      <w:rPr>
        <w:b/>
        <w:color w:val="C00000"/>
        <w:sz w:val="36"/>
        <w:szCs w:val="28"/>
      </w:rPr>
      <w:t>Civil Listings</w:t>
    </w:r>
  </w:p>
  <w:p w14:paraId="746F325F" w14:textId="3D8D7830" w:rsidR="00341C41" w:rsidRPr="005D41E6" w:rsidRDefault="00956D76" w:rsidP="00341C41">
    <w:pPr>
      <w:pStyle w:val="Header"/>
      <w:rPr>
        <w:sz w:val="20"/>
      </w:rPr>
    </w:pPr>
    <w:r>
      <w:rPr>
        <w:sz w:val="36"/>
        <w:szCs w:val="28"/>
      </w:rPr>
      <w:t>In-person hearing</w:t>
    </w:r>
    <w:r w:rsidR="00341C41">
      <w:rPr>
        <w:sz w:val="36"/>
        <w:szCs w:val="28"/>
      </w:rPr>
      <w:t xml:space="preserve"> </w:t>
    </w:r>
    <w:r w:rsidR="006E6405">
      <w:rPr>
        <w:sz w:val="36"/>
        <w:szCs w:val="28"/>
      </w:rPr>
      <w:t>f</w:t>
    </w:r>
    <w:r w:rsidR="00341C41">
      <w:rPr>
        <w:sz w:val="36"/>
        <w:szCs w:val="28"/>
      </w:rPr>
      <w:t>orm</w:t>
    </w:r>
  </w:p>
  <w:p w14:paraId="68EC60A5" w14:textId="77777777" w:rsidR="00341C41" w:rsidRDefault="00341C41" w:rsidP="00341C41">
    <w:pPr>
      <w:pStyle w:val="Header"/>
    </w:pPr>
    <w:r w:rsidRPr="005D41E6">
      <w:rPr>
        <w:noProof/>
        <w:sz w:val="20"/>
        <w:lang w:eastAsia="en-AU"/>
      </w:rPr>
      <w:drawing>
        <wp:anchor distT="0" distB="0" distL="114300" distR="114300" simplePos="0" relativeHeight="251658241" behindDoc="1" locked="1" layoutInCell="1" allowOverlap="0" wp14:anchorId="228E4DC7" wp14:editId="484A9180">
          <wp:simplePos x="0" y="0"/>
          <wp:positionH relativeFrom="margin">
            <wp:posOffset>-819150</wp:posOffset>
          </wp:positionH>
          <wp:positionV relativeFrom="page">
            <wp:posOffset>142875</wp:posOffset>
          </wp:positionV>
          <wp:extent cx="7370445" cy="1392555"/>
          <wp:effectExtent l="0" t="0" r="1905" b="0"/>
          <wp:wrapNone/>
          <wp:docPr id="211" name="Picture 211" descr="Factsheet_ligh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_ligh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392555"/>
                  </a:xfrm>
                  <a:prstGeom prst="rect">
                    <a:avLst/>
                  </a:prstGeom>
                  <a:noFill/>
                </pic:spPr>
              </pic:pic>
            </a:graphicData>
          </a:graphic>
          <wp14:sizeRelH relativeFrom="page">
            <wp14:pctWidth>0</wp14:pctWidth>
          </wp14:sizeRelH>
          <wp14:sizeRelV relativeFrom="page">
            <wp14:pctHeight>0</wp14:pctHeight>
          </wp14:sizeRelV>
        </wp:anchor>
      </w:drawing>
    </w:r>
  </w:p>
  <w:p w14:paraId="4F4476C7" w14:textId="77777777" w:rsidR="005D41E6" w:rsidRPr="00D8003D" w:rsidRDefault="005D41E6" w:rsidP="00D8003D">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CF4" w14:textId="77777777" w:rsidR="00B73B6F" w:rsidRDefault="00B73B6F" w:rsidP="00B73B6F">
    <w:pPr>
      <w:pStyle w:val="Header"/>
      <w:rPr>
        <w:sz w:val="36"/>
        <w:szCs w:val="28"/>
      </w:rPr>
    </w:pPr>
  </w:p>
  <w:p w14:paraId="20BB69BD" w14:textId="77777777" w:rsidR="00B73B6F" w:rsidRPr="00C92E2B" w:rsidRDefault="00C92E2B" w:rsidP="00B73B6F">
    <w:pPr>
      <w:pStyle w:val="Header"/>
      <w:rPr>
        <w:b/>
        <w:color w:val="C00000"/>
        <w:sz w:val="36"/>
        <w:szCs w:val="28"/>
      </w:rPr>
    </w:pPr>
    <w:r w:rsidRPr="00C92E2B">
      <w:rPr>
        <w:b/>
        <w:color w:val="C00000"/>
        <w:sz w:val="36"/>
        <w:szCs w:val="28"/>
      </w:rPr>
      <w:t>Civil Listings</w:t>
    </w:r>
    <w:r w:rsidR="00683F33">
      <w:rPr>
        <w:b/>
        <w:color w:val="C00000"/>
        <w:sz w:val="36"/>
        <w:szCs w:val="28"/>
      </w:rPr>
      <w:t xml:space="preserve"> – Trial Division</w:t>
    </w:r>
  </w:p>
  <w:p w14:paraId="50D43D1E" w14:textId="654BFE06" w:rsidR="00B73B6F" w:rsidRPr="005D41E6" w:rsidRDefault="00956D76" w:rsidP="00B73B6F">
    <w:pPr>
      <w:pStyle w:val="Header"/>
      <w:rPr>
        <w:sz w:val="20"/>
      </w:rPr>
    </w:pPr>
    <w:r>
      <w:rPr>
        <w:sz w:val="36"/>
        <w:szCs w:val="28"/>
      </w:rPr>
      <w:t>In-person hearing</w:t>
    </w:r>
    <w:r w:rsidR="00683F33">
      <w:rPr>
        <w:sz w:val="36"/>
        <w:szCs w:val="28"/>
      </w:rPr>
      <w:t xml:space="preserve"> </w:t>
    </w:r>
    <w:r w:rsidR="00DD6360">
      <w:rPr>
        <w:sz w:val="36"/>
        <w:szCs w:val="28"/>
      </w:rPr>
      <w:t>f</w:t>
    </w:r>
    <w:r w:rsidR="00B73B6F">
      <w:rPr>
        <w:sz w:val="36"/>
        <w:szCs w:val="28"/>
      </w:rPr>
      <w:t>orm</w:t>
    </w:r>
  </w:p>
  <w:p w14:paraId="79399058" w14:textId="77777777" w:rsidR="00B73B6F" w:rsidRDefault="00B73B6F">
    <w:pPr>
      <w:pStyle w:val="Header"/>
    </w:pPr>
    <w:r w:rsidRPr="005D41E6">
      <w:rPr>
        <w:noProof/>
        <w:sz w:val="20"/>
        <w:lang w:eastAsia="en-AU"/>
      </w:rPr>
      <w:drawing>
        <wp:anchor distT="0" distB="0" distL="114300" distR="114300" simplePos="0" relativeHeight="251658240" behindDoc="1" locked="1" layoutInCell="1" allowOverlap="0" wp14:anchorId="6FBCBCE7" wp14:editId="36A7EF37">
          <wp:simplePos x="0" y="0"/>
          <wp:positionH relativeFrom="margin">
            <wp:posOffset>-819150</wp:posOffset>
          </wp:positionH>
          <wp:positionV relativeFrom="page">
            <wp:posOffset>142875</wp:posOffset>
          </wp:positionV>
          <wp:extent cx="7370445" cy="1392555"/>
          <wp:effectExtent l="0" t="0" r="1905" b="0"/>
          <wp:wrapNone/>
          <wp:docPr id="212" name="Picture 212" descr="Factsheet_ligh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_ligh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392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3E7"/>
    <w:multiLevelType w:val="hybridMultilevel"/>
    <w:tmpl w:val="9542A6A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8932536"/>
    <w:multiLevelType w:val="hybridMultilevel"/>
    <w:tmpl w:val="735AB38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15:restartNumberingAfterBreak="0">
    <w:nsid w:val="3C5078AD"/>
    <w:multiLevelType w:val="hybridMultilevel"/>
    <w:tmpl w:val="29B46840"/>
    <w:lvl w:ilvl="0" w:tplc="3558CA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AA1DCD"/>
    <w:multiLevelType w:val="hybridMultilevel"/>
    <w:tmpl w:val="DB305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B30AC9"/>
    <w:multiLevelType w:val="hybridMultilevel"/>
    <w:tmpl w:val="191814D0"/>
    <w:lvl w:ilvl="0" w:tplc="BD92258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A83054"/>
    <w:multiLevelType w:val="hybridMultilevel"/>
    <w:tmpl w:val="01A20342"/>
    <w:lvl w:ilvl="0" w:tplc="382C743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85"/>
    <w:rsid w:val="00035CD0"/>
    <w:rsid w:val="000727C4"/>
    <w:rsid w:val="000859E1"/>
    <w:rsid w:val="001021DF"/>
    <w:rsid w:val="00160508"/>
    <w:rsid w:val="00172598"/>
    <w:rsid w:val="00187F8D"/>
    <w:rsid w:val="001A3617"/>
    <w:rsid w:val="001B24F0"/>
    <w:rsid w:val="001C413E"/>
    <w:rsid w:val="001E7578"/>
    <w:rsid w:val="001F6564"/>
    <w:rsid w:val="00220532"/>
    <w:rsid w:val="00235D68"/>
    <w:rsid w:val="00241BF5"/>
    <w:rsid w:val="00261685"/>
    <w:rsid w:val="002676B4"/>
    <w:rsid w:val="00280EF6"/>
    <w:rsid w:val="00283DE0"/>
    <w:rsid w:val="002C1300"/>
    <w:rsid w:val="002E1D67"/>
    <w:rsid w:val="00321FB3"/>
    <w:rsid w:val="00324A5A"/>
    <w:rsid w:val="00341C41"/>
    <w:rsid w:val="0036596A"/>
    <w:rsid w:val="003909AF"/>
    <w:rsid w:val="003928DA"/>
    <w:rsid w:val="00395859"/>
    <w:rsid w:val="003A3CC3"/>
    <w:rsid w:val="003C40FA"/>
    <w:rsid w:val="003F7698"/>
    <w:rsid w:val="004051CF"/>
    <w:rsid w:val="00406C91"/>
    <w:rsid w:val="004238C8"/>
    <w:rsid w:val="00426F99"/>
    <w:rsid w:val="0043044D"/>
    <w:rsid w:val="004373BC"/>
    <w:rsid w:val="00437E51"/>
    <w:rsid w:val="004526AC"/>
    <w:rsid w:val="00455C0E"/>
    <w:rsid w:val="004605D9"/>
    <w:rsid w:val="00472310"/>
    <w:rsid w:val="00474D0E"/>
    <w:rsid w:val="00476050"/>
    <w:rsid w:val="00483010"/>
    <w:rsid w:val="00490388"/>
    <w:rsid w:val="00490D19"/>
    <w:rsid w:val="00496D56"/>
    <w:rsid w:val="0049772E"/>
    <w:rsid w:val="004A2FDD"/>
    <w:rsid w:val="004A35BC"/>
    <w:rsid w:val="004B2364"/>
    <w:rsid w:val="004C5EC9"/>
    <w:rsid w:val="004D708F"/>
    <w:rsid w:val="004F33F6"/>
    <w:rsid w:val="0051314C"/>
    <w:rsid w:val="005628E2"/>
    <w:rsid w:val="00570CFD"/>
    <w:rsid w:val="005A1E3C"/>
    <w:rsid w:val="005D41E6"/>
    <w:rsid w:val="005E2F0D"/>
    <w:rsid w:val="00613B70"/>
    <w:rsid w:val="00627D02"/>
    <w:rsid w:val="00631407"/>
    <w:rsid w:val="00631840"/>
    <w:rsid w:val="0063447A"/>
    <w:rsid w:val="00646C70"/>
    <w:rsid w:val="006548EC"/>
    <w:rsid w:val="00674090"/>
    <w:rsid w:val="00681298"/>
    <w:rsid w:val="00683F33"/>
    <w:rsid w:val="006930D4"/>
    <w:rsid w:val="00697851"/>
    <w:rsid w:val="006B0DE3"/>
    <w:rsid w:val="006C2D70"/>
    <w:rsid w:val="006C2EEF"/>
    <w:rsid w:val="006E6405"/>
    <w:rsid w:val="007032BC"/>
    <w:rsid w:val="00721057"/>
    <w:rsid w:val="00721725"/>
    <w:rsid w:val="007226D0"/>
    <w:rsid w:val="00724D07"/>
    <w:rsid w:val="00756F4C"/>
    <w:rsid w:val="00787CFC"/>
    <w:rsid w:val="007940FF"/>
    <w:rsid w:val="007C04CE"/>
    <w:rsid w:val="007C66A6"/>
    <w:rsid w:val="007D224E"/>
    <w:rsid w:val="007F3AF6"/>
    <w:rsid w:val="007F4A24"/>
    <w:rsid w:val="00813392"/>
    <w:rsid w:val="00815565"/>
    <w:rsid w:val="008202A0"/>
    <w:rsid w:val="00835D86"/>
    <w:rsid w:val="0084192D"/>
    <w:rsid w:val="00896C88"/>
    <w:rsid w:val="008A2CE4"/>
    <w:rsid w:val="008D46A6"/>
    <w:rsid w:val="008D5F52"/>
    <w:rsid w:val="00905732"/>
    <w:rsid w:val="00933985"/>
    <w:rsid w:val="00942FF5"/>
    <w:rsid w:val="00956D76"/>
    <w:rsid w:val="009E0371"/>
    <w:rsid w:val="00A0222F"/>
    <w:rsid w:val="00A036B7"/>
    <w:rsid w:val="00A20FD3"/>
    <w:rsid w:val="00A24936"/>
    <w:rsid w:val="00A5056E"/>
    <w:rsid w:val="00A61750"/>
    <w:rsid w:val="00A83AFA"/>
    <w:rsid w:val="00A93790"/>
    <w:rsid w:val="00AA4A9D"/>
    <w:rsid w:val="00AB79BB"/>
    <w:rsid w:val="00AD4769"/>
    <w:rsid w:val="00AE0A1C"/>
    <w:rsid w:val="00B00E61"/>
    <w:rsid w:val="00B11531"/>
    <w:rsid w:val="00B35350"/>
    <w:rsid w:val="00B45A4E"/>
    <w:rsid w:val="00B572B7"/>
    <w:rsid w:val="00B73B6F"/>
    <w:rsid w:val="00B8240E"/>
    <w:rsid w:val="00B967C8"/>
    <w:rsid w:val="00BA28BE"/>
    <w:rsid w:val="00BA6682"/>
    <w:rsid w:val="00BB17FB"/>
    <w:rsid w:val="00BB4261"/>
    <w:rsid w:val="00BC39F4"/>
    <w:rsid w:val="00BC636E"/>
    <w:rsid w:val="00BC7EC1"/>
    <w:rsid w:val="00BF1FD1"/>
    <w:rsid w:val="00C012DF"/>
    <w:rsid w:val="00C05CC0"/>
    <w:rsid w:val="00C075DB"/>
    <w:rsid w:val="00C1102B"/>
    <w:rsid w:val="00C36EA6"/>
    <w:rsid w:val="00C42026"/>
    <w:rsid w:val="00C82A94"/>
    <w:rsid w:val="00C92E2B"/>
    <w:rsid w:val="00CF1B80"/>
    <w:rsid w:val="00D027E2"/>
    <w:rsid w:val="00D214E2"/>
    <w:rsid w:val="00D44093"/>
    <w:rsid w:val="00D55B04"/>
    <w:rsid w:val="00D5676F"/>
    <w:rsid w:val="00D64D43"/>
    <w:rsid w:val="00D73FD7"/>
    <w:rsid w:val="00D8003D"/>
    <w:rsid w:val="00D9643F"/>
    <w:rsid w:val="00DA1572"/>
    <w:rsid w:val="00DD2E14"/>
    <w:rsid w:val="00DD6360"/>
    <w:rsid w:val="00E250C8"/>
    <w:rsid w:val="00E27CB6"/>
    <w:rsid w:val="00E37A40"/>
    <w:rsid w:val="00E82EBD"/>
    <w:rsid w:val="00E861CD"/>
    <w:rsid w:val="00EA6FB3"/>
    <w:rsid w:val="00EC4299"/>
    <w:rsid w:val="00ED0421"/>
    <w:rsid w:val="00ED04E6"/>
    <w:rsid w:val="00ED0525"/>
    <w:rsid w:val="00EE6DDE"/>
    <w:rsid w:val="00F10830"/>
    <w:rsid w:val="00F34E64"/>
    <w:rsid w:val="00F427F7"/>
    <w:rsid w:val="00F55C89"/>
    <w:rsid w:val="00FA0635"/>
    <w:rsid w:val="00FA671E"/>
    <w:rsid w:val="00FC135F"/>
    <w:rsid w:val="00FD1499"/>
    <w:rsid w:val="00FF09E1"/>
    <w:rsid w:val="00FF65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A52F71"/>
  <w15:chartTrackingRefBased/>
  <w15:docId w15:val="{9151F950-4AC2-4E45-9FE8-3A76DBB5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685"/>
  </w:style>
  <w:style w:type="paragraph" w:styleId="Footer">
    <w:name w:val="footer"/>
    <w:basedOn w:val="Normal"/>
    <w:link w:val="FooterChar"/>
    <w:uiPriority w:val="99"/>
    <w:unhideWhenUsed/>
    <w:rsid w:val="00261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685"/>
  </w:style>
  <w:style w:type="character" w:styleId="Hyperlink">
    <w:name w:val="Hyperlink"/>
    <w:basedOn w:val="DefaultParagraphFont"/>
    <w:uiPriority w:val="99"/>
    <w:unhideWhenUsed/>
    <w:rsid w:val="00631840"/>
    <w:rPr>
      <w:color w:val="0000FF"/>
      <w:u w:val="single"/>
    </w:rPr>
  </w:style>
  <w:style w:type="paragraph" w:styleId="BalloonText">
    <w:name w:val="Balloon Text"/>
    <w:basedOn w:val="Normal"/>
    <w:link w:val="BalloonTextChar"/>
    <w:uiPriority w:val="99"/>
    <w:semiHidden/>
    <w:unhideWhenUsed/>
    <w:rsid w:val="00172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598"/>
    <w:rPr>
      <w:rFonts w:ascii="Segoe UI" w:hAnsi="Segoe UI" w:cs="Segoe UI"/>
      <w:sz w:val="18"/>
      <w:szCs w:val="18"/>
    </w:rPr>
  </w:style>
  <w:style w:type="paragraph" w:styleId="ListParagraph">
    <w:name w:val="List Paragraph"/>
    <w:basedOn w:val="Normal"/>
    <w:uiPriority w:val="34"/>
    <w:qFormat/>
    <w:rsid w:val="00721725"/>
    <w:pPr>
      <w:ind w:left="720"/>
      <w:contextualSpacing/>
    </w:pPr>
  </w:style>
  <w:style w:type="character" w:styleId="CommentReference">
    <w:name w:val="annotation reference"/>
    <w:basedOn w:val="DefaultParagraphFont"/>
    <w:uiPriority w:val="99"/>
    <w:semiHidden/>
    <w:unhideWhenUsed/>
    <w:rsid w:val="00395859"/>
    <w:rPr>
      <w:sz w:val="16"/>
      <w:szCs w:val="16"/>
    </w:rPr>
  </w:style>
  <w:style w:type="paragraph" w:styleId="CommentText">
    <w:name w:val="annotation text"/>
    <w:basedOn w:val="Normal"/>
    <w:link w:val="CommentTextChar"/>
    <w:uiPriority w:val="99"/>
    <w:semiHidden/>
    <w:unhideWhenUsed/>
    <w:rsid w:val="00395859"/>
    <w:pPr>
      <w:spacing w:line="240" w:lineRule="auto"/>
    </w:pPr>
    <w:rPr>
      <w:sz w:val="20"/>
      <w:szCs w:val="20"/>
    </w:rPr>
  </w:style>
  <w:style w:type="character" w:customStyle="1" w:styleId="CommentTextChar">
    <w:name w:val="Comment Text Char"/>
    <w:basedOn w:val="DefaultParagraphFont"/>
    <w:link w:val="CommentText"/>
    <w:uiPriority w:val="99"/>
    <w:semiHidden/>
    <w:rsid w:val="00395859"/>
    <w:rPr>
      <w:sz w:val="20"/>
      <w:szCs w:val="20"/>
    </w:rPr>
  </w:style>
  <w:style w:type="paragraph" w:styleId="CommentSubject">
    <w:name w:val="annotation subject"/>
    <w:basedOn w:val="CommentText"/>
    <w:next w:val="CommentText"/>
    <w:link w:val="CommentSubjectChar"/>
    <w:uiPriority w:val="99"/>
    <w:semiHidden/>
    <w:unhideWhenUsed/>
    <w:rsid w:val="00395859"/>
    <w:rPr>
      <w:b/>
      <w:bCs/>
    </w:rPr>
  </w:style>
  <w:style w:type="character" w:customStyle="1" w:styleId="CommentSubjectChar">
    <w:name w:val="Comment Subject Char"/>
    <w:basedOn w:val="CommentTextChar"/>
    <w:link w:val="CommentSubject"/>
    <w:uiPriority w:val="99"/>
    <w:semiHidden/>
    <w:rsid w:val="00395859"/>
    <w:rPr>
      <w:b/>
      <w:bCs/>
      <w:sz w:val="20"/>
      <w:szCs w:val="20"/>
    </w:rPr>
  </w:style>
  <w:style w:type="character" w:styleId="FollowedHyperlink">
    <w:name w:val="FollowedHyperlink"/>
    <w:basedOn w:val="DefaultParagraphFont"/>
    <w:uiPriority w:val="99"/>
    <w:semiHidden/>
    <w:unhideWhenUsed/>
    <w:rsid w:val="00BA6682"/>
    <w:rPr>
      <w:color w:val="954F72" w:themeColor="followedHyperlink"/>
      <w:u w:val="single"/>
    </w:rPr>
  </w:style>
  <w:style w:type="paragraph" w:styleId="FootnoteText">
    <w:name w:val="footnote text"/>
    <w:basedOn w:val="Normal"/>
    <w:link w:val="FootnoteTextChar"/>
    <w:uiPriority w:val="99"/>
    <w:semiHidden/>
    <w:unhideWhenUsed/>
    <w:rsid w:val="00241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BF5"/>
    <w:rPr>
      <w:sz w:val="20"/>
      <w:szCs w:val="20"/>
    </w:rPr>
  </w:style>
  <w:style w:type="character" w:styleId="FootnoteReference">
    <w:name w:val="footnote reference"/>
    <w:basedOn w:val="DefaultParagraphFont"/>
    <w:uiPriority w:val="99"/>
    <w:semiHidden/>
    <w:unhideWhenUsed/>
    <w:rsid w:val="00241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court@supcourt.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vil.listings@supcourt.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remecourt.vic.gov.au/contact-us/judicial-support-contac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7f7061-92c6-40dd-a073-fe2dec9e160a">
      <UserInfo>
        <DisplayName>Kate Clark</DisplayName>
        <AccountId>298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4" ma:contentTypeDescription="Create a new document." ma:contentTypeScope="" ma:versionID="e47a8aa4f387778f9107b919fcd76665">
  <xsd:schema xmlns:xsd="http://www.w3.org/2001/XMLSchema" xmlns:xs="http://www.w3.org/2001/XMLSchema" xmlns:p="http://schemas.microsoft.com/office/2006/metadata/properties" xmlns:ns3="0c818e73-8dac-4f86-a5bb-4e3d4196b554" xmlns:ns4="2e7f7061-92c6-40dd-a073-fe2dec9e160a" targetNamespace="http://schemas.microsoft.com/office/2006/metadata/properties" ma:root="true" ma:fieldsID="3118ef5d1a8a7a8c46bdb0cfd496186c" ns3:_="" ns4:_="">
    <xsd:import namespace="0c818e73-8dac-4f86-a5bb-4e3d4196b554"/>
    <xsd:import namespace="2e7f7061-92c6-40dd-a073-fe2dec9e16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10A16-AED3-415F-8AEE-EB7736E6DFFE}">
  <ds:schemaRefs>
    <ds:schemaRef ds:uri="http://schemas.microsoft.com/sharepoint/v3/contenttype/forms"/>
  </ds:schemaRefs>
</ds:datastoreItem>
</file>

<file path=customXml/itemProps2.xml><?xml version="1.0" encoding="utf-8"?>
<ds:datastoreItem xmlns:ds="http://schemas.openxmlformats.org/officeDocument/2006/customXml" ds:itemID="{76AE78F3-D1AE-4C7F-99EA-F4C156BB067F}">
  <ds:schemaRefs>
    <ds:schemaRef ds:uri="http://schemas.microsoft.com/office/2006/metadata/properties"/>
    <ds:schemaRef ds:uri="http://schemas.microsoft.com/office/infopath/2007/PartnerControls"/>
    <ds:schemaRef ds:uri="2e7f7061-92c6-40dd-a073-fe2dec9e160a"/>
  </ds:schemaRefs>
</ds:datastoreItem>
</file>

<file path=customXml/itemProps3.xml><?xml version="1.0" encoding="utf-8"?>
<ds:datastoreItem xmlns:ds="http://schemas.openxmlformats.org/officeDocument/2006/customXml" ds:itemID="{45E1D3FE-9CAA-4EEC-8006-7D127C4D3F88}">
  <ds:schemaRefs>
    <ds:schemaRef ds:uri="http://schemas.openxmlformats.org/officeDocument/2006/bibliography"/>
  </ds:schemaRefs>
</ds:datastoreItem>
</file>

<file path=customXml/itemProps4.xml><?xml version="1.0" encoding="utf-8"?>
<ds:datastoreItem xmlns:ds="http://schemas.openxmlformats.org/officeDocument/2006/customXml" ds:itemID="{A474ECBE-678B-441A-A4D4-8B9F27461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18e73-8dac-4f86-a5bb-4e3d4196b554"/>
    <ds:schemaRef ds:uri="2e7f7061-92c6-40dd-a073-fe2dec9e1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2537</CharactersWithSpaces>
  <SharedDoc>false</SharedDoc>
  <HLinks>
    <vt:vector size="18" baseType="variant">
      <vt:variant>
        <vt:i4>2752528</vt:i4>
      </vt:variant>
      <vt:variant>
        <vt:i4>6</vt:i4>
      </vt:variant>
      <vt:variant>
        <vt:i4>0</vt:i4>
      </vt:variant>
      <vt:variant>
        <vt:i4>5</vt:i4>
      </vt:variant>
      <vt:variant>
        <vt:lpwstr>mailto:commercialcourt@supcourt.vic.gov.au</vt:lpwstr>
      </vt:variant>
      <vt:variant>
        <vt:lpwstr/>
      </vt:variant>
      <vt:variant>
        <vt:i4>3670098</vt:i4>
      </vt:variant>
      <vt:variant>
        <vt:i4>3</vt:i4>
      </vt:variant>
      <vt:variant>
        <vt:i4>0</vt:i4>
      </vt:variant>
      <vt:variant>
        <vt:i4>5</vt:i4>
      </vt:variant>
      <vt:variant>
        <vt:lpwstr>mailto:civil.listings@supcourt.vic.gov.au</vt:lpwstr>
      </vt:variant>
      <vt:variant>
        <vt:lpwstr/>
      </vt:variant>
      <vt:variant>
        <vt:i4>6029400</vt:i4>
      </vt:variant>
      <vt:variant>
        <vt:i4>0</vt:i4>
      </vt:variant>
      <vt:variant>
        <vt:i4>0</vt:i4>
      </vt:variant>
      <vt:variant>
        <vt:i4>5</vt:i4>
      </vt:variant>
      <vt:variant>
        <vt:lpwstr>https://www.supremecourt.vic.gov.au/contact-us/judicial-support-contacts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Valladares</dc:creator>
  <cp:keywords/>
  <dc:description/>
  <cp:lastModifiedBy>Davida Aerlic</cp:lastModifiedBy>
  <cp:revision>2</cp:revision>
  <cp:lastPrinted>2021-03-12T23:51:00Z</cp:lastPrinted>
  <dcterms:created xsi:type="dcterms:W3CDTF">2022-03-03T22:05:00Z</dcterms:created>
  <dcterms:modified xsi:type="dcterms:W3CDTF">2022-03-03T22:05:00Z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