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C8CB3" w14:textId="77777777" w:rsidR="00E4502E" w:rsidRDefault="00E4502E"/>
    <w:tbl>
      <w:tblPr>
        <w:tblW w:w="9214" w:type="dxa"/>
        <w:tblInd w:w="-142" w:type="dxa"/>
        <w:tblLayout w:type="fixed"/>
        <w:tblLook w:val="0000" w:firstRow="0" w:lastRow="0" w:firstColumn="0" w:lastColumn="0" w:noHBand="0" w:noVBand="0"/>
      </w:tblPr>
      <w:tblGrid>
        <w:gridCol w:w="3511"/>
        <w:gridCol w:w="3381"/>
        <w:gridCol w:w="2322"/>
      </w:tblGrid>
      <w:tr w:rsidR="00EE1BA7" w:rsidRPr="002F7EC6" w14:paraId="2013875E" w14:textId="77777777" w:rsidTr="00014B8E">
        <w:tc>
          <w:tcPr>
            <w:tcW w:w="9214" w:type="dxa"/>
            <w:gridSpan w:val="3"/>
          </w:tcPr>
          <w:p w14:paraId="7ADA3440" w14:textId="77777777" w:rsidR="00EE1BA7" w:rsidRPr="002F7EC6" w:rsidRDefault="00EE1BA7" w:rsidP="002A2B43">
            <w:pPr>
              <w:spacing w:line="240" w:lineRule="exact"/>
              <w:jc w:val="both"/>
              <w:rPr>
                <w:rFonts w:ascii="Book Antiqua" w:hAnsi="Book Antiqua"/>
                <w:caps/>
              </w:rPr>
            </w:pPr>
            <w:r w:rsidRPr="002F7EC6">
              <w:rPr>
                <w:rFonts w:ascii="Book Antiqua" w:hAnsi="Book Antiqua"/>
                <w:caps/>
              </w:rPr>
              <w:t xml:space="preserve">IN THE SUPREME COURT OF VICTORIA AT </w:t>
            </w:r>
            <w:r w:rsidRPr="005236A1">
              <w:rPr>
                <w:rFonts w:ascii="Book Antiqua" w:hAnsi="Book Antiqua"/>
                <w:caps/>
                <w:highlight w:val="yellow"/>
              </w:rPr>
              <w:t>X</w:t>
            </w:r>
          </w:p>
        </w:tc>
      </w:tr>
      <w:tr w:rsidR="00EE1BA7" w:rsidRPr="002F7EC6" w14:paraId="4492A34F" w14:textId="77777777" w:rsidTr="00014B8E">
        <w:tc>
          <w:tcPr>
            <w:tcW w:w="9214" w:type="dxa"/>
            <w:gridSpan w:val="3"/>
          </w:tcPr>
          <w:p w14:paraId="283CEE67" w14:textId="77777777" w:rsidR="00EE1BA7" w:rsidRPr="002F7EC6" w:rsidRDefault="00EE1BA7" w:rsidP="002A2B43">
            <w:pPr>
              <w:spacing w:line="240" w:lineRule="exact"/>
              <w:jc w:val="both"/>
              <w:rPr>
                <w:rFonts w:ascii="Book Antiqua" w:hAnsi="Book Antiqua"/>
                <w:caps/>
              </w:rPr>
            </w:pPr>
            <w:r w:rsidRPr="002F7EC6">
              <w:rPr>
                <w:rFonts w:ascii="Book Antiqua" w:hAnsi="Book Antiqua"/>
                <w:caps/>
              </w:rPr>
              <w:t>COMMON LAW DIVISION</w:t>
            </w:r>
          </w:p>
        </w:tc>
      </w:tr>
      <w:tr w:rsidR="00EE1BA7" w:rsidRPr="002F7EC6" w14:paraId="53E6287A" w14:textId="77777777" w:rsidTr="00014B8E">
        <w:tc>
          <w:tcPr>
            <w:tcW w:w="9214" w:type="dxa"/>
            <w:gridSpan w:val="3"/>
          </w:tcPr>
          <w:p w14:paraId="488FE8E3" w14:textId="77777777" w:rsidR="00EE1BA7" w:rsidRPr="002F7EC6" w:rsidRDefault="00EE1BA7" w:rsidP="002A2B43">
            <w:pPr>
              <w:spacing w:line="240" w:lineRule="exact"/>
              <w:jc w:val="both"/>
              <w:rPr>
                <w:rFonts w:ascii="Book Antiqua" w:hAnsi="Book Antiqua"/>
                <w:caps/>
              </w:rPr>
            </w:pPr>
            <w:r w:rsidRPr="00851AFA">
              <w:rPr>
                <w:rFonts w:ascii="Book Antiqua" w:hAnsi="Book Antiqua"/>
                <w:caps/>
                <w:highlight w:val="yellow"/>
              </w:rPr>
              <w:t>TESTATORS FAMILY MAINTENANCE LIST /CIVIL CIRCUIT LIST</w:t>
            </w:r>
          </w:p>
        </w:tc>
      </w:tr>
      <w:tr w:rsidR="00EE1BA7" w:rsidRPr="002F7EC6" w14:paraId="61880101" w14:textId="77777777" w:rsidTr="00900645">
        <w:tc>
          <w:tcPr>
            <w:tcW w:w="6892" w:type="dxa"/>
            <w:gridSpan w:val="2"/>
          </w:tcPr>
          <w:p w14:paraId="3FABAC42" w14:textId="77777777" w:rsidR="00EE1BA7" w:rsidRPr="002F7EC6" w:rsidRDefault="00EE1BA7" w:rsidP="002A2B43">
            <w:pPr>
              <w:spacing w:before="120" w:after="120"/>
              <w:jc w:val="both"/>
              <w:rPr>
                <w:rFonts w:ascii="Book Antiqua" w:hAnsi="Book Antiqua"/>
              </w:rPr>
            </w:pPr>
          </w:p>
        </w:tc>
        <w:tc>
          <w:tcPr>
            <w:tcW w:w="2322" w:type="dxa"/>
          </w:tcPr>
          <w:p w14:paraId="37FC34F2" w14:textId="783A9345" w:rsidR="00EE1BA7" w:rsidRPr="002F7EC6" w:rsidRDefault="00EE1BA7" w:rsidP="002A2B43">
            <w:pPr>
              <w:spacing w:before="120" w:after="120"/>
              <w:jc w:val="both"/>
              <w:rPr>
                <w:rFonts w:ascii="Book Antiqua" w:hAnsi="Book Antiqua"/>
              </w:rPr>
            </w:pPr>
            <w:r w:rsidRPr="002F7EC6">
              <w:rPr>
                <w:rFonts w:ascii="Book Antiqua" w:hAnsi="Book Antiqua"/>
              </w:rPr>
              <w:t xml:space="preserve">S ECI </w:t>
            </w:r>
            <w:r w:rsidRPr="002F7EC6">
              <w:rPr>
                <w:rFonts w:ascii="Book Antiqua" w:hAnsi="Book Antiqua"/>
                <w:highlight w:val="yellow"/>
              </w:rPr>
              <w:t>20YY NNNN</w:t>
            </w:r>
          </w:p>
        </w:tc>
      </w:tr>
      <w:tr w:rsidR="00EE1BA7" w:rsidRPr="002F7EC6" w14:paraId="18284781" w14:textId="77777777" w:rsidTr="00014B8E">
        <w:tc>
          <w:tcPr>
            <w:tcW w:w="9214" w:type="dxa"/>
            <w:gridSpan w:val="3"/>
          </w:tcPr>
          <w:p w14:paraId="399B5C14" w14:textId="77777777" w:rsidR="00EE1BA7" w:rsidRPr="002F7EC6" w:rsidRDefault="00EE1BA7" w:rsidP="002A2B43">
            <w:pPr>
              <w:spacing w:before="120" w:after="120"/>
              <w:jc w:val="both"/>
              <w:rPr>
                <w:rFonts w:ascii="Book Antiqua" w:hAnsi="Book Antiqua"/>
              </w:rPr>
            </w:pPr>
            <w:r w:rsidRPr="002F7EC6">
              <w:rPr>
                <w:rFonts w:ascii="Book Antiqua" w:hAnsi="Book Antiqua"/>
                <w:u w:val="single"/>
              </w:rPr>
              <w:t xml:space="preserve">IN THE MATTER </w:t>
            </w:r>
            <w:r w:rsidRPr="002F7EC6">
              <w:rPr>
                <w:rFonts w:ascii="Book Antiqua" w:hAnsi="Book Antiqua"/>
              </w:rPr>
              <w:t xml:space="preserve">of Part IV of the </w:t>
            </w:r>
            <w:r w:rsidRPr="002F7EC6">
              <w:rPr>
                <w:rFonts w:ascii="Book Antiqua" w:hAnsi="Book Antiqua"/>
                <w:i/>
              </w:rPr>
              <w:t xml:space="preserve">Administration and Probate Act </w:t>
            </w:r>
            <w:r w:rsidRPr="002F7EC6">
              <w:rPr>
                <w:rFonts w:ascii="Book Antiqua" w:hAnsi="Book Antiqua"/>
              </w:rPr>
              <w:t>1958</w:t>
            </w:r>
            <w:r w:rsidRPr="002F7EC6">
              <w:rPr>
                <w:rFonts w:ascii="Book Antiqua" w:hAnsi="Book Antiqua"/>
                <w:i/>
              </w:rPr>
              <w:t xml:space="preserve"> </w:t>
            </w:r>
          </w:p>
        </w:tc>
      </w:tr>
      <w:tr w:rsidR="00EE1BA7" w:rsidRPr="002F7EC6" w14:paraId="6769FA92" w14:textId="77777777" w:rsidTr="00014B8E">
        <w:tc>
          <w:tcPr>
            <w:tcW w:w="9214" w:type="dxa"/>
            <w:gridSpan w:val="3"/>
          </w:tcPr>
          <w:p w14:paraId="5C4BEA57" w14:textId="77777777" w:rsidR="00EE1BA7" w:rsidRPr="002F7EC6" w:rsidRDefault="00EE1BA7" w:rsidP="002A2B43">
            <w:pPr>
              <w:spacing w:before="100" w:beforeAutospacing="1" w:after="100" w:afterAutospacing="1"/>
              <w:jc w:val="both"/>
              <w:rPr>
                <w:rFonts w:ascii="Book Antiqua" w:hAnsi="Book Antiqua"/>
              </w:rPr>
            </w:pPr>
            <w:r w:rsidRPr="002F7EC6">
              <w:rPr>
                <w:rFonts w:ascii="Book Antiqua" w:hAnsi="Book Antiqua"/>
              </w:rPr>
              <w:t>- and -</w:t>
            </w:r>
          </w:p>
        </w:tc>
      </w:tr>
      <w:tr w:rsidR="00EE1BA7" w:rsidRPr="002F7EC6" w14:paraId="19FD828D" w14:textId="77777777" w:rsidTr="00014B8E">
        <w:tc>
          <w:tcPr>
            <w:tcW w:w="9214" w:type="dxa"/>
            <w:gridSpan w:val="3"/>
          </w:tcPr>
          <w:p w14:paraId="67BEB39D" w14:textId="77777777" w:rsidR="00EE1BA7" w:rsidRPr="002F7EC6" w:rsidRDefault="00EE1BA7" w:rsidP="002A2B43">
            <w:pPr>
              <w:spacing w:before="120" w:after="120"/>
              <w:jc w:val="both"/>
              <w:rPr>
                <w:rFonts w:ascii="Book Antiqua" w:hAnsi="Book Antiqua"/>
              </w:rPr>
            </w:pPr>
            <w:r w:rsidRPr="002F7EC6">
              <w:rPr>
                <w:rFonts w:ascii="Book Antiqua" w:hAnsi="Book Antiqua"/>
                <w:u w:val="single"/>
              </w:rPr>
              <w:t xml:space="preserve">IN THE MATTER </w:t>
            </w:r>
            <w:r w:rsidRPr="002F7EC6">
              <w:rPr>
                <w:rFonts w:ascii="Book Antiqua" w:hAnsi="Book Antiqua"/>
              </w:rPr>
              <w:t xml:space="preserve">of the Will and Estate of </w:t>
            </w:r>
            <w:r w:rsidRPr="002F7EC6">
              <w:rPr>
                <w:rFonts w:ascii="Book Antiqua" w:hAnsi="Book Antiqua"/>
                <w:highlight w:val="yellow"/>
              </w:rPr>
              <w:t>DECEASED</w:t>
            </w:r>
            <w:r w:rsidRPr="002F7EC6">
              <w:rPr>
                <w:rFonts w:ascii="Book Antiqua" w:hAnsi="Book Antiqua"/>
              </w:rPr>
              <w:t>, deceased</w:t>
            </w:r>
          </w:p>
        </w:tc>
      </w:tr>
      <w:tr w:rsidR="00EE1BA7" w:rsidRPr="002F7EC6" w14:paraId="0506CB2A" w14:textId="77777777" w:rsidTr="00900645">
        <w:tc>
          <w:tcPr>
            <w:tcW w:w="6892" w:type="dxa"/>
            <w:gridSpan w:val="2"/>
          </w:tcPr>
          <w:p w14:paraId="2D862002" w14:textId="77777777" w:rsidR="00EE1BA7" w:rsidRPr="002F7EC6" w:rsidRDefault="00EE1BA7" w:rsidP="002A2B43">
            <w:pPr>
              <w:tabs>
                <w:tab w:val="left" w:pos="6840"/>
              </w:tabs>
              <w:spacing w:before="120" w:after="120"/>
              <w:jc w:val="both"/>
              <w:rPr>
                <w:rFonts w:ascii="Book Antiqua" w:hAnsi="Book Antiqua"/>
                <w:u w:val="single"/>
              </w:rPr>
            </w:pPr>
            <w:r w:rsidRPr="002F7EC6">
              <w:rPr>
                <w:rFonts w:ascii="Book Antiqua" w:hAnsi="Book Antiqua"/>
                <w:b/>
                <w:spacing w:val="30"/>
              </w:rPr>
              <w:t>BETWEEN</w:t>
            </w:r>
            <w:r w:rsidRPr="002F7EC6">
              <w:rPr>
                <w:rFonts w:ascii="Book Antiqua" w:hAnsi="Book Antiqua"/>
                <w:b/>
              </w:rPr>
              <w:t>:</w:t>
            </w:r>
          </w:p>
        </w:tc>
        <w:tc>
          <w:tcPr>
            <w:tcW w:w="2322" w:type="dxa"/>
          </w:tcPr>
          <w:p w14:paraId="0D86BCD4" w14:textId="77777777" w:rsidR="00EE1BA7" w:rsidRPr="002F7EC6" w:rsidRDefault="00EE1BA7" w:rsidP="002A2B43">
            <w:pPr>
              <w:spacing w:before="120" w:after="120"/>
              <w:jc w:val="both"/>
              <w:rPr>
                <w:rFonts w:ascii="Book Antiqua" w:hAnsi="Book Antiqua"/>
              </w:rPr>
            </w:pPr>
          </w:p>
        </w:tc>
      </w:tr>
      <w:tr w:rsidR="00EE1BA7" w:rsidRPr="002F7EC6" w14:paraId="3A336442" w14:textId="77777777" w:rsidTr="00900645">
        <w:tc>
          <w:tcPr>
            <w:tcW w:w="6892" w:type="dxa"/>
            <w:gridSpan w:val="2"/>
          </w:tcPr>
          <w:p w14:paraId="70ACBBEF" w14:textId="7934295C" w:rsidR="00EE1BA7" w:rsidRPr="002F7EC6" w:rsidRDefault="00EE1BA7" w:rsidP="002A2B43">
            <w:pPr>
              <w:pStyle w:val="Normal-Cover"/>
              <w:spacing w:before="120" w:after="120"/>
              <w:jc w:val="both"/>
              <w:rPr>
                <w:szCs w:val="24"/>
              </w:rPr>
            </w:pPr>
            <w:r w:rsidRPr="00BA7ECF">
              <w:rPr>
                <w:szCs w:val="24"/>
                <w:highlight w:val="yellow"/>
              </w:rPr>
              <w:t>PLAINTIFF</w:t>
            </w:r>
            <w:r w:rsidR="00BA7ECF" w:rsidRPr="00BA7ECF">
              <w:rPr>
                <w:szCs w:val="24"/>
                <w:highlight w:val="yellow"/>
              </w:rPr>
              <w:t>(S)</w:t>
            </w:r>
          </w:p>
        </w:tc>
        <w:tc>
          <w:tcPr>
            <w:tcW w:w="2322" w:type="dxa"/>
          </w:tcPr>
          <w:p w14:paraId="2DB2AA13" w14:textId="2A9C1DEF" w:rsidR="00EE1BA7" w:rsidRPr="002F7EC6" w:rsidRDefault="00EE1BA7" w:rsidP="00205427">
            <w:pPr>
              <w:spacing w:before="120" w:after="120"/>
              <w:jc w:val="right"/>
              <w:rPr>
                <w:rFonts w:ascii="Book Antiqua" w:hAnsi="Book Antiqua"/>
              </w:rPr>
            </w:pPr>
            <w:r w:rsidRPr="002F7EC6">
              <w:rPr>
                <w:rFonts w:ascii="Book Antiqua" w:hAnsi="Book Antiqua"/>
              </w:rPr>
              <w:t>Plaintiff</w:t>
            </w:r>
            <w:r w:rsidR="00BA7ECF">
              <w:rPr>
                <w:rFonts w:ascii="Book Antiqua" w:hAnsi="Book Antiqua"/>
              </w:rPr>
              <w:t>(s)</w:t>
            </w:r>
          </w:p>
        </w:tc>
      </w:tr>
      <w:tr w:rsidR="00EE1BA7" w:rsidRPr="002F7EC6" w14:paraId="776806B3" w14:textId="77777777" w:rsidTr="00900645">
        <w:tc>
          <w:tcPr>
            <w:tcW w:w="6892" w:type="dxa"/>
            <w:gridSpan w:val="2"/>
          </w:tcPr>
          <w:p w14:paraId="609A0B25" w14:textId="77777777" w:rsidR="00EE1BA7" w:rsidRPr="002F7EC6" w:rsidRDefault="00EE1BA7" w:rsidP="002A2B43">
            <w:pPr>
              <w:pStyle w:val="Normal-Cover"/>
              <w:spacing w:before="100" w:beforeAutospacing="1" w:after="100" w:afterAutospacing="1"/>
              <w:jc w:val="both"/>
              <w:rPr>
                <w:szCs w:val="24"/>
              </w:rPr>
            </w:pPr>
            <w:r w:rsidRPr="002F7EC6">
              <w:rPr>
                <w:szCs w:val="24"/>
              </w:rPr>
              <w:t>- and -</w:t>
            </w:r>
          </w:p>
        </w:tc>
        <w:tc>
          <w:tcPr>
            <w:tcW w:w="2322" w:type="dxa"/>
          </w:tcPr>
          <w:p w14:paraId="10AA7C1C" w14:textId="77777777" w:rsidR="00EE1BA7" w:rsidRPr="002F7EC6" w:rsidRDefault="00EE1BA7" w:rsidP="00205427">
            <w:pPr>
              <w:spacing w:before="100" w:beforeAutospacing="1" w:after="100" w:afterAutospacing="1"/>
              <w:jc w:val="right"/>
              <w:rPr>
                <w:rFonts w:ascii="Book Antiqua" w:hAnsi="Book Antiqua"/>
              </w:rPr>
            </w:pPr>
          </w:p>
        </w:tc>
      </w:tr>
      <w:tr w:rsidR="00EE1BA7" w:rsidRPr="002F7EC6" w14:paraId="72978CC3" w14:textId="77777777" w:rsidTr="00900645">
        <w:trPr>
          <w:trHeight w:val="614"/>
        </w:trPr>
        <w:tc>
          <w:tcPr>
            <w:tcW w:w="6892" w:type="dxa"/>
            <w:gridSpan w:val="2"/>
          </w:tcPr>
          <w:p w14:paraId="6CD5FAA2" w14:textId="1F7BD0D2" w:rsidR="00EE1BA7" w:rsidRPr="002F7EC6" w:rsidRDefault="00EE1BA7" w:rsidP="002A2B43">
            <w:pPr>
              <w:tabs>
                <w:tab w:val="left" w:pos="6840"/>
              </w:tabs>
              <w:spacing w:before="120" w:after="120"/>
              <w:jc w:val="both"/>
              <w:rPr>
                <w:rFonts w:ascii="Book Antiqua" w:hAnsi="Book Antiqua"/>
                <w:spacing w:val="30"/>
              </w:rPr>
            </w:pPr>
            <w:r w:rsidRPr="002F7EC6">
              <w:rPr>
                <w:rFonts w:ascii="Book Antiqua" w:hAnsi="Book Antiqua"/>
                <w:noProof/>
                <w:highlight w:val="yellow"/>
              </w:rPr>
              <w:t>DEFENDANT</w:t>
            </w:r>
            <w:r w:rsidR="00BA7ECF">
              <w:rPr>
                <w:rFonts w:ascii="Book Antiqua" w:hAnsi="Book Antiqua"/>
                <w:noProof/>
                <w:highlight w:val="yellow"/>
              </w:rPr>
              <w:t>(S)</w:t>
            </w:r>
            <w:r w:rsidRPr="002F7EC6">
              <w:rPr>
                <w:rFonts w:ascii="Book Antiqua" w:hAnsi="Book Antiqua"/>
                <w:noProof/>
                <w:highlight w:val="yellow"/>
              </w:rPr>
              <w:t xml:space="preserve"> </w:t>
            </w:r>
            <w:r w:rsidRPr="002F7EC6">
              <w:rPr>
                <w:rFonts w:ascii="Book Antiqua" w:hAnsi="Book Antiqua"/>
                <w:noProof/>
              </w:rPr>
              <w:t xml:space="preserve">(who is sued as the </w:t>
            </w:r>
            <w:r w:rsidRPr="00014B8E">
              <w:rPr>
                <w:rFonts w:ascii="Book Antiqua" w:hAnsi="Book Antiqua"/>
                <w:noProof/>
                <w:highlight w:val="yellow"/>
              </w:rPr>
              <w:t>Executor of the Will</w:t>
            </w:r>
            <w:r w:rsidRPr="002F7EC6">
              <w:rPr>
                <w:rFonts w:ascii="Book Antiqua" w:hAnsi="Book Antiqua"/>
                <w:noProof/>
              </w:rPr>
              <w:t xml:space="preserve"> of </w:t>
            </w:r>
            <w:r w:rsidRPr="002F7EC6">
              <w:rPr>
                <w:rFonts w:ascii="Book Antiqua" w:hAnsi="Book Antiqua"/>
                <w:highlight w:val="yellow"/>
              </w:rPr>
              <w:t>DECEASED</w:t>
            </w:r>
            <w:r w:rsidRPr="002F7EC6">
              <w:rPr>
                <w:rFonts w:ascii="Book Antiqua" w:hAnsi="Book Antiqua"/>
              </w:rPr>
              <w:t xml:space="preserve">, </w:t>
            </w:r>
            <w:r w:rsidRPr="002F7EC6">
              <w:rPr>
                <w:rFonts w:ascii="Book Antiqua" w:hAnsi="Book Antiqua"/>
                <w:noProof/>
              </w:rPr>
              <w:t xml:space="preserve">deceased) </w:t>
            </w:r>
          </w:p>
        </w:tc>
        <w:tc>
          <w:tcPr>
            <w:tcW w:w="2322" w:type="dxa"/>
          </w:tcPr>
          <w:p w14:paraId="67FD118F" w14:textId="31E71EE5" w:rsidR="00EE1BA7" w:rsidRPr="002F7EC6" w:rsidRDefault="00EE1BA7" w:rsidP="00205427">
            <w:pPr>
              <w:spacing w:before="120" w:after="120"/>
              <w:jc w:val="right"/>
              <w:rPr>
                <w:rFonts w:ascii="Book Antiqua" w:hAnsi="Book Antiqua"/>
              </w:rPr>
            </w:pPr>
            <w:r w:rsidRPr="002F7EC6">
              <w:rPr>
                <w:rFonts w:ascii="Book Antiqua" w:hAnsi="Book Antiqua"/>
              </w:rPr>
              <w:t>Defendant</w:t>
            </w:r>
            <w:r w:rsidR="00BA7ECF">
              <w:rPr>
                <w:rFonts w:ascii="Book Antiqua" w:hAnsi="Book Antiqua"/>
              </w:rPr>
              <w:t>(s)</w:t>
            </w:r>
          </w:p>
        </w:tc>
      </w:tr>
      <w:tr w:rsidR="00014B8E" w:rsidRPr="002F7EC6" w14:paraId="6A0C1DB7" w14:textId="77777777" w:rsidTr="00014B8E">
        <w:trPr>
          <w:trHeight w:val="614"/>
        </w:trPr>
        <w:tc>
          <w:tcPr>
            <w:tcW w:w="9214" w:type="dxa"/>
            <w:gridSpan w:val="3"/>
          </w:tcPr>
          <w:p w14:paraId="5BB28102" w14:textId="77777777" w:rsidR="00014B8E" w:rsidRPr="008952AA" w:rsidRDefault="00014B8E" w:rsidP="00E6313A">
            <w:pPr>
              <w:spacing w:before="120" w:line="360" w:lineRule="auto"/>
              <w:jc w:val="center"/>
              <w:rPr>
                <w:rFonts w:ascii="Book Antiqua" w:hAnsi="Book Antiqua"/>
                <w:u w:val="single"/>
              </w:rPr>
            </w:pPr>
            <w:r w:rsidRPr="008952AA">
              <w:rPr>
                <w:rFonts w:ascii="Book Antiqua" w:hAnsi="Book Antiqua"/>
                <w:b/>
                <w:caps/>
                <w:u w:val="single"/>
              </w:rPr>
              <w:t>GENERAL FORM of Order</w:t>
            </w:r>
          </w:p>
        </w:tc>
      </w:tr>
      <w:tr w:rsidR="00EE1BA7" w:rsidRPr="002F7EC6" w14:paraId="77A57022" w14:textId="77777777" w:rsidTr="00014B8E">
        <w:tc>
          <w:tcPr>
            <w:tcW w:w="3511" w:type="dxa"/>
          </w:tcPr>
          <w:p w14:paraId="31D1F779" w14:textId="4CE331D2" w:rsidR="00EE1BA7" w:rsidRPr="002F7EC6" w:rsidRDefault="00EE1BA7" w:rsidP="002A2B43">
            <w:pPr>
              <w:pStyle w:val="Normal-Cover"/>
              <w:jc w:val="both"/>
              <w:rPr>
                <w:szCs w:val="24"/>
              </w:rPr>
            </w:pPr>
            <w:r w:rsidRPr="002F7EC6">
              <w:rPr>
                <w:szCs w:val="24"/>
              </w:rPr>
              <w:t xml:space="preserve">JUDICIAL </w:t>
            </w:r>
            <w:r>
              <w:rPr>
                <w:szCs w:val="24"/>
              </w:rPr>
              <w:t>OFFICER:</w:t>
            </w:r>
          </w:p>
        </w:tc>
        <w:tc>
          <w:tcPr>
            <w:tcW w:w="5703" w:type="dxa"/>
            <w:gridSpan w:val="2"/>
          </w:tcPr>
          <w:p w14:paraId="5F0FAE7A" w14:textId="79D4258A" w:rsidR="00EE1BA7" w:rsidRPr="002F7EC6" w:rsidRDefault="00FE1E30" w:rsidP="002A2B43">
            <w:pPr>
              <w:jc w:val="both"/>
              <w:rPr>
                <w:rFonts w:ascii="Book Antiqua" w:hAnsi="Book Antiqua"/>
              </w:rPr>
            </w:pPr>
            <w:r>
              <w:rPr>
                <w:rFonts w:ascii="Book Antiqua" w:hAnsi="Book Antiqua"/>
              </w:rPr>
              <w:t xml:space="preserve">The Honourable Justice [or] </w:t>
            </w:r>
            <w:r w:rsidR="00EE1BA7">
              <w:rPr>
                <w:rFonts w:ascii="Book Antiqua" w:hAnsi="Book Antiqua"/>
              </w:rPr>
              <w:t>Associate Justice [X] /</w:t>
            </w:r>
            <w:r>
              <w:rPr>
                <w:rFonts w:ascii="Book Antiqua" w:hAnsi="Book Antiqua"/>
              </w:rPr>
              <w:t xml:space="preserve"> </w:t>
            </w:r>
            <w:r w:rsidR="00EE1BA7" w:rsidRPr="002F7EC6">
              <w:rPr>
                <w:rFonts w:ascii="Book Antiqua" w:hAnsi="Book Antiqua"/>
              </w:rPr>
              <w:t xml:space="preserve">Judicial Registrar </w:t>
            </w:r>
            <w:r w:rsidR="00EE1BA7">
              <w:rPr>
                <w:rFonts w:ascii="Book Antiqua" w:hAnsi="Book Antiqua"/>
              </w:rPr>
              <w:t>[X]</w:t>
            </w:r>
            <w:r w:rsidR="00EE1BA7" w:rsidRPr="002F7EC6">
              <w:rPr>
                <w:rFonts w:ascii="Book Antiqua" w:hAnsi="Book Antiqua"/>
              </w:rPr>
              <w:fldChar w:fldCharType="begin"/>
            </w:r>
            <w:r w:rsidR="00EE1BA7" w:rsidRPr="002F7EC6">
              <w:rPr>
                <w:rFonts w:ascii="Book Antiqua" w:hAnsi="Book Antiqua"/>
              </w:rPr>
              <w:instrText xml:space="preserve">  </w:instrText>
            </w:r>
            <w:r w:rsidR="00EE1BA7" w:rsidRPr="002F7EC6">
              <w:rPr>
                <w:rFonts w:ascii="Book Antiqua" w:hAnsi="Book Antiqua"/>
              </w:rPr>
              <w:fldChar w:fldCharType="end"/>
            </w:r>
          </w:p>
        </w:tc>
      </w:tr>
      <w:tr w:rsidR="00EE1BA7" w:rsidRPr="002F7EC6" w14:paraId="0E7CFD08" w14:textId="77777777" w:rsidTr="00014B8E">
        <w:tc>
          <w:tcPr>
            <w:tcW w:w="3511" w:type="dxa"/>
          </w:tcPr>
          <w:p w14:paraId="20CBC52F" w14:textId="77777777" w:rsidR="00EE1BA7" w:rsidRPr="002F7EC6" w:rsidRDefault="00EE1BA7" w:rsidP="002A2B43">
            <w:pPr>
              <w:pStyle w:val="Normal-Cover"/>
              <w:jc w:val="both"/>
              <w:rPr>
                <w:szCs w:val="24"/>
              </w:rPr>
            </w:pPr>
          </w:p>
        </w:tc>
        <w:tc>
          <w:tcPr>
            <w:tcW w:w="5703" w:type="dxa"/>
            <w:gridSpan w:val="2"/>
          </w:tcPr>
          <w:p w14:paraId="4458673A" w14:textId="77777777" w:rsidR="00EE1BA7" w:rsidRPr="002F7EC6" w:rsidRDefault="00EE1BA7" w:rsidP="002A2B43">
            <w:pPr>
              <w:pStyle w:val="Normal-Cover"/>
              <w:jc w:val="both"/>
              <w:rPr>
                <w:szCs w:val="24"/>
              </w:rPr>
            </w:pPr>
          </w:p>
        </w:tc>
      </w:tr>
      <w:tr w:rsidR="00EE1BA7" w:rsidRPr="002F7EC6" w14:paraId="1318D46B" w14:textId="77777777" w:rsidTr="00014B8E">
        <w:tc>
          <w:tcPr>
            <w:tcW w:w="3511" w:type="dxa"/>
          </w:tcPr>
          <w:p w14:paraId="6C03D107" w14:textId="77777777" w:rsidR="00EE1BA7" w:rsidRPr="002F7EC6" w:rsidRDefault="00EE1BA7" w:rsidP="002A2B43">
            <w:pPr>
              <w:pStyle w:val="Normal-Cover"/>
              <w:jc w:val="both"/>
              <w:rPr>
                <w:szCs w:val="24"/>
              </w:rPr>
            </w:pPr>
            <w:r w:rsidRPr="002F7EC6">
              <w:rPr>
                <w:szCs w:val="24"/>
              </w:rPr>
              <w:t>DATE MADE:</w:t>
            </w:r>
          </w:p>
        </w:tc>
        <w:tc>
          <w:tcPr>
            <w:tcW w:w="5703" w:type="dxa"/>
            <w:gridSpan w:val="2"/>
          </w:tcPr>
          <w:p w14:paraId="6976F16D" w14:textId="77777777" w:rsidR="00EE1BA7" w:rsidRPr="002F7EC6" w:rsidRDefault="00EE1BA7" w:rsidP="002A2B43">
            <w:pPr>
              <w:jc w:val="both"/>
              <w:rPr>
                <w:rFonts w:ascii="Book Antiqua" w:hAnsi="Book Antiqua"/>
              </w:rPr>
            </w:pPr>
            <w:r>
              <w:rPr>
                <w:rFonts w:ascii="Book Antiqua" w:hAnsi="Book Antiqua"/>
                <w:highlight w:val="yellow"/>
              </w:rPr>
              <w:t>DD MMMM</w:t>
            </w:r>
            <w:r w:rsidRPr="002F7EC6">
              <w:rPr>
                <w:rFonts w:ascii="Book Antiqua" w:hAnsi="Book Antiqua"/>
                <w:highlight w:val="yellow"/>
              </w:rPr>
              <w:t xml:space="preserve"> 20</w:t>
            </w:r>
            <w:r>
              <w:rPr>
                <w:rFonts w:ascii="Book Antiqua" w:hAnsi="Book Antiqua"/>
                <w:highlight w:val="yellow"/>
              </w:rPr>
              <w:t>YY</w:t>
            </w:r>
            <w:r w:rsidRPr="002F7EC6">
              <w:rPr>
                <w:rFonts w:ascii="Book Antiqua" w:hAnsi="Book Antiqua"/>
                <w:highlight w:val="yellow"/>
              </w:rPr>
              <w:t xml:space="preserve"> </w:t>
            </w:r>
          </w:p>
        </w:tc>
      </w:tr>
      <w:tr w:rsidR="00EE1BA7" w:rsidRPr="002F7EC6" w14:paraId="3894AAAC" w14:textId="77777777" w:rsidTr="00014B8E">
        <w:tc>
          <w:tcPr>
            <w:tcW w:w="3511" w:type="dxa"/>
          </w:tcPr>
          <w:p w14:paraId="3A99BCFA" w14:textId="77777777" w:rsidR="00EE1BA7" w:rsidRPr="002F7EC6" w:rsidRDefault="00EE1BA7" w:rsidP="002A2B43">
            <w:pPr>
              <w:pStyle w:val="Normal-Cover"/>
              <w:jc w:val="both"/>
              <w:rPr>
                <w:szCs w:val="24"/>
              </w:rPr>
            </w:pPr>
          </w:p>
        </w:tc>
        <w:tc>
          <w:tcPr>
            <w:tcW w:w="5703" w:type="dxa"/>
            <w:gridSpan w:val="2"/>
          </w:tcPr>
          <w:p w14:paraId="36F38DD3" w14:textId="77777777" w:rsidR="00EE1BA7" w:rsidRPr="002F7EC6" w:rsidRDefault="00EE1BA7" w:rsidP="002A2B43">
            <w:pPr>
              <w:pStyle w:val="Normal-Cover"/>
              <w:jc w:val="both"/>
              <w:rPr>
                <w:szCs w:val="24"/>
              </w:rPr>
            </w:pPr>
          </w:p>
        </w:tc>
      </w:tr>
      <w:tr w:rsidR="00EE1BA7" w:rsidRPr="002F7EC6" w14:paraId="2278A09D" w14:textId="77777777" w:rsidTr="00014B8E">
        <w:tc>
          <w:tcPr>
            <w:tcW w:w="3511" w:type="dxa"/>
          </w:tcPr>
          <w:p w14:paraId="3A646C37" w14:textId="77777777" w:rsidR="00EE1BA7" w:rsidRPr="002F7EC6" w:rsidRDefault="00EE1BA7" w:rsidP="002A2B43">
            <w:pPr>
              <w:pStyle w:val="Normal-Cover"/>
              <w:jc w:val="both"/>
              <w:rPr>
                <w:szCs w:val="24"/>
              </w:rPr>
            </w:pPr>
            <w:r w:rsidRPr="002F7EC6">
              <w:rPr>
                <w:szCs w:val="24"/>
              </w:rPr>
              <w:t>ORIGINATING PROCESS:</w:t>
            </w:r>
          </w:p>
        </w:tc>
        <w:tc>
          <w:tcPr>
            <w:tcW w:w="5703" w:type="dxa"/>
            <w:gridSpan w:val="2"/>
          </w:tcPr>
          <w:p w14:paraId="39984AC1" w14:textId="77777777" w:rsidR="00EE1BA7" w:rsidRPr="002F7EC6" w:rsidRDefault="00EE1BA7" w:rsidP="002A2B43">
            <w:pPr>
              <w:jc w:val="both"/>
              <w:rPr>
                <w:rFonts w:ascii="Book Antiqua" w:hAnsi="Book Antiqua"/>
              </w:rPr>
            </w:pPr>
            <w:r w:rsidRPr="002F7EC6">
              <w:rPr>
                <w:rFonts w:ascii="Book Antiqua" w:hAnsi="Book Antiqua"/>
              </w:rPr>
              <w:t>Originating Motion</w:t>
            </w:r>
          </w:p>
        </w:tc>
      </w:tr>
      <w:tr w:rsidR="00EE1BA7" w:rsidRPr="002F7EC6" w14:paraId="60A46F7E" w14:textId="77777777" w:rsidTr="00014B8E">
        <w:tc>
          <w:tcPr>
            <w:tcW w:w="3511" w:type="dxa"/>
          </w:tcPr>
          <w:p w14:paraId="08B659FD" w14:textId="77777777" w:rsidR="00EE1BA7" w:rsidRPr="002F7EC6" w:rsidRDefault="00EE1BA7" w:rsidP="002A2B43">
            <w:pPr>
              <w:pStyle w:val="Normal-Cover"/>
              <w:jc w:val="both"/>
              <w:rPr>
                <w:szCs w:val="24"/>
              </w:rPr>
            </w:pPr>
          </w:p>
        </w:tc>
        <w:tc>
          <w:tcPr>
            <w:tcW w:w="5703" w:type="dxa"/>
            <w:gridSpan w:val="2"/>
          </w:tcPr>
          <w:p w14:paraId="56A7062A" w14:textId="77777777" w:rsidR="00EE1BA7" w:rsidRPr="002F7EC6" w:rsidRDefault="00EE1BA7" w:rsidP="002A2B43">
            <w:pPr>
              <w:pStyle w:val="Normal-Cover"/>
              <w:jc w:val="both"/>
              <w:rPr>
                <w:szCs w:val="24"/>
              </w:rPr>
            </w:pPr>
          </w:p>
        </w:tc>
      </w:tr>
      <w:tr w:rsidR="00EE1BA7" w:rsidRPr="002F7EC6" w14:paraId="25E41FF0" w14:textId="77777777" w:rsidTr="00014B8E">
        <w:tc>
          <w:tcPr>
            <w:tcW w:w="3511" w:type="dxa"/>
          </w:tcPr>
          <w:p w14:paraId="1F5626BE" w14:textId="77777777" w:rsidR="00EE1BA7" w:rsidRPr="002F7EC6" w:rsidRDefault="00EE1BA7" w:rsidP="002A2B43">
            <w:pPr>
              <w:pStyle w:val="Normal-Cover"/>
              <w:jc w:val="both"/>
              <w:rPr>
                <w:szCs w:val="24"/>
              </w:rPr>
            </w:pPr>
            <w:r w:rsidRPr="002F7EC6">
              <w:rPr>
                <w:szCs w:val="24"/>
              </w:rPr>
              <w:t>HOW OBTAINED:</w:t>
            </w:r>
          </w:p>
        </w:tc>
        <w:tc>
          <w:tcPr>
            <w:tcW w:w="5703" w:type="dxa"/>
            <w:gridSpan w:val="2"/>
          </w:tcPr>
          <w:p w14:paraId="47190510" w14:textId="5FEE7810" w:rsidR="00EE1BA7" w:rsidRPr="002F0D65" w:rsidRDefault="00EE1BA7" w:rsidP="00A15F80">
            <w:pPr>
              <w:pStyle w:val="ListParagraph"/>
              <w:spacing w:before="100" w:beforeAutospacing="1" w:after="100" w:afterAutospacing="1"/>
              <w:ind w:left="0"/>
              <w:contextualSpacing w:val="0"/>
              <w:jc w:val="both"/>
              <w:rPr>
                <w:rFonts w:ascii="Book Antiqua" w:hAnsi="Book Antiqua"/>
                <w:lang w:eastAsia="en-US"/>
              </w:rPr>
            </w:pPr>
            <w:r w:rsidRPr="002F7EC6">
              <w:rPr>
                <w:rFonts w:ascii="Book Antiqua" w:hAnsi="Book Antiqua"/>
                <w:szCs w:val="24"/>
              </w:rPr>
              <w:t xml:space="preserve">On return of </w:t>
            </w:r>
            <w:r>
              <w:rPr>
                <w:rFonts w:ascii="Book Antiqua" w:hAnsi="Book Antiqua"/>
              </w:rPr>
              <w:t xml:space="preserve">the Orders of the Honourable </w:t>
            </w:r>
            <w:r w:rsidR="00FE1E30">
              <w:rPr>
                <w:rFonts w:ascii="Book Antiqua" w:hAnsi="Book Antiqua"/>
              </w:rPr>
              <w:t xml:space="preserve">Justice </w:t>
            </w:r>
            <w:r w:rsidR="00BE7E71">
              <w:rPr>
                <w:rFonts w:ascii="Book Antiqua" w:hAnsi="Book Antiqua"/>
              </w:rPr>
              <w:t>[</w:t>
            </w:r>
            <w:r w:rsidR="00FE1E30">
              <w:rPr>
                <w:rFonts w:ascii="Book Antiqua" w:hAnsi="Book Antiqua"/>
              </w:rPr>
              <w:t>or</w:t>
            </w:r>
            <w:r w:rsidR="00BE7E71">
              <w:rPr>
                <w:rFonts w:ascii="Book Antiqua" w:hAnsi="Book Antiqua"/>
              </w:rPr>
              <w:t>]</w:t>
            </w:r>
            <w:r w:rsidR="00FE1E30">
              <w:rPr>
                <w:rFonts w:ascii="Book Antiqua" w:hAnsi="Book Antiqua"/>
              </w:rPr>
              <w:t xml:space="preserve"> </w:t>
            </w:r>
            <w:r>
              <w:rPr>
                <w:rFonts w:ascii="Book Antiqua" w:hAnsi="Book Antiqua"/>
              </w:rPr>
              <w:t xml:space="preserve">Associate </w:t>
            </w:r>
            <w:r w:rsidR="00FE1E30">
              <w:rPr>
                <w:rFonts w:ascii="Book Antiqua" w:hAnsi="Book Antiqua"/>
              </w:rPr>
              <w:t>Justice</w:t>
            </w:r>
            <w:r>
              <w:rPr>
                <w:rFonts w:ascii="Book Antiqua" w:hAnsi="Book Antiqua"/>
              </w:rPr>
              <w:t xml:space="preserve"> [X] / Judicial Registrar [X] </w:t>
            </w:r>
            <w:r w:rsidR="00A15F80">
              <w:rPr>
                <w:rFonts w:ascii="Book Antiqua" w:hAnsi="Book Antiqua"/>
              </w:rPr>
              <w:t>[</w:t>
            </w:r>
            <w:r w:rsidR="00BE7E71">
              <w:rPr>
                <w:rFonts w:ascii="Book Antiqua" w:hAnsi="Book Antiqua"/>
              </w:rPr>
              <w:t>OR</w:t>
            </w:r>
            <w:r w:rsidR="00A15F80">
              <w:rPr>
                <w:rFonts w:ascii="Book Antiqua" w:hAnsi="Book Antiqua"/>
              </w:rPr>
              <w:t>] P</w:t>
            </w:r>
            <w:r>
              <w:rPr>
                <w:rFonts w:ascii="Book Antiqua" w:hAnsi="Book Antiqua"/>
              </w:rPr>
              <w:t xml:space="preserve">ursuant to </w:t>
            </w:r>
            <w:r>
              <w:rPr>
                <w:rFonts w:ascii="Book Antiqua" w:hAnsi="Book Antiqua"/>
                <w:szCs w:val="24"/>
              </w:rPr>
              <w:t>r</w:t>
            </w:r>
            <w:r w:rsidRPr="00DF1E6A">
              <w:rPr>
                <w:rFonts w:ascii="Book Antiqua" w:hAnsi="Book Antiqua"/>
                <w:szCs w:val="24"/>
              </w:rPr>
              <w:t xml:space="preserve"> </w:t>
            </w:r>
            <w:r>
              <w:rPr>
                <w:rFonts w:ascii="Book Antiqua" w:hAnsi="Book Antiqua"/>
                <w:szCs w:val="24"/>
              </w:rPr>
              <w:t>59.07</w:t>
            </w:r>
            <w:r w:rsidRPr="00DF1E6A">
              <w:rPr>
                <w:rFonts w:ascii="Book Antiqua" w:hAnsi="Book Antiqua"/>
                <w:szCs w:val="24"/>
              </w:rPr>
              <w:t xml:space="preserve"> of the </w:t>
            </w:r>
            <w:r>
              <w:rPr>
                <w:rFonts w:ascii="Book Antiqua" w:hAnsi="Book Antiqua"/>
                <w:i/>
                <w:szCs w:val="24"/>
              </w:rPr>
              <w:t>Supreme Court (General Civil Procedure) Rules 2015</w:t>
            </w:r>
            <w:r w:rsidR="00BA7ECF">
              <w:rPr>
                <w:rFonts w:ascii="Book Antiqua" w:hAnsi="Book Antiqua"/>
                <w:szCs w:val="24"/>
              </w:rPr>
              <w:t xml:space="preserve"> (Vic) (‘</w:t>
            </w:r>
            <w:r w:rsidR="00BA7ECF" w:rsidRPr="00BA7ECF">
              <w:rPr>
                <w:rFonts w:ascii="Book Antiqua" w:hAnsi="Book Antiqua"/>
                <w:b/>
                <w:i/>
                <w:szCs w:val="24"/>
              </w:rPr>
              <w:t>Rules</w:t>
            </w:r>
            <w:r w:rsidR="00BA7ECF">
              <w:rPr>
                <w:rFonts w:ascii="Book Antiqua" w:hAnsi="Book Antiqua"/>
                <w:szCs w:val="24"/>
              </w:rPr>
              <w:t>’)</w:t>
            </w:r>
          </w:p>
        </w:tc>
      </w:tr>
      <w:tr w:rsidR="00EE1BA7" w:rsidRPr="002F7EC6" w14:paraId="6F18F039" w14:textId="77777777" w:rsidTr="00014B8E">
        <w:tc>
          <w:tcPr>
            <w:tcW w:w="3511" w:type="dxa"/>
          </w:tcPr>
          <w:p w14:paraId="3BAA0DF5" w14:textId="77777777" w:rsidR="00EE1BA7" w:rsidRPr="002F7EC6" w:rsidRDefault="00EE1BA7" w:rsidP="002A2B43">
            <w:pPr>
              <w:pStyle w:val="Normal-Cover"/>
              <w:jc w:val="both"/>
              <w:rPr>
                <w:szCs w:val="24"/>
              </w:rPr>
            </w:pPr>
          </w:p>
        </w:tc>
        <w:tc>
          <w:tcPr>
            <w:tcW w:w="5703" w:type="dxa"/>
            <w:gridSpan w:val="2"/>
          </w:tcPr>
          <w:p w14:paraId="05E64CB2" w14:textId="77777777" w:rsidR="00EE1BA7" w:rsidRPr="002F7EC6" w:rsidRDefault="00EE1BA7" w:rsidP="002A2B43">
            <w:pPr>
              <w:pStyle w:val="Normal-Cover"/>
              <w:jc w:val="both"/>
              <w:rPr>
                <w:szCs w:val="24"/>
              </w:rPr>
            </w:pPr>
          </w:p>
        </w:tc>
      </w:tr>
      <w:tr w:rsidR="00EE1BA7" w:rsidRPr="002F7EC6" w14:paraId="7BEF57EE" w14:textId="77777777" w:rsidTr="00014B8E">
        <w:tc>
          <w:tcPr>
            <w:tcW w:w="3511" w:type="dxa"/>
          </w:tcPr>
          <w:p w14:paraId="2AC4B750" w14:textId="77777777" w:rsidR="00EE1BA7" w:rsidRPr="002F7EC6" w:rsidRDefault="00EE1BA7" w:rsidP="002A2B43">
            <w:pPr>
              <w:pStyle w:val="Normal-Cover"/>
              <w:jc w:val="both"/>
              <w:rPr>
                <w:szCs w:val="24"/>
              </w:rPr>
            </w:pPr>
            <w:r w:rsidRPr="002F7EC6">
              <w:rPr>
                <w:szCs w:val="24"/>
              </w:rPr>
              <w:t>ATTENDANCE:</w:t>
            </w:r>
          </w:p>
        </w:tc>
        <w:tc>
          <w:tcPr>
            <w:tcW w:w="5703" w:type="dxa"/>
            <w:gridSpan w:val="2"/>
          </w:tcPr>
          <w:p w14:paraId="57B95499" w14:textId="19B04C5E" w:rsidR="00EE1BA7" w:rsidRPr="002F7EC6" w:rsidRDefault="00EE1BA7" w:rsidP="002A2B43">
            <w:pPr>
              <w:jc w:val="both"/>
              <w:rPr>
                <w:rFonts w:ascii="Book Antiqua" w:hAnsi="Book Antiqua"/>
              </w:rPr>
            </w:pPr>
          </w:p>
        </w:tc>
      </w:tr>
      <w:tr w:rsidR="00EE1BA7" w:rsidRPr="002F7EC6" w14:paraId="15954672" w14:textId="77777777" w:rsidTr="00014B8E">
        <w:tc>
          <w:tcPr>
            <w:tcW w:w="3511" w:type="dxa"/>
          </w:tcPr>
          <w:p w14:paraId="280D4A50" w14:textId="77777777" w:rsidR="00EE1BA7" w:rsidRPr="002F7EC6" w:rsidRDefault="00EE1BA7" w:rsidP="002A2B43">
            <w:pPr>
              <w:pStyle w:val="Normal-Cover"/>
              <w:jc w:val="both"/>
              <w:rPr>
                <w:szCs w:val="24"/>
              </w:rPr>
            </w:pPr>
          </w:p>
        </w:tc>
        <w:tc>
          <w:tcPr>
            <w:tcW w:w="5703" w:type="dxa"/>
            <w:gridSpan w:val="2"/>
          </w:tcPr>
          <w:p w14:paraId="20E8947D" w14:textId="77777777" w:rsidR="00EE1BA7" w:rsidRPr="002F7EC6" w:rsidRDefault="00EE1BA7" w:rsidP="002A2B43">
            <w:pPr>
              <w:pStyle w:val="Normal-Cover"/>
              <w:jc w:val="both"/>
              <w:rPr>
                <w:szCs w:val="24"/>
              </w:rPr>
            </w:pPr>
          </w:p>
        </w:tc>
      </w:tr>
      <w:tr w:rsidR="00EE1BA7" w:rsidRPr="002F7EC6" w14:paraId="43BF56F5" w14:textId="77777777" w:rsidTr="00014B8E">
        <w:tc>
          <w:tcPr>
            <w:tcW w:w="3511" w:type="dxa"/>
          </w:tcPr>
          <w:p w14:paraId="1ABC3E63" w14:textId="77777777" w:rsidR="00EE1BA7" w:rsidRPr="002F7EC6" w:rsidRDefault="00EE1BA7" w:rsidP="002A2B43">
            <w:pPr>
              <w:pStyle w:val="Normal-Cover"/>
              <w:jc w:val="both"/>
              <w:rPr>
                <w:szCs w:val="24"/>
              </w:rPr>
            </w:pPr>
            <w:r w:rsidRPr="002F7EC6">
              <w:rPr>
                <w:szCs w:val="24"/>
              </w:rPr>
              <w:t>OTHER MATTERS:</w:t>
            </w:r>
          </w:p>
        </w:tc>
        <w:tc>
          <w:tcPr>
            <w:tcW w:w="5703" w:type="dxa"/>
            <w:gridSpan w:val="2"/>
          </w:tcPr>
          <w:p w14:paraId="42B20D91" w14:textId="77777777" w:rsidR="00EE1BA7" w:rsidRPr="002F7EC6" w:rsidRDefault="00EE1BA7" w:rsidP="002A2B43">
            <w:pPr>
              <w:jc w:val="both"/>
              <w:rPr>
                <w:rFonts w:ascii="Book Antiqua" w:hAnsi="Book Antiqua"/>
              </w:rPr>
            </w:pPr>
            <w:r w:rsidRPr="002F7EC6">
              <w:rPr>
                <w:rFonts w:ascii="Book Antiqua" w:hAnsi="Book Antiqua"/>
              </w:rPr>
              <w:fldChar w:fldCharType="begin"/>
            </w:r>
            <w:r w:rsidRPr="002F7EC6">
              <w:rPr>
                <w:rFonts w:ascii="Book Antiqua" w:hAnsi="Book Antiqua"/>
              </w:rPr>
              <w:instrText xml:space="preserve">  </w:instrText>
            </w:r>
            <w:r w:rsidRPr="002F7EC6">
              <w:rPr>
                <w:rFonts w:ascii="Book Antiqua" w:hAnsi="Book Antiqua"/>
              </w:rPr>
              <w:fldChar w:fldCharType="end"/>
            </w:r>
          </w:p>
        </w:tc>
      </w:tr>
      <w:tr w:rsidR="00FE1E30" w:rsidRPr="002F7EC6" w14:paraId="4D334C2A" w14:textId="77777777" w:rsidTr="00014B8E">
        <w:tc>
          <w:tcPr>
            <w:tcW w:w="9214" w:type="dxa"/>
            <w:gridSpan w:val="3"/>
          </w:tcPr>
          <w:p w14:paraId="7350A4DF" w14:textId="77777777" w:rsidR="00900645" w:rsidRDefault="00FE1E30" w:rsidP="00900645">
            <w:pPr>
              <w:pStyle w:val="Normal-Cover"/>
              <w:numPr>
                <w:ilvl w:val="0"/>
                <w:numId w:val="4"/>
              </w:numPr>
              <w:spacing w:before="120" w:after="120"/>
              <w:ind w:left="453" w:hanging="425"/>
              <w:jc w:val="both"/>
            </w:pPr>
            <w:r w:rsidRPr="00D30813">
              <w:t xml:space="preserve">The Court is informed that the mediation of the proceeding has concluded, and the proceeding is now ready for pre-trial directions. </w:t>
            </w:r>
          </w:p>
          <w:p w14:paraId="1DF3FEB6" w14:textId="3B70D964" w:rsidR="00900645" w:rsidRPr="00900645" w:rsidRDefault="00900645" w:rsidP="00900645">
            <w:pPr>
              <w:pStyle w:val="Normal-Cover"/>
              <w:numPr>
                <w:ilvl w:val="0"/>
                <w:numId w:val="4"/>
              </w:numPr>
              <w:spacing w:before="120" w:after="120"/>
              <w:ind w:left="453" w:hanging="425"/>
              <w:jc w:val="both"/>
            </w:pPr>
            <w:r w:rsidRPr="00900645">
              <w:t xml:space="preserve">The Court has read: </w:t>
            </w:r>
          </w:p>
          <w:p w14:paraId="1DA6FEC8" w14:textId="77777777" w:rsidR="00900645" w:rsidRDefault="00900645" w:rsidP="00900645">
            <w:pPr>
              <w:numPr>
                <w:ilvl w:val="1"/>
                <w:numId w:val="5"/>
              </w:numPr>
              <w:spacing w:before="120" w:after="120"/>
              <w:ind w:left="1204" w:hanging="720"/>
              <w:jc w:val="both"/>
              <w:rPr>
                <w:rFonts w:ascii="Book Antiqua" w:hAnsi="Book Antiqua"/>
              </w:rPr>
            </w:pPr>
            <w:r>
              <w:rPr>
                <w:rFonts w:ascii="Book Antiqua" w:hAnsi="Book Antiqua"/>
              </w:rPr>
              <w:t>[</w:t>
            </w:r>
            <w:r>
              <w:rPr>
                <w:rFonts w:ascii="Book Antiqua" w:hAnsi="Book Antiqua"/>
                <w:i/>
                <w:highlight w:val="yellow"/>
              </w:rPr>
              <w:t>list all affidavits (including exhibits), written submissions and any other material relied on for the purposes of the making of these directions orders</w:t>
            </w:r>
            <w:r>
              <w:rPr>
                <w:rFonts w:ascii="Book Antiqua" w:hAnsi="Book Antiqua"/>
              </w:rPr>
              <w:t xml:space="preserve">] </w:t>
            </w:r>
          </w:p>
          <w:p w14:paraId="149C59F2" w14:textId="22C6D381" w:rsidR="00BA7ECF" w:rsidRPr="00900645" w:rsidRDefault="00BA7ECF" w:rsidP="00BA7ECF">
            <w:pPr>
              <w:numPr>
                <w:ilvl w:val="0"/>
                <w:numId w:val="5"/>
              </w:numPr>
              <w:spacing w:before="120" w:after="120"/>
              <w:ind w:left="488" w:hanging="488"/>
              <w:jc w:val="both"/>
              <w:rPr>
                <w:rFonts w:ascii="Book Antiqua" w:hAnsi="Book Antiqua"/>
              </w:rPr>
            </w:pPr>
            <w:r w:rsidRPr="00BA7ECF">
              <w:rPr>
                <w:rFonts w:ascii="Book Antiqua" w:hAnsi="Book Antiqua"/>
                <w:bCs/>
              </w:rPr>
              <w:t>This Order is authenticated by the</w:t>
            </w:r>
            <w:r>
              <w:rPr>
                <w:rFonts w:ascii="Book Antiqua" w:hAnsi="Book Antiqua"/>
                <w:bCs/>
              </w:rPr>
              <w:t xml:space="preserve"> Judge/Associate Judge/</w:t>
            </w:r>
            <w:r w:rsidRPr="00BA7ECF">
              <w:rPr>
                <w:rFonts w:ascii="Book Antiqua" w:hAnsi="Book Antiqua"/>
                <w:bCs/>
              </w:rPr>
              <w:t xml:space="preserve">Judicial Registrar pursuant to r 60.02(1)(b) of the </w:t>
            </w:r>
            <w:r w:rsidRPr="00BA7ECF">
              <w:rPr>
                <w:rFonts w:ascii="Book Antiqua" w:hAnsi="Book Antiqua"/>
                <w:bCs/>
                <w:i/>
              </w:rPr>
              <w:t>Rules</w:t>
            </w:r>
            <w:r w:rsidRPr="00BA7ECF">
              <w:rPr>
                <w:rFonts w:ascii="Book Antiqua" w:hAnsi="Book Antiqua"/>
                <w:bCs/>
              </w:rPr>
              <w:t xml:space="preserve">. </w:t>
            </w:r>
          </w:p>
        </w:tc>
      </w:tr>
      <w:tr w:rsidR="00FE1E30" w:rsidRPr="002F7EC6" w14:paraId="709E112D" w14:textId="77777777" w:rsidTr="00014B8E">
        <w:tc>
          <w:tcPr>
            <w:tcW w:w="9214" w:type="dxa"/>
            <w:gridSpan w:val="3"/>
          </w:tcPr>
          <w:p w14:paraId="0DEA4D24" w14:textId="7C06D361" w:rsidR="00FE1E30" w:rsidRPr="00FE1E30" w:rsidRDefault="00FE1E30" w:rsidP="00FE1E30">
            <w:pPr>
              <w:pStyle w:val="Normal-Cover"/>
              <w:jc w:val="both"/>
              <w:rPr>
                <w:b/>
              </w:rPr>
            </w:pPr>
            <w:r w:rsidRPr="002F7EC6">
              <w:rPr>
                <w:b/>
              </w:rPr>
              <w:t xml:space="preserve">THE COURT ORDERS </w:t>
            </w:r>
            <w:r w:rsidRPr="00FE1E30">
              <w:rPr>
                <w:b/>
                <w:highlight w:val="yellow"/>
              </w:rPr>
              <w:t>[BY CONSENT]</w:t>
            </w:r>
            <w:r>
              <w:rPr>
                <w:b/>
              </w:rPr>
              <w:t xml:space="preserve"> </w:t>
            </w:r>
            <w:r w:rsidRPr="002F7EC6">
              <w:rPr>
                <w:b/>
              </w:rPr>
              <w:t>THAT:</w:t>
            </w:r>
          </w:p>
        </w:tc>
      </w:tr>
      <w:tr w:rsidR="00FE1E30" w:rsidRPr="002F7EC6" w14:paraId="3B0B29B7" w14:textId="77777777" w:rsidTr="00014B8E">
        <w:tc>
          <w:tcPr>
            <w:tcW w:w="9214" w:type="dxa"/>
            <w:gridSpan w:val="3"/>
          </w:tcPr>
          <w:p w14:paraId="7D0F27CC" w14:textId="4306B999" w:rsidR="00FE1E30" w:rsidRPr="002F7EC6" w:rsidRDefault="00FE1E30" w:rsidP="00FE1E30">
            <w:pPr>
              <w:pStyle w:val="Normal-Cover"/>
              <w:numPr>
                <w:ilvl w:val="0"/>
                <w:numId w:val="2"/>
              </w:numPr>
              <w:tabs>
                <w:tab w:val="clear" w:pos="360"/>
              </w:tabs>
              <w:spacing w:before="120" w:after="120"/>
              <w:ind w:left="456" w:hanging="456"/>
              <w:jc w:val="both"/>
            </w:pPr>
            <w:r w:rsidRPr="002F7EC6">
              <w:t xml:space="preserve">The proceeding is adjourned for </w:t>
            </w:r>
            <w:r w:rsidR="006526DA" w:rsidRPr="002F7EC6">
              <w:t>trial directions and the fixing of a trial date</w:t>
            </w:r>
            <w:r w:rsidRPr="002F7EC6">
              <w:t xml:space="preserve"> </w:t>
            </w:r>
            <w:r>
              <w:t xml:space="preserve">on </w:t>
            </w:r>
            <w:r w:rsidRPr="00BA7ECF">
              <w:rPr>
                <w:highlight w:val="yellow"/>
              </w:rPr>
              <w:lastRenderedPageBreak/>
              <w:t>[date]</w:t>
            </w:r>
            <w:bookmarkStart w:id="0" w:name="_GoBack"/>
            <w:bookmarkEnd w:id="0"/>
            <w:r w:rsidRPr="002F7EC6">
              <w:t xml:space="preserve"> at </w:t>
            </w:r>
            <w:r>
              <w:t>10.00 am</w:t>
            </w:r>
            <w:r w:rsidR="006526DA">
              <w:t>.</w:t>
            </w:r>
            <w:r w:rsidRPr="002F7EC6">
              <w:t xml:space="preserve"> </w:t>
            </w:r>
          </w:p>
          <w:p w14:paraId="4976AEC6" w14:textId="2CFC2DA5" w:rsidR="00FE1E30" w:rsidRPr="002F7EC6" w:rsidRDefault="00FE1E30" w:rsidP="00FE1E30">
            <w:pPr>
              <w:numPr>
                <w:ilvl w:val="0"/>
                <w:numId w:val="2"/>
              </w:numPr>
              <w:tabs>
                <w:tab w:val="clear" w:pos="360"/>
              </w:tabs>
              <w:spacing w:before="120" w:after="120"/>
              <w:ind w:left="456" w:right="95" w:hanging="456"/>
              <w:jc w:val="both"/>
              <w:rPr>
                <w:rFonts w:ascii="Book Antiqua" w:hAnsi="Book Antiqua"/>
              </w:rPr>
            </w:pPr>
            <w:r w:rsidRPr="002F7EC6">
              <w:rPr>
                <w:rFonts w:ascii="Book Antiqua" w:hAnsi="Book Antiqua"/>
                <w:color w:val="000000"/>
              </w:rPr>
              <w:t xml:space="preserve">By </w:t>
            </w:r>
            <w:r w:rsidRPr="002F7EC6">
              <w:rPr>
                <w:rFonts w:ascii="Book Antiqua" w:hAnsi="Book Antiqua"/>
                <w:bCs/>
                <w:color w:val="000000"/>
              </w:rPr>
              <w:t xml:space="preserve">4.00 pm on </w:t>
            </w:r>
            <w:r>
              <w:rPr>
                <w:rFonts w:ascii="Book Antiqua" w:hAnsi="Book Antiqua"/>
                <w:bCs/>
                <w:color w:val="000000"/>
              </w:rPr>
              <w:t>[</w:t>
            </w:r>
            <w:r w:rsidR="00900645" w:rsidRPr="00900645">
              <w:rPr>
                <w:rFonts w:ascii="Book Antiqua" w:hAnsi="Book Antiqua"/>
                <w:bCs/>
                <w:color w:val="000000"/>
                <w:highlight w:val="yellow"/>
              </w:rPr>
              <w:t xml:space="preserve">minimum </w:t>
            </w:r>
            <w:r w:rsidRPr="00900645">
              <w:rPr>
                <w:rFonts w:ascii="Book Antiqua" w:hAnsi="Book Antiqua"/>
                <w:bCs/>
                <w:color w:val="000000"/>
                <w:highlight w:val="yellow"/>
              </w:rPr>
              <w:t xml:space="preserve">3 days prior to the date in </w:t>
            </w:r>
            <w:r w:rsidR="00900645" w:rsidRPr="00900645">
              <w:rPr>
                <w:rFonts w:ascii="Book Antiqua" w:hAnsi="Book Antiqua"/>
                <w:bCs/>
                <w:color w:val="000000"/>
                <w:highlight w:val="yellow"/>
              </w:rPr>
              <w:t>order</w:t>
            </w:r>
            <w:r w:rsidRPr="00900645">
              <w:rPr>
                <w:rFonts w:ascii="Book Antiqua" w:hAnsi="Book Antiqua"/>
                <w:bCs/>
                <w:color w:val="000000"/>
                <w:highlight w:val="yellow"/>
              </w:rPr>
              <w:t xml:space="preserve"> 1</w:t>
            </w:r>
            <w:r>
              <w:rPr>
                <w:rFonts w:ascii="Book Antiqua" w:hAnsi="Book Antiqua"/>
                <w:bCs/>
                <w:color w:val="000000"/>
              </w:rPr>
              <w:t>]</w:t>
            </w:r>
            <w:r w:rsidRPr="002F7EC6">
              <w:rPr>
                <w:rFonts w:ascii="Book Antiqua" w:hAnsi="Book Antiqua"/>
                <w:bCs/>
                <w:color w:val="000000"/>
              </w:rPr>
              <w:t>,</w:t>
            </w:r>
            <w:r w:rsidRPr="002F7EC6">
              <w:rPr>
                <w:rFonts w:ascii="Book Antiqua" w:hAnsi="Book Antiqua"/>
                <w:color w:val="000000"/>
              </w:rPr>
              <w:t xml:space="preserve"> the parties shall file an agreed joint trial document addressing the following matters: </w:t>
            </w:r>
          </w:p>
          <w:p w14:paraId="7C7806F9" w14:textId="77777777" w:rsidR="00FE1E30" w:rsidRDefault="00FE1E30" w:rsidP="00FE1E30">
            <w:pPr>
              <w:numPr>
                <w:ilvl w:val="0"/>
                <w:numId w:val="1"/>
              </w:numPr>
              <w:tabs>
                <w:tab w:val="clear" w:pos="720"/>
              </w:tabs>
              <w:spacing w:before="120" w:after="120"/>
              <w:ind w:left="1170" w:right="95" w:hanging="714"/>
              <w:jc w:val="both"/>
              <w:rPr>
                <w:rFonts w:ascii="Book Antiqua" w:hAnsi="Book Antiqua"/>
                <w:color w:val="000000"/>
              </w:rPr>
            </w:pPr>
            <w:r w:rsidRPr="002F7EC6">
              <w:rPr>
                <w:rFonts w:ascii="Book Antiqua" w:hAnsi="Book Antiqua"/>
                <w:color w:val="000000"/>
              </w:rPr>
              <w:t>a list of agreed facts and documents to be tendered by agreement of the parties (</w:t>
            </w:r>
            <w:r w:rsidRPr="002F7EC6">
              <w:rPr>
                <w:rFonts w:ascii="Book Antiqua" w:hAnsi="Book Antiqua"/>
              </w:rPr>
              <w:t>such an agreed statement shall constitute evidence before the Court of the facts it contains);</w:t>
            </w:r>
          </w:p>
          <w:p w14:paraId="3F9C4B4F" w14:textId="77777777" w:rsidR="00FE1E30" w:rsidRDefault="00FE1E30" w:rsidP="00FE1E30">
            <w:pPr>
              <w:numPr>
                <w:ilvl w:val="0"/>
                <w:numId w:val="1"/>
              </w:numPr>
              <w:tabs>
                <w:tab w:val="clear" w:pos="720"/>
              </w:tabs>
              <w:spacing w:before="120" w:after="120"/>
              <w:ind w:left="1170" w:right="95" w:hanging="714"/>
              <w:jc w:val="both"/>
              <w:rPr>
                <w:rFonts w:ascii="Book Antiqua" w:hAnsi="Book Antiqua"/>
                <w:color w:val="000000"/>
              </w:rPr>
            </w:pPr>
            <w:r w:rsidRPr="00FE1E30">
              <w:rPr>
                <w:rFonts w:ascii="Book Antiqua" w:hAnsi="Book Antiqua"/>
                <w:color w:val="000000"/>
              </w:rPr>
              <w:t xml:space="preserve">a list of the legal issues to be determined; </w:t>
            </w:r>
          </w:p>
          <w:p w14:paraId="40C710B8" w14:textId="63E4123B" w:rsidR="00FE1E30" w:rsidRPr="00FE1E30" w:rsidRDefault="00FE1E30" w:rsidP="00FE1E30">
            <w:pPr>
              <w:numPr>
                <w:ilvl w:val="0"/>
                <w:numId w:val="1"/>
              </w:numPr>
              <w:tabs>
                <w:tab w:val="clear" w:pos="720"/>
              </w:tabs>
              <w:spacing w:before="120" w:after="120"/>
              <w:ind w:left="1170" w:right="95" w:hanging="714"/>
              <w:jc w:val="both"/>
              <w:rPr>
                <w:rFonts w:ascii="Book Antiqua" w:hAnsi="Book Antiqua"/>
                <w:color w:val="000000"/>
              </w:rPr>
            </w:pPr>
            <w:r w:rsidRPr="00FE1E30">
              <w:rPr>
                <w:rFonts w:ascii="Book Antiqua" w:hAnsi="Book Antiqua"/>
                <w:color w:val="000000"/>
              </w:rPr>
              <w:t>a timetable for the hearing, with an allowance for short opening submissions by both parties, then a list of witnesses to be called by each side, including where each witness resides, when each witness will be called and estimates of the time for each witness to be giving evidence, including cross-examination, and finally an allowance for closing submissions;</w:t>
            </w:r>
          </w:p>
          <w:p w14:paraId="2FD927B4" w14:textId="77777777" w:rsidR="00FE1E30" w:rsidRPr="002F7EC6" w:rsidRDefault="00FE1E30" w:rsidP="00FE1E30">
            <w:pPr>
              <w:numPr>
                <w:ilvl w:val="0"/>
                <w:numId w:val="1"/>
              </w:numPr>
              <w:tabs>
                <w:tab w:val="clear" w:pos="720"/>
              </w:tabs>
              <w:spacing w:before="120" w:after="120"/>
              <w:ind w:left="1170" w:right="95" w:hanging="630"/>
              <w:jc w:val="both"/>
              <w:rPr>
                <w:rFonts w:ascii="Book Antiqua" w:hAnsi="Book Antiqua"/>
                <w:color w:val="000000"/>
              </w:rPr>
            </w:pPr>
            <w:r w:rsidRPr="002F7EC6">
              <w:rPr>
                <w:rFonts w:ascii="Book Antiqua" w:hAnsi="Book Antiqua"/>
                <w:color w:val="000000"/>
              </w:rPr>
              <w:t>a schedule of the affidavits that the parties intend to rely on in the trial and whether either party objects to any parts of the affidavits (if so, the parties should consult in an effort to determine the objections); and</w:t>
            </w:r>
          </w:p>
          <w:p w14:paraId="38D4FB75" w14:textId="237FDBBC" w:rsidR="00FE1E30" w:rsidRPr="002F7EC6" w:rsidRDefault="00FE1E30" w:rsidP="00FE1E30">
            <w:pPr>
              <w:numPr>
                <w:ilvl w:val="0"/>
                <w:numId w:val="1"/>
              </w:numPr>
              <w:tabs>
                <w:tab w:val="clear" w:pos="720"/>
              </w:tabs>
              <w:spacing w:before="120" w:after="120"/>
              <w:ind w:left="1170" w:right="95" w:hanging="630"/>
              <w:jc w:val="both"/>
              <w:rPr>
                <w:rFonts w:ascii="Book Antiqua" w:hAnsi="Book Antiqua"/>
                <w:color w:val="000000"/>
              </w:rPr>
            </w:pPr>
            <w:r w:rsidRPr="002F7EC6">
              <w:rPr>
                <w:rFonts w:ascii="Book Antiqua" w:hAnsi="Book Antiqua"/>
                <w:color w:val="000000"/>
              </w:rPr>
              <w:t>an estima</w:t>
            </w:r>
            <w:r w:rsidR="00E4644B">
              <w:rPr>
                <w:rFonts w:ascii="Book Antiqua" w:hAnsi="Book Antiqua"/>
                <w:color w:val="000000"/>
              </w:rPr>
              <w:t xml:space="preserve">te of the costs of each side </w:t>
            </w:r>
            <w:r w:rsidRPr="002F7EC6">
              <w:rPr>
                <w:rFonts w:ascii="Book Antiqua" w:hAnsi="Book Antiqua"/>
                <w:color w:val="000000"/>
              </w:rPr>
              <w:t xml:space="preserve">up to and including the trial. </w:t>
            </w:r>
          </w:p>
          <w:p w14:paraId="1990B92C" w14:textId="77777777" w:rsidR="00FE1E30" w:rsidRDefault="00FE1E30" w:rsidP="00FE1E30">
            <w:pPr>
              <w:numPr>
                <w:ilvl w:val="0"/>
                <w:numId w:val="2"/>
              </w:numPr>
              <w:tabs>
                <w:tab w:val="clear" w:pos="360"/>
              </w:tabs>
              <w:spacing w:before="120" w:after="120"/>
              <w:ind w:left="540" w:right="95" w:hanging="540"/>
              <w:jc w:val="both"/>
              <w:rPr>
                <w:rFonts w:ascii="Book Antiqua" w:hAnsi="Book Antiqua"/>
              </w:rPr>
            </w:pPr>
            <w:r w:rsidRPr="002F7EC6">
              <w:rPr>
                <w:rFonts w:ascii="Book Antiqua" w:hAnsi="Book Antiqua"/>
              </w:rPr>
              <w:t xml:space="preserve">Subject to any order of the Trial Judge, the evidence in chief in this proceeding at trial shall be given </w:t>
            </w:r>
            <w:r w:rsidRPr="002F7EC6">
              <w:rPr>
                <w:rFonts w:ascii="Book Antiqua" w:hAnsi="Book Antiqua"/>
                <w:i/>
              </w:rPr>
              <w:t>viva voce.</w:t>
            </w:r>
          </w:p>
          <w:p w14:paraId="19996A3F" w14:textId="3ADBB3E2" w:rsidR="00FE1E30" w:rsidRPr="00FE1E30" w:rsidRDefault="00FE1E30" w:rsidP="00FE1E30">
            <w:pPr>
              <w:numPr>
                <w:ilvl w:val="0"/>
                <w:numId w:val="2"/>
              </w:numPr>
              <w:tabs>
                <w:tab w:val="clear" w:pos="360"/>
              </w:tabs>
              <w:spacing w:before="120" w:after="120"/>
              <w:ind w:left="540" w:right="95" w:hanging="540"/>
              <w:jc w:val="both"/>
              <w:rPr>
                <w:rFonts w:ascii="Book Antiqua" w:hAnsi="Book Antiqua"/>
              </w:rPr>
            </w:pPr>
            <w:r w:rsidRPr="00FE1E30">
              <w:rPr>
                <w:rFonts w:ascii="Book Antiqua" w:hAnsi="Book Antiqua"/>
              </w:rPr>
              <w:t xml:space="preserve">Each party has liberty to apply. </w:t>
            </w:r>
          </w:p>
          <w:p w14:paraId="02D185EB" w14:textId="660EB9C6" w:rsidR="00FE1E30" w:rsidRPr="00FE1E30" w:rsidRDefault="00FE1E30" w:rsidP="00FE1E30">
            <w:pPr>
              <w:numPr>
                <w:ilvl w:val="0"/>
                <w:numId w:val="2"/>
              </w:numPr>
              <w:tabs>
                <w:tab w:val="clear" w:pos="360"/>
              </w:tabs>
              <w:spacing w:before="120" w:after="120"/>
              <w:ind w:left="540" w:right="95" w:hanging="540"/>
              <w:jc w:val="both"/>
              <w:rPr>
                <w:rFonts w:ascii="Book Antiqua" w:hAnsi="Book Antiqua"/>
              </w:rPr>
            </w:pPr>
            <w:r w:rsidRPr="002F7EC6">
              <w:rPr>
                <w:rFonts w:ascii="Book Antiqua" w:hAnsi="Book Antiqua"/>
              </w:rPr>
              <w:t xml:space="preserve">The costs of this application are reserved. </w:t>
            </w:r>
          </w:p>
        </w:tc>
      </w:tr>
    </w:tbl>
    <w:p w14:paraId="0C4BB1AC" w14:textId="77777777" w:rsidR="00AE0322" w:rsidRDefault="00AE0322"/>
    <w:sectPr w:rsidR="00AE0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E3F"/>
    <w:multiLevelType w:val="multilevel"/>
    <w:tmpl w:val="4894C782"/>
    <w:lvl w:ilvl="0">
      <w:start w:val="1"/>
      <w:numFmt w:val="lowerLetter"/>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 w15:restartNumberingAfterBreak="0">
    <w:nsid w:val="146F10C3"/>
    <w:multiLevelType w:val="hybridMultilevel"/>
    <w:tmpl w:val="9DE4D994"/>
    <w:lvl w:ilvl="0" w:tplc="26143226">
      <w:start w:val="1"/>
      <w:numFmt w:val="decimal"/>
      <w:lvlText w:val="%1."/>
      <w:lvlJc w:val="left"/>
      <w:pPr>
        <w:tabs>
          <w:tab w:val="num" w:pos="360"/>
        </w:tabs>
        <w:ind w:left="360" w:hanging="360"/>
      </w:pPr>
      <w:rPr>
        <w:b w:val="0"/>
      </w:rPr>
    </w:lvl>
    <w:lvl w:ilvl="1" w:tplc="DC50821E">
      <w:start w:val="1"/>
      <w:numFmt w:val="lowerLetter"/>
      <w:lvlText w:val="(%2)"/>
      <w:lvlJc w:val="left"/>
      <w:pPr>
        <w:tabs>
          <w:tab w:val="num" w:pos="1260"/>
        </w:tabs>
        <w:ind w:left="1260" w:hanging="360"/>
      </w:pPr>
      <w:rPr>
        <w:rFonts w:hint="default"/>
      </w:rPr>
    </w:lvl>
    <w:lvl w:ilvl="2" w:tplc="0C09001B">
      <w:start w:val="1"/>
      <w:numFmt w:val="lowerRoman"/>
      <w:lvlText w:val="%3."/>
      <w:lvlJc w:val="right"/>
      <w:pPr>
        <w:tabs>
          <w:tab w:val="num" w:pos="1260"/>
        </w:tabs>
        <w:ind w:left="1260" w:hanging="180"/>
      </w:pPr>
    </w:lvl>
    <w:lvl w:ilvl="3" w:tplc="0C09000F" w:tentative="1">
      <w:start w:val="1"/>
      <w:numFmt w:val="decimal"/>
      <w:lvlText w:val="%4."/>
      <w:lvlJc w:val="left"/>
      <w:pPr>
        <w:tabs>
          <w:tab w:val="num" w:pos="1980"/>
        </w:tabs>
        <w:ind w:left="1980" w:hanging="360"/>
      </w:pPr>
    </w:lvl>
    <w:lvl w:ilvl="4" w:tplc="0C090019" w:tentative="1">
      <w:start w:val="1"/>
      <w:numFmt w:val="lowerLetter"/>
      <w:lvlText w:val="%5."/>
      <w:lvlJc w:val="left"/>
      <w:pPr>
        <w:tabs>
          <w:tab w:val="num" w:pos="2700"/>
        </w:tabs>
        <w:ind w:left="2700" w:hanging="360"/>
      </w:pPr>
    </w:lvl>
    <w:lvl w:ilvl="5" w:tplc="0C09001B" w:tentative="1">
      <w:start w:val="1"/>
      <w:numFmt w:val="lowerRoman"/>
      <w:lvlText w:val="%6."/>
      <w:lvlJc w:val="right"/>
      <w:pPr>
        <w:tabs>
          <w:tab w:val="num" w:pos="3420"/>
        </w:tabs>
        <w:ind w:left="3420" w:hanging="180"/>
      </w:pPr>
    </w:lvl>
    <w:lvl w:ilvl="6" w:tplc="0C09000F" w:tentative="1">
      <w:start w:val="1"/>
      <w:numFmt w:val="decimal"/>
      <w:lvlText w:val="%7."/>
      <w:lvlJc w:val="left"/>
      <w:pPr>
        <w:tabs>
          <w:tab w:val="num" w:pos="4140"/>
        </w:tabs>
        <w:ind w:left="4140" w:hanging="360"/>
      </w:pPr>
    </w:lvl>
    <w:lvl w:ilvl="7" w:tplc="0C090019" w:tentative="1">
      <w:start w:val="1"/>
      <w:numFmt w:val="lowerLetter"/>
      <w:lvlText w:val="%8."/>
      <w:lvlJc w:val="left"/>
      <w:pPr>
        <w:tabs>
          <w:tab w:val="num" w:pos="4860"/>
        </w:tabs>
        <w:ind w:left="4860" w:hanging="360"/>
      </w:pPr>
    </w:lvl>
    <w:lvl w:ilvl="8" w:tplc="0C09001B" w:tentative="1">
      <w:start w:val="1"/>
      <w:numFmt w:val="lowerRoman"/>
      <w:lvlText w:val="%9."/>
      <w:lvlJc w:val="right"/>
      <w:pPr>
        <w:tabs>
          <w:tab w:val="num" w:pos="5580"/>
        </w:tabs>
        <w:ind w:left="5580" w:hanging="180"/>
      </w:pPr>
    </w:lvl>
  </w:abstractNum>
  <w:abstractNum w:abstractNumId="2" w15:restartNumberingAfterBreak="0">
    <w:nsid w:val="1FB4730B"/>
    <w:multiLevelType w:val="hybridMultilevel"/>
    <w:tmpl w:val="720461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EC741E"/>
    <w:multiLevelType w:val="hybridMultilevel"/>
    <w:tmpl w:val="23D4E166"/>
    <w:lvl w:ilvl="0" w:tplc="0C090015">
      <w:start w:val="1"/>
      <w:numFmt w:val="upperLetter"/>
      <w:lvlText w:val="%1."/>
      <w:lvlJc w:val="left"/>
      <w:pPr>
        <w:tabs>
          <w:tab w:val="num" w:pos="360"/>
        </w:tabs>
        <w:ind w:left="36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BFC1098"/>
    <w:multiLevelType w:val="hybridMultilevel"/>
    <w:tmpl w:val="6AF24236"/>
    <w:lvl w:ilvl="0" w:tplc="0C090015">
      <w:start w:val="1"/>
      <w:numFmt w:val="upperLetter"/>
      <w:lvlText w:val="%1."/>
      <w:lvlJc w:val="left"/>
      <w:pPr>
        <w:ind w:left="360" w:hanging="360"/>
      </w:pPr>
    </w:lvl>
    <w:lvl w:ilvl="1" w:tplc="DC50821E">
      <w:start w:val="1"/>
      <w:numFmt w:val="lowerLetter"/>
      <w:lvlText w:val="(%2)"/>
      <w:lvlJc w:val="left"/>
      <w:pPr>
        <w:ind w:left="928"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A7"/>
    <w:rsid w:val="00014B8E"/>
    <w:rsid w:val="00205427"/>
    <w:rsid w:val="00227A8C"/>
    <w:rsid w:val="002F03AD"/>
    <w:rsid w:val="006526DA"/>
    <w:rsid w:val="006549DF"/>
    <w:rsid w:val="007305FE"/>
    <w:rsid w:val="00742474"/>
    <w:rsid w:val="007D141F"/>
    <w:rsid w:val="00827B52"/>
    <w:rsid w:val="008C1266"/>
    <w:rsid w:val="00900645"/>
    <w:rsid w:val="00A15F80"/>
    <w:rsid w:val="00AE0322"/>
    <w:rsid w:val="00B634FC"/>
    <w:rsid w:val="00BA4D52"/>
    <w:rsid w:val="00BA7ECF"/>
    <w:rsid w:val="00BE7E71"/>
    <w:rsid w:val="00E4502E"/>
    <w:rsid w:val="00E4644B"/>
    <w:rsid w:val="00EE1BA7"/>
    <w:rsid w:val="00EF1B76"/>
    <w:rsid w:val="00FE1E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DF22"/>
  <w15:chartTrackingRefBased/>
  <w15:docId w15:val="{68046C11-AAF7-49B8-89CB-669FE6AC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BA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ver">
    <w:name w:val="Normal-Cover"/>
    <w:basedOn w:val="Normal"/>
    <w:rsid w:val="00EE1BA7"/>
    <w:pPr>
      <w:widowControl w:val="0"/>
    </w:pPr>
    <w:rPr>
      <w:rFonts w:ascii="Book Antiqua" w:hAnsi="Book Antiqua"/>
      <w:szCs w:val="20"/>
      <w:lang w:eastAsia="en-US"/>
    </w:rPr>
  </w:style>
  <w:style w:type="paragraph" w:styleId="ListParagraph">
    <w:name w:val="List Paragraph"/>
    <w:basedOn w:val="Normal"/>
    <w:uiPriority w:val="34"/>
    <w:qFormat/>
    <w:rsid w:val="00EE1BA7"/>
    <w:pPr>
      <w:ind w:left="720"/>
      <w:contextualSpacing/>
    </w:pPr>
    <w:rPr>
      <w:rFonts w:ascii="Arial" w:hAnsi="Arial"/>
      <w:szCs w:val="20"/>
    </w:rPr>
  </w:style>
  <w:style w:type="paragraph" w:styleId="BalloonText">
    <w:name w:val="Balloon Text"/>
    <w:basedOn w:val="Normal"/>
    <w:link w:val="BalloonTextChar"/>
    <w:uiPriority w:val="99"/>
    <w:semiHidden/>
    <w:unhideWhenUsed/>
    <w:rsid w:val="00014B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B8E"/>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692524">
      <w:bodyDiv w:val="1"/>
      <w:marLeft w:val="0"/>
      <w:marRight w:val="0"/>
      <w:marTop w:val="0"/>
      <w:marBottom w:val="0"/>
      <w:divBdr>
        <w:top w:val="none" w:sz="0" w:space="0" w:color="auto"/>
        <w:left w:val="none" w:sz="0" w:space="0" w:color="auto"/>
        <w:bottom w:val="none" w:sz="0" w:space="0" w:color="auto"/>
        <w:right w:val="none" w:sz="0" w:space="0" w:color="auto"/>
      </w:divBdr>
    </w:div>
    <w:div w:id="147135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9A5B71B52D042BEE70739D1D337F0" ma:contentTypeVersion="14" ma:contentTypeDescription="Create a new document." ma:contentTypeScope="" ma:versionID="b9f782363b269385120f76cf70442aa0">
  <xsd:schema xmlns:xsd="http://www.w3.org/2001/XMLSchema" xmlns:xs="http://www.w3.org/2001/XMLSchema" xmlns:p="http://schemas.microsoft.com/office/2006/metadata/properties" xmlns:ns3="e4027f53-8705-4034-8f90-8eb1178b2a8e" xmlns:ns4="87982d40-3b18-40df-849b-f50149019fe6" targetNamespace="http://schemas.microsoft.com/office/2006/metadata/properties" ma:root="true" ma:fieldsID="09100e62f6b7e240d05ba1d47de53127" ns3:_="" ns4:_="">
    <xsd:import namespace="e4027f53-8705-4034-8f90-8eb1178b2a8e"/>
    <xsd:import namespace="87982d40-3b18-40df-849b-f50149019f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27f53-8705-4034-8f90-8eb1178b2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982d40-3b18-40df-849b-f50149019fe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A18A2F-65B3-4448-BFBB-8C6B98591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27f53-8705-4034-8f90-8eb1178b2a8e"/>
    <ds:schemaRef ds:uri="87982d40-3b18-40df-849b-f50149019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5C48F-3502-4C41-B636-BEB10B9B882C}">
  <ds:schemaRefs>
    <ds:schemaRef ds:uri="http://schemas.microsoft.com/sharepoint/v3/contenttype/forms"/>
  </ds:schemaRefs>
</ds:datastoreItem>
</file>

<file path=customXml/itemProps3.xml><?xml version="1.0" encoding="utf-8"?>
<ds:datastoreItem xmlns:ds="http://schemas.openxmlformats.org/officeDocument/2006/customXml" ds:itemID="{114EF46E-6E17-4AF0-9476-F6919F235DF6}">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e4027f53-8705-4034-8f90-8eb1178b2a8e"/>
    <ds:schemaRef ds:uri="87982d40-3b18-40df-849b-f50149019fe6"/>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Interlocutory Form Personal Injuries and Dust Diseases List</vt:lpstr>
    </vt:vector>
  </TitlesOfParts>
  <Company>Supreme Court of Victoria</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Interlocutory Form Personal Injuries and Dust Diseases List</dc:title>
  <dc:subject/>
  <dc:creator>Fran Hansen</dc:creator>
  <cp:keywords>TFM</cp:keywords>
  <dc:description/>
  <cp:lastModifiedBy>Benjamin Calvitto</cp:lastModifiedBy>
  <cp:revision>4</cp:revision>
  <cp:lastPrinted>2020-03-30T04:14:00Z</cp:lastPrinted>
  <dcterms:created xsi:type="dcterms:W3CDTF">2021-09-29T05:12:00Z</dcterms:created>
  <dcterms:modified xsi:type="dcterms:W3CDTF">2022-05-31T23:28:00Z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0x010100E749A5B71B52D042BEE70739D1D337F0</vt:lpwstr>
  </property>
</Properties>
</file>