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0B13" w14:textId="16275F77" w:rsidR="003E36FF" w:rsidRPr="003E36FF" w:rsidRDefault="003E36FF" w:rsidP="003E36FF">
      <w:pPr>
        <w:jc w:val="center"/>
        <w:rPr>
          <w:b/>
          <w:bCs/>
          <w:szCs w:val="24"/>
        </w:rPr>
      </w:pPr>
      <w:r w:rsidRPr="003E36FF">
        <w:rPr>
          <w:b/>
          <w:bCs/>
          <w:szCs w:val="24"/>
        </w:rPr>
        <w:t>F</w:t>
      </w:r>
      <w:r w:rsidR="00B26F9B">
        <w:rPr>
          <w:b/>
          <w:bCs/>
          <w:szCs w:val="24"/>
        </w:rPr>
        <w:t>orm</w:t>
      </w:r>
      <w:r w:rsidRPr="003E36FF">
        <w:rPr>
          <w:b/>
          <w:bCs/>
          <w:szCs w:val="24"/>
        </w:rPr>
        <w:t xml:space="preserve"> 6-2</w:t>
      </w:r>
      <w:r w:rsidR="008C1640">
        <w:rPr>
          <w:b/>
          <w:bCs/>
          <w:szCs w:val="24"/>
        </w:rPr>
        <w:t>E</w:t>
      </w:r>
    </w:p>
    <w:p w14:paraId="28DE1948" w14:textId="39BC46A4" w:rsidR="00FB2FC6" w:rsidRDefault="00FB2FC6" w:rsidP="003501CD">
      <w:pPr>
        <w:rPr>
          <w:szCs w:val="24"/>
        </w:rPr>
      </w:pPr>
      <w:r w:rsidRPr="00500679">
        <w:rPr>
          <w:szCs w:val="24"/>
        </w:rPr>
        <w:t>Rule 2.</w:t>
      </w:r>
      <w:r w:rsidR="008C1640">
        <w:rPr>
          <w:szCs w:val="24"/>
        </w:rPr>
        <w:t>16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6B45B3D3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06EEC3AB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000F75">
        <w:rPr>
          <w:szCs w:val="24"/>
        </w:rPr>
        <w:t>’S</w:t>
      </w:r>
      <w:r w:rsidR="00B0099A">
        <w:rPr>
          <w:szCs w:val="24"/>
        </w:rPr>
        <w:t xml:space="preserve"> </w:t>
      </w:r>
      <w:r w:rsidR="00500679">
        <w:rPr>
          <w:szCs w:val="24"/>
        </w:rPr>
        <w:t>NAME</w:t>
      </w:r>
      <w:r w:rsidRPr="00362ED1">
        <w:rPr>
          <w:szCs w:val="24"/>
        </w:rPr>
        <w:t>]</w:t>
      </w:r>
    </w:p>
    <w:p w14:paraId="119DF8C2" w14:textId="10D5328B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301F910B" w:rsidR="00F255B7" w:rsidRPr="00056B52" w:rsidRDefault="008B5683" w:rsidP="00F255B7">
      <w:pPr>
        <w:jc w:val="center"/>
        <w:rPr>
          <w:szCs w:val="24"/>
        </w:rPr>
      </w:pPr>
      <w:r>
        <w:rPr>
          <w:szCs w:val="24"/>
        </w:rPr>
        <w:t>[</w:t>
      </w:r>
      <w:r w:rsidR="00500679">
        <w:rPr>
          <w:szCs w:val="24"/>
        </w:rPr>
        <w:t>THE KING</w:t>
      </w:r>
      <w:r>
        <w:rPr>
          <w:szCs w:val="24"/>
        </w:rPr>
        <w:t xml:space="preserve"> / RESPONDENT’S NAME]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685E5A63" w14:textId="77777777" w:rsidR="006E647B" w:rsidRPr="00056B52" w:rsidRDefault="006E647B" w:rsidP="00F255B7">
      <w:pPr>
        <w:rPr>
          <w:szCs w:val="24"/>
        </w:rPr>
      </w:pPr>
    </w:p>
    <w:p w14:paraId="35D52ECC" w14:textId="77777777" w:rsidR="002747E5" w:rsidRDefault="00DD4AC5" w:rsidP="003501CD">
      <w:pPr>
        <w:jc w:val="center"/>
        <w:rPr>
          <w:b/>
          <w:szCs w:val="24"/>
        </w:rPr>
      </w:pPr>
      <w:r>
        <w:rPr>
          <w:b/>
          <w:szCs w:val="24"/>
        </w:rPr>
        <w:t xml:space="preserve">APPLICATION UNDER SECTION 304 OF THE CRIMINAL </w:t>
      </w:r>
    </w:p>
    <w:p w14:paraId="64A63F28" w14:textId="77777777" w:rsidR="002747E5" w:rsidRDefault="00DD4AC5" w:rsidP="003501CD">
      <w:pPr>
        <w:jc w:val="center"/>
        <w:rPr>
          <w:b/>
          <w:szCs w:val="24"/>
        </w:rPr>
      </w:pPr>
      <w:r>
        <w:rPr>
          <w:b/>
          <w:szCs w:val="24"/>
        </w:rPr>
        <w:t xml:space="preserve">PROCEDURE ACT 2009 TO SHOW CAUSE WHY A </w:t>
      </w:r>
    </w:p>
    <w:p w14:paraId="01E2B39E" w14:textId="77777777" w:rsidR="002747E5" w:rsidRDefault="00DD4AC5" w:rsidP="003501CD">
      <w:pPr>
        <w:jc w:val="center"/>
        <w:rPr>
          <w:b/>
          <w:szCs w:val="24"/>
        </w:rPr>
      </w:pPr>
      <w:r>
        <w:rPr>
          <w:b/>
          <w:szCs w:val="24"/>
        </w:rPr>
        <w:t xml:space="preserve">QUESTION OF LAW SHOULD NOT BE RESERVED FOR </w:t>
      </w:r>
    </w:p>
    <w:p w14:paraId="038D4B0E" w14:textId="58D1C0EA" w:rsidR="003501CD" w:rsidRPr="0055742A" w:rsidRDefault="00DD4AC5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>DETERMINATION BY COURT OF 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CB120B">
        <w:tc>
          <w:tcPr>
            <w:tcW w:w="4508" w:type="dxa"/>
          </w:tcPr>
          <w:p w14:paraId="5AA3BFC2" w14:textId="77D697B5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A8673F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6E647B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5EE57C8B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46AAFDCC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6E647B">
              <w:rPr>
                <w:szCs w:val="24"/>
              </w:rPr>
              <w:t>ephone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62ABB487" w14:textId="7CD80124" w:rsidR="00FB2FC6" w:rsidRDefault="00FB2FC6" w:rsidP="00FB2FC6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7039950D" w14:textId="677111C9" w:rsidR="00FB2FC6" w:rsidRDefault="007B1206" w:rsidP="00FB2FC6">
      <w:pPr>
        <w:spacing w:after="240"/>
      </w:pPr>
      <w:r>
        <w:rPr>
          <w:szCs w:val="24"/>
        </w:rPr>
        <w:t>I, [</w:t>
      </w:r>
      <w:r>
        <w:rPr>
          <w:i/>
          <w:szCs w:val="24"/>
        </w:rPr>
        <w:t>full name</w:t>
      </w:r>
      <w:r w:rsidR="001776F3">
        <w:rPr>
          <w:i/>
          <w:szCs w:val="24"/>
        </w:rPr>
        <w:t xml:space="preserve"> of applicant</w:t>
      </w:r>
      <w:r>
        <w:rPr>
          <w:szCs w:val="24"/>
        </w:rPr>
        <w:t>],</w:t>
      </w:r>
      <w:r w:rsidR="001776F3">
        <w:rPr>
          <w:szCs w:val="24"/>
        </w:rPr>
        <w:t xml:space="preserve"> APPLY to the Court of Appeal under section 304 of the </w:t>
      </w:r>
      <w:r w:rsidR="001776F3" w:rsidRPr="00A26989">
        <w:rPr>
          <w:b/>
          <w:bCs/>
          <w:szCs w:val="24"/>
        </w:rPr>
        <w:t>Criminal Procedure Act 2009</w:t>
      </w:r>
      <w:r w:rsidR="001776F3">
        <w:rPr>
          <w:szCs w:val="24"/>
        </w:rPr>
        <w:t xml:space="preserve"> for an order calling on the </w:t>
      </w:r>
      <w:r>
        <w:rPr>
          <w:szCs w:val="24"/>
        </w:rPr>
        <w:t>*</w:t>
      </w:r>
      <w:r w:rsidR="00A9042C">
        <w:rPr>
          <w:szCs w:val="24"/>
        </w:rPr>
        <w:t>County Court</w:t>
      </w:r>
      <w:r>
        <w:rPr>
          <w:szCs w:val="24"/>
        </w:rPr>
        <w:t>/*</w:t>
      </w:r>
      <w:r w:rsidR="00A9042C">
        <w:rPr>
          <w:szCs w:val="24"/>
        </w:rPr>
        <w:t>Trial Division of the Supreme Court and the respondent to show cause why the question of law specified below should not be reserved for determination by the Court of Appeal</w:t>
      </w:r>
      <w:r>
        <w:t>.</w:t>
      </w:r>
    </w:p>
    <w:p w14:paraId="3D967BF2" w14:textId="04D92C13" w:rsidR="00A9042C" w:rsidRDefault="00A9042C" w:rsidP="00FB2FC6">
      <w:pPr>
        <w:spacing w:after="240"/>
      </w:pPr>
      <w:r>
        <w:t>The question of law is:</w:t>
      </w:r>
    </w:p>
    <w:p w14:paraId="35BF8BF7" w14:textId="774EDF7E" w:rsidR="00A9042C" w:rsidRDefault="00A9042C" w:rsidP="00FB2FC6">
      <w:pPr>
        <w:spacing w:after="240"/>
      </w:pPr>
      <w:r>
        <w:t>[</w:t>
      </w:r>
      <w:r w:rsidRPr="0094260C">
        <w:rPr>
          <w:i/>
          <w:iCs/>
        </w:rPr>
        <w:t xml:space="preserve">set out </w:t>
      </w:r>
      <w:r w:rsidR="0094260C" w:rsidRPr="0094260C">
        <w:rPr>
          <w:i/>
          <w:iCs/>
        </w:rPr>
        <w:t>specifically and concisely the question of law to which this application relates</w:t>
      </w:r>
      <w:r w:rsidR="0094260C">
        <w:t>].</w:t>
      </w:r>
    </w:p>
    <w:p w14:paraId="794D0188" w14:textId="2102E8CB" w:rsidR="0094260C" w:rsidRDefault="0094260C" w:rsidP="00FB2FC6">
      <w:pPr>
        <w:spacing w:after="240"/>
      </w:pPr>
      <w:r>
        <w:t>The proceeding in which the question arose is:</w:t>
      </w:r>
    </w:p>
    <w:p w14:paraId="5569D20B" w14:textId="67928E12" w:rsidR="007B1206" w:rsidRDefault="00FB2FC6" w:rsidP="00FB2FC6">
      <w:pPr>
        <w:spacing w:after="240"/>
      </w:pPr>
      <w:r>
        <w:t>Date:</w:t>
      </w:r>
    </w:p>
    <w:p w14:paraId="1D290A2C" w14:textId="7923A771" w:rsidR="007B1206" w:rsidRDefault="007B1206" w:rsidP="007B1206">
      <w:pPr>
        <w:spacing w:after="240"/>
        <w:jc w:val="right"/>
        <w:rPr>
          <w:szCs w:val="24"/>
        </w:rPr>
      </w:pPr>
      <w:r>
        <w:rPr>
          <w:szCs w:val="24"/>
        </w:rPr>
        <w:br/>
        <w:t>[</w:t>
      </w:r>
      <w:r w:rsidRPr="00D77A9B">
        <w:rPr>
          <w:i/>
          <w:szCs w:val="24"/>
        </w:rPr>
        <w:t xml:space="preserve">Signed by </w:t>
      </w:r>
      <w:r>
        <w:rPr>
          <w:i/>
          <w:szCs w:val="24"/>
        </w:rPr>
        <w:t>Applicant</w:t>
      </w:r>
      <w:r>
        <w:rPr>
          <w:szCs w:val="24"/>
        </w:rPr>
        <w:t>]</w:t>
      </w:r>
    </w:p>
    <w:p w14:paraId="0A565CDB" w14:textId="5E1A63FB" w:rsidR="00680289" w:rsidRPr="006C2699" w:rsidRDefault="00680289" w:rsidP="00FB2FC6">
      <w:pPr>
        <w:spacing w:after="240"/>
        <w:rPr>
          <w:szCs w:val="24"/>
        </w:rPr>
      </w:pPr>
      <w:r>
        <w:rPr>
          <w:szCs w:val="24"/>
        </w:rPr>
        <w:t>*Delete if not applicable</w:t>
      </w:r>
    </w:p>
    <w:sectPr w:rsidR="00680289" w:rsidRPr="006C26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8E0F" w14:textId="77777777" w:rsidR="00E52324" w:rsidRDefault="00E52324" w:rsidP="00F255B7">
      <w:r>
        <w:separator/>
      </w:r>
    </w:p>
  </w:endnote>
  <w:endnote w:type="continuationSeparator" w:id="0">
    <w:p w14:paraId="2F03A3E8" w14:textId="77777777" w:rsidR="00E52324" w:rsidRDefault="00E52324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332ABE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E9F8" w14:textId="77777777" w:rsidR="00E52324" w:rsidRDefault="00E52324" w:rsidP="00F255B7">
      <w:r>
        <w:separator/>
      </w:r>
    </w:p>
  </w:footnote>
  <w:footnote w:type="continuationSeparator" w:id="0">
    <w:p w14:paraId="3F8121B4" w14:textId="77777777" w:rsidR="00E52324" w:rsidRDefault="00E52324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268854572">
    <w:abstractNumId w:val="2"/>
  </w:num>
  <w:num w:numId="2" w16cid:durableId="343364735">
    <w:abstractNumId w:val="3"/>
  </w:num>
  <w:num w:numId="3" w16cid:durableId="1194078092">
    <w:abstractNumId w:val="1"/>
  </w:num>
  <w:num w:numId="4" w16cid:durableId="170675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0F75"/>
    <w:rsid w:val="000C2764"/>
    <w:rsid w:val="001776F3"/>
    <w:rsid w:val="002311BD"/>
    <w:rsid w:val="002456C3"/>
    <w:rsid w:val="002747E5"/>
    <w:rsid w:val="002F562F"/>
    <w:rsid w:val="0031234C"/>
    <w:rsid w:val="00313A11"/>
    <w:rsid w:val="003501CD"/>
    <w:rsid w:val="003D315E"/>
    <w:rsid w:val="003E36FF"/>
    <w:rsid w:val="003F4159"/>
    <w:rsid w:val="00456169"/>
    <w:rsid w:val="00463613"/>
    <w:rsid w:val="00494FED"/>
    <w:rsid w:val="00497706"/>
    <w:rsid w:val="004F3079"/>
    <w:rsid w:val="00500679"/>
    <w:rsid w:val="005350A8"/>
    <w:rsid w:val="00554A6B"/>
    <w:rsid w:val="0055742A"/>
    <w:rsid w:val="005642D7"/>
    <w:rsid w:val="00581F1F"/>
    <w:rsid w:val="00610748"/>
    <w:rsid w:val="00630C48"/>
    <w:rsid w:val="00662A5F"/>
    <w:rsid w:val="0067440E"/>
    <w:rsid w:val="00680289"/>
    <w:rsid w:val="006C2699"/>
    <w:rsid w:val="006E647B"/>
    <w:rsid w:val="007209E2"/>
    <w:rsid w:val="00767A4B"/>
    <w:rsid w:val="007B1206"/>
    <w:rsid w:val="007E58DB"/>
    <w:rsid w:val="00864E4A"/>
    <w:rsid w:val="008830B8"/>
    <w:rsid w:val="008A1177"/>
    <w:rsid w:val="008A3002"/>
    <w:rsid w:val="008B5683"/>
    <w:rsid w:val="008C1640"/>
    <w:rsid w:val="00927BF1"/>
    <w:rsid w:val="0094260C"/>
    <w:rsid w:val="00956A96"/>
    <w:rsid w:val="009579B5"/>
    <w:rsid w:val="00970C90"/>
    <w:rsid w:val="009B1484"/>
    <w:rsid w:val="009E5A3B"/>
    <w:rsid w:val="00A26989"/>
    <w:rsid w:val="00A8673F"/>
    <w:rsid w:val="00A9042C"/>
    <w:rsid w:val="00B0099A"/>
    <w:rsid w:val="00B26F9B"/>
    <w:rsid w:val="00B47DAC"/>
    <w:rsid w:val="00B7753B"/>
    <w:rsid w:val="00C418C0"/>
    <w:rsid w:val="00C433B2"/>
    <w:rsid w:val="00C871AB"/>
    <w:rsid w:val="00CB120B"/>
    <w:rsid w:val="00CB416C"/>
    <w:rsid w:val="00CF4387"/>
    <w:rsid w:val="00D62410"/>
    <w:rsid w:val="00D77A9B"/>
    <w:rsid w:val="00D80C8D"/>
    <w:rsid w:val="00DA36A9"/>
    <w:rsid w:val="00DD4AC5"/>
    <w:rsid w:val="00E52324"/>
    <w:rsid w:val="00EB1FAB"/>
    <w:rsid w:val="00EC0326"/>
    <w:rsid w:val="00ED1C30"/>
    <w:rsid w:val="00EE4806"/>
    <w:rsid w:val="00F255B7"/>
    <w:rsid w:val="00F774F3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DD0A8-37AE-464C-AE3D-FEDEBA9C8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2DE12-3E72-4460-94DB-8BD6581F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7FFED-A54B-4D8B-B7F1-32D16E7FD09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ce9ae7-80f3-4da9-b712-1a6aaf98668b"/>
    <ds:schemaRef ds:uri="6519ca46-886a-4d3d-9a14-5a2b18b06706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13</cp:revision>
  <cp:lastPrinted>2022-04-14T08:48:00Z</cp:lastPrinted>
  <dcterms:created xsi:type="dcterms:W3CDTF">2024-01-29T06:12:00Z</dcterms:created>
  <dcterms:modified xsi:type="dcterms:W3CDTF">2024-01-31T01:35:00Z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