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00C53" w14:textId="77777777" w:rsidR="00D85336" w:rsidRPr="00EA0D05" w:rsidRDefault="00CD0331" w:rsidP="00F85F84">
      <w:pPr>
        <w:autoSpaceDE w:val="0"/>
        <w:autoSpaceDN w:val="0"/>
        <w:adjustRightInd w:val="0"/>
        <w:spacing w:before="120" w:after="120"/>
        <w:jc w:val="both"/>
        <w:rPr>
          <w:b/>
          <w:bCs/>
        </w:rPr>
      </w:pPr>
      <w:r w:rsidRPr="00EA0D05">
        <w:rPr>
          <w:b/>
          <w:bCs/>
          <w:noProof/>
          <w:sz w:val="44"/>
          <w:szCs w:val="44"/>
        </w:rPr>
        <w:drawing>
          <wp:anchor distT="0" distB="0" distL="114300" distR="114300" simplePos="0" relativeHeight="251658240" behindDoc="0" locked="0" layoutInCell="1" allowOverlap="0" wp14:anchorId="2F758B34" wp14:editId="00FB05C7">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5B9B2" w14:textId="77777777" w:rsidR="00D85336" w:rsidRPr="00EA0D05" w:rsidRDefault="00D85336" w:rsidP="00F85F84">
      <w:pPr>
        <w:autoSpaceDE w:val="0"/>
        <w:autoSpaceDN w:val="0"/>
        <w:adjustRightInd w:val="0"/>
        <w:spacing w:before="120" w:after="120"/>
        <w:jc w:val="both"/>
        <w:rPr>
          <w:b/>
          <w:bCs/>
        </w:rPr>
      </w:pPr>
    </w:p>
    <w:p w14:paraId="2C51D0EF" w14:textId="77777777" w:rsidR="00D85336" w:rsidRPr="00EA0D05" w:rsidRDefault="00D85336" w:rsidP="00F85F84">
      <w:pPr>
        <w:autoSpaceDE w:val="0"/>
        <w:autoSpaceDN w:val="0"/>
        <w:adjustRightInd w:val="0"/>
        <w:spacing w:before="120" w:after="120"/>
        <w:jc w:val="both"/>
        <w:rPr>
          <w:b/>
          <w:bCs/>
        </w:rPr>
      </w:pPr>
    </w:p>
    <w:p w14:paraId="59C9309F" w14:textId="77777777" w:rsidR="003817CD" w:rsidRPr="00EA0D05" w:rsidRDefault="003817CD" w:rsidP="00F85F84">
      <w:pPr>
        <w:autoSpaceDE w:val="0"/>
        <w:autoSpaceDN w:val="0"/>
        <w:adjustRightInd w:val="0"/>
        <w:spacing w:before="120" w:after="120"/>
        <w:jc w:val="both"/>
        <w:rPr>
          <w:rFonts w:ascii="Book Antiqua" w:hAnsi="Book Antiqua"/>
          <w:b/>
          <w:bCs/>
          <w:sz w:val="44"/>
          <w:szCs w:val="44"/>
        </w:rPr>
      </w:pPr>
    </w:p>
    <w:p w14:paraId="165B2EC3" w14:textId="77777777" w:rsidR="00271B59" w:rsidRPr="00EA0D05" w:rsidRDefault="003817CD" w:rsidP="006F37E8">
      <w:pPr>
        <w:autoSpaceDE w:val="0"/>
        <w:autoSpaceDN w:val="0"/>
        <w:adjustRightInd w:val="0"/>
        <w:spacing w:before="120" w:after="120"/>
        <w:jc w:val="center"/>
        <w:rPr>
          <w:rFonts w:ascii="Book Antiqua" w:hAnsi="Book Antiqua"/>
          <w:b/>
          <w:bCs/>
          <w:sz w:val="44"/>
          <w:szCs w:val="44"/>
        </w:rPr>
      </w:pPr>
      <w:r w:rsidRPr="00EA0D05">
        <w:rPr>
          <w:rFonts w:ascii="Book Antiqua" w:hAnsi="Book Antiqua"/>
          <w:b/>
          <w:bCs/>
          <w:sz w:val="44"/>
          <w:szCs w:val="44"/>
        </w:rPr>
        <w:t>Supreme C</w:t>
      </w:r>
      <w:r w:rsidR="00271B59" w:rsidRPr="00EA0D05">
        <w:rPr>
          <w:rFonts w:ascii="Book Antiqua" w:hAnsi="Book Antiqua"/>
          <w:b/>
          <w:bCs/>
          <w:sz w:val="44"/>
          <w:szCs w:val="44"/>
        </w:rPr>
        <w:t>ourt of Victoria</w:t>
      </w:r>
    </w:p>
    <w:p w14:paraId="431DB100" w14:textId="34DE7A73" w:rsidR="00271B59" w:rsidRPr="00EA0D05" w:rsidRDefault="00E83DAB" w:rsidP="006F37E8">
      <w:pPr>
        <w:autoSpaceDE w:val="0"/>
        <w:autoSpaceDN w:val="0"/>
        <w:adjustRightInd w:val="0"/>
        <w:spacing w:before="120" w:after="120"/>
        <w:jc w:val="center"/>
        <w:rPr>
          <w:rFonts w:ascii="Book Antiqua" w:hAnsi="Book Antiqua"/>
          <w:b/>
          <w:sz w:val="28"/>
        </w:rPr>
      </w:pPr>
      <w:r>
        <w:rPr>
          <w:rFonts w:ascii="Book Antiqua" w:hAnsi="Book Antiqua"/>
          <w:b/>
          <w:sz w:val="28"/>
        </w:rPr>
        <w:t>Notice to the Profession</w:t>
      </w:r>
    </w:p>
    <w:p w14:paraId="651C35BF" w14:textId="70DCC490" w:rsidR="00271B59" w:rsidRPr="00EA0D05" w:rsidRDefault="000F4E47" w:rsidP="006F37E8">
      <w:pPr>
        <w:autoSpaceDE w:val="0"/>
        <w:autoSpaceDN w:val="0"/>
        <w:adjustRightInd w:val="0"/>
        <w:spacing w:before="120" w:after="120"/>
        <w:jc w:val="center"/>
        <w:rPr>
          <w:rFonts w:ascii="Book Antiqua" w:hAnsi="Book Antiqua"/>
          <w:b/>
          <w:sz w:val="28"/>
        </w:rPr>
      </w:pPr>
      <w:r w:rsidRPr="00EA0D05">
        <w:rPr>
          <w:rFonts w:ascii="Book Antiqua" w:hAnsi="Book Antiqua"/>
          <w:b/>
          <w:sz w:val="28"/>
        </w:rPr>
        <w:t>Costs Court</w:t>
      </w:r>
    </w:p>
    <w:p w14:paraId="0646DE0C" w14:textId="77777777" w:rsidR="00CD0331" w:rsidRDefault="00CD0331" w:rsidP="00F85F84">
      <w:pPr>
        <w:autoSpaceDE w:val="0"/>
        <w:autoSpaceDN w:val="0"/>
        <w:adjustRightInd w:val="0"/>
        <w:spacing w:before="120" w:after="120"/>
        <w:jc w:val="both"/>
        <w:rPr>
          <w:rFonts w:ascii="Book Antiqua" w:hAnsi="Book Antiqua"/>
          <w:b/>
          <w:sz w:val="28"/>
        </w:rPr>
      </w:pPr>
    </w:p>
    <w:sdt>
      <w:sdtPr>
        <w:rPr>
          <w:rFonts w:ascii="Times New Roman" w:eastAsia="Times New Roman" w:hAnsi="Times New Roman" w:cs="Times New Roman"/>
          <w:color w:val="auto"/>
          <w:sz w:val="24"/>
          <w:szCs w:val="24"/>
          <w:lang w:val="en-AU" w:eastAsia="en-AU"/>
        </w:rPr>
        <w:id w:val="1689023086"/>
        <w:docPartObj>
          <w:docPartGallery w:val="Table of Contents"/>
          <w:docPartUnique/>
        </w:docPartObj>
      </w:sdtPr>
      <w:sdtEndPr>
        <w:rPr>
          <w:b/>
          <w:bCs/>
          <w:noProof/>
        </w:rPr>
      </w:sdtEndPr>
      <w:sdtContent>
        <w:p w14:paraId="28916BE3" w14:textId="0C9190EA" w:rsidR="00682A5E" w:rsidRPr="001F47CE" w:rsidRDefault="00682A5E" w:rsidP="00620D33">
          <w:pPr>
            <w:pStyle w:val="TOCHeading"/>
          </w:pPr>
        </w:p>
        <w:p w14:paraId="3BF3D4DC" w14:textId="48A11D0F" w:rsidR="00716FEC" w:rsidRDefault="00682A5E">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78173270" w:history="1">
            <w:r w:rsidR="00716FEC" w:rsidRPr="00564944">
              <w:rPr>
                <w:rStyle w:val="Hyperlink"/>
                <w:noProof/>
              </w:rPr>
              <w:t>INTRODUCTION</w:t>
            </w:r>
            <w:r w:rsidR="00716FEC">
              <w:rPr>
                <w:noProof/>
                <w:webHidden/>
              </w:rPr>
              <w:tab/>
            </w:r>
            <w:r w:rsidR="00716FEC">
              <w:rPr>
                <w:noProof/>
                <w:webHidden/>
              </w:rPr>
              <w:fldChar w:fldCharType="begin"/>
            </w:r>
            <w:r w:rsidR="00716FEC">
              <w:rPr>
                <w:noProof/>
                <w:webHidden/>
              </w:rPr>
              <w:instrText xml:space="preserve"> PAGEREF _Toc178173270 \h </w:instrText>
            </w:r>
            <w:r w:rsidR="00716FEC">
              <w:rPr>
                <w:noProof/>
                <w:webHidden/>
              </w:rPr>
            </w:r>
            <w:r w:rsidR="00716FEC">
              <w:rPr>
                <w:noProof/>
                <w:webHidden/>
              </w:rPr>
              <w:fldChar w:fldCharType="separate"/>
            </w:r>
            <w:r w:rsidR="00716FEC">
              <w:rPr>
                <w:noProof/>
                <w:webHidden/>
              </w:rPr>
              <w:t>3</w:t>
            </w:r>
            <w:r w:rsidR="00716FEC">
              <w:rPr>
                <w:noProof/>
                <w:webHidden/>
              </w:rPr>
              <w:fldChar w:fldCharType="end"/>
            </w:r>
          </w:hyperlink>
        </w:p>
        <w:p w14:paraId="1439D9A9" w14:textId="492B4BDA" w:rsidR="00716FEC" w:rsidRDefault="00FD256F">
          <w:pPr>
            <w:pStyle w:val="TOC1"/>
            <w:rPr>
              <w:rFonts w:asciiTheme="minorHAnsi" w:eastAsiaTheme="minorEastAsia" w:hAnsiTheme="minorHAnsi" w:cstheme="minorBidi"/>
              <w:noProof/>
              <w:kern w:val="2"/>
              <w14:ligatures w14:val="standardContextual"/>
            </w:rPr>
          </w:pPr>
          <w:hyperlink w:anchor="_Toc178173271" w:history="1">
            <w:r w:rsidR="00716FEC" w:rsidRPr="00564944">
              <w:rPr>
                <w:rStyle w:val="Hyperlink"/>
                <w:noProof/>
              </w:rPr>
              <w:t>DEFINITIONS</w:t>
            </w:r>
            <w:r w:rsidR="00716FEC">
              <w:rPr>
                <w:noProof/>
                <w:webHidden/>
              </w:rPr>
              <w:tab/>
            </w:r>
            <w:r w:rsidR="00716FEC">
              <w:rPr>
                <w:noProof/>
                <w:webHidden/>
              </w:rPr>
              <w:fldChar w:fldCharType="begin"/>
            </w:r>
            <w:r w:rsidR="00716FEC">
              <w:rPr>
                <w:noProof/>
                <w:webHidden/>
              </w:rPr>
              <w:instrText xml:space="preserve"> PAGEREF _Toc178173271 \h </w:instrText>
            </w:r>
            <w:r w:rsidR="00716FEC">
              <w:rPr>
                <w:noProof/>
                <w:webHidden/>
              </w:rPr>
            </w:r>
            <w:r w:rsidR="00716FEC">
              <w:rPr>
                <w:noProof/>
                <w:webHidden/>
              </w:rPr>
              <w:fldChar w:fldCharType="separate"/>
            </w:r>
            <w:r w:rsidR="00716FEC">
              <w:rPr>
                <w:noProof/>
                <w:webHidden/>
              </w:rPr>
              <w:t>3</w:t>
            </w:r>
            <w:r w:rsidR="00716FEC">
              <w:rPr>
                <w:noProof/>
                <w:webHidden/>
              </w:rPr>
              <w:fldChar w:fldCharType="end"/>
            </w:r>
          </w:hyperlink>
        </w:p>
        <w:p w14:paraId="0A5FE4CA" w14:textId="484E7443" w:rsidR="00716FEC" w:rsidRDefault="00FD256F">
          <w:pPr>
            <w:pStyle w:val="TOC1"/>
            <w:rPr>
              <w:rFonts w:asciiTheme="minorHAnsi" w:eastAsiaTheme="minorEastAsia" w:hAnsiTheme="minorHAnsi" w:cstheme="minorBidi"/>
              <w:noProof/>
              <w:kern w:val="2"/>
              <w14:ligatures w14:val="standardContextual"/>
            </w:rPr>
          </w:pPr>
          <w:hyperlink w:anchor="_Toc178173272" w:history="1">
            <w:r w:rsidR="00716FEC" w:rsidRPr="00564944">
              <w:rPr>
                <w:rStyle w:val="Hyperlink"/>
                <w:noProof/>
              </w:rPr>
              <w:t xml:space="preserve">APPLICATION OF </w:t>
            </w:r>
            <w:r w:rsidR="00716FEC" w:rsidRPr="00564944">
              <w:rPr>
                <w:rStyle w:val="Hyperlink"/>
                <w:i/>
                <w:iCs/>
                <w:noProof/>
              </w:rPr>
              <w:t>CIVIL PROCEDURE ACT 2010</w:t>
            </w:r>
            <w:r w:rsidR="00716FEC">
              <w:rPr>
                <w:noProof/>
                <w:webHidden/>
              </w:rPr>
              <w:tab/>
            </w:r>
            <w:r w:rsidR="00716FEC">
              <w:rPr>
                <w:noProof/>
                <w:webHidden/>
              </w:rPr>
              <w:fldChar w:fldCharType="begin"/>
            </w:r>
            <w:r w:rsidR="00716FEC">
              <w:rPr>
                <w:noProof/>
                <w:webHidden/>
              </w:rPr>
              <w:instrText xml:space="preserve"> PAGEREF _Toc178173272 \h </w:instrText>
            </w:r>
            <w:r w:rsidR="00716FEC">
              <w:rPr>
                <w:noProof/>
                <w:webHidden/>
              </w:rPr>
            </w:r>
            <w:r w:rsidR="00716FEC">
              <w:rPr>
                <w:noProof/>
                <w:webHidden/>
              </w:rPr>
              <w:fldChar w:fldCharType="separate"/>
            </w:r>
            <w:r w:rsidR="00716FEC">
              <w:rPr>
                <w:noProof/>
                <w:webHidden/>
              </w:rPr>
              <w:t>4</w:t>
            </w:r>
            <w:r w:rsidR="00716FEC">
              <w:rPr>
                <w:noProof/>
                <w:webHidden/>
              </w:rPr>
              <w:fldChar w:fldCharType="end"/>
            </w:r>
          </w:hyperlink>
        </w:p>
        <w:p w14:paraId="1BD8DC4C" w14:textId="4C961695" w:rsidR="00716FEC" w:rsidRDefault="00FD256F">
          <w:pPr>
            <w:pStyle w:val="TOC1"/>
            <w:rPr>
              <w:rFonts w:asciiTheme="minorHAnsi" w:eastAsiaTheme="minorEastAsia" w:hAnsiTheme="minorHAnsi" w:cstheme="minorBidi"/>
              <w:noProof/>
              <w:kern w:val="2"/>
              <w14:ligatures w14:val="standardContextual"/>
            </w:rPr>
          </w:pPr>
          <w:hyperlink w:anchor="_Toc178173273" w:history="1">
            <w:r w:rsidR="00716FEC" w:rsidRPr="00564944">
              <w:rPr>
                <w:rStyle w:val="Hyperlink"/>
                <w:noProof/>
              </w:rPr>
              <w:t>MAJOR CHANGES RELATING TO THE SUPREME COURT SCALE OF COSTS FROM 1 JANUARY 2025</w:t>
            </w:r>
            <w:r w:rsidR="00716FEC">
              <w:rPr>
                <w:noProof/>
                <w:webHidden/>
              </w:rPr>
              <w:tab/>
            </w:r>
            <w:r w:rsidR="00716FEC">
              <w:rPr>
                <w:noProof/>
                <w:webHidden/>
              </w:rPr>
              <w:fldChar w:fldCharType="begin"/>
            </w:r>
            <w:r w:rsidR="00716FEC">
              <w:rPr>
                <w:noProof/>
                <w:webHidden/>
              </w:rPr>
              <w:instrText xml:space="preserve"> PAGEREF _Toc178173273 \h </w:instrText>
            </w:r>
            <w:r w:rsidR="00716FEC">
              <w:rPr>
                <w:noProof/>
                <w:webHidden/>
              </w:rPr>
            </w:r>
            <w:r w:rsidR="00716FEC">
              <w:rPr>
                <w:noProof/>
                <w:webHidden/>
              </w:rPr>
              <w:fldChar w:fldCharType="separate"/>
            </w:r>
            <w:r w:rsidR="00716FEC">
              <w:rPr>
                <w:noProof/>
                <w:webHidden/>
              </w:rPr>
              <w:t>5</w:t>
            </w:r>
            <w:r w:rsidR="00716FEC">
              <w:rPr>
                <w:noProof/>
                <w:webHidden/>
              </w:rPr>
              <w:fldChar w:fldCharType="end"/>
            </w:r>
          </w:hyperlink>
        </w:p>
        <w:p w14:paraId="69880AF3" w14:textId="1DF49B83" w:rsidR="00716FEC" w:rsidRDefault="00FD256F">
          <w:pPr>
            <w:pStyle w:val="TOC3"/>
            <w:rPr>
              <w:rFonts w:asciiTheme="minorHAnsi" w:eastAsiaTheme="minorEastAsia" w:hAnsiTheme="minorHAnsi" w:cstheme="minorBidi"/>
              <w:kern w:val="2"/>
              <w14:ligatures w14:val="standardContextual"/>
            </w:rPr>
          </w:pPr>
          <w:hyperlink w:anchor="_Toc178173274" w:history="1">
            <w:r w:rsidR="00716FEC" w:rsidRPr="00564944">
              <w:rPr>
                <w:rStyle w:val="Hyperlink"/>
              </w:rPr>
              <w:t>Section 1 of Appendix A: where an entitled party has been charged on the basis of hourly rates</w:t>
            </w:r>
            <w:r w:rsidR="00716FEC">
              <w:rPr>
                <w:webHidden/>
              </w:rPr>
              <w:tab/>
            </w:r>
            <w:r w:rsidR="00716FEC">
              <w:rPr>
                <w:webHidden/>
              </w:rPr>
              <w:fldChar w:fldCharType="begin"/>
            </w:r>
            <w:r w:rsidR="00716FEC">
              <w:rPr>
                <w:webHidden/>
              </w:rPr>
              <w:instrText xml:space="preserve"> PAGEREF _Toc178173274 \h </w:instrText>
            </w:r>
            <w:r w:rsidR="00716FEC">
              <w:rPr>
                <w:webHidden/>
              </w:rPr>
            </w:r>
            <w:r w:rsidR="00716FEC">
              <w:rPr>
                <w:webHidden/>
              </w:rPr>
              <w:fldChar w:fldCharType="separate"/>
            </w:r>
            <w:r w:rsidR="00716FEC">
              <w:rPr>
                <w:webHidden/>
              </w:rPr>
              <w:t>6</w:t>
            </w:r>
            <w:r w:rsidR="00716FEC">
              <w:rPr>
                <w:webHidden/>
              </w:rPr>
              <w:fldChar w:fldCharType="end"/>
            </w:r>
          </w:hyperlink>
        </w:p>
        <w:p w14:paraId="23190716" w14:textId="76AC92C8" w:rsidR="00716FEC" w:rsidRDefault="00FD256F">
          <w:pPr>
            <w:pStyle w:val="TOC3"/>
            <w:rPr>
              <w:rFonts w:asciiTheme="minorHAnsi" w:eastAsiaTheme="minorEastAsia" w:hAnsiTheme="minorHAnsi" w:cstheme="minorBidi"/>
              <w:kern w:val="2"/>
              <w14:ligatures w14:val="standardContextual"/>
            </w:rPr>
          </w:pPr>
          <w:hyperlink w:anchor="_Toc178173275" w:history="1">
            <w:r w:rsidR="00716FEC" w:rsidRPr="00564944">
              <w:rPr>
                <w:rStyle w:val="Hyperlink"/>
              </w:rPr>
              <w:t>Section 3 of Appendix A: where an entitled party has not been charged on the basis of hourly rates</w:t>
            </w:r>
            <w:r w:rsidR="00716FEC">
              <w:rPr>
                <w:webHidden/>
              </w:rPr>
              <w:tab/>
            </w:r>
            <w:r w:rsidR="00716FEC">
              <w:rPr>
                <w:webHidden/>
              </w:rPr>
              <w:fldChar w:fldCharType="begin"/>
            </w:r>
            <w:r w:rsidR="00716FEC">
              <w:rPr>
                <w:webHidden/>
              </w:rPr>
              <w:instrText xml:space="preserve"> PAGEREF _Toc178173275 \h </w:instrText>
            </w:r>
            <w:r w:rsidR="00716FEC">
              <w:rPr>
                <w:webHidden/>
              </w:rPr>
            </w:r>
            <w:r w:rsidR="00716FEC">
              <w:rPr>
                <w:webHidden/>
              </w:rPr>
              <w:fldChar w:fldCharType="separate"/>
            </w:r>
            <w:r w:rsidR="00716FEC">
              <w:rPr>
                <w:webHidden/>
              </w:rPr>
              <w:t>8</w:t>
            </w:r>
            <w:r w:rsidR="00716FEC">
              <w:rPr>
                <w:webHidden/>
              </w:rPr>
              <w:fldChar w:fldCharType="end"/>
            </w:r>
          </w:hyperlink>
        </w:p>
        <w:p w14:paraId="1231A5AC" w14:textId="3232B88A" w:rsidR="00716FEC" w:rsidRDefault="00FD256F">
          <w:pPr>
            <w:pStyle w:val="TOC3"/>
            <w:rPr>
              <w:rFonts w:asciiTheme="minorHAnsi" w:eastAsiaTheme="minorEastAsia" w:hAnsiTheme="minorHAnsi" w:cstheme="minorBidi"/>
              <w:kern w:val="2"/>
              <w14:ligatures w14:val="standardContextual"/>
            </w:rPr>
          </w:pPr>
          <w:hyperlink w:anchor="_Toc178173276" w:history="1">
            <w:r w:rsidR="00716FEC" w:rsidRPr="00564944">
              <w:rPr>
                <w:rStyle w:val="Hyperlink"/>
              </w:rPr>
              <w:t>Transitional cases: examples</w:t>
            </w:r>
            <w:r w:rsidR="00716FEC">
              <w:rPr>
                <w:webHidden/>
              </w:rPr>
              <w:tab/>
            </w:r>
            <w:r w:rsidR="00716FEC">
              <w:rPr>
                <w:webHidden/>
              </w:rPr>
              <w:fldChar w:fldCharType="begin"/>
            </w:r>
            <w:r w:rsidR="00716FEC">
              <w:rPr>
                <w:webHidden/>
              </w:rPr>
              <w:instrText xml:space="preserve"> PAGEREF _Toc178173276 \h </w:instrText>
            </w:r>
            <w:r w:rsidR="00716FEC">
              <w:rPr>
                <w:webHidden/>
              </w:rPr>
            </w:r>
            <w:r w:rsidR="00716FEC">
              <w:rPr>
                <w:webHidden/>
              </w:rPr>
              <w:fldChar w:fldCharType="separate"/>
            </w:r>
            <w:r w:rsidR="00716FEC">
              <w:rPr>
                <w:webHidden/>
              </w:rPr>
              <w:t>9</w:t>
            </w:r>
            <w:r w:rsidR="00716FEC">
              <w:rPr>
                <w:webHidden/>
              </w:rPr>
              <w:fldChar w:fldCharType="end"/>
            </w:r>
          </w:hyperlink>
        </w:p>
        <w:p w14:paraId="15AD6053" w14:textId="077DFFF6" w:rsidR="00716FEC" w:rsidRDefault="00FD256F">
          <w:pPr>
            <w:pStyle w:val="TOC3"/>
            <w:rPr>
              <w:rFonts w:asciiTheme="minorHAnsi" w:eastAsiaTheme="minorEastAsia" w:hAnsiTheme="minorHAnsi" w:cstheme="minorBidi"/>
              <w:kern w:val="2"/>
              <w14:ligatures w14:val="standardContextual"/>
            </w:rPr>
          </w:pPr>
          <w:hyperlink w:anchor="_Toc178173277" w:history="1">
            <w:r w:rsidR="00716FEC" w:rsidRPr="00564944">
              <w:rPr>
                <w:rStyle w:val="Hyperlink"/>
              </w:rPr>
              <w:t>Applications to increase the maximums in the new scale</w:t>
            </w:r>
            <w:r w:rsidR="00716FEC">
              <w:rPr>
                <w:webHidden/>
              </w:rPr>
              <w:tab/>
            </w:r>
            <w:r w:rsidR="00716FEC">
              <w:rPr>
                <w:webHidden/>
              </w:rPr>
              <w:fldChar w:fldCharType="begin"/>
            </w:r>
            <w:r w:rsidR="00716FEC">
              <w:rPr>
                <w:webHidden/>
              </w:rPr>
              <w:instrText xml:space="preserve"> PAGEREF _Toc178173277 \h </w:instrText>
            </w:r>
            <w:r w:rsidR="00716FEC">
              <w:rPr>
                <w:webHidden/>
              </w:rPr>
            </w:r>
            <w:r w:rsidR="00716FEC">
              <w:rPr>
                <w:webHidden/>
              </w:rPr>
              <w:fldChar w:fldCharType="separate"/>
            </w:r>
            <w:r w:rsidR="00716FEC">
              <w:rPr>
                <w:webHidden/>
              </w:rPr>
              <w:t>9</w:t>
            </w:r>
            <w:r w:rsidR="00716FEC">
              <w:rPr>
                <w:webHidden/>
              </w:rPr>
              <w:fldChar w:fldCharType="end"/>
            </w:r>
          </w:hyperlink>
        </w:p>
        <w:p w14:paraId="37550367" w14:textId="13590E65" w:rsidR="00716FEC" w:rsidRDefault="00FD256F">
          <w:pPr>
            <w:pStyle w:val="TOC1"/>
            <w:rPr>
              <w:rFonts w:asciiTheme="minorHAnsi" w:eastAsiaTheme="minorEastAsia" w:hAnsiTheme="minorHAnsi" w:cstheme="minorBidi"/>
              <w:noProof/>
              <w:kern w:val="2"/>
              <w14:ligatures w14:val="standardContextual"/>
            </w:rPr>
          </w:pPr>
          <w:hyperlink w:anchor="_Toc178173278" w:history="1">
            <w:r w:rsidR="00716FEC" w:rsidRPr="00564944">
              <w:rPr>
                <w:rStyle w:val="Hyperlink"/>
                <w:noProof/>
              </w:rPr>
              <w:t>COMMENCEMENT AND CONDUCT OF PARTY/PARTY APPLICATIONS IN THE COSTS COURT</w:t>
            </w:r>
            <w:r w:rsidR="00716FEC">
              <w:rPr>
                <w:noProof/>
                <w:webHidden/>
              </w:rPr>
              <w:tab/>
            </w:r>
            <w:r w:rsidR="00716FEC">
              <w:rPr>
                <w:noProof/>
                <w:webHidden/>
              </w:rPr>
              <w:fldChar w:fldCharType="begin"/>
            </w:r>
            <w:r w:rsidR="00716FEC">
              <w:rPr>
                <w:noProof/>
                <w:webHidden/>
              </w:rPr>
              <w:instrText xml:space="preserve"> PAGEREF _Toc178173278 \h </w:instrText>
            </w:r>
            <w:r w:rsidR="00716FEC">
              <w:rPr>
                <w:noProof/>
                <w:webHidden/>
              </w:rPr>
            </w:r>
            <w:r w:rsidR="00716FEC">
              <w:rPr>
                <w:noProof/>
                <w:webHidden/>
              </w:rPr>
              <w:fldChar w:fldCharType="separate"/>
            </w:r>
            <w:r w:rsidR="00716FEC">
              <w:rPr>
                <w:noProof/>
                <w:webHidden/>
              </w:rPr>
              <w:t>10</w:t>
            </w:r>
            <w:r w:rsidR="00716FEC">
              <w:rPr>
                <w:noProof/>
                <w:webHidden/>
              </w:rPr>
              <w:fldChar w:fldCharType="end"/>
            </w:r>
          </w:hyperlink>
        </w:p>
        <w:p w14:paraId="5370698C" w14:textId="4BCC8152" w:rsidR="00716FEC" w:rsidRDefault="00FD256F">
          <w:pPr>
            <w:pStyle w:val="TOC3"/>
            <w:rPr>
              <w:rFonts w:asciiTheme="minorHAnsi" w:eastAsiaTheme="minorEastAsia" w:hAnsiTheme="minorHAnsi" w:cstheme="minorBidi"/>
              <w:kern w:val="2"/>
              <w14:ligatures w14:val="standardContextual"/>
            </w:rPr>
          </w:pPr>
          <w:hyperlink w:anchor="_Toc178173279" w:history="1">
            <w:r w:rsidR="00716FEC" w:rsidRPr="00564944">
              <w:rPr>
                <w:rStyle w:val="Hyperlink"/>
              </w:rPr>
              <w:t>Party/Party Taxation Information Form</w:t>
            </w:r>
            <w:r w:rsidR="00716FEC">
              <w:rPr>
                <w:webHidden/>
              </w:rPr>
              <w:tab/>
            </w:r>
            <w:r w:rsidR="00716FEC">
              <w:rPr>
                <w:webHidden/>
              </w:rPr>
              <w:fldChar w:fldCharType="begin"/>
            </w:r>
            <w:r w:rsidR="00716FEC">
              <w:rPr>
                <w:webHidden/>
              </w:rPr>
              <w:instrText xml:space="preserve"> PAGEREF _Toc178173279 \h </w:instrText>
            </w:r>
            <w:r w:rsidR="00716FEC">
              <w:rPr>
                <w:webHidden/>
              </w:rPr>
            </w:r>
            <w:r w:rsidR="00716FEC">
              <w:rPr>
                <w:webHidden/>
              </w:rPr>
              <w:fldChar w:fldCharType="separate"/>
            </w:r>
            <w:r w:rsidR="00716FEC">
              <w:rPr>
                <w:webHidden/>
              </w:rPr>
              <w:t>10</w:t>
            </w:r>
            <w:r w:rsidR="00716FEC">
              <w:rPr>
                <w:webHidden/>
              </w:rPr>
              <w:fldChar w:fldCharType="end"/>
            </w:r>
          </w:hyperlink>
        </w:p>
        <w:p w14:paraId="1A8E059D" w14:textId="285C1BAE" w:rsidR="00716FEC" w:rsidRDefault="00FD256F">
          <w:pPr>
            <w:pStyle w:val="TOC3"/>
            <w:rPr>
              <w:rFonts w:asciiTheme="minorHAnsi" w:eastAsiaTheme="minorEastAsia" w:hAnsiTheme="minorHAnsi" w:cstheme="minorBidi"/>
              <w:kern w:val="2"/>
              <w14:ligatures w14:val="standardContextual"/>
            </w:rPr>
          </w:pPr>
          <w:hyperlink w:anchor="_Toc178173280" w:history="1">
            <w:r w:rsidR="00716FEC" w:rsidRPr="00564944">
              <w:rPr>
                <w:rStyle w:val="Hyperlink"/>
                <w:rFonts w:ascii="Book Antiqua" w:hAnsi="Book Antiqua"/>
              </w:rPr>
              <w:t>The summons for taxation</w:t>
            </w:r>
            <w:r w:rsidR="00716FEC">
              <w:rPr>
                <w:webHidden/>
              </w:rPr>
              <w:tab/>
            </w:r>
            <w:r w:rsidR="00716FEC">
              <w:rPr>
                <w:webHidden/>
              </w:rPr>
              <w:fldChar w:fldCharType="begin"/>
            </w:r>
            <w:r w:rsidR="00716FEC">
              <w:rPr>
                <w:webHidden/>
              </w:rPr>
              <w:instrText xml:space="preserve"> PAGEREF _Toc178173280 \h </w:instrText>
            </w:r>
            <w:r w:rsidR="00716FEC">
              <w:rPr>
                <w:webHidden/>
              </w:rPr>
            </w:r>
            <w:r w:rsidR="00716FEC">
              <w:rPr>
                <w:webHidden/>
              </w:rPr>
              <w:fldChar w:fldCharType="separate"/>
            </w:r>
            <w:r w:rsidR="00716FEC">
              <w:rPr>
                <w:webHidden/>
              </w:rPr>
              <w:t>11</w:t>
            </w:r>
            <w:r w:rsidR="00716FEC">
              <w:rPr>
                <w:webHidden/>
              </w:rPr>
              <w:fldChar w:fldCharType="end"/>
            </w:r>
          </w:hyperlink>
        </w:p>
        <w:p w14:paraId="557A2523" w14:textId="574D6700" w:rsidR="00716FEC" w:rsidRDefault="00FD256F">
          <w:pPr>
            <w:pStyle w:val="TOC3"/>
            <w:rPr>
              <w:rFonts w:asciiTheme="minorHAnsi" w:eastAsiaTheme="minorEastAsia" w:hAnsiTheme="minorHAnsi" w:cstheme="minorBidi"/>
              <w:kern w:val="2"/>
              <w14:ligatures w14:val="standardContextual"/>
            </w:rPr>
          </w:pPr>
          <w:hyperlink w:anchor="_Toc178173281" w:history="1">
            <w:r w:rsidR="00716FEC" w:rsidRPr="00564944">
              <w:rPr>
                <w:rStyle w:val="Hyperlink"/>
              </w:rPr>
              <w:t>The bill of costs</w:t>
            </w:r>
            <w:r w:rsidR="00716FEC">
              <w:rPr>
                <w:webHidden/>
              </w:rPr>
              <w:tab/>
            </w:r>
            <w:r w:rsidR="00716FEC">
              <w:rPr>
                <w:webHidden/>
              </w:rPr>
              <w:fldChar w:fldCharType="begin"/>
            </w:r>
            <w:r w:rsidR="00716FEC">
              <w:rPr>
                <w:webHidden/>
              </w:rPr>
              <w:instrText xml:space="preserve"> PAGEREF _Toc178173281 \h </w:instrText>
            </w:r>
            <w:r w:rsidR="00716FEC">
              <w:rPr>
                <w:webHidden/>
              </w:rPr>
            </w:r>
            <w:r w:rsidR="00716FEC">
              <w:rPr>
                <w:webHidden/>
              </w:rPr>
              <w:fldChar w:fldCharType="separate"/>
            </w:r>
            <w:r w:rsidR="00716FEC">
              <w:rPr>
                <w:webHidden/>
              </w:rPr>
              <w:t>12</w:t>
            </w:r>
            <w:r w:rsidR="00716FEC">
              <w:rPr>
                <w:webHidden/>
              </w:rPr>
              <w:fldChar w:fldCharType="end"/>
            </w:r>
          </w:hyperlink>
        </w:p>
        <w:p w14:paraId="49EF8608" w14:textId="04EDD5C7" w:rsidR="00716FEC" w:rsidRDefault="00FD256F">
          <w:pPr>
            <w:pStyle w:val="TOC1"/>
            <w:rPr>
              <w:rFonts w:asciiTheme="minorHAnsi" w:eastAsiaTheme="minorEastAsia" w:hAnsiTheme="minorHAnsi" w:cstheme="minorBidi"/>
              <w:noProof/>
              <w:kern w:val="2"/>
              <w14:ligatures w14:val="standardContextual"/>
            </w:rPr>
          </w:pPr>
          <w:hyperlink w:anchor="_Toc178173282" w:history="1">
            <w:r w:rsidR="00716FEC" w:rsidRPr="00564944">
              <w:rPr>
                <w:rStyle w:val="Hyperlink"/>
                <w:noProof/>
              </w:rPr>
              <w:t>DETERMINATION OF PARTY/PARTY COSTS DISPUTES</w:t>
            </w:r>
            <w:r w:rsidR="00716FEC">
              <w:rPr>
                <w:noProof/>
                <w:webHidden/>
              </w:rPr>
              <w:tab/>
            </w:r>
            <w:r w:rsidR="00716FEC">
              <w:rPr>
                <w:noProof/>
                <w:webHidden/>
              </w:rPr>
              <w:fldChar w:fldCharType="begin"/>
            </w:r>
            <w:r w:rsidR="00716FEC">
              <w:rPr>
                <w:noProof/>
                <w:webHidden/>
              </w:rPr>
              <w:instrText xml:space="preserve"> PAGEREF _Toc178173282 \h </w:instrText>
            </w:r>
            <w:r w:rsidR="00716FEC">
              <w:rPr>
                <w:noProof/>
                <w:webHidden/>
              </w:rPr>
            </w:r>
            <w:r w:rsidR="00716FEC">
              <w:rPr>
                <w:noProof/>
                <w:webHidden/>
              </w:rPr>
              <w:fldChar w:fldCharType="separate"/>
            </w:r>
            <w:r w:rsidR="00716FEC">
              <w:rPr>
                <w:noProof/>
                <w:webHidden/>
              </w:rPr>
              <w:t>13</w:t>
            </w:r>
            <w:r w:rsidR="00716FEC">
              <w:rPr>
                <w:noProof/>
                <w:webHidden/>
              </w:rPr>
              <w:fldChar w:fldCharType="end"/>
            </w:r>
          </w:hyperlink>
        </w:p>
        <w:p w14:paraId="04F5C457" w14:textId="0CD93EE4" w:rsidR="00716FEC" w:rsidRDefault="00FD256F">
          <w:pPr>
            <w:pStyle w:val="TOC3"/>
            <w:rPr>
              <w:rFonts w:asciiTheme="minorHAnsi" w:eastAsiaTheme="minorEastAsia" w:hAnsiTheme="minorHAnsi" w:cstheme="minorBidi"/>
              <w:kern w:val="2"/>
              <w14:ligatures w14:val="standardContextual"/>
            </w:rPr>
          </w:pPr>
          <w:hyperlink w:anchor="_Toc178173283" w:history="1">
            <w:r w:rsidR="00716FEC" w:rsidRPr="00564944">
              <w:rPr>
                <w:rStyle w:val="Hyperlink"/>
              </w:rPr>
              <w:t>Mediation</w:t>
            </w:r>
            <w:r w:rsidR="00716FEC">
              <w:rPr>
                <w:webHidden/>
              </w:rPr>
              <w:tab/>
            </w:r>
            <w:r w:rsidR="00716FEC">
              <w:rPr>
                <w:webHidden/>
              </w:rPr>
              <w:fldChar w:fldCharType="begin"/>
            </w:r>
            <w:r w:rsidR="00716FEC">
              <w:rPr>
                <w:webHidden/>
              </w:rPr>
              <w:instrText xml:space="preserve"> PAGEREF _Toc178173283 \h </w:instrText>
            </w:r>
            <w:r w:rsidR="00716FEC">
              <w:rPr>
                <w:webHidden/>
              </w:rPr>
            </w:r>
            <w:r w:rsidR="00716FEC">
              <w:rPr>
                <w:webHidden/>
              </w:rPr>
              <w:fldChar w:fldCharType="separate"/>
            </w:r>
            <w:r w:rsidR="00716FEC">
              <w:rPr>
                <w:webHidden/>
              </w:rPr>
              <w:t>13</w:t>
            </w:r>
            <w:r w:rsidR="00716FEC">
              <w:rPr>
                <w:webHidden/>
              </w:rPr>
              <w:fldChar w:fldCharType="end"/>
            </w:r>
          </w:hyperlink>
        </w:p>
        <w:p w14:paraId="6379F281" w14:textId="75D9A8C8" w:rsidR="00716FEC" w:rsidRDefault="00FD256F">
          <w:pPr>
            <w:pStyle w:val="TOC3"/>
            <w:rPr>
              <w:rFonts w:asciiTheme="minorHAnsi" w:eastAsiaTheme="minorEastAsia" w:hAnsiTheme="minorHAnsi" w:cstheme="minorBidi"/>
              <w:kern w:val="2"/>
              <w14:ligatures w14:val="standardContextual"/>
            </w:rPr>
          </w:pPr>
          <w:hyperlink w:anchor="_Toc178173284" w:history="1">
            <w:r w:rsidR="00716FEC" w:rsidRPr="00564944">
              <w:rPr>
                <w:rStyle w:val="Hyperlink"/>
              </w:rPr>
              <w:t>Assessment in chambers</w:t>
            </w:r>
            <w:r w:rsidR="00716FEC">
              <w:rPr>
                <w:webHidden/>
              </w:rPr>
              <w:tab/>
            </w:r>
            <w:r w:rsidR="00716FEC">
              <w:rPr>
                <w:webHidden/>
              </w:rPr>
              <w:fldChar w:fldCharType="begin"/>
            </w:r>
            <w:r w:rsidR="00716FEC">
              <w:rPr>
                <w:webHidden/>
              </w:rPr>
              <w:instrText xml:space="preserve"> PAGEREF _Toc178173284 \h </w:instrText>
            </w:r>
            <w:r w:rsidR="00716FEC">
              <w:rPr>
                <w:webHidden/>
              </w:rPr>
            </w:r>
            <w:r w:rsidR="00716FEC">
              <w:rPr>
                <w:webHidden/>
              </w:rPr>
              <w:fldChar w:fldCharType="separate"/>
            </w:r>
            <w:r w:rsidR="00716FEC">
              <w:rPr>
                <w:webHidden/>
              </w:rPr>
              <w:t>14</w:t>
            </w:r>
            <w:r w:rsidR="00716FEC">
              <w:rPr>
                <w:webHidden/>
              </w:rPr>
              <w:fldChar w:fldCharType="end"/>
            </w:r>
          </w:hyperlink>
        </w:p>
        <w:p w14:paraId="585921D8" w14:textId="134107CC" w:rsidR="00716FEC" w:rsidRDefault="00FD256F">
          <w:pPr>
            <w:pStyle w:val="TOC3"/>
            <w:rPr>
              <w:rFonts w:asciiTheme="minorHAnsi" w:eastAsiaTheme="minorEastAsia" w:hAnsiTheme="minorHAnsi" w:cstheme="minorBidi"/>
              <w:kern w:val="2"/>
              <w14:ligatures w14:val="standardContextual"/>
            </w:rPr>
          </w:pPr>
          <w:hyperlink w:anchor="_Toc178173285" w:history="1">
            <w:r w:rsidR="00716FEC" w:rsidRPr="00564944">
              <w:rPr>
                <w:rStyle w:val="Hyperlink"/>
              </w:rPr>
              <w:t>Gross sum costs</w:t>
            </w:r>
            <w:r w:rsidR="00716FEC">
              <w:rPr>
                <w:webHidden/>
              </w:rPr>
              <w:tab/>
            </w:r>
            <w:r w:rsidR="00716FEC">
              <w:rPr>
                <w:webHidden/>
              </w:rPr>
              <w:fldChar w:fldCharType="begin"/>
            </w:r>
            <w:r w:rsidR="00716FEC">
              <w:rPr>
                <w:webHidden/>
              </w:rPr>
              <w:instrText xml:space="preserve"> PAGEREF _Toc178173285 \h </w:instrText>
            </w:r>
            <w:r w:rsidR="00716FEC">
              <w:rPr>
                <w:webHidden/>
              </w:rPr>
            </w:r>
            <w:r w:rsidR="00716FEC">
              <w:rPr>
                <w:webHidden/>
              </w:rPr>
              <w:fldChar w:fldCharType="separate"/>
            </w:r>
            <w:r w:rsidR="00716FEC">
              <w:rPr>
                <w:webHidden/>
              </w:rPr>
              <w:t>15</w:t>
            </w:r>
            <w:r w:rsidR="00716FEC">
              <w:rPr>
                <w:webHidden/>
              </w:rPr>
              <w:fldChar w:fldCharType="end"/>
            </w:r>
          </w:hyperlink>
        </w:p>
        <w:p w14:paraId="6E743348" w14:textId="4F2292F6" w:rsidR="00716FEC" w:rsidRDefault="00FD256F">
          <w:pPr>
            <w:pStyle w:val="TOC3"/>
            <w:rPr>
              <w:rFonts w:asciiTheme="minorHAnsi" w:eastAsiaTheme="minorEastAsia" w:hAnsiTheme="minorHAnsi" w:cstheme="minorBidi"/>
              <w:kern w:val="2"/>
              <w14:ligatures w14:val="standardContextual"/>
            </w:rPr>
          </w:pPr>
          <w:hyperlink w:anchor="_Toc178173286" w:history="1">
            <w:r w:rsidR="00716FEC" w:rsidRPr="00564944">
              <w:rPr>
                <w:rStyle w:val="Hyperlink"/>
              </w:rPr>
              <w:t>Taxation</w:t>
            </w:r>
            <w:r w:rsidR="00716FEC">
              <w:rPr>
                <w:webHidden/>
              </w:rPr>
              <w:tab/>
            </w:r>
            <w:r w:rsidR="00716FEC">
              <w:rPr>
                <w:webHidden/>
              </w:rPr>
              <w:fldChar w:fldCharType="begin"/>
            </w:r>
            <w:r w:rsidR="00716FEC">
              <w:rPr>
                <w:webHidden/>
              </w:rPr>
              <w:instrText xml:space="preserve"> PAGEREF _Toc178173286 \h </w:instrText>
            </w:r>
            <w:r w:rsidR="00716FEC">
              <w:rPr>
                <w:webHidden/>
              </w:rPr>
            </w:r>
            <w:r w:rsidR="00716FEC">
              <w:rPr>
                <w:webHidden/>
              </w:rPr>
              <w:fldChar w:fldCharType="separate"/>
            </w:r>
            <w:r w:rsidR="00716FEC">
              <w:rPr>
                <w:webHidden/>
              </w:rPr>
              <w:t>18</w:t>
            </w:r>
            <w:r w:rsidR="00716FEC">
              <w:rPr>
                <w:webHidden/>
              </w:rPr>
              <w:fldChar w:fldCharType="end"/>
            </w:r>
          </w:hyperlink>
        </w:p>
        <w:p w14:paraId="7AE04CDC" w14:textId="3C48CF15" w:rsidR="00716FEC" w:rsidRDefault="00FD256F">
          <w:pPr>
            <w:pStyle w:val="TOC1"/>
            <w:rPr>
              <w:rFonts w:asciiTheme="minorHAnsi" w:eastAsiaTheme="minorEastAsia" w:hAnsiTheme="minorHAnsi" w:cstheme="minorBidi"/>
              <w:noProof/>
              <w:kern w:val="2"/>
              <w14:ligatures w14:val="standardContextual"/>
            </w:rPr>
          </w:pPr>
          <w:hyperlink w:anchor="_Toc178173287" w:history="1">
            <w:r w:rsidR="00716FEC" w:rsidRPr="00564944">
              <w:rPr>
                <w:rStyle w:val="Hyperlink"/>
                <w:noProof/>
              </w:rPr>
              <w:t>SOLICITOR/CLIENT APPLICATIONS – LEGAL PROFESSION LEGISLATION MATTERS</w:t>
            </w:r>
            <w:r w:rsidR="00716FEC">
              <w:rPr>
                <w:noProof/>
                <w:webHidden/>
              </w:rPr>
              <w:tab/>
            </w:r>
            <w:r w:rsidR="00716FEC">
              <w:rPr>
                <w:noProof/>
                <w:webHidden/>
              </w:rPr>
              <w:fldChar w:fldCharType="begin"/>
            </w:r>
            <w:r w:rsidR="00716FEC">
              <w:rPr>
                <w:noProof/>
                <w:webHidden/>
              </w:rPr>
              <w:instrText xml:space="preserve"> PAGEREF _Toc178173287 \h </w:instrText>
            </w:r>
            <w:r w:rsidR="00716FEC">
              <w:rPr>
                <w:noProof/>
                <w:webHidden/>
              </w:rPr>
            </w:r>
            <w:r w:rsidR="00716FEC">
              <w:rPr>
                <w:noProof/>
                <w:webHidden/>
              </w:rPr>
              <w:fldChar w:fldCharType="separate"/>
            </w:r>
            <w:r w:rsidR="00716FEC">
              <w:rPr>
                <w:noProof/>
                <w:webHidden/>
              </w:rPr>
              <w:t>18</w:t>
            </w:r>
            <w:r w:rsidR="00716FEC">
              <w:rPr>
                <w:noProof/>
                <w:webHidden/>
              </w:rPr>
              <w:fldChar w:fldCharType="end"/>
            </w:r>
          </w:hyperlink>
        </w:p>
        <w:p w14:paraId="09F18FEF" w14:textId="5677EA57" w:rsidR="00716FEC" w:rsidRDefault="00FD256F">
          <w:pPr>
            <w:pStyle w:val="TOC3"/>
            <w:rPr>
              <w:rFonts w:asciiTheme="minorHAnsi" w:eastAsiaTheme="minorEastAsia" w:hAnsiTheme="minorHAnsi" w:cstheme="minorBidi"/>
              <w:kern w:val="2"/>
              <w14:ligatures w14:val="standardContextual"/>
            </w:rPr>
          </w:pPr>
          <w:hyperlink w:anchor="_Toc178173288" w:history="1">
            <w:r w:rsidR="00716FEC" w:rsidRPr="00564944">
              <w:rPr>
                <w:rStyle w:val="Hyperlink"/>
              </w:rPr>
              <w:t>The summons for taxation</w:t>
            </w:r>
            <w:r w:rsidR="00716FEC">
              <w:rPr>
                <w:webHidden/>
              </w:rPr>
              <w:tab/>
            </w:r>
            <w:r w:rsidR="00716FEC">
              <w:rPr>
                <w:webHidden/>
              </w:rPr>
              <w:fldChar w:fldCharType="begin"/>
            </w:r>
            <w:r w:rsidR="00716FEC">
              <w:rPr>
                <w:webHidden/>
              </w:rPr>
              <w:instrText xml:space="preserve"> PAGEREF _Toc178173288 \h </w:instrText>
            </w:r>
            <w:r w:rsidR="00716FEC">
              <w:rPr>
                <w:webHidden/>
              </w:rPr>
            </w:r>
            <w:r w:rsidR="00716FEC">
              <w:rPr>
                <w:webHidden/>
              </w:rPr>
              <w:fldChar w:fldCharType="separate"/>
            </w:r>
            <w:r w:rsidR="00716FEC">
              <w:rPr>
                <w:webHidden/>
              </w:rPr>
              <w:t>18</w:t>
            </w:r>
            <w:r w:rsidR="00716FEC">
              <w:rPr>
                <w:webHidden/>
              </w:rPr>
              <w:fldChar w:fldCharType="end"/>
            </w:r>
          </w:hyperlink>
        </w:p>
        <w:p w14:paraId="132B689E" w14:textId="49774297" w:rsidR="00716FEC" w:rsidRDefault="00FD256F">
          <w:pPr>
            <w:pStyle w:val="TOC3"/>
            <w:rPr>
              <w:rFonts w:asciiTheme="minorHAnsi" w:eastAsiaTheme="minorEastAsia" w:hAnsiTheme="minorHAnsi" w:cstheme="minorBidi"/>
              <w:kern w:val="2"/>
              <w14:ligatures w14:val="standardContextual"/>
            </w:rPr>
          </w:pPr>
          <w:hyperlink w:anchor="_Toc178173289" w:history="1">
            <w:r w:rsidR="00716FEC" w:rsidRPr="00564944">
              <w:rPr>
                <w:rStyle w:val="Hyperlink"/>
              </w:rPr>
              <w:t>Directions hearings</w:t>
            </w:r>
            <w:r w:rsidR="00716FEC">
              <w:rPr>
                <w:webHidden/>
              </w:rPr>
              <w:tab/>
            </w:r>
            <w:r w:rsidR="00716FEC">
              <w:rPr>
                <w:webHidden/>
              </w:rPr>
              <w:fldChar w:fldCharType="begin"/>
            </w:r>
            <w:r w:rsidR="00716FEC">
              <w:rPr>
                <w:webHidden/>
              </w:rPr>
              <w:instrText xml:space="preserve"> PAGEREF _Toc178173289 \h </w:instrText>
            </w:r>
            <w:r w:rsidR="00716FEC">
              <w:rPr>
                <w:webHidden/>
              </w:rPr>
            </w:r>
            <w:r w:rsidR="00716FEC">
              <w:rPr>
                <w:webHidden/>
              </w:rPr>
              <w:fldChar w:fldCharType="separate"/>
            </w:r>
            <w:r w:rsidR="00716FEC">
              <w:rPr>
                <w:webHidden/>
              </w:rPr>
              <w:t>18</w:t>
            </w:r>
            <w:r w:rsidR="00716FEC">
              <w:rPr>
                <w:webHidden/>
              </w:rPr>
              <w:fldChar w:fldCharType="end"/>
            </w:r>
          </w:hyperlink>
        </w:p>
        <w:p w14:paraId="03592FFF" w14:textId="0969AB9A" w:rsidR="00716FEC" w:rsidRDefault="00FD256F">
          <w:pPr>
            <w:pStyle w:val="TOC3"/>
            <w:rPr>
              <w:rFonts w:asciiTheme="minorHAnsi" w:eastAsiaTheme="minorEastAsia" w:hAnsiTheme="minorHAnsi" w:cstheme="minorBidi"/>
              <w:kern w:val="2"/>
              <w14:ligatures w14:val="standardContextual"/>
            </w:rPr>
          </w:pPr>
          <w:hyperlink w:anchor="_Toc178173290" w:history="1">
            <w:r w:rsidR="00716FEC" w:rsidRPr="00564944">
              <w:rPr>
                <w:rStyle w:val="Hyperlink"/>
              </w:rPr>
              <w:t>Mediation</w:t>
            </w:r>
            <w:r w:rsidR="00716FEC">
              <w:rPr>
                <w:webHidden/>
              </w:rPr>
              <w:tab/>
            </w:r>
            <w:r w:rsidR="00716FEC">
              <w:rPr>
                <w:webHidden/>
              </w:rPr>
              <w:fldChar w:fldCharType="begin"/>
            </w:r>
            <w:r w:rsidR="00716FEC">
              <w:rPr>
                <w:webHidden/>
              </w:rPr>
              <w:instrText xml:space="preserve"> PAGEREF _Toc178173290 \h </w:instrText>
            </w:r>
            <w:r w:rsidR="00716FEC">
              <w:rPr>
                <w:webHidden/>
              </w:rPr>
            </w:r>
            <w:r w:rsidR="00716FEC">
              <w:rPr>
                <w:webHidden/>
              </w:rPr>
              <w:fldChar w:fldCharType="separate"/>
            </w:r>
            <w:r w:rsidR="00716FEC">
              <w:rPr>
                <w:webHidden/>
              </w:rPr>
              <w:t>19</w:t>
            </w:r>
            <w:r w:rsidR="00716FEC">
              <w:rPr>
                <w:webHidden/>
              </w:rPr>
              <w:fldChar w:fldCharType="end"/>
            </w:r>
          </w:hyperlink>
        </w:p>
        <w:p w14:paraId="0F92FEC4" w14:textId="4DCF4777" w:rsidR="00716FEC" w:rsidRDefault="00FD256F">
          <w:pPr>
            <w:pStyle w:val="TOC3"/>
            <w:rPr>
              <w:rFonts w:asciiTheme="minorHAnsi" w:eastAsiaTheme="minorEastAsia" w:hAnsiTheme="minorHAnsi" w:cstheme="minorBidi"/>
              <w:kern w:val="2"/>
              <w14:ligatures w14:val="standardContextual"/>
            </w:rPr>
          </w:pPr>
          <w:hyperlink w:anchor="_Toc178173291" w:history="1">
            <w:r w:rsidR="00716FEC" w:rsidRPr="00564944">
              <w:rPr>
                <w:rStyle w:val="Hyperlink"/>
              </w:rPr>
              <w:t>Assessment in chambers</w:t>
            </w:r>
            <w:r w:rsidR="00716FEC">
              <w:rPr>
                <w:webHidden/>
              </w:rPr>
              <w:tab/>
            </w:r>
            <w:r w:rsidR="00716FEC">
              <w:rPr>
                <w:webHidden/>
              </w:rPr>
              <w:fldChar w:fldCharType="begin"/>
            </w:r>
            <w:r w:rsidR="00716FEC">
              <w:rPr>
                <w:webHidden/>
              </w:rPr>
              <w:instrText xml:space="preserve"> PAGEREF _Toc178173291 \h </w:instrText>
            </w:r>
            <w:r w:rsidR="00716FEC">
              <w:rPr>
                <w:webHidden/>
              </w:rPr>
            </w:r>
            <w:r w:rsidR="00716FEC">
              <w:rPr>
                <w:webHidden/>
              </w:rPr>
              <w:fldChar w:fldCharType="separate"/>
            </w:r>
            <w:r w:rsidR="00716FEC">
              <w:rPr>
                <w:webHidden/>
              </w:rPr>
              <w:t>19</w:t>
            </w:r>
            <w:r w:rsidR="00716FEC">
              <w:rPr>
                <w:webHidden/>
              </w:rPr>
              <w:fldChar w:fldCharType="end"/>
            </w:r>
          </w:hyperlink>
        </w:p>
        <w:p w14:paraId="1544505D" w14:textId="5B6CBCF2" w:rsidR="00716FEC" w:rsidRDefault="00FD256F">
          <w:pPr>
            <w:pStyle w:val="TOC3"/>
            <w:rPr>
              <w:rFonts w:asciiTheme="minorHAnsi" w:eastAsiaTheme="minorEastAsia" w:hAnsiTheme="minorHAnsi" w:cstheme="minorBidi"/>
              <w:kern w:val="2"/>
              <w14:ligatures w14:val="standardContextual"/>
            </w:rPr>
          </w:pPr>
          <w:hyperlink w:anchor="_Toc178173292" w:history="1">
            <w:r w:rsidR="00716FEC" w:rsidRPr="00564944">
              <w:rPr>
                <w:rStyle w:val="Hyperlink"/>
              </w:rPr>
              <w:t>Taxation hearing</w:t>
            </w:r>
            <w:r w:rsidR="00716FEC">
              <w:rPr>
                <w:webHidden/>
              </w:rPr>
              <w:tab/>
            </w:r>
            <w:r w:rsidR="00716FEC">
              <w:rPr>
                <w:webHidden/>
              </w:rPr>
              <w:fldChar w:fldCharType="begin"/>
            </w:r>
            <w:r w:rsidR="00716FEC">
              <w:rPr>
                <w:webHidden/>
              </w:rPr>
              <w:instrText xml:space="preserve"> PAGEREF _Toc178173292 \h </w:instrText>
            </w:r>
            <w:r w:rsidR="00716FEC">
              <w:rPr>
                <w:webHidden/>
              </w:rPr>
            </w:r>
            <w:r w:rsidR="00716FEC">
              <w:rPr>
                <w:webHidden/>
              </w:rPr>
              <w:fldChar w:fldCharType="separate"/>
            </w:r>
            <w:r w:rsidR="00716FEC">
              <w:rPr>
                <w:webHidden/>
              </w:rPr>
              <w:t>19</w:t>
            </w:r>
            <w:r w:rsidR="00716FEC">
              <w:rPr>
                <w:webHidden/>
              </w:rPr>
              <w:fldChar w:fldCharType="end"/>
            </w:r>
          </w:hyperlink>
        </w:p>
        <w:p w14:paraId="78CBCB3C" w14:textId="7C3F3B22" w:rsidR="00716FEC" w:rsidRDefault="00FD256F">
          <w:pPr>
            <w:pStyle w:val="TOC3"/>
            <w:rPr>
              <w:rFonts w:asciiTheme="minorHAnsi" w:eastAsiaTheme="minorEastAsia" w:hAnsiTheme="minorHAnsi" w:cstheme="minorBidi"/>
              <w:kern w:val="2"/>
              <w14:ligatures w14:val="standardContextual"/>
            </w:rPr>
          </w:pPr>
          <w:hyperlink w:anchor="_Toc178173293" w:history="1">
            <w:r w:rsidR="00716FEC" w:rsidRPr="00564944">
              <w:rPr>
                <w:rStyle w:val="Hyperlink"/>
              </w:rPr>
              <w:t>Self-represented litigants</w:t>
            </w:r>
            <w:r w:rsidR="00716FEC">
              <w:rPr>
                <w:webHidden/>
              </w:rPr>
              <w:tab/>
            </w:r>
            <w:r w:rsidR="00716FEC">
              <w:rPr>
                <w:webHidden/>
              </w:rPr>
              <w:fldChar w:fldCharType="begin"/>
            </w:r>
            <w:r w:rsidR="00716FEC">
              <w:rPr>
                <w:webHidden/>
              </w:rPr>
              <w:instrText xml:space="preserve"> PAGEREF _Toc178173293 \h </w:instrText>
            </w:r>
            <w:r w:rsidR="00716FEC">
              <w:rPr>
                <w:webHidden/>
              </w:rPr>
            </w:r>
            <w:r w:rsidR="00716FEC">
              <w:rPr>
                <w:webHidden/>
              </w:rPr>
              <w:fldChar w:fldCharType="separate"/>
            </w:r>
            <w:r w:rsidR="00716FEC">
              <w:rPr>
                <w:webHidden/>
              </w:rPr>
              <w:t>20</w:t>
            </w:r>
            <w:r w:rsidR="00716FEC">
              <w:rPr>
                <w:webHidden/>
              </w:rPr>
              <w:fldChar w:fldCharType="end"/>
            </w:r>
          </w:hyperlink>
        </w:p>
        <w:p w14:paraId="3D40B9A1" w14:textId="0D625F18" w:rsidR="00716FEC" w:rsidRDefault="00FD256F">
          <w:pPr>
            <w:pStyle w:val="TOC1"/>
            <w:rPr>
              <w:rFonts w:asciiTheme="minorHAnsi" w:eastAsiaTheme="minorEastAsia" w:hAnsiTheme="minorHAnsi" w:cstheme="minorBidi"/>
              <w:noProof/>
              <w:kern w:val="2"/>
              <w14:ligatures w14:val="standardContextual"/>
            </w:rPr>
          </w:pPr>
          <w:hyperlink w:anchor="_Toc178173294" w:history="1">
            <w:r w:rsidR="00716FEC" w:rsidRPr="00564944">
              <w:rPr>
                <w:rStyle w:val="Hyperlink"/>
                <w:noProof/>
              </w:rPr>
              <w:t>APPLICATIONS FOR REVIEW OR RECONSIDERATION OF COSTS DETERMINATIONS</w:t>
            </w:r>
            <w:r w:rsidR="00716FEC">
              <w:rPr>
                <w:noProof/>
                <w:webHidden/>
              </w:rPr>
              <w:tab/>
            </w:r>
            <w:r w:rsidR="00716FEC">
              <w:rPr>
                <w:noProof/>
                <w:webHidden/>
              </w:rPr>
              <w:fldChar w:fldCharType="begin"/>
            </w:r>
            <w:r w:rsidR="00716FEC">
              <w:rPr>
                <w:noProof/>
                <w:webHidden/>
              </w:rPr>
              <w:instrText xml:space="preserve"> PAGEREF _Toc178173294 \h </w:instrText>
            </w:r>
            <w:r w:rsidR="00716FEC">
              <w:rPr>
                <w:noProof/>
                <w:webHidden/>
              </w:rPr>
            </w:r>
            <w:r w:rsidR="00716FEC">
              <w:rPr>
                <w:noProof/>
                <w:webHidden/>
              </w:rPr>
              <w:fldChar w:fldCharType="separate"/>
            </w:r>
            <w:r w:rsidR="00716FEC">
              <w:rPr>
                <w:noProof/>
                <w:webHidden/>
              </w:rPr>
              <w:t>20</w:t>
            </w:r>
            <w:r w:rsidR="00716FEC">
              <w:rPr>
                <w:noProof/>
                <w:webHidden/>
              </w:rPr>
              <w:fldChar w:fldCharType="end"/>
            </w:r>
          </w:hyperlink>
        </w:p>
        <w:p w14:paraId="771E20A3" w14:textId="06DE560A" w:rsidR="00716FEC" w:rsidRDefault="00FD256F">
          <w:pPr>
            <w:pStyle w:val="TOC1"/>
            <w:rPr>
              <w:rFonts w:asciiTheme="minorHAnsi" w:eastAsiaTheme="minorEastAsia" w:hAnsiTheme="minorHAnsi" w:cstheme="minorBidi"/>
              <w:noProof/>
              <w:kern w:val="2"/>
              <w14:ligatures w14:val="standardContextual"/>
            </w:rPr>
          </w:pPr>
          <w:hyperlink w:anchor="_Toc178173295" w:history="1">
            <w:r w:rsidR="00716FEC" w:rsidRPr="00564944">
              <w:rPr>
                <w:rStyle w:val="Hyperlink"/>
                <w:noProof/>
              </w:rPr>
              <w:t xml:space="preserve">APPLICATIONS BY A LAW PRACTICE FOR COSTS PURSUANT TO s 134AB(31) OF THE </w:t>
            </w:r>
            <w:r w:rsidR="00716FEC" w:rsidRPr="00564944">
              <w:rPr>
                <w:rStyle w:val="Hyperlink"/>
                <w:i/>
                <w:noProof/>
              </w:rPr>
              <w:t>ACCIDENT COMPENSATION ACT 1985</w:t>
            </w:r>
            <w:r w:rsidR="00716FEC" w:rsidRPr="00564944">
              <w:rPr>
                <w:rStyle w:val="Hyperlink"/>
                <w:noProof/>
              </w:rPr>
              <w:t xml:space="preserve"> OR s 344(7) OF THE </w:t>
            </w:r>
            <w:r w:rsidR="00716FEC" w:rsidRPr="00564944">
              <w:rPr>
                <w:rStyle w:val="Hyperlink"/>
                <w:i/>
                <w:noProof/>
              </w:rPr>
              <w:t xml:space="preserve">WORKPLACE INJURY REHABILITATION AND COMPENSATION ACT 2013 </w:t>
            </w:r>
            <w:r w:rsidR="00716FEC" w:rsidRPr="00564944">
              <w:rPr>
                <w:rStyle w:val="Hyperlink"/>
                <w:noProof/>
              </w:rPr>
              <w:t>FOLLOWING RESOLUTION OR JUDGMENT IN A DAMAGES PROCEEDING</w:t>
            </w:r>
            <w:r w:rsidR="00716FEC">
              <w:rPr>
                <w:noProof/>
                <w:webHidden/>
              </w:rPr>
              <w:tab/>
            </w:r>
            <w:r w:rsidR="00716FEC">
              <w:rPr>
                <w:noProof/>
                <w:webHidden/>
              </w:rPr>
              <w:fldChar w:fldCharType="begin"/>
            </w:r>
            <w:r w:rsidR="00716FEC">
              <w:rPr>
                <w:noProof/>
                <w:webHidden/>
              </w:rPr>
              <w:instrText xml:space="preserve"> PAGEREF _Toc178173295 \h </w:instrText>
            </w:r>
            <w:r w:rsidR="00716FEC">
              <w:rPr>
                <w:noProof/>
                <w:webHidden/>
              </w:rPr>
            </w:r>
            <w:r w:rsidR="00716FEC">
              <w:rPr>
                <w:noProof/>
                <w:webHidden/>
              </w:rPr>
              <w:fldChar w:fldCharType="separate"/>
            </w:r>
            <w:r w:rsidR="00716FEC">
              <w:rPr>
                <w:noProof/>
                <w:webHidden/>
              </w:rPr>
              <w:t>20</w:t>
            </w:r>
            <w:r w:rsidR="00716FEC">
              <w:rPr>
                <w:noProof/>
                <w:webHidden/>
              </w:rPr>
              <w:fldChar w:fldCharType="end"/>
            </w:r>
          </w:hyperlink>
        </w:p>
        <w:p w14:paraId="59D71489" w14:textId="170BA756" w:rsidR="00716FEC" w:rsidRDefault="00FD256F">
          <w:pPr>
            <w:pStyle w:val="TOC1"/>
            <w:rPr>
              <w:rFonts w:asciiTheme="minorHAnsi" w:eastAsiaTheme="minorEastAsia" w:hAnsiTheme="minorHAnsi" w:cstheme="minorBidi"/>
              <w:noProof/>
              <w:kern w:val="2"/>
              <w14:ligatures w14:val="standardContextual"/>
            </w:rPr>
          </w:pPr>
          <w:hyperlink w:anchor="_Toc178173296" w:history="1">
            <w:r w:rsidR="00716FEC" w:rsidRPr="00564944">
              <w:rPr>
                <w:rStyle w:val="Hyperlink"/>
                <w:noProof/>
              </w:rPr>
              <w:t>APPEARANCES BY PERSONS WITHOUT AN ENTITLEMENT TO APPEAR IN THE COSTS COURT</w:t>
            </w:r>
            <w:r w:rsidR="00716FEC">
              <w:rPr>
                <w:noProof/>
                <w:webHidden/>
              </w:rPr>
              <w:tab/>
            </w:r>
            <w:r w:rsidR="00716FEC">
              <w:rPr>
                <w:noProof/>
                <w:webHidden/>
              </w:rPr>
              <w:fldChar w:fldCharType="begin"/>
            </w:r>
            <w:r w:rsidR="00716FEC">
              <w:rPr>
                <w:noProof/>
                <w:webHidden/>
              </w:rPr>
              <w:instrText xml:space="preserve"> PAGEREF _Toc178173296 \h </w:instrText>
            </w:r>
            <w:r w:rsidR="00716FEC">
              <w:rPr>
                <w:noProof/>
                <w:webHidden/>
              </w:rPr>
            </w:r>
            <w:r w:rsidR="00716FEC">
              <w:rPr>
                <w:noProof/>
                <w:webHidden/>
              </w:rPr>
              <w:fldChar w:fldCharType="separate"/>
            </w:r>
            <w:r w:rsidR="00716FEC">
              <w:rPr>
                <w:noProof/>
                <w:webHidden/>
              </w:rPr>
              <w:t>22</w:t>
            </w:r>
            <w:r w:rsidR="00716FEC">
              <w:rPr>
                <w:noProof/>
                <w:webHidden/>
              </w:rPr>
              <w:fldChar w:fldCharType="end"/>
            </w:r>
          </w:hyperlink>
        </w:p>
        <w:p w14:paraId="2B3BA769" w14:textId="4A9556BA" w:rsidR="00716FEC" w:rsidRDefault="00FD256F">
          <w:pPr>
            <w:pStyle w:val="TOC1"/>
            <w:rPr>
              <w:rFonts w:asciiTheme="minorHAnsi" w:eastAsiaTheme="minorEastAsia" w:hAnsiTheme="minorHAnsi" w:cstheme="minorBidi"/>
              <w:noProof/>
              <w:kern w:val="2"/>
              <w14:ligatures w14:val="standardContextual"/>
            </w:rPr>
          </w:pPr>
          <w:hyperlink w:anchor="_Toc178173297" w:history="1">
            <w:r w:rsidR="00716FEC" w:rsidRPr="00564944">
              <w:rPr>
                <w:rStyle w:val="Hyperlink"/>
                <w:noProof/>
              </w:rPr>
              <w:t>POINTS OF CONTACT</w:t>
            </w:r>
            <w:r w:rsidR="00716FEC">
              <w:rPr>
                <w:noProof/>
                <w:webHidden/>
              </w:rPr>
              <w:tab/>
            </w:r>
            <w:r w:rsidR="00716FEC">
              <w:rPr>
                <w:noProof/>
                <w:webHidden/>
              </w:rPr>
              <w:fldChar w:fldCharType="begin"/>
            </w:r>
            <w:r w:rsidR="00716FEC">
              <w:rPr>
                <w:noProof/>
                <w:webHidden/>
              </w:rPr>
              <w:instrText xml:space="preserve"> PAGEREF _Toc178173297 \h </w:instrText>
            </w:r>
            <w:r w:rsidR="00716FEC">
              <w:rPr>
                <w:noProof/>
                <w:webHidden/>
              </w:rPr>
            </w:r>
            <w:r w:rsidR="00716FEC">
              <w:rPr>
                <w:noProof/>
                <w:webHidden/>
              </w:rPr>
              <w:fldChar w:fldCharType="separate"/>
            </w:r>
            <w:r w:rsidR="00716FEC">
              <w:rPr>
                <w:noProof/>
                <w:webHidden/>
              </w:rPr>
              <w:t>23</w:t>
            </w:r>
            <w:r w:rsidR="00716FEC">
              <w:rPr>
                <w:noProof/>
                <w:webHidden/>
              </w:rPr>
              <w:fldChar w:fldCharType="end"/>
            </w:r>
          </w:hyperlink>
        </w:p>
        <w:p w14:paraId="2A92203E" w14:textId="78E76023" w:rsidR="00716FEC" w:rsidRDefault="00FD256F">
          <w:pPr>
            <w:pStyle w:val="TOC1"/>
            <w:rPr>
              <w:rFonts w:asciiTheme="minorHAnsi" w:eastAsiaTheme="minorEastAsia" w:hAnsiTheme="minorHAnsi" w:cstheme="minorBidi"/>
              <w:noProof/>
              <w:kern w:val="2"/>
              <w14:ligatures w14:val="standardContextual"/>
            </w:rPr>
          </w:pPr>
          <w:hyperlink w:anchor="_Toc178173298" w:history="1">
            <w:r w:rsidR="00716FEC" w:rsidRPr="00564944">
              <w:rPr>
                <w:rStyle w:val="Hyperlink"/>
                <w:noProof/>
              </w:rPr>
              <w:t>Annexure A</w:t>
            </w:r>
            <w:r w:rsidR="00716FEC">
              <w:rPr>
                <w:noProof/>
                <w:webHidden/>
              </w:rPr>
              <w:tab/>
            </w:r>
            <w:r w:rsidR="00716FEC">
              <w:rPr>
                <w:noProof/>
                <w:webHidden/>
              </w:rPr>
              <w:fldChar w:fldCharType="begin"/>
            </w:r>
            <w:r w:rsidR="00716FEC">
              <w:rPr>
                <w:noProof/>
                <w:webHidden/>
              </w:rPr>
              <w:instrText xml:space="preserve"> PAGEREF _Toc178173298 \h </w:instrText>
            </w:r>
            <w:r w:rsidR="00716FEC">
              <w:rPr>
                <w:noProof/>
                <w:webHidden/>
              </w:rPr>
            </w:r>
            <w:r w:rsidR="00716FEC">
              <w:rPr>
                <w:noProof/>
                <w:webHidden/>
              </w:rPr>
              <w:fldChar w:fldCharType="separate"/>
            </w:r>
            <w:r w:rsidR="00716FEC">
              <w:rPr>
                <w:noProof/>
                <w:webHidden/>
              </w:rPr>
              <w:t>25</w:t>
            </w:r>
            <w:r w:rsidR="00716FEC">
              <w:rPr>
                <w:noProof/>
                <w:webHidden/>
              </w:rPr>
              <w:fldChar w:fldCharType="end"/>
            </w:r>
          </w:hyperlink>
        </w:p>
        <w:p w14:paraId="42EBADBC" w14:textId="420FF120" w:rsidR="00716FEC" w:rsidRDefault="00FD256F">
          <w:pPr>
            <w:pStyle w:val="TOC1"/>
            <w:rPr>
              <w:rFonts w:asciiTheme="minorHAnsi" w:eastAsiaTheme="minorEastAsia" w:hAnsiTheme="minorHAnsi" w:cstheme="minorBidi"/>
              <w:noProof/>
              <w:kern w:val="2"/>
              <w14:ligatures w14:val="standardContextual"/>
            </w:rPr>
          </w:pPr>
          <w:hyperlink w:anchor="_Toc178173299" w:history="1">
            <w:r w:rsidR="00716FEC" w:rsidRPr="00564944">
              <w:rPr>
                <w:rStyle w:val="Hyperlink"/>
                <w:noProof/>
              </w:rPr>
              <w:t>COSTS COURT – Party Party Taxation Information Form</w:t>
            </w:r>
            <w:r w:rsidR="00716FEC">
              <w:rPr>
                <w:noProof/>
                <w:webHidden/>
              </w:rPr>
              <w:tab/>
            </w:r>
            <w:r w:rsidR="00716FEC">
              <w:rPr>
                <w:noProof/>
                <w:webHidden/>
              </w:rPr>
              <w:fldChar w:fldCharType="begin"/>
            </w:r>
            <w:r w:rsidR="00716FEC">
              <w:rPr>
                <w:noProof/>
                <w:webHidden/>
              </w:rPr>
              <w:instrText xml:space="preserve"> PAGEREF _Toc178173299 \h </w:instrText>
            </w:r>
            <w:r w:rsidR="00716FEC">
              <w:rPr>
                <w:noProof/>
                <w:webHidden/>
              </w:rPr>
            </w:r>
            <w:r w:rsidR="00716FEC">
              <w:rPr>
                <w:noProof/>
                <w:webHidden/>
              </w:rPr>
              <w:fldChar w:fldCharType="separate"/>
            </w:r>
            <w:r w:rsidR="00716FEC">
              <w:rPr>
                <w:noProof/>
                <w:webHidden/>
              </w:rPr>
              <w:t>25</w:t>
            </w:r>
            <w:r w:rsidR="00716FEC">
              <w:rPr>
                <w:noProof/>
                <w:webHidden/>
              </w:rPr>
              <w:fldChar w:fldCharType="end"/>
            </w:r>
          </w:hyperlink>
        </w:p>
        <w:p w14:paraId="6674DC83" w14:textId="7F1474A7" w:rsidR="00716FEC" w:rsidRDefault="00FD256F">
          <w:pPr>
            <w:pStyle w:val="TOC1"/>
            <w:rPr>
              <w:rFonts w:asciiTheme="minorHAnsi" w:eastAsiaTheme="minorEastAsia" w:hAnsiTheme="minorHAnsi" w:cstheme="minorBidi"/>
              <w:noProof/>
              <w:kern w:val="2"/>
              <w14:ligatures w14:val="standardContextual"/>
            </w:rPr>
          </w:pPr>
          <w:hyperlink w:anchor="_Toc178173300" w:history="1">
            <w:r w:rsidR="00716FEC" w:rsidRPr="00564944">
              <w:rPr>
                <w:rStyle w:val="Hyperlink"/>
                <w:noProof/>
              </w:rPr>
              <w:t>Annexure B</w:t>
            </w:r>
            <w:r w:rsidR="00716FEC">
              <w:rPr>
                <w:noProof/>
                <w:webHidden/>
              </w:rPr>
              <w:tab/>
            </w:r>
            <w:r w:rsidR="00716FEC">
              <w:rPr>
                <w:noProof/>
                <w:webHidden/>
              </w:rPr>
              <w:fldChar w:fldCharType="begin"/>
            </w:r>
            <w:r w:rsidR="00716FEC">
              <w:rPr>
                <w:noProof/>
                <w:webHidden/>
              </w:rPr>
              <w:instrText xml:space="preserve"> PAGEREF _Toc178173300 \h </w:instrText>
            </w:r>
            <w:r w:rsidR="00716FEC">
              <w:rPr>
                <w:noProof/>
                <w:webHidden/>
              </w:rPr>
            </w:r>
            <w:r w:rsidR="00716FEC">
              <w:rPr>
                <w:noProof/>
                <w:webHidden/>
              </w:rPr>
              <w:fldChar w:fldCharType="separate"/>
            </w:r>
            <w:r w:rsidR="00716FEC">
              <w:rPr>
                <w:noProof/>
                <w:webHidden/>
              </w:rPr>
              <w:t>27</w:t>
            </w:r>
            <w:r w:rsidR="00716FEC">
              <w:rPr>
                <w:noProof/>
                <w:webHidden/>
              </w:rPr>
              <w:fldChar w:fldCharType="end"/>
            </w:r>
          </w:hyperlink>
        </w:p>
        <w:p w14:paraId="2C3C77EA" w14:textId="15726ECE" w:rsidR="00716FEC" w:rsidRDefault="00FD256F">
          <w:pPr>
            <w:pStyle w:val="TOC1"/>
            <w:rPr>
              <w:rFonts w:asciiTheme="minorHAnsi" w:eastAsiaTheme="minorEastAsia" w:hAnsiTheme="minorHAnsi" w:cstheme="minorBidi"/>
              <w:noProof/>
              <w:kern w:val="2"/>
              <w14:ligatures w14:val="standardContextual"/>
            </w:rPr>
          </w:pPr>
          <w:hyperlink w:anchor="_Toc178173301" w:history="1">
            <w:r w:rsidR="00716FEC" w:rsidRPr="00564944">
              <w:rPr>
                <w:rStyle w:val="Hyperlink"/>
                <w:noProof/>
              </w:rPr>
              <w:t>COSTS COURT – Gross Sum Information Form</w:t>
            </w:r>
            <w:r w:rsidR="00716FEC">
              <w:rPr>
                <w:noProof/>
                <w:webHidden/>
              </w:rPr>
              <w:tab/>
            </w:r>
            <w:r w:rsidR="00716FEC">
              <w:rPr>
                <w:noProof/>
                <w:webHidden/>
              </w:rPr>
              <w:fldChar w:fldCharType="begin"/>
            </w:r>
            <w:r w:rsidR="00716FEC">
              <w:rPr>
                <w:noProof/>
                <w:webHidden/>
              </w:rPr>
              <w:instrText xml:space="preserve"> PAGEREF _Toc178173301 \h </w:instrText>
            </w:r>
            <w:r w:rsidR="00716FEC">
              <w:rPr>
                <w:noProof/>
                <w:webHidden/>
              </w:rPr>
            </w:r>
            <w:r w:rsidR="00716FEC">
              <w:rPr>
                <w:noProof/>
                <w:webHidden/>
              </w:rPr>
              <w:fldChar w:fldCharType="separate"/>
            </w:r>
            <w:r w:rsidR="00716FEC">
              <w:rPr>
                <w:noProof/>
                <w:webHidden/>
              </w:rPr>
              <w:t>27</w:t>
            </w:r>
            <w:r w:rsidR="00716FEC">
              <w:rPr>
                <w:noProof/>
                <w:webHidden/>
              </w:rPr>
              <w:fldChar w:fldCharType="end"/>
            </w:r>
          </w:hyperlink>
        </w:p>
        <w:p w14:paraId="26D11C2F" w14:textId="55234FD3" w:rsidR="00716FEC" w:rsidRDefault="00FD256F">
          <w:pPr>
            <w:pStyle w:val="TOC1"/>
            <w:rPr>
              <w:rFonts w:asciiTheme="minorHAnsi" w:eastAsiaTheme="minorEastAsia" w:hAnsiTheme="minorHAnsi" w:cstheme="minorBidi"/>
              <w:noProof/>
              <w:kern w:val="2"/>
              <w14:ligatures w14:val="standardContextual"/>
            </w:rPr>
          </w:pPr>
          <w:hyperlink w:anchor="_Toc178173302" w:history="1">
            <w:r w:rsidR="00716FEC" w:rsidRPr="00564944">
              <w:rPr>
                <w:rStyle w:val="Hyperlink"/>
                <w:noProof/>
              </w:rPr>
              <w:t>Annexure C</w:t>
            </w:r>
            <w:r w:rsidR="00716FEC">
              <w:rPr>
                <w:noProof/>
                <w:webHidden/>
              </w:rPr>
              <w:tab/>
            </w:r>
            <w:r w:rsidR="00716FEC">
              <w:rPr>
                <w:noProof/>
                <w:webHidden/>
              </w:rPr>
              <w:fldChar w:fldCharType="begin"/>
            </w:r>
            <w:r w:rsidR="00716FEC">
              <w:rPr>
                <w:noProof/>
                <w:webHidden/>
              </w:rPr>
              <w:instrText xml:space="preserve"> PAGEREF _Toc178173302 \h </w:instrText>
            </w:r>
            <w:r w:rsidR="00716FEC">
              <w:rPr>
                <w:noProof/>
                <w:webHidden/>
              </w:rPr>
            </w:r>
            <w:r w:rsidR="00716FEC">
              <w:rPr>
                <w:noProof/>
                <w:webHidden/>
              </w:rPr>
              <w:fldChar w:fldCharType="separate"/>
            </w:r>
            <w:r w:rsidR="00716FEC">
              <w:rPr>
                <w:noProof/>
                <w:webHidden/>
              </w:rPr>
              <w:t>28</w:t>
            </w:r>
            <w:r w:rsidR="00716FEC">
              <w:rPr>
                <w:noProof/>
                <w:webHidden/>
              </w:rPr>
              <w:fldChar w:fldCharType="end"/>
            </w:r>
          </w:hyperlink>
        </w:p>
        <w:p w14:paraId="1A9D033E" w14:textId="3F32F830" w:rsidR="007F2379" w:rsidRPr="00682A5E" w:rsidRDefault="00682A5E" w:rsidP="00682A5E">
          <w:pPr>
            <w:rPr>
              <w:b/>
              <w:bCs/>
              <w:noProof/>
            </w:rPr>
          </w:pPr>
          <w:r>
            <w:rPr>
              <w:b/>
              <w:bCs/>
              <w:noProof/>
            </w:rPr>
            <w:fldChar w:fldCharType="end"/>
          </w:r>
        </w:p>
      </w:sdtContent>
    </w:sdt>
    <w:p w14:paraId="46D98EEE" w14:textId="77777777" w:rsidR="00BC5D78" w:rsidRDefault="00BC5D78">
      <w:pPr>
        <w:sectPr w:rsidR="00BC5D78" w:rsidSect="003817CD">
          <w:footerReference w:type="default" r:id="rId14"/>
          <w:pgSz w:w="11906" w:h="16838"/>
          <w:pgMar w:top="1440" w:right="1440" w:bottom="1440" w:left="1440" w:header="708" w:footer="708" w:gutter="0"/>
          <w:cols w:space="708"/>
          <w:docGrid w:linePitch="360"/>
        </w:sectPr>
      </w:pPr>
    </w:p>
    <w:p w14:paraId="67C116EC" w14:textId="72356C4B" w:rsidR="008515EE" w:rsidRPr="00EB2FBE" w:rsidRDefault="00C02583" w:rsidP="001974BC">
      <w:pPr>
        <w:pStyle w:val="Heading1"/>
      </w:pPr>
      <w:bookmarkStart w:id="0" w:name="_Toc178173270"/>
      <w:r w:rsidRPr="00EB2FBE">
        <w:lastRenderedPageBreak/>
        <w:t>INTRODUCTION</w:t>
      </w:r>
      <w:bookmarkEnd w:id="0"/>
    </w:p>
    <w:p w14:paraId="729923BB" w14:textId="05359BBD" w:rsidR="008F2535" w:rsidRDefault="008F2535" w:rsidP="00A11BC8">
      <w:pPr>
        <w:pStyle w:val="ListParagraph"/>
        <w:numPr>
          <w:ilvl w:val="0"/>
          <w:numId w:val="5"/>
        </w:numPr>
        <w:ind w:left="720"/>
        <w:jc w:val="both"/>
        <w:rPr>
          <w:szCs w:val="24"/>
        </w:rPr>
      </w:pPr>
      <w:r>
        <w:rPr>
          <w:szCs w:val="24"/>
        </w:rPr>
        <w:t>The Chief Justice has authorised the issue of this Notice</w:t>
      </w:r>
      <w:r w:rsidR="008434A7">
        <w:rPr>
          <w:szCs w:val="24"/>
        </w:rPr>
        <w:t>.</w:t>
      </w:r>
    </w:p>
    <w:p w14:paraId="357836B8" w14:textId="214BE03E" w:rsidR="00E83DAB" w:rsidRDefault="00E83DAB" w:rsidP="00A11BC8">
      <w:pPr>
        <w:pStyle w:val="ListParagraph"/>
        <w:numPr>
          <w:ilvl w:val="0"/>
          <w:numId w:val="5"/>
        </w:numPr>
        <w:ind w:left="720"/>
        <w:jc w:val="both"/>
        <w:rPr>
          <w:szCs w:val="24"/>
        </w:rPr>
      </w:pPr>
      <w:r>
        <w:rPr>
          <w:szCs w:val="24"/>
        </w:rPr>
        <w:t>The</w:t>
      </w:r>
      <w:r w:rsidR="00216465">
        <w:rPr>
          <w:szCs w:val="24"/>
        </w:rPr>
        <w:t xml:space="preserve"> </w:t>
      </w:r>
      <w:r w:rsidR="00A56CAD">
        <w:rPr>
          <w:szCs w:val="24"/>
        </w:rPr>
        <w:t>main</w:t>
      </w:r>
      <w:r>
        <w:rPr>
          <w:szCs w:val="24"/>
        </w:rPr>
        <w:t xml:space="preserve"> purpose of this Notice to the Profession is to provide information about the upcoming amendments to the Rules </w:t>
      </w:r>
      <w:r w:rsidR="00A56CAD">
        <w:rPr>
          <w:szCs w:val="24"/>
        </w:rPr>
        <w:t xml:space="preserve">relating to legal costs </w:t>
      </w:r>
      <w:r>
        <w:rPr>
          <w:szCs w:val="24"/>
        </w:rPr>
        <w:t>commencing 1 January 2025 and how the practice of the Cost</w:t>
      </w:r>
      <w:r w:rsidR="00A56CAD">
        <w:rPr>
          <w:szCs w:val="24"/>
        </w:rPr>
        <w:t>s</w:t>
      </w:r>
      <w:r>
        <w:rPr>
          <w:szCs w:val="24"/>
        </w:rPr>
        <w:t xml:space="preserve"> Court will change to reflect this. </w:t>
      </w:r>
      <w:r w:rsidR="00A56CAD">
        <w:rPr>
          <w:szCs w:val="24"/>
        </w:rPr>
        <w:t xml:space="preserve"> This Notice also refers to some practices in the Costs Court that have already developed significantly since 2018.</w:t>
      </w:r>
    </w:p>
    <w:p w14:paraId="4614EEA1" w14:textId="7BDF0782" w:rsidR="00E83DAB" w:rsidRDefault="00E83DAB" w:rsidP="00A11BC8">
      <w:pPr>
        <w:pStyle w:val="ListParagraph"/>
        <w:numPr>
          <w:ilvl w:val="0"/>
          <w:numId w:val="5"/>
        </w:numPr>
        <w:ind w:left="720"/>
        <w:jc w:val="both"/>
        <w:rPr>
          <w:szCs w:val="24"/>
        </w:rPr>
      </w:pPr>
      <w:r>
        <w:rPr>
          <w:szCs w:val="24"/>
        </w:rPr>
        <w:t xml:space="preserve">The Court will issue a new version of Practice Note SC Gen 11 to accompany the amendments to the Rules commencing 1 January 2025 and reflect the significant developments in the practice of the Costs Court since 2018. The Practice Note will reflect the content in this Notice, but as an enduring document will not have the same level of commentary regarding the </w:t>
      </w:r>
      <w:r w:rsidR="00AC034C">
        <w:rPr>
          <w:szCs w:val="24"/>
        </w:rPr>
        <w:t xml:space="preserve">upcoming </w:t>
      </w:r>
      <w:r>
        <w:rPr>
          <w:szCs w:val="24"/>
        </w:rPr>
        <w:t>change</w:t>
      </w:r>
      <w:r w:rsidR="00AC034C">
        <w:rPr>
          <w:szCs w:val="24"/>
        </w:rPr>
        <w:t>s</w:t>
      </w:r>
      <w:r>
        <w:rPr>
          <w:szCs w:val="24"/>
        </w:rPr>
        <w:t xml:space="preserve">. </w:t>
      </w:r>
    </w:p>
    <w:p w14:paraId="2DC80289" w14:textId="2761A5C0" w:rsidR="003F4399" w:rsidRDefault="00E83DAB" w:rsidP="00A11BC8">
      <w:pPr>
        <w:pStyle w:val="ListParagraph"/>
        <w:numPr>
          <w:ilvl w:val="0"/>
          <w:numId w:val="5"/>
        </w:numPr>
        <w:ind w:left="720"/>
        <w:jc w:val="both"/>
        <w:rPr>
          <w:szCs w:val="24"/>
        </w:rPr>
      </w:pPr>
      <w:r>
        <w:rPr>
          <w:szCs w:val="24"/>
        </w:rPr>
        <w:lastRenderedPageBreak/>
        <w:t>F</w:t>
      </w:r>
      <w:r w:rsidR="003F4399">
        <w:rPr>
          <w:szCs w:val="24"/>
        </w:rPr>
        <w:t>rom 1 January 2025, as an outcome of a recent review of litigious costs–</w:t>
      </w:r>
    </w:p>
    <w:p w14:paraId="114F2F37" w14:textId="2A29317C" w:rsidR="006C13F2" w:rsidRDefault="003F4399" w:rsidP="00E739C7">
      <w:pPr>
        <w:pStyle w:val="ListParagraph"/>
        <w:numPr>
          <w:ilvl w:val="0"/>
          <w:numId w:val="0"/>
        </w:numPr>
        <w:ind w:left="1440" w:hanging="720"/>
        <w:jc w:val="both"/>
        <w:rPr>
          <w:szCs w:val="24"/>
        </w:rPr>
      </w:pPr>
      <w:r>
        <w:rPr>
          <w:szCs w:val="24"/>
        </w:rPr>
        <w:t>(a)</w:t>
      </w:r>
      <w:r>
        <w:rPr>
          <w:szCs w:val="24"/>
        </w:rPr>
        <w:tab/>
      </w:r>
      <w:r w:rsidR="006C13F2">
        <w:rPr>
          <w:szCs w:val="24"/>
        </w:rPr>
        <w:t>substantial amendments will be made to Order 63 (Costs) of Chapter I of the</w:t>
      </w:r>
      <w:r w:rsidR="00F20088">
        <w:rPr>
          <w:szCs w:val="24"/>
        </w:rPr>
        <w:t xml:space="preserve"> Rules </w:t>
      </w:r>
      <w:r w:rsidR="006C13F2">
        <w:rPr>
          <w:szCs w:val="24"/>
        </w:rPr>
        <w:t>of the Supreme Court</w:t>
      </w:r>
      <w:r w:rsidR="00154AB0">
        <w:rPr>
          <w:szCs w:val="24"/>
        </w:rPr>
        <w:t xml:space="preserve"> </w:t>
      </w:r>
      <w:r w:rsidR="00493A7A">
        <w:rPr>
          <w:szCs w:val="24"/>
        </w:rPr>
        <w:t>in relation to legal work done on and after 1 January 2025</w:t>
      </w:r>
      <w:r w:rsidR="00940317">
        <w:rPr>
          <w:szCs w:val="24"/>
        </w:rPr>
        <w:t>;</w:t>
      </w:r>
    </w:p>
    <w:p w14:paraId="3FD02A7D" w14:textId="2E39A510" w:rsidR="003F4399" w:rsidRDefault="00F20088" w:rsidP="00E739C7">
      <w:pPr>
        <w:pStyle w:val="ListParagraph"/>
        <w:numPr>
          <w:ilvl w:val="0"/>
          <w:numId w:val="0"/>
        </w:numPr>
        <w:ind w:left="1440" w:hanging="720"/>
        <w:jc w:val="both"/>
        <w:rPr>
          <w:szCs w:val="24"/>
        </w:rPr>
      </w:pPr>
      <w:r>
        <w:rPr>
          <w:szCs w:val="24"/>
        </w:rPr>
        <w:t>(b)</w:t>
      </w:r>
      <w:r>
        <w:rPr>
          <w:szCs w:val="24"/>
        </w:rPr>
        <w:tab/>
      </w:r>
      <w:r w:rsidR="000D52FF">
        <w:rPr>
          <w:szCs w:val="24"/>
        </w:rPr>
        <w:t xml:space="preserve">principally, there will be </w:t>
      </w:r>
      <w:r w:rsidR="003F4399">
        <w:rPr>
          <w:szCs w:val="24"/>
        </w:rPr>
        <w:t>major changes to the scale of party/party costs</w:t>
      </w:r>
      <w:r w:rsidR="00347FE0">
        <w:rPr>
          <w:szCs w:val="24"/>
        </w:rPr>
        <w:t>;</w:t>
      </w:r>
    </w:p>
    <w:p w14:paraId="44BF0458" w14:textId="5C2AA798" w:rsidR="00347FE0" w:rsidRDefault="00347FE0" w:rsidP="00347FE0">
      <w:pPr>
        <w:pStyle w:val="ListParagraph"/>
        <w:numPr>
          <w:ilvl w:val="0"/>
          <w:numId w:val="0"/>
        </w:numPr>
        <w:ind w:left="1440" w:hanging="720"/>
        <w:jc w:val="both"/>
        <w:rPr>
          <w:szCs w:val="24"/>
        </w:rPr>
      </w:pPr>
      <w:r>
        <w:rPr>
          <w:szCs w:val="24"/>
        </w:rPr>
        <w:t>(</w:t>
      </w:r>
      <w:r w:rsidR="00F20088">
        <w:rPr>
          <w:szCs w:val="24"/>
        </w:rPr>
        <w:t>c</w:t>
      </w:r>
      <w:r>
        <w:rPr>
          <w:szCs w:val="24"/>
        </w:rPr>
        <w:t>)</w:t>
      </w:r>
      <w:r>
        <w:rPr>
          <w:szCs w:val="24"/>
        </w:rPr>
        <w:tab/>
        <w:t>the new scale will be based primarily on time costing rather than item costing;</w:t>
      </w:r>
    </w:p>
    <w:p w14:paraId="5646678D" w14:textId="747E2BA1" w:rsidR="00347FE0" w:rsidRDefault="00347FE0" w:rsidP="00347FE0">
      <w:pPr>
        <w:pStyle w:val="ListParagraph"/>
        <w:numPr>
          <w:ilvl w:val="0"/>
          <w:numId w:val="0"/>
        </w:numPr>
        <w:ind w:left="1440" w:hanging="720"/>
        <w:jc w:val="both"/>
        <w:rPr>
          <w:szCs w:val="24"/>
        </w:rPr>
      </w:pPr>
      <w:r>
        <w:rPr>
          <w:szCs w:val="24"/>
        </w:rPr>
        <w:t>(</w:t>
      </w:r>
      <w:r w:rsidR="00F20088">
        <w:rPr>
          <w:szCs w:val="24"/>
        </w:rPr>
        <w:t>d</w:t>
      </w:r>
      <w:r>
        <w:rPr>
          <w:szCs w:val="24"/>
        </w:rPr>
        <w:t>)</w:t>
      </w:r>
      <w:r>
        <w:rPr>
          <w:szCs w:val="24"/>
        </w:rPr>
        <w:tab/>
        <w:t xml:space="preserve">in consequence, there will be new requirements for preparing </w:t>
      </w:r>
      <w:r w:rsidR="007C0498">
        <w:rPr>
          <w:szCs w:val="24"/>
        </w:rPr>
        <w:t xml:space="preserve">party-party </w:t>
      </w:r>
      <w:r>
        <w:rPr>
          <w:szCs w:val="24"/>
        </w:rPr>
        <w:t xml:space="preserve">bills of costs; </w:t>
      </w:r>
      <w:r w:rsidR="0083617E">
        <w:rPr>
          <w:szCs w:val="24"/>
        </w:rPr>
        <w:t>and</w:t>
      </w:r>
    </w:p>
    <w:p w14:paraId="6E2957C7" w14:textId="05F0614E" w:rsidR="006D6BEF" w:rsidRPr="0083617E" w:rsidRDefault="00347FE0" w:rsidP="0083617E">
      <w:pPr>
        <w:pStyle w:val="ListParagraph"/>
        <w:numPr>
          <w:ilvl w:val="0"/>
          <w:numId w:val="0"/>
        </w:numPr>
        <w:ind w:left="1440" w:hanging="720"/>
        <w:jc w:val="both"/>
        <w:rPr>
          <w:szCs w:val="24"/>
        </w:rPr>
      </w:pPr>
      <w:r>
        <w:rPr>
          <w:szCs w:val="24"/>
        </w:rPr>
        <w:t>(</w:t>
      </w:r>
      <w:r w:rsidR="00F20088">
        <w:rPr>
          <w:szCs w:val="24"/>
        </w:rPr>
        <w:t>e</w:t>
      </w:r>
      <w:r>
        <w:rPr>
          <w:szCs w:val="24"/>
        </w:rPr>
        <w:t>)</w:t>
      </w:r>
      <w:r>
        <w:rPr>
          <w:szCs w:val="24"/>
        </w:rPr>
        <w:tab/>
        <w:t>the Costs Court will have wider powers to deal with costs disputes, including by methods other than</w:t>
      </w:r>
      <w:r w:rsidR="006D6BEF">
        <w:rPr>
          <w:szCs w:val="24"/>
        </w:rPr>
        <w:t xml:space="preserve"> traditional item by item taxations</w:t>
      </w:r>
      <w:r w:rsidR="00A80612" w:rsidRPr="0083617E">
        <w:rPr>
          <w:szCs w:val="24"/>
        </w:rPr>
        <w:t>.</w:t>
      </w:r>
    </w:p>
    <w:p w14:paraId="1617BAFC" w14:textId="77777777" w:rsidR="004318D4" w:rsidRDefault="004318D4" w:rsidP="00620D33">
      <w:pPr>
        <w:pStyle w:val="Heading1"/>
      </w:pPr>
    </w:p>
    <w:p w14:paraId="56C9ECA9" w14:textId="5564C649" w:rsidR="007A3143" w:rsidRPr="00EA0D05" w:rsidRDefault="007A3143" w:rsidP="00620D33">
      <w:pPr>
        <w:pStyle w:val="Heading1"/>
      </w:pPr>
      <w:bookmarkStart w:id="1" w:name="_Toc178173271"/>
      <w:r w:rsidRPr="00EA0D05">
        <w:t>DEFINITIONS</w:t>
      </w:r>
      <w:bookmarkEnd w:id="1"/>
    </w:p>
    <w:p w14:paraId="1B88F885" w14:textId="1975F87F" w:rsidR="007A3143" w:rsidRPr="00A9069F" w:rsidRDefault="007A3143" w:rsidP="00A11BC8">
      <w:pPr>
        <w:pStyle w:val="ListParagraph"/>
        <w:numPr>
          <w:ilvl w:val="0"/>
          <w:numId w:val="5"/>
        </w:numPr>
        <w:spacing w:after="120"/>
        <w:ind w:left="720"/>
        <w:jc w:val="both"/>
        <w:rPr>
          <w:szCs w:val="24"/>
        </w:rPr>
      </w:pPr>
      <w:r w:rsidRPr="00A9069F">
        <w:rPr>
          <w:szCs w:val="24"/>
        </w:rPr>
        <w:t>In this Not</w:t>
      </w:r>
      <w:r w:rsidR="00E83DAB">
        <w:rPr>
          <w:szCs w:val="24"/>
        </w:rPr>
        <w:t>ice</w:t>
      </w:r>
      <w:r w:rsidR="00BE44D1">
        <w:rPr>
          <w:szCs w:val="24"/>
        </w:rPr>
        <w:t>,</w:t>
      </w:r>
      <w:r w:rsidR="00DB0C96">
        <w:rPr>
          <w:szCs w:val="24"/>
        </w:rPr>
        <w:t xml:space="preserve"> unless the contrary intention appears</w:t>
      </w:r>
      <w:r w:rsidRPr="00A9069F">
        <w:rPr>
          <w:szCs w:val="24"/>
        </w:rPr>
        <w:t>:</w:t>
      </w:r>
    </w:p>
    <w:p w14:paraId="31B8D112" w14:textId="77D76885" w:rsidR="00703D6B" w:rsidRPr="00EA0D05" w:rsidRDefault="00703D6B" w:rsidP="00E37403">
      <w:pPr>
        <w:pStyle w:val="ListParagraph"/>
        <w:numPr>
          <w:ilvl w:val="0"/>
          <w:numId w:val="0"/>
        </w:numPr>
        <w:spacing w:before="240" w:after="120"/>
        <w:ind w:left="720"/>
        <w:jc w:val="both"/>
        <w:rPr>
          <w:b/>
          <w:i/>
          <w:iCs/>
          <w:szCs w:val="24"/>
        </w:rPr>
      </w:pPr>
      <w:r w:rsidRPr="00EA0D05">
        <w:rPr>
          <w:b/>
          <w:bCs/>
          <w:i/>
          <w:iCs/>
          <w:szCs w:val="24"/>
        </w:rPr>
        <w:t>Appendix A</w:t>
      </w:r>
      <w:r w:rsidRPr="00EA0D05">
        <w:rPr>
          <w:i/>
          <w:iCs/>
          <w:szCs w:val="24"/>
        </w:rPr>
        <w:t xml:space="preserve"> </w:t>
      </w:r>
      <w:r w:rsidR="00330CCA">
        <w:rPr>
          <w:szCs w:val="24"/>
        </w:rPr>
        <w:t xml:space="preserve">means </w:t>
      </w:r>
      <w:r w:rsidRPr="000B59A1">
        <w:rPr>
          <w:szCs w:val="24"/>
        </w:rPr>
        <w:t xml:space="preserve">Appendix A </w:t>
      </w:r>
      <w:r w:rsidR="00330CCA">
        <w:rPr>
          <w:szCs w:val="24"/>
        </w:rPr>
        <w:t>t</w:t>
      </w:r>
      <w:r w:rsidRPr="000B59A1">
        <w:rPr>
          <w:szCs w:val="24"/>
        </w:rPr>
        <w:t xml:space="preserve">o the </w:t>
      </w:r>
      <w:r w:rsidR="0019162C" w:rsidRPr="001A3F17">
        <w:rPr>
          <w:i/>
          <w:iCs/>
          <w:szCs w:val="24"/>
        </w:rPr>
        <w:t>Rules</w:t>
      </w:r>
      <w:r w:rsidR="00A079CA">
        <w:rPr>
          <w:szCs w:val="24"/>
        </w:rPr>
        <w:t xml:space="preserve">, </w:t>
      </w:r>
      <w:r w:rsidR="00330CCA">
        <w:rPr>
          <w:szCs w:val="24"/>
        </w:rPr>
        <w:t>as in force</w:t>
      </w:r>
      <w:r w:rsidR="00330CCA" w:rsidRPr="000B59A1">
        <w:rPr>
          <w:szCs w:val="24"/>
        </w:rPr>
        <w:t xml:space="preserve"> </w:t>
      </w:r>
      <w:r w:rsidRPr="000B59A1">
        <w:rPr>
          <w:szCs w:val="24"/>
        </w:rPr>
        <w:t>from 1 January 2025</w:t>
      </w:r>
      <w:r w:rsidR="004F76CC">
        <w:rPr>
          <w:szCs w:val="24"/>
        </w:rPr>
        <w:t>;</w:t>
      </w:r>
    </w:p>
    <w:p w14:paraId="098182CA" w14:textId="67BD9EC6" w:rsidR="00703D6B" w:rsidRDefault="004F76CC" w:rsidP="00E37403">
      <w:pPr>
        <w:pStyle w:val="ListParagraph"/>
        <w:numPr>
          <w:ilvl w:val="0"/>
          <w:numId w:val="0"/>
        </w:numPr>
        <w:spacing w:after="120"/>
        <w:ind w:left="720"/>
        <w:jc w:val="both"/>
        <w:rPr>
          <w:i/>
          <w:iCs/>
          <w:szCs w:val="24"/>
        </w:rPr>
      </w:pPr>
      <w:r>
        <w:rPr>
          <w:b/>
          <w:i/>
          <w:szCs w:val="24"/>
        </w:rPr>
        <w:t>a</w:t>
      </w:r>
      <w:r w:rsidR="00703D6B" w:rsidRPr="00EA0D05">
        <w:rPr>
          <w:b/>
          <w:i/>
          <w:szCs w:val="24"/>
        </w:rPr>
        <w:t xml:space="preserve">ssessment in </w:t>
      </w:r>
      <w:r w:rsidR="004F3482">
        <w:rPr>
          <w:b/>
          <w:i/>
          <w:szCs w:val="24"/>
        </w:rPr>
        <w:t>c</w:t>
      </w:r>
      <w:r w:rsidR="00703D6B" w:rsidRPr="00EA0D05">
        <w:rPr>
          <w:b/>
          <w:i/>
          <w:szCs w:val="24"/>
        </w:rPr>
        <w:t xml:space="preserve">hambers </w:t>
      </w:r>
      <w:r w:rsidR="00703D6B" w:rsidRPr="000B59A1">
        <w:rPr>
          <w:bCs/>
          <w:iCs/>
          <w:szCs w:val="24"/>
        </w:rPr>
        <w:t xml:space="preserve">means assessment </w:t>
      </w:r>
      <w:r w:rsidR="00FB4AC0">
        <w:rPr>
          <w:bCs/>
          <w:iCs/>
          <w:szCs w:val="24"/>
        </w:rPr>
        <w:t>of costs by way of estimate under or in accordance with</w:t>
      </w:r>
      <w:r w:rsidR="00703D6B" w:rsidRPr="000B59A1">
        <w:rPr>
          <w:bCs/>
          <w:iCs/>
          <w:szCs w:val="24"/>
        </w:rPr>
        <w:t xml:space="preserve"> Part 8 of Order 63 of the </w:t>
      </w:r>
      <w:r w:rsidR="00FB4AC0">
        <w:rPr>
          <w:bCs/>
          <w:i/>
          <w:szCs w:val="24"/>
        </w:rPr>
        <w:t>Rules</w:t>
      </w:r>
      <w:r>
        <w:rPr>
          <w:i/>
          <w:iCs/>
          <w:szCs w:val="24"/>
        </w:rPr>
        <w:t>;</w:t>
      </w:r>
    </w:p>
    <w:p w14:paraId="77F03165" w14:textId="18FC3CCA" w:rsidR="003C6B82" w:rsidRPr="00E739C7" w:rsidRDefault="003C6B82" w:rsidP="00E37403">
      <w:pPr>
        <w:pStyle w:val="ListParagraph"/>
        <w:numPr>
          <w:ilvl w:val="0"/>
          <w:numId w:val="0"/>
        </w:numPr>
        <w:spacing w:after="120"/>
        <w:ind w:left="720"/>
        <w:jc w:val="both"/>
        <w:rPr>
          <w:szCs w:val="24"/>
        </w:rPr>
      </w:pPr>
      <w:r>
        <w:rPr>
          <w:b/>
          <w:bCs/>
          <w:i/>
          <w:iCs/>
          <w:szCs w:val="24"/>
        </w:rPr>
        <w:t>costs</w:t>
      </w:r>
      <w:r>
        <w:rPr>
          <w:b/>
          <w:bCs/>
          <w:szCs w:val="24"/>
        </w:rPr>
        <w:t xml:space="preserve"> </w:t>
      </w:r>
      <w:r>
        <w:rPr>
          <w:szCs w:val="24"/>
        </w:rPr>
        <w:t>means legal costs and includes</w:t>
      </w:r>
      <w:r w:rsidR="00CB39FF">
        <w:rPr>
          <w:szCs w:val="24"/>
        </w:rPr>
        <w:t xml:space="preserve"> professional</w:t>
      </w:r>
      <w:r>
        <w:rPr>
          <w:szCs w:val="24"/>
        </w:rPr>
        <w:t xml:space="preserve"> fees</w:t>
      </w:r>
      <w:r w:rsidR="009C73A1">
        <w:rPr>
          <w:szCs w:val="24"/>
        </w:rPr>
        <w:t xml:space="preserve"> and disbursements</w:t>
      </w:r>
      <w:r w:rsidR="00683532">
        <w:rPr>
          <w:szCs w:val="24"/>
        </w:rPr>
        <w:t>;</w:t>
      </w:r>
    </w:p>
    <w:p w14:paraId="03549337" w14:textId="4ED18009" w:rsidR="007A3143" w:rsidRDefault="004604AE" w:rsidP="00E37403">
      <w:pPr>
        <w:pStyle w:val="ListParagraph"/>
        <w:numPr>
          <w:ilvl w:val="0"/>
          <w:numId w:val="0"/>
        </w:numPr>
        <w:spacing w:after="120"/>
        <w:ind w:left="720"/>
        <w:jc w:val="both"/>
        <w:rPr>
          <w:bCs/>
          <w:iCs/>
          <w:szCs w:val="24"/>
        </w:rPr>
      </w:pPr>
      <w:r>
        <w:rPr>
          <w:b/>
          <w:i/>
          <w:szCs w:val="24"/>
        </w:rPr>
        <w:t>c</w:t>
      </w:r>
      <w:r w:rsidR="007A3143" w:rsidRPr="00EA0D05">
        <w:rPr>
          <w:b/>
          <w:i/>
          <w:szCs w:val="24"/>
        </w:rPr>
        <w:t>osts assessor</w:t>
      </w:r>
      <w:r w:rsidR="007A3143" w:rsidRPr="00EA0D05">
        <w:rPr>
          <w:bCs/>
          <w:i/>
          <w:szCs w:val="24"/>
        </w:rPr>
        <w:t xml:space="preserve"> </w:t>
      </w:r>
      <w:r w:rsidR="007A3143" w:rsidRPr="00DB4FE6">
        <w:rPr>
          <w:bCs/>
          <w:iCs/>
          <w:szCs w:val="24"/>
        </w:rPr>
        <w:t xml:space="preserve">means a </w:t>
      </w:r>
      <w:r w:rsidR="00EB2FBE" w:rsidRPr="00DB4FE6">
        <w:rPr>
          <w:bCs/>
          <w:iCs/>
          <w:szCs w:val="24"/>
        </w:rPr>
        <w:t>Costs Judge</w:t>
      </w:r>
      <w:r w:rsidR="00EB2FBE">
        <w:rPr>
          <w:bCs/>
          <w:iCs/>
          <w:szCs w:val="24"/>
        </w:rPr>
        <w:t xml:space="preserve">, </w:t>
      </w:r>
      <w:r w:rsidR="00EB2FBE" w:rsidRPr="00DB4FE6">
        <w:rPr>
          <w:bCs/>
          <w:iCs/>
          <w:szCs w:val="24"/>
        </w:rPr>
        <w:t>Judicial Registrar</w:t>
      </w:r>
      <w:r w:rsidR="00EB2FBE">
        <w:rPr>
          <w:bCs/>
          <w:iCs/>
          <w:szCs w:val="24"/>
        </w:rPr>
        <w:t xml:space="preserve">, </w:t>
      </w:r>
      <w:r w:rsidR="007A3143" w:rsidRPr="00DB4FE6">
        <w:rPr>
          <w:bCs/>
          <w:iCs/>
          <w:szCs w:val="24"/>
        </w:rPr>
        <w:t>Costs Registrar</w:t>
      </w:r>
      <w:r w:rsidR="00EB2FBE">
        <w:rPr>
          <w:bCs/>
          <w:iCs/>
          <w:szCs w:val="24"/>
        </w:rPr>
        <w:t xml:space="preserve"> or</w:t>
      </w:r>
      <w:r w:rsidR="007A3143" w:rsidRPr="00DB4FE6">
        <w:rPr>
          <w:bCs/>
          <w:iCs/>
          <w:szCs w:val="24"/>
        </w:rPr>
        <w:t xml:space="preserve"> the Prothonotary</w:t>
      </w:r>
      <w:r w:rsidR="0077262D">
        <w:rPr>
          <w:bCs/>
          <w:iCs/>
          <w:szCs w:val="24"/>
        </w:rPr>
        <w:t>;</w:t>
      </w:r>
    </w:p>
    <w:p w14:paraId="52602573" w14:textId="7C01F18A" w:rsidR="00A87411" w:rsidRDefault="00812303" w:rsidP="00E37403">
      <w:pPr>
        <w:pStyle w:val="ListParagraph"/>
        <w:numPr>
          <w:ilvl w:val="0"/>
          <w:numId w:val="0"/>
        </w:numPr>
        <w:spacing w:after="120"/>
        <w:ind w:left="720"/>
        <w:jc w:val="both"/>
        <w:rPr>
          <w:bCs/>
          <w:iCs/>
          <w:szCs w:val="24"/>
        </w:rPr>
      </w:pPr>
      <w:r>
        <w:rPr>
          <w:b/>
          <w:i/>
          <w:szCs w:val="24"/>
        </w:rPr>
        <w:t>entitled party</w:t>
      </w:r>
      <w:r w:rsidR="00707AB8">
        <w:rPr>
          <w:b/>
          <w:i/>
          <w:szCs w:val="24"/>
        </w:rPr>
        <w:t xml:space="preserve"> </w:t>
      </w:r>
      <w:r w:rsidR="00707AB8">
        <w:rPr>
          <w:bCs/>
          <w:iCs/>
          <w:szCs w:val="24"/>
        </w:rPr>
        <w:t>means a party entitled to be paid party/party costs</w:t>
      </w:r>
      <w:r w:rsidR="005F61E6">
        <w:rPr>
          <w:bCs/>
          <w:iCs/>
          <w:szCs w:val="24"/>
        </w:rPr>
        <w:t xml:space="preserve"> </w:t>
      </w:r>
      <w:r w:rsidR="00E152FE">
        <w:rPr>
          <w:bCs/>
          <w:iCs/>
          <w:szCs w:val="24"/>
        </w:rPr>
        <w:t>in relation to a proceeding</w:t>
      </w:r>
      <w:r w:rsidR="00707AB8">
        <w:rPr>
          <w:bCs/>
          <w:iCs/>
          <w:szCs w:val="24"/>
        </w:rPr>
        <w:t>;</w:t>
      </w:r>
    </w:p>
    <w:p w14:paraId="66DC12F4" w14:textId="13DB6B73" w:rsidR="000279B2" w:rsidRPr="00E739C7" w:rsidRDefault="000279B2" w:rsidP="00E37403">
      <w:pPr>
        <w:pStyle w:val="ListParagraph"/>
        <w:numPr>
          <w:ilvl w:val="0"/>
          <w:numId w:val="0"/>
        </w:numPr>
        <w:spacing w:after="120"/>
        <w:ind w:left="720"/>
        <w:jc w:val="both"/>
        <w:rPr>
          <w:b/>
          <w:szCs w:val="24"/>
        </w:rPr>
      </w:pPr>
      <w:r w:rsidRPr="00E739C7">
        <w:rPr>
          <w:b/>
          <w:i/>
          <w:szCs w:val="24"/>
        </w:rPr>
        <w:t>law</w:t>
      </w:r>
      <w:r w:rsidR="004951F2" w:rsidRPr="00E739C7">
        <w:rPr>
          <w:b/>
          <w:i/>
          <w:szCs w:val="24"/>
        </w:rPr>
        <w:t xml:space="preserve"> practice </w:t>
      </w:r>
      <w:r w:rsidR="004951F2" w:rsidRPr="00E739C7">
        <w:rPr>
          <w:bCs/>
          <w:iCs/>
          <w:szCs w:val="24"/>
        </w:rPr>
        <w:t>has</w:t>
      </w:r>
      <w:r w:rsidR="004951F2">
        <w:rPr>
          <w:bCs/>
          <w:iCs/>
          <w:szCs w:val="24"/>
        </w:rPr>
        <w:t xml:space="preserve"> the same meaning as in the </w:t>
      </w:r>
      <w:r w:rsidR="00E40FAC" w:rsidRPr="00EA0D05">
        <w:rPr>
          <w:i/>
          <w:iCs/>
          <w:szCs w:val="24"/>
        </w:rPr>
        <w:t>Legal Profession Uniform Law</w:t>
      </w:r>
      <w:r w:rsidR="00E40FAC">
        <w:rPr>
          <w:i/>
          <w:iCs/>
          <w:szCs w:val="24"/>
        </w:rPr>
        <w:t xml:space="preserve"> (Victoria)</w:t>
      </w:r>
      <w:r w:rsidR="00E40FAC">
        <w:rPr>
          <w:szCs w:val="24"/>
        </w:rPr>
        <w:t xml:space="preserve"> except that it does </w:t>
      </w:r>
      <w:r w:rsidR="00E40FAC">
        <w:rPr>
          <w:szCs w:val="24"/>
        </w:rPr>
        <w:lastRenderedPageBreak/>
        <w:t>not include</w:t>
      </w:r>
      <w:r w:rsidR="00C46C5C">
        <w:rPr>
          <w:szCs w:val="24"/>
        </w:rPr>
        <w:t xml:space="preserve"> counsel at the Victorian Bar or at any other independent Bar;</w:t>
      </w:r>
    </w:p>
    <w:p w14:paraId="70B5EF4E" w14:textId="714C49E1" w:rsidR="007A3143" w:rsidRDefault="007A3143" w:rsidP="00E37403">
      <w:pPr>
        <w:pStyle w:val="ListParagraph"/>
        <w:numPr>
          <w:ilvl w:val="0"/>
          <w:numId w:val="0"/>
        </w:numPr>
        <w:spacing w:after="120"/>
        <w:ind w:left="720"/>
        <w:jc w:val="both"/>
        <w:rPr>
          <w:i/>
          <w:szCs w:val="24"/>
        </w:rPr>
      </w:pPr>
      <w:r w:rsidRPr="00EA0D05">
        <w:rPr>
          <w:b/>
          <w:i/>
          <w:szCs w:val="24"/>
        </w:rPr>
        <w:t xml:space="preserve">Legal Profession Legislation </w:t>
      </w:r>
      <w:r w:rsidRPr="00EA0D05">
        <w:rPr>
          <w:szCs w:val="24"/>
        </w:rPr>
        <w:t xml:space="preserve">includes the </w:t>
      </w:r>
      <w:r w:rsidRPr="00EA0D05">
        <w:rPr>
          <w:i/>
          <w:iCs/>
          <w:szCs w:val="24"/>
        </w:rPr>
        <w:t>Legal Profession Uniform Law</w:t>
      </w:r>
      <w:r w:rsidRPr="00EA0D05">
        <w:rPr>
          <w:szCs w:val="24"/>
        </w:rPr>
        <w:t xml:space="preserve"> </w:t>
      </w:r>
      <w:r w:rsidR="00045023" w:rsidRPr="001A3F17">
        <w:rPr>
          <w:i/>
          <w:iCs/>
          <w:szCs w:val="24"/>
        </w:rPr>
        <w:t>Application Act 2014</w:t>
      </w:r>
      <w:r w:rsidR="00C56E64">
        <w:rPr>
          <w:szCs w:val="24"/>
        </w:rPr>
        <w:t>,</w:t>
      </w:r>
      <w:r w:rsidR="00B439FB">
        <w:rPr>
          <w:szCs w:val="24"/>
        </w:rPr>
        <w:t xml:space="preserve"> the</w:t>
      </w:r>
      <w:r w:rsidR="000A6DB9">
        <w:rPr>
          <w:szCs w:val="24"/>
        </w:rPr>
        <w:t xml:space="preserve"> </w:t>
      </w:r>
      <w:r w:rsidR="000A6DB9" w:rsidRPr="00EA0D05">
        <w:rPr>
          <w:i/>
          <w:iCs/>
          <w:szCs w:val="24"/>
        </w:rPr>
        <w:t>Legal Profession Uniform Law</w:t>
      </w:r>
      <w:r w:rsidR="000A6DB9">
        <w:rPr>
          <w:i/>
          <w:iCs/>
          <w:szCs w:val="24"/>
        </w:rPr>
        <w:t xml:space="preserve"> (Vic</w:t>
      </w:r>
      <w:r w:rsidR="003D4512">
        <w:rPr>
          <w:i/>
          <w:iCs/>
          <w:szCs w:val="24"/>
        </w:rPr>
        <w:t>toria</w:t>
      </w:r>
      <w:r w:rsidR="000A6DB9">
        <w:rPr>
          <w:i/>
          <w:iCs/>
          <w:szCs w:val="24"/>
        </w:rPr>
        <w:t>)</w:t>
      </w:r>
      <w:r w:rsidR="000A6DB9">
        <w:rPr>
          <w:szCs w:val="24"/>
        </w:rPr>
        <w:t>, the</w:t>
      </w:r>
      <w:r w:rsidR="00B439FB">
        <w:rPr>
          <w:szCs w:val="24"/>
        </w:rPr>
        <w:t xml:space="preserve"> </w:t>
      </w:r>
      <w:r w:rsidRPr="00EA0D05">
        <w:rPr>
          <w:i/>
          <w:szCs w:val="24"/>
        </w:rPr>
        <w:t>Legal Profession Act 2004</w:t>
      </w:r>
      <w:r w:rsidR="007B3DC1">
        <w:rPr>
          <w:szCs w:val="24"/>
        </w:rPr>
        <w:t xml:space="preserve"> </w:t>
      </w:r>
      <w:r w:rsidR="00340FE1">
        <w:rPr>
          <w:szCs w:val="24"/>
        </w:rPr>
        <w:t>and</w:t>
      </w:r>
      <w:r w:rsidRPr="00EA0D05">
        <w:rPr>
          <w:szCs w:val="24"/>
        </w:rPr>
        <w:t xml:space="preserve"> </w:t>
      </w:r>
      <w:r w:rsidR="000A6DB9">
        <w:rPr>
          <w:szCs w:val="24"/>
        </w:rPr>
        <w:t xml:space="preserve">the </w:t>
      </w:r>
      <w:r w:rsidRPr="00EA0D05">
        <w:rPr>
          <w:i/>
          <w:szCs w:val="24"/>
        </w:rPr>
        <w:t>Legal Practice Act 1996</w:t>
      </w:r>
      <w:r w:rsidR="008F1D0F">
        <w:rPr>
          <w:i/>
          <w:szCs w:val="24"/>
        </w:rPr>
        <w:t>;</w:t>
      </w:r>
    </w:p>
    <w:p w14:paraId="43652E65" w14:textId="59E756DD" w:rsidR="008D31EF" w:rsidRPr="008D31EF" w:rsidRDefault="008D31EF" w:rsidP="00E37403">
      <w:pPr>
        <w:pStyle w:val="ListParagraph"/>
        <w:numPr>
          <w:ilvl w:val="0"/>
          <w:numId w:val="0"/>
        </w:numPr>
        <w:spacing w:after="120"/>
        <w:ind w:left="720"/>
        <w:jc w:val="both"/>
        <w:rPr>
          <w:iCs/>
          <w:szCs w:val="24"/>
        </w:rPr>
      </w:pPr>
      <w:r>
        <w:rPr>
          <w:b/>
          <w:bCs/>
          <w:i/>
          <w:szCs w:val="24"/>
        </w:rPr>
        <w:t>liable party</w:t>
      </w:r>
      <w:r>
        <w:rPr>
          <w:iCs/>
          <w:szCs w:val="24"/>
        </w:rPr>
        <w:t xml:space="preserve"> means a party liable to pay party/party costs</w:t>
      </w:r>
      <w:r w:rsidR="00F0456E">
        <w:rPr>
          <w:iCs/>
          <w:szCs w:val="24"/>
        </w:rPr>
        <w:t xml:space="preserve"> in relation to a proceeding</w:t>
      </w:r>
      <w:r>
        <w:rPr>
          <w:iCs/>
          <w:szCs w:val="24"/>
        </w:rPr>
        <w:t>;</w:t>
      </w:r>
    </w:p>
    <w:p w14:paraId="4F6CB513" w14:textId="1B4C696C" w:rsidR="001C15BB" w:rsidRPr="001A3F17" w:rsidRDefault="001E3834" w:rsidP="00E37403">
      <w:pPr>
        <w:pStyle w:val="ListParagraph"/>
        <w:numPr>
          <w:ilvl w:val="0"/>
          <w:numId w:val="0"/>
        </w:numPr>
        <w:spacing w:after="120"/>
        <w:ind w:left="720"/>
        <w:jc w:val="both"/>
        <w:rPr>
          <w:i/>
          <w:iCs/>
          <w:szCs w:val="24"/>
        </w:rPr>
      </w:pPr>
      <w:r>
        <w:rPr>
          <w:b/>
          <w:bCs/>
          <w:i/>
          <w:iCs/>
          <w:szCs w:val="24"/>
        </w:rPr>
        <w:t>p</w:t>
      </w:r>
      <w:r w:rsidRPr="001A3F17">
        <w:rPr>
          <w:b/>
          <w:bCs/>
          <w:i/>
          <w:iCs/>
          <w:szCs w:val="24"/>
        </w:rPr>
        <w:t>arty</w:t>
      </w:r>
      <w:r>
        <w:rPr>
          <w:b/>
          <w:bCs/>
          <w:i/>
          <w:iCs/>
          <w:szCs w:val="24"/>
        </w:rPr>
        <w:t xml:space="preserve"> </w:t>
      </w:r>
      <w:r>
        <w:rPr>
          <w:szCs w:val="24"/>
        </w:rPr>
        <w:t xml:space="preserve">has the same meaning as in Order 63 of the </w:t>
      </w:r>
      <w:r>
        <w:rPr>
          <w:i/>
          <w:iCs/>
          <w:szCs w:val="24"/>
        </w:rPr>
        <w:t>Rules</w:t>
      </w:r>
      <w:r w:rsidR="008F1D0F">
        <w:rPr>
          <w:i/>
          <w:iCs/>
          <w:szCs w:val="24"/>
        </w:rPr>
        <w:t xml:space="preserve"> </w:t>
      </w:r>
      <w:r w:rsidR="00E071DC">
        <w:rPr>
          <w:szCs w:val="24"/>
        </w:rPr>
        <w:t xml:space="preserve">(being its defined meaning as set out in </w:t>
      </w:r>
      <w:r w:rsidR="00C56E64">
        <w:rPr>
          <w:szCs w:val="24"/>
        </w:rPr>
        <w:t>r</w:t>
      </w:r>
      <w:r w:rsidR="00E071DC">
        <w:rPr>
          <w:szCs w:val="24"/>
        </w:rPr>
        <w:t xml:space="preserve"> 63.01(1) of the </w:t>
      </w:r>
      <w:r w:rsidR="00E071DC">
        <w:rPr>
          <w:i/>
          <w:iCs/>
          <w:szCs w:val="24"/>
        </w:rPr>
        <w:t>Rules</w:t>
      </w:r>
      <w:r w:rsidR="00E071DC">
        <w:rPr>
          <w:szCs w:val="24"/>
        </w:rPr>
        <w:t>)</w:t>
      </w:r>
      <w:r w:rsidR="008F1D0F">
        <w:rPr>
          <w:i/>
          <w:iCs/>
          <w:szCs w:val="24"/>
        </w:rPr>
        <w:t>;</w:t>
      </w:r>
    </w:p>
    <w:p w14:paraId="0EAA7142" w14:textId="06AB24BD" w:rsidR="007A3143" w:rsidRDefault="000A6DB9" w:rsidP="00E37403">
      <w:pPr>
        <w:pStyle w:val="ListParagraph"/>
        <w:numPr>
          <w:ilvl w:val="0"/>
          <w:numId w:val="0"/>
        </w:numPr>
        <w:spacing w:after="120"/>
        <w:ind w:left="720"/>
        <w:jc w:val="both"/>
        <w:rPr>
          <w:szCs w:val="24"/>
        </w:rPr>
      </w:pPr>
      <w:r>
        <w:rPr>
          <w:b/>
          <w:i/>
          <w:szCs w:val="24"/>
        </w:rPr>
        <w:t>p</w:t>
      </w:r>
      <w:r w:rsidR="007A3143" w:rsidRPr="00EA0D05">
        <w:rPr>
          <w:b/>
          <w:i/>
          <w:szCs w:val="24"/>
        </w:rPr>
        <w:t>arty/</w:t>
      </w:r>
      <w:r w:rsidR="007413D6">
        <w:rPr>
          <w:b/>
          <w:i/>
          <w:szCs w:val="24"/>
        </w:rPr>
        <w:t>p</w:t>
      </w:r>
      <w:r w:rsidR="007A3143" w:rsidRPr="00EA0D05">
        <w:rPr>
          <w:b/>
          <w:i/>
          <w:szCs w:val="24"/>
        </w:rPr>
        <w:t xml:space="preserve">arty </w:t>
      </w:r>
      <w:r w:rsidR="007A3143" w:rsidRPr="00861D4E">
        <w:rPr>
          <w:b/>
          <w:i/>
          <w:szCs w:val="24"/>
        </w:rPr>
        <w:t>costs</w:t>
      </w:r>
      <w:r w:rsidR="007A3143" w:rsidRPr="00680D16">
        <w:rPr>
          <w:b/>
          <w:szCs w:val="24"/>
        </w:rPr>
        <w:t xml:space="preserve"> </w:t>
      </w:r>
      <w:r w:rsidR="007A3143" w:rsidRPr="00EA0D05">
        <w:rPr>
          <w:szCs w:val="24"/>
        </w:rPr>
        <w:t>means</w:t>
      </w:r>
      <w:r w:rsidR="00563B5D">
        <w:rPr>
          <w:szCs w:val="24"/>
        </w:rPr>
        <w:t xml:space="preserve"> </w:t>
      </w:r>
      <w:r w:rsidR="007A3143" w:rsidRPr="00EA0D05">
        <w:rPr>
          <w:szCs w:val="24"/>
        </w:rPr>
        <w:t xml:space="preserve"> </w:t>
      </w:r>
      <w:r w:rsidR="00FC58D3">
        <w:rPr>
          <w:szCs w:val="24"/>
        </w:rPr>
        <w:t>costs payable</w:t>
      </w:r>
      <w:r w:rsidR="00563B5D">
        <w:rPr>
          <w:szCs w:val="24"/>
        </w:rPr>
        <w:t xml:space="preserve"> as between parties</w:t>
      </w:r>
      <w:r w:rsidR="00F0456E" w:rsidRPr="00F0456E">
        <w:rPr>
          <w:szCs w:val="24"/>
        </w:rPr>
        <w:t xml:space="preserve"> </w:t>
      </w:r>
      <w:r w:rsidR="00F0456E">
        <w:rPr>
          <w:szCs w:val="24"/>
        </w:rPr>
        <w:t>in relation to a proceeding</w:t>
      </w:r>
      <w:r w:rsidR="00563B5D">
        <w:rPr>
          <w:szCs w:val="24"/>
        </w:rPr>
        <w:t>;</w:t>
      </w:r>
    </w:p>
    <w:p w14:paraId="471F458A" w14:textId="7A975426" w:rsidR="00757540" w:rsidRPr="001A3F17" w:rsidRDefault="00757540" w:rsidP="00E37403">
      <w:pPr>
        <w:pStyle w:val="ListParagraph"/>
        <w:numPr>
          <w:ilvl w:val="0"/>
          <w:numId w:val="0"/>
        </w:numPr>
        <w:spacing w:after="120"/>
        <w:ind w:left="720"/>
        <w:jc w:val="both"/>
        <w:rPr>
          <w:b/>
          <w:szCs w:val="24"/>
        </w:rPr>
      </w:pPr>
      <w:r w:rsidRPr="001A3F17">
        <w:rPr>
          <w:b/>
          <w:bCs/>
          <w:i/>
          <w:iCs/>
          <w:szCs w:val="24"/>
        </w:rPr>
        <w:t>proceeding</w:t>
      </w:r>
      <w:r>
        <w:rPr>
          <w:szCs w:val="24"/>
        </w:rPr>
        <w:t xml:space="preserve"> means</w:t>
      </w:r>
      <w:r w:rsidR="006A7979">
        <w:rPr>
          <w:szCs w:val="24"/>
        </w:rPr>
        <w:t xml:space="preserve"> a proceeding in relation to which the </w:t>
      </w:r>
      <w:r w:rsidR="00931E67">
        <w:rPr>
          <w:szCs w:val="24"/>
        </w:rPr>
        <w:t xml:space="preserve">Costs Court has jurisdiction under s 17D of the </w:t>
      </w:r>
      <w:r w:rsidR="00931E67">
        <w:rPr>
          <w:i/>
          <w:iCs/>
          <w:szCs w:val="24"/>
        </w:rPr>
        <w:t>Supreme Court Act 1986</w:t>
      </w:r>
      <w:r w:rsidR="00E3252E">
        <w:rPr>
          <w:szCs w:val="24"/>
        </w:rPr>
        <w:t xml:space="preserve"> to hear and determine the assessment, settling, taxation or review of costs</w:t>
      </w:r>
      <w:r w:rsidR="001324A7">
        <w:rPr>
          <w:szCs w:val="24"/>
        </w:rPr>
        <w:t>;</w:t>
      </w:r>
    </w:p>
    <w:p w14:paraId="3BC7B670" w14:textId="49F26584" w:rsidR="007A3143" w:rsidRPr="00EA0D05" w:rsidRDefault="007A3143" w:rsidP="00E37403">
      <w:pPr>
        <w:pStyle w:val="ListParagraph"/>
        <w:numPr>
          <w:ilvl w:val="0"/>
          <w:numId w:val="0"/>
        </w:numPr>
        <w:spacing w:after="120"/>
        <w:ind w:left="720"/>
        <w:jc w:val="both"/>
        <w:rPr>
          <w:szCs w:val="24"/>
        </w:rPr>
      </w:pPr>
      <w:r w:rsidRPr="00EA0D05">
        <w:rPr>
          <w:b/>
          <w:i/>
          <w:szCs w:val="24"/>
        </w:rPr>
        <w:lastRenderedPageBreak/>
        <w:t>Rules</w:t>
      </w:r>
      <w:r w:rsidRPr="00EA0D05">
        <w:rPr>
          <w:szCs w:val="24"/>
        </w:rPr>
        <w:t xml:space="preserve"> means</w:t>
      </w:r>
      <w:r w:rsidR="00E14EEF">
        <w:rPr>
          <w:szCs w:val="24"/>
        </w:rPr>
        <w:t xml:space="preserve"> either (according to the context)</w:t>
      </w:r>
      <w:r w:rsidRPr="00EA0D05">
        <w:rPr>
          <w:szCs w:val="24"/>
        </w:rPr>
        <w:t xml:space="preserve"> the </w:t>
      </w:r>
      <w:r w:rsidRPr="00EA0D05">
        <w:rPr>
          <w:i/>
          <w:szCs w:val="24"/>
        </w:rPr>
        <w:t>Supreme Court (General Civil Procedure) Rules 2015</w:t>
      </w:r>
      <w:r w:rsidR="00E3252E">
        <w:rPr>
          <w:iCs/>
          <w:szCs w:val="24"/>
        </w:rPr>
        <w:t xml:space="preserve"> as</w:t>
      </w:r>
      <w:r w:rsidR="00E14EEF">
        <w:rPr>
          <w:iCs/>
          <w:szCs w:val="24"/>
        </w:rPr>
        <w:t xml:space="preserve"> in force from time to time, or</w:t>
      </w:r>
      <w:r w:rsidR="00E3252E">
        <w:rPr>
          <w:iCs/>
          <w:szCs w:val="24"/>
        </w:rPr>
        <w:t xml:space="preserve"> those </w:t>
      </w:r>
      <w:r w:rsidR="00E3252E" w:rsidRPr="00E739C7">
        <w:rPr>
          <w:iCs/>
          <w:szCs w:val="24"/>
        </w:rPr>
        <w:t>Rules</w:t>
      </w:r>
      <w:r w:rsidR="00E605AC">
        <w:rPr>
          <w:iCs/>
          <w:szCs w:val="24"/>
        </w:rPr>
        <w:t xml:space="preserve"> as in force from time to time after</w:t>
      </w:r>
      <w:r w:rsidR="00E3252E">
        <w:rPr>
          <w:iCs/>
          <w:szCs w:val="24"/>
        </w:rPr>
        <w:t xml:space="preserve"> the coming into operation</w:t>
      </w:r>
      <w:r w:rsidR="001B5C78">
        <w:rPr>
          <w:iCs/>
          <w:szCs w:val="24"/>
        </w:rPr>
        <w:t xml:space="preserve"> on 1 January 2025 of the </w:t>
      </w:r>
      <w:r w:rsidR="001B5C78">
        <w:rPr>
          <w:i/>
          <w:szCs w:val="24"/>
        </w:rPr>
        <w:t>Supreme Court (Chapter I Costs Amendment) Rules 2024</w:t>
      </w:r>
      <w:r w:rsidR="00DB66DC">
        <w:rPr>
          <w:i/>
          <w:szCs w:val="24"/>
        </w:rPr>
        <w:t>,</w:t>
      </w:r>
      <w:r w:rsidR="001B5C78">
        <w:rPr>
          <w:i/>
          <w:szCs w:val="24"/>
        </w:rPr>
        <w:t xml:space="preserve"> </w:t>
      </w:r>
      <w:r w:rsidR="001B5C78">
        <w:rPr>
          <w:iCs/>
          <w:szCs w:val="24"/>
        </w:rPr>
        <w:t>and includes any Rules</w:t>
      </w:r>
      <w:r w:rsidR="005E1ACA">
        <w:rPr>
          <w:iCs/>
          <w:szCs w:val="24"/>
        </w:rPr>
        <w:t xml:space="preserve"> that may be</w:t>
      </w:r>
      <w:r w:rsidR="002C7F51">
        <w:rPr>
          <w:iCs/>
          <w:szCs w:val="24"/>
        </w:rPr>
        <w:t xml:space="preserve"> made in substitution </w:t>
      </w:r>
      <w:r w:rsidR="005E1ACA">
        <w:rPr>
          <w:iCs/>
          <w:szCs w:val="24"/>
        </w:rPr>
        <w:t>for those Rules</w:t>
      </w:r>
      <w:r w:rsidR="00DB66DC">
        <w:rPr>
          <w:iCs/>
          <w:szCs w:val="24"/>
        </w:rPr>
        <w:t>;</w:t>
      </w:r>
    </w:p>
    <w:p w14:paraId="2D7F19D4" w14:textId="42286254" w:rsidR="00703D6B" w:rsidRPr="00EA0D05" w:rsidRDefault="005E1ACA" w:rsidP="00E37403">
      <w:pPr>
        <w:pStyle w:val="ListParagraph"/>
        <w:numPr>
          <w:ilvl w:val="0"/>
          <w:numId w:val="0"/>
        </w:numPr>
        <w:ind w:left="720"/>
        <w:jc w:val="both"/>
        <w:rPr>
          <w:b/>
          <w:i/>
          <w:szCs w:val="24"/>
        </w:rPr>
      </w:pPr>
      <w:r>
        <w:rPr>
          <w:b/>
          <w:i/>
          <w:szCs w:val="24"/>
        </w:rPr>
        <w:t>s</w:t>
      </w:r>
      <w:r w:rsidR="00703D6B" w:rsidRPr="00EA0D05">
        <w:rPr>
          <w:b/>
          <w:i/>
          <w:szCs w:val="24"/>
        </w:rPr>
        <w:t>olicitor /</w:t>
      </w:r>
      <w:r w:rsidR="007413D6">
        <w:rPr>
          <w:b/>
          <w:i/>
          <w:szCs w:val="24"/>
        </w:rPr>
        <w:t>c</w:t>
      </w:r>
      <w:r w:rsidR="00703D6B" w:rsidRPr="00EA0D05">
        <w:rPr>
          <w:b/>
          <w:i/>
          <w:szCs w:val="24"/>
        </w:rPr>
        <w:t xml:space="preserve">lient costs </w:t>
      </w:r>
      <w:r w:rsidR="00703D6B" w:rsidRPr="00EA0D05">
        <w:rPr>
          <w:szCs w:val="24"/>
        </w:rPr>
        <w:t>means costs charged to a client by a law practice for the provision of legal services</w:t>
      </w:r>
      <w:r w:rsidR="00DB66DC">
        <w:rPr>
          <w:szCs w:val="24"/>
        </w:rPr>
        <w:t>;</w:t>
      </w:r>
    </w:p>
    <w:p w14:paraId="1E3773C7" w14:textId="30E84FD4" w:rsidR="00C5031B" w:rsidRPr="00EA0D05" w:rsidRDefault="00C5031B" w:rsidP="00E37403">
      <w:pPr>
        <w:pStyle w:val="ListParagraph"/>
        <w:numPr>
          <w:ilvl w:val="0"/>
          <w:numId w:val="0"/>
        </w:numPr>
        <w:ind w:left="720"/>
        <w:jc w:val="both"/>
        <w:rPr>
          <w:b/>
          <w:i/>
          <w:szCs w:val="24"/>
        </w:rPr>
      </w:pPr>
      <w:r w:rsidRPr="00680D16">
        <w:rPr>
          <w:b/>
          <w:bCs/>
          <w:i/>
          <w:iCs/>
          <w:szCs w:val="24"/>
        </w:rPr>
        <w:t>2024 Scale</w:t>
      </w:r>
      <w:r>
        <w:rPr>
          <w:b/>
          <w:bCs/>
          <w:szCs w:val="24"/>
        </w:rPr>
        <w:t xml:space="preserve"> </w:t>
      </w:r>
      <w:r w:rsidRPr="00680D16">
        <w:rPr>
          <w:szCs w:val="24"/>
        </w:rPr>
        <w:t xml:space="preserve">means the </w:t>
      </w:r>
      <w:r w:rsidR="00182054">
        <w:rPr>
          <w:szCs w:val="24"/>
        </w:rPr>
        <w:t xml:space="preserve">Supreme Court </w:t>
      </w:r>
      <w:r w:rsidR="009416D0" w:rsidRPr="00680D16">
        <w:rPr>
          <w:szCs w:val="24"/>
        </w:rPr>
        <w:t>scale of costs in Appendix A and Appendix B</w:t>
      </w:r>
      <w:r w:rsidR="008256D5">
        <w:rPr>
          <w:szCs w:val="24"/>
        </w:rPr>
        <w:t xml:space="preserve"> of</w:t>
      </w:r>
      <w:r w:rsidR="009416D0" w:rsidRPr="00680D16">
        <w:rPr>
          <w:szCs w:val="24"/>
        </w:rPr>
        <w:t xml:space="preserve"> the</w:t>
      </w:r>
      <w:r w:rsidR="003D5E71">
        <w:rPr>
          <w:szCs w:val="24"/>
        </w:rPr>
        <w:t xml:space="preserve"> </w:t>
      </w:r>
      <w:r w:rsidR="009416D0" w:rsidRPr="00DC1D07">
        <w:rPr>
          <w:i/>
          <w:iCs/>
          <w:szCs w:val="24"/>
        </w:rPr>
        <w:t>Rules</w:t>
      </w:r>
      <w:r w:rsidR="00C35DF1">
        <w:rPr>
          <w:szCs w:val="24"/>
        </w:rPr>
        <w:t xml:space="preserve"> </w:t>
      </w:r>
      <w:r w:rsidR="00DC1D07">
        <w:rPr>
          <w:szCs w:val="24"/>
        </w:rPr>
        <w:t xml:space="preserve">as the </w:t>
      </w:r>
      <w:r w:rsidR="00DC1D07" w:rsidRPr="00DC1D07">
        <w:rPr>
          <w:i/>
          <w:iCs/>
          <w:szCs w:val="24"/>
        </w:rPr>
        <w:t>Rules</w:t>
      </w:r>
      <w:r w:rsidR="00DC1D07">
        <w:rPr>
          <w:szCs w:val="24"/>
        </w:rPr>
        <w:t xml:space="preserve"> </w:t>
      </w:r>
      <w:r w:rsidR="00C35DF1">
        <w:rPr>
          <w:szCs w:val="24"/>
        </w:rPr>
        <w:t>stood on</w:t>
      </w:r>
      <w:r w:rsidR="009416D0" w:rsidRPr="00680D16">
        <w:rPr>
          <w:szCs w:val="24"/>
        </w:rPr>
        <w:t xml:space="preserve"> 1 January 2024.</w:t>
      </w:r>
    </w:p>
    <w:p w14:paraId="1DD4B349" w14:textId="77777777" w:rsidR="004318D4" w:rsidRDefault="004318D4" w:rsidP="00620D33">
      <w:pPr>
        <w:pStyle w:val="Heading1"/>
      </w:pPr>
    </w:p>
    <w:p w14:paraId="6BF7E7BC" w14:textId="276D0E92" w:rsidR="009276CF" w:rsidRPr="00EA0D05" w:rsidRDefault="00896F23" w:rsidP="00620D33">
      <w:pPr>
        <w:pStyle w:val="Heading1"/>
      </w:pPr>
      <w:bookmarkStart w:id="2" w:name="_Toc178173272"/>
      <w:r>
        <w:t xml:space="preserve">APPLICATION OF </w:t>
      </w:r>
      <w:r>
        <w:rPr>
          <w:i/>
          <w:iCs/>
        </w:rPr>
        <w:t>CIVIL PROCEDURE ACT 2010</w:t>
      </w:r>
      <w:bookmarkEnd w:id="2"/>
      <w:r>
        <w:rPr>
          <w:i/>
          <w:iCs/>
        </w:rPr>
        <w:t xml:space="preserve"> </w:t>
      </w:r>
    </w:p>
    <w:p w14:paraId="12880D6B" w14:textId="728FC3ED" w:rsidR="00145F65" w:rsidRPr="00E37403" w:rsidRDefault="009276CF" w:rsidP="00A11BC8">
      <w:pPr>
        <w:pStyle w:val="ListParagraph"/>
        <w:numPr>
          <w:ilvl w:val="0"/>
          <w:numId w:val="5"/>
        </w:numPr>
        <w:spacing w:after="120"/>
        <w:ind w:left="720"/>
        <w:jc w:val="both"/>
        <w:rPr>
          <w:szCs w:val="24"/>
        </w:rPr>
      </w:pPr>
      <w:r w:rsidRPr="00A74A9C">
        <w:rPr>
          <w:szCs w:val="24"/>
        </w:rPr>
        <w:t xml:space="preserve">The </w:t>
      </w:r>
      <w:r w:rsidRPr="00A74A9C">
        <w:rPr>
          <w:i/>
          <w:szCs w:val="24"/>
        </w:rPr>
        <w:t>Civil Procedure Act 2010</w:t>
      </w:r>
      <w:r w:rsidR="00752E33">
        <w:rPr>
          <w:szCs w:val="24"/>
        </w:rPr>
        <w:t xml:space="preserve"> </w:t>
      </w:r>
      <w:r w:rsidR="00477B79">
        <w:rPr>
          <w:szCs w:val="24"/>
        </w:rPr>
        <w:t>(‘</w:t>
      </w:r>
      <w:r w:rsidR="00477B79">
        <w:rPr>
          <w:i/>
          <w:iCs/>
          <w:szCs w:val="24"/>
        </w:rPr>
        <w:t>CPA</w:t>
      </w:r>
      <w:r w:rsidR="00477B79">
        <w:rPr>
          <w:szCs w:val="24"/>
        </w:rPr>
        <w:t xml:space="preserve">’) </w:t>
      </w:r>
      <w:r w:rsidRPr="00A74A9C">
        <w:rPr>
          <w:szCs w:val="24"/>
        </w:rPr>
        <w:t xml:space="preserve">requires </w:t>
      </w:r>
      <w:r w:rsidR="00730EC9">
        <w:rPr>
          <w:szCs w:val="24"/>
        </w:rPr>
        <w:t>c</w:t>
      </w:r>
      <w:r w:rsidRPr="00A74A9C">
        <w:rPr>
          <w:szCs w:val="24"/>
        </w:rPr>
        <w:t>ourt</w:t>
      </w:r>
      <w:r w:rsidR="00730EC9">
        <w:rPr>
          <w:szCs w:val="24"/>
        </w:rPr>
        <w:t>s (including the Costs Court)</w:t>
      </w:r>
      <w:r w:rsidRPr="00A74A9C">
        <w:rPr>
          <w:szCs w:val="24"/>
        </w:rPr>
        <w:t xml:space="preserve"> to give effect to the overarching purpose of facilitating the ‘just, efficient, timely and cost-effective resolution of the real issues in dispute’ (s</w:t>
      </w:r>
      <w:r w:rsidR="00946A1B">
        <w:rPr>
          <w:szCs w:val="24"/>
        </w:rPr>
        <w:t>s</w:t>
      </w:r>
      <w:r w:rsidRPr="00A74A9C">
        <w:rPr>
          <w:szCs w:val="24"/>
        </w:rPr>
        <w:t> 7</w:t>
      </w:r>
      <w:r w:rsidR="00946A1B">
        <w:rPr>
          <w:szCs w:val="24"/>
        </w:rPr>
        <w:t>-8</w:t>
      </w:r>
      <w:r w:rsidRPr="00A74A9C">
        <w:rPr>
          <w:szCs w:val="24"/>
        </w:rPr>
        <w:t xml:space="preserve">). </w:t>
      </w:r>
      <w:r w:rsidR="00946A1B">
        <w:rPr>
          <w:szCs w:val="24"/>
        </w:rPr>
        <w:t>P</w:t>
      </w:r>
      <w:r w:rsidRPr="00A74A9C">
        <w:rPr>
          <w:szCs w:val="24"/>
        </w:rPr>
        <w:t>arties have overarching obligations to use the most efficient practices to resolve a dispute (s 22), narrow</w:t>
      </w:r>
      <w:r w:rsidR="005C164D">
        <w:rPr>
          <w:szCs w:val="24"/>
        </w:rPr>
        <w:t xml:space="preserve"> the</w:t>
      </w:r>
      <w:r w:rsidRPr="00A74A9C">
        <w:rPr>
          <w:szCs w:val="24"/>
        </w:rPr>
        <w:t xml:space="preserve"> issues in dispute (s 23)</w:t>
      </w:r>
      <w:r w:rsidR="00707702">
        <w:rPr>
          <w:szCs w:val="24"/>
        </w:rPr>
        <w:t>,</w:t>
      </w:r>
      <w:r w:rsidRPr="00A74A9C">
        <w:rPr>
          <w:szCs w:val="24"/>
        </w:rPr>
        <w:t xml:space="preserve"> and ensure that costs are reasonable and proportionate (s 24). Procedures in the Costs Court seek to facilitate these aims.</w:t>
      </w:r>
    </w:p>
    <w:p w14:paraId="0F5F150B" w14:textId="025A92C6" w:rsidR="000476C4" w:rsidRDefault="000476C4" w:rsidP="00A11BC8">
      <w:pPr>
        <w:pStyle w:val="ListParagraph"/>
        <w:numPr>
          <w:ilvl w:val="0"/>
          <w:numId w:val="5"/>
        </w:numPr>
        <w:ind w:left="720"/>
        <w:jc w:val="both"/>
        <w:rPr>
          <w:szCs w:val="24"/>
        </w:rPr>
      </w:pPr>
      <w:r>
        <w:rPr>
          <w:szCs w:val="24"/>
        </w:rPr>
        <w:t xml:space="preserve">Under Part 4.5 of the </w:t>
      </w:r>
      <w:r w:rsidRPr="001A3F17">
        <w:rPr>
          <w:i/>
          <w:iCs/>
          <w:szCs w:val="24"/>
        </w:rPr>
        <w:t>CPA</w:t>
      </w:r>
      <w:r>
        <w:rPr>
          <w:szCs w:val="24"/>
        </w:rPr>
        <w:t>, and under s</w:t>
      </w:r>
      <w:r w:rsidR="000F26CB">
        <w:rPr>
          <w:szCs w:val="24"/>
        </w:rPr>
        <w:t xml:space="preserve"> 65C</w:t>
      </w:r>
      <w:r w:rsidR="005C164D">
        <w:rPr>
          <w:szCs w:val="24"/>
        </w:rPr>
        <w:t xml:space="preserve"> of the </w:t>
      </w:r>
      <w:r w:rsidR="005C164D" w:rsidRPr="00E739C7">
        <w:rPr>
          <w:i/>
          <w:iCs/>
          <w:szCs w:val="24"/>
        </w:rPr>
        <w:t>CPA</w:t>
      </w:r>
      <w:r w:rsidR="000F26CB">
        <w:rPr>
          <w:szCs w:val="24"/>
        </w:rPr>
        <w:t xml:space="preserve"> in particular, </w:t>
      </w:r>
      <w:r w:rsidR="000677B9">
        <w:rPr>
          <w:szCs w:val="24"/>
        </w:rPr>
        <w:t>a c</w:t>
      </w:r>
      <w:r w:rsidR="000F26CB">
        <w:rPr>
          <w:szCs w:val="24"/>
        </w:rPr>
        <w:t xml:space="preserve">ourt </w:t>
      </w:r>
      <w:r w:rsidR="000677B9">
        <w:rPr>
          <w:szCs w:val="24"/>
        </w:rPr>
        <w:t xml:space="preserve">(including the Costs Court) </w:t>
      </w:r>
      <w:r w:rsidR="000F26CB">
        <w:rPr>
          <w:szCs w:val="24"/>
        </w:rPr>
        <w:t>may make any order as to costs it considers appropriate to further the overarching purpose.</w:t>
      </w:r>
    </w:p>
    <w:p w14:paraId="12E40731" w14:textId="66C120A1" w:rsidR="002D74C3" w:rsidRPr="003B6E62" w:rsidRDefault="009276CF" w:rsidP="00A11BC8">
      <w:pPr>
        <w:pStyle w:val="ListParagraph"/>
        <w:numPr>
          <w:ilvl w:val="0"/>
          <w:numId w:val="5"/>
        </w:numPr>
        <w:ind w:left="720"/>
        <w:jc w:val="both"/>
        <w:rPr>
          <w:szCs w:val="24"/>
        </w:rPr>
      </w:pPr>
      <w:r w:rsidRPr="00A74A9C">
        <w:rPr>
          <w:szCs w:val="24"/>
        </w:rPr>
        <w:t xml:space="preserve">Pursuant to Chapter 5 of the </w:t>
      </w:r>
      <w:r w:rsidRPr="00A74A9C">
        <w:rPr>
          <w:i/>
          <w:szCs w:val="24"/>
        </w:rPr>
        <w:t>C</w:t>
      </w:r>
      <w:r w:rsidR="00477B79">
        <w:rPr>
          <w:i/>
          <w:szCs w:val="24"/>
        </w:rPr>
        <w:t>PA</w:t>
      </w:r>
      <w:r w:rsidRPr="00A74A9C">
        <w:rPr>
          <w:szCs w:val="24"/>
        </w:rPr>
        <w:t xml:space="preserve">, </w:t>
      </w:r>
      <w:r w:rsidR="000677B9">
        <w:rPr>
          <w:szCs w:val="24"/>
        </w:rPr>
        <w:t>a c</w:t>
      </w:r>
      <w:r w:rsidRPr="00A74A9C">
        <w:rPr>
          <w:szCs w:val="24"/>
        </w:rPr>
        <w:t>ourt</w:t>
      </w:r>
      <w:r w:rsidR="007B3EB9">
        <w:rPr>
          <w:szCs w:val="24"/>
        </w:rPr>
        <w:t xml:space="preserve"> (including the Costs Court)</w:t>
      </w:r>
      <w:r w:rsidRPr="00A74A9C">
        <w:rPr>
          <w:szCs w:val="24"/>
        </w:rPr>
        <w:t xml:space="preserve"> may refer any matter </w:t>
      </w:r>
      <w:r w:rsidR="001C15BB">
        <w:rPr>
          <w:szCs w:val="24"/>
        </w:rPr>
        <w:t xml:space="preserve">before it </w:t>
      </w:r>
      <w:r w:rsidRPr="00A74A9C">
        <w:rPr>
          <w:szCs w:val="24"/>
        </w:rPr>
        <w:t xml:space="preserve">to </w:t>
      </w:r>
      <w:r w:rsidRPr="00A74A9C">
        <w:rPr>
          <w:szCs w:val="24"/>
        </w:rPr>
        <w:lastRenderedPageBreak/>
        <w:t xml:space="preserve">appropriate dispute resolution at any stage of the </w:t>
      </w:r>
      <w:r w:rsidR="001C15BB">
        <w:rPr>
          <w:szCs w:val="24"/>
        </w:rPr>
        <w:t>matter</w:t>
      </w:r>
      <w:r w:rsidRPr="00A74A9C">
        <w:rPr>
          <w:szCs w:val="24"/>
        </w:rPr>
        <w:t>.</w:t>
      </w:r>
    </w:p>
    <w:p w14:paraId="52CDBA74" w14:textId="2519CDC8" w:rsidR="00E2008F" w:rsidRDefault="00BA7AE9" w:rsidP="00620D33">
      <w:pPr>
        <w:pStyle w:val="Heading1"/>
      </w:pPr>
      <w:bookmarkStart w:id="3" w:name="_Toc178173273"/>
      <w:bookmarkStart w:id="4" w:name="_Toc175840697"/>
      <w:r>
        <w:t xml:space="preserve">MAJOR CHANGES RELATING TO THE </w:t>
      </w:r>
      <w:r w:rsidR="00E2008F" w:rsidRPr="006F37E8">
        <w:t xml:space="preserve">SUPREME COURT SCALE </w:t>
      </w:r>
      <w:r>
        <w:t>OF COSTS FROM 1 JANUARY 2025</w:t>
      </w:r>
      <w:bookmarkEnd w:id="3"/>
      <w:r>
        <w:t xml:space="preserve"> </w:t>
      </w:r>
      <w:bookmarkEnd w:id="4"/>
    </w:p>
    <w:p w14:paraId="42A384BF" w14:textId="245316AD" w:rsidR="00913B40" w:rsidRPr="0076548D" w:rsidRDefault="000D2A61" w:rsidP="00A11BC8">
      <w:pPr>
        <w:pStyle w:val="ListParagraph"/>
        <w:numPr>
          <w:ilvl w:val="0"/>
          <w:numId w:val="5"/>
        </w:numPr>
        <w:spacing w:after="120"/>
        <w:ind w:left="720"/>
        <w:jc w:val="both"/>
        <w:rPr>
          <w:szCs w:val="24"/>
        </w:rPr>
      </w:pPr>
      <w:r w:rsidRPr="0076548D">
        <w:rPr>
          <w:szCs w:val="24"/>
        </w:rPr>
        <w:t>Reflecting recommendations of the Supreme Court and County Court Review of Litigious Costs</w:t>
      </w:r>
      <w:r>
        <w:rPr>
          <w:szCs w:val="24"/>
        </w:rPr>
        <w:t>,</w:t>
      </w:r>
      <w:r w:rsidRPr="0076548D">
        <w:rPr>
          <w:rStyle w:val="FootnoteReference"/>
          <w:szCs w:val="24"/>
        </w:rPr>
        <w:footnoteReference w:id="2"/>
      </w:r>
      <w:r w:rsidRPr="0076548D">
        <w:rPr>
          <w:szCs w:val="24"/>
        </w:rPr>
        <w:t xml:space="preserve"> </w:t>
      </w:r>
      <w:r w:rsidR="00024BA6">
        <w:rPr>
          <w:szCs w:val="24"/>
        </w:rPr>
        <w:t>major</w:t>
      </w:r>
      <w:r w:rsidR="000F4E47" w:rsidRPr="0076548D">
        <w:rPr>
          <w:szCs w:val="24"/>
        </w:rPr>
        <w:t xml:space="preserve"> changes </w:t>
      </w:r>
      <w:r w:rsidR="00533212" w:rsidRPr="0076548D">
        <w:rPr>
          <w:szCs w:val="24"/>
        </w:rPr>
        <w:t>con</w:t>
      </w:r>
      <w:r w:rsidR="0097200E" w:rsidRPr="0076548D">
        <w:rPr>
          <w:szCs w:val="24"/>
        </w:rPr>
        <w:t xml:space="preserve">cerning </w:t>
      </w:r>
      <w:r w:rsidR="00F63959">
        <w:rPr>
          <w:szCs w:val="24"/>
        </w:rPr>
        <w:t xml:space="preserve"> </w:t>
      </w:r>
      <w:r w:rsidR="00D20951">
        <w:rPr>
          <w:szCs w:val="24"/>
        </w:rPr>
        <w:t>t</w:t>
      </w:r>
      <w:r w:rsidR="000F4E47" w:rsidRPr="0076548D">
        <w:rPr>
          <w:szCs w:val="24"/>
        </w:rPr>
        <w:t xml:space="preserve">he Supreme Court scale of costs </w:t>
      </w:r>
      <w:r w:rsidR="00D20951">
        <w:rPr>
          <w:szCs w:val="24"/>
        </w:rPr>
        <w:t xml:space="preserve">and related matters are to be introduced </w:t>
      </w:r>
      <w:r w:rsidR="00AB1CC1">
        <w:rPr>
          <w:iCs/>
          <w:szCs w:val="24"/>
        </w:rPr>
        <w:t>from 1 January 2025.</w:t>
      </w:r>
      <w:r w:rsidR="00A124DC">
        <w:rPr>
          <w:iCs/>
          <w:szCs w:val="24"/>
        </w:rPr>
        <w:t xml:space="preserve">  To give effect to the changes, Order 63 of the </w:t>
      </w:r>
      <w:r w:rsidR="00A124DC">
        <w:rPr>
          <w:i/>
          <w:szCs w:val="24"/>
        </w:rPr>
        <w:t>Rules</w:t>
      </w:r>
      <w:r w:rsidR="00A314CE">
        <w:rPr>
          <w:iCs/>
          <w:szCs w:val="24"/>
        </w:rPr>
        <w:t xml:space="preserve"> will be amended by the </w:t>
      </w:r>
      <w:r w:rsidR="00A314CE">
        <w:rPr>
          <w:i/>
          <w:szCs w:val="24"/>
        </w:rPr>
        <w:t>Supreme Court (Chapter I Costs Amendment) Rules 20</w:t>
      </w:r>
      <w:r w:rsidR="00946A1B">
        <w:rPr>
          <w:i/>
          <w:szCs w:val="24"/>
        </w:rPr>
        <w:t>2</w:t>
      </w:r>
      <w:r w:rsidR="00A314CE">
        <w:rPr>
          <w:i/>
          <w:szCs w:val="24"/>
        </w:rPr>
        <w:t>4.</w:t>
      </w:r>
      <w:r w:rsidR="00A314CE">
        <w:rPr>
          <w:iCs/>
          <w:szCs w:val="24"/>
        </w:rPr>
        <w:t xml:space="preserve">  Those amending </w:t>
      </w:r>
      <w:r w:rsidR="00A314CE" w:rsidRPr="00E739C7">
        <w:rPr>
          <w:iCs/>
          <w:szCs w:val="24"/>
        </w:rPr>
        <w:t>Rules</w:t>
      </w:r>
      <w:r w:rsidR="00A314CE">
        <w:rPr>
          <w:iCs/>
          <w:szCs w:val="24"/>
        </w:rPr>
        <w:t xml:space="preserve"> have been made </w:t>
      </w:r>
      <w:r w:rsidR="00F72C62">
        <w:rPr>
          <w:iCs/>
          <w:szCs w:val="24"/>
        </w:rPr>
        <w:t xml:space="preserve">by the Judges of the Supreme Court </w:t>
      </w:r>
      <w:r w:rsidR="00532950">
        <w:rPr>
          <w:iCs/>
          <w:szCs w:val="24"/>
        </w:rPr>
        <w:t xml:space="preserve">and </w:t>
      </w:r>
      <w:r w:rsidR="001E70A7">
        <w:rPr>
          <w:iCs/>
          <w:szCs w:val="24"/>
        </w:rPr>
        <w:t>are</w:t>
      </w:r>
      <w:r w:rsidR="00532950">
        <w:rPr>
          <w:iCs/>
          <w:szCs w:val="24"/>
        </w:rPr>
        <w:t xml:space="preserve"> due to </w:t>
      </w:r>
      <w:r w:rsidR="00A314CE">
        <w:rPr>
          <w:iCs/>
          <w:szCs w:val="24"/>
        </w:rPr>
        <w:t>come into operation on 1 January 2025.</w:t>
      </w:r>
    </w:p>
    <w:p w14:paraId="407B6681" w14:textId="4013597E" w:rsidR="00F61C83" w:rsidRDefault="007B3EB9" w:rsidP="00A11BC8">
      <w:pPr>
        <w:pStyle w:val="ListParagraph"/>
        <w:numPr>
          <w:ilvl w:val="0"/>
          <w:numId w:val="5"/>
        </w:numPr>
        <w:spacing w:after="120"/>
        <w:ind w:left="720"/>
        <w:jc w:val="both"/>
        <w:rPr>
          <w:szCs w:val="24"/>
        </w:rPr>
      </w:pPr>
      <w:r>
        <w:rPr>
          <w:szCs w:val="24"/>
        </w:rPr>
        <w:lastRenderedPageBreak/>
        <w:t>Until 1 January 2025, the scale will continue to</w:t>
      </w:r>
      <w:r w:rsidR="00570A17">
        <w:rPr>
          <w:szCs w:val="24"/>
        </w:rPr>
        <w:t xml:space="preserve"> appear</w:t>
      </w:r>
      <w:r w:rsidR="003D030C">
        <w:rPr>
          <w:szCs w:val="24"/>
        </w:rPr>
        <w:t xml:space="preserve"> in two appendices to the </w:t>
      </w:r>
      <w:r w:rsidR="003D030C">
        <w:rPr>
          <w:i/>
          <w:iCs/>
          <w:szCs w:val="24"/>
        </w:rPr>
        <w:t>Rules</w:t>
      </w:r>
      <w:r w:rsidR="003D030C">
        <w:rPr>
          <w:szCs w:val="24"/>
        </w:rPr>
        <w:t>, namely Appendix A (</w:t>
      </w:r>
      <w:r w:rsidR="00116E82">
        <w:rPr>
          <w:szCs w:val="24"/>
        </w:rPr>
        <w:t>Scale of</w:t>
      </w:r>
      <w:r w:rsidR="003D030C">
        <w:rPr>
          <w:szCs w:val="24"/>
        </w:rPr>
        <w:t xml:space="preserve"> costs) and Appendix B (</w:t>
      </w:r>
      <w:r w:rsidR="007F467B">
        <w:rPr>
          <w:szCs w:val="24"/>
        </w:rPr>
        <w:t>W</w:t>
      </w:r>
      <w:r w:rsidR="003D030C">
        <w:rPr>
          <w:szCs w:val="24"/>
        </w:rPr>
        <w:t>itnesses</w:t>
      </w:r>
      <w:r w:rsidR="007F467B">
        <w:rPr>
          <w:szCs w:val="24"/>
        </w:rPr>
        <w:t>’</w:t>
      </w:r>
      <w:r w:rsidR="00116E82">
        <w:rPr>
          <w:szCs w:val="24"/>
        </w:rPr>
        <w:t xml:space="preserve"> expenses</w:t>
      </w:r>
      <w:r w:rsidR="003D030C">
        <w:rPr>
          <w:szCs w:val="24"/>
        </w:rPr>
        <w:t xml:space="preserve"> </w:t>
      </w:r>
      <w:r w:rsidR="005C5933">
        <w:rPr>
          <w:szCs w:val="24"/>
        </w:rPr>
        <w:t xml:space="preserve">and interpreters’ </w:t>
      </w:r>
      <w:r w:rsidR="003D030C">
        <w:rPr>
          <w:szCs w:val="24"/>
        </w:rPr>
        <w:t>allowances)</w:t>
      </w:r>
      <w:r w:rsidR="00574195" w:rsidRPr="0076548D">
        <w:rPr>
          <w:szCs w:val="24"/>
        </w:rPr>
        <w:t>.</w:t>
      </w:r>
      <w:r w:rsidR="003D030C">
        <w:rPr>
          <w:szCs w:val="24"/>
        </w:rPr>
        <w:t xml:space="preserve">  </w:t>
      </w:r>
      <w:r w:rsidR="00570A17">
        <w:rPr>
          <w:szCs w:val="24"/>
        </w:rPr>
        <w:t xml:space="preserve">From 1 January 2025, there </w:t>
      </w:r>
      <w:r w:rsidR="003D030C">
        <w:rPr>
          <w:szCs w:val="24"/>
        </w:rPr>
        <w:t xml:space="preserve">will be a </w:t>
      </w:r>
      <w:r w:rsidR="005C5933">
        <w:rPr>
          <w:szCs w:val="24"/>
        </w:rPr>
        <w:t xml:space="preserve">single </w:t>
      </w:r>
      <w:r w:rsidR="003D030C">
        <w:rPr>
          <w:szCs w:val="24"/>
        </w:rPr>
        <w:t>new Appendix A which will cover professional costs</w:t>
      </w:r>
      <w:r w:rsidR="005C5933">
        <w:rPr>
          <w:szCs w:val="24"/>
        </w:rPr>
        <w:t xml:space="preserve"> and disbursements</w:t>
      </w:r>
      <w:r w:rsidR="003D030C">
        <w:rPr>
          <w:szCs w:val="24"/>
        </w:rPr>
        <w:t xml:space="preserve"> and </w:t>
      </w:r>
      <w:r w:rsidR="00075082">
        <w:rPr>
          <w:szCs w:val="24"/>
        </w:rPr>
        <w:t xml:space="preserve">will treat </w:t>
      </w:r>
      <w:r w:rsidR="003D030C">
        <w:rPr>
          <w:szCs w:val="24"/>
        </w:rPr>
        <w:t>witnesses</w:t>
      </w:r>
      <w:r w:rsidR="00075082">
        <w:rPr>
          <w:szCs w:val="24"/>
        </w:rPr>
        <w:t>’ expenses</w:t>
      </w:r>
      <w:r w:rsidR="003D030C">
        <w:rPr>
          <w:szCs w:val="24"/>
        </w:rPr>
        <w:t xml:space="preserve"> and interpreters’</w:t>
      </w:r>
      <w:r w:rsidR="00F61C83">
        <w:rPr>
          <w:szCs w:val="24"/>
        </w:rPr>
        <w:t xml:space="preserve"> allowances</w:t>
      </w:r>
      <w:r w:rsidR="000C1F08">
        <w:rPr>
          <w:szCs w:val="24"/>
        </w:rPr>
        <w:t xml:space="preserve"> as disbursements</w:t>
      </w:r>
      <w:r w:rsidR="00F61C83">
        <w:rPr>
          <w:szCs w:val="24"/>
        </w:rPr>
        <w:t>.</w:t>
      </w:r>
    </w:p>
    <w:p w14:paraId="528E8C4D" w14:textId="6AA99C88" w:rsidR="00B94574" w:rsidRDefault="00F61C83" w:rsidP="00A11BC8">
      <w:pPr>
        <w:pStyle w:val="ListParagraph"/>
        <w:numPr>
          <w:ilvl w:val="0"/>
          <w:numId w:val="5"/>
        </w:numPr>
        <w:spacing w:after="120"/>
        <w:ind w:left="720"/>
        <w:jc w:val="both"/>
        <w:rPr>
          <w:szCs w:val="24"/>
        </w:rPr>
      </w:pPr>
      <w:r>
        <w:rPr>
          <w:szCs w:val="24"/>
        </w:rPr>
        <w:t>The new Appendix A</w:t>
      </w:r>
      <w:r w:rsidR="001D05C1">
        <w:rPr>
          <w:szCs w:val="24"/>
        </w:rPr>
        <w:t xml:space="preserve"> is</w:t>
      </w:r>
      <w:r w:rsidR="00B94574">
        <w:rPr>
          <w:szCs w:val="24"/>
        </w:rPr>
        <w:t xml:space="preserve"> expressed to relate to party/party costs only.</w:t>
      </w:r>
      <w:r w:rsidR="0027723C">
        <w:rPr>
          <w:szCs w:val="24"/>
        </w:rPr>
        <w:t xml:space="preserve">  It will apply in respect of work done on and after 1 January 2025 in relation to matters in the Supreme Court of Victoria.</w:t>
      </w:r>
    </w:p>
    <w:p w14:paraId="4F8869AE" w14:textId="6BA71972" w:rsidR="002C7298" w:rsidRDefault="00B94574" w:rsidP="00A11BC8">
      <w:pPr>
        <w:pStyle w:val="ListParagraph"/>
        <w:numPr>
          <w:ilvl w:val="0"/>
          <w:numId w:val="5"/>
        </w:numPr>
        <w:spacing w:after="120"/>
        <w:ind w:left="720"/>
        <w:jc w:val="both"/>
        <w:rPr>
          <w:szCs w:val="24"/>
        </w:rPr>
      </w:pPr>
      <w:r>
        <w:rPr>
          <w:szCs w:val="24"/>
        </w:rPr>
        <w:t>The new scale of costs is based principally on time cost</w:t>
      </w:r>
      <w:r w:rsidR="008D7A8F">
        <w:rPr>
          <w:szCs w:val="24"/>
        </w:rPr>
        <w:t xml:space="preserve">ing, whereas the previous scale was based principally on items of legal work or </w:t>
      </w:r>
      <w:r w:rsidR="00DF5E82">
        <w:rPr>
          <w:szCs w:val="24"/>
        </w:rPr>
        <w:t xml:space="preserve">particular </w:t>
      </w:r>
      <w:r w:rsidR="008D7A8F">
        <w:rPr>
          <w:szCs w:val="24"/>
        </w:rPr>
        <w:t xml:space="preserve">legal services.  </w:t>
      </w:r>
    </w:p>
    <w:p w14:paraId="3EFD4304" w14:textId="77777777" w:rsidR="002C7298" w:rsidRDefault="008D7A8F" w:rsidP="00A11BC8">
      <w:pPr>
        <w:pStyle w:val="ListParagraph"/>
        <w:numPr>
          <w:ilvl w:val="0"/>
          <w:numId w:val="5"/>
        </w:numPr>
        <w:spacing w:after="120"/>
        <w:ind w:left="720"/>
        <w:jc w:val="both"/>
        <w:rPr>
          <w:szCs w:val="24"/>
        </w:rPr>
      </w:pPr>
      <w:r>
        <w:rPr>
          <w:szCs w:val="24"/>
        </w:rPr>
        <w:t xml:space="preserve">The new scale is divided into nine sections.  </w:t>
      </w:r>
    </w:p>
    <w:p w14:paraId="19D8A1BE" w14:textId="5BA1EE38" w:rsidR="00F6458E" w:rsidRDefault="008D7A8F" w:rsidP="00A11BC8">
      <w:pPr>
        <w:pStyle w:val="ListParagraph"/>
        <w:numPr>
          <w:ilvl w:val="0"/>
          <w:numId w:val="5"/>
        </w:numPr>
        <w:spacing w:after="120"/>
        <w:ind w:left="720"/>
        <w:jc w:val="both"/>
        <w:rPr>
          <w:szCs w:val="24"/>
        </w:rPr>
      </w:pPr>
      <w:r>
        <w:rPr>
          <w:szCs w:val="24"/>
        </w:rPr>
        <w:lastRenderedPageBreak/>
        <w:t xml:space="preserve">Section 1 reflects the largest change from the previous scale.  Section 1 applies to the extent that </w:t>
      </w:r>
      <w:r w:rsidR="00F074D3">
        <w:rPr>
          <w:szCs w:val="24"/>
        </w:rPr>
        <w:t xml:space="preserve">an entitled party has been </w:t>
      </w:r>
      <w:r>
        <w:rPr>
          <w:szCs w:val="24"/>
        </w:rPr>
        <w:t xml:space="preserve">charged </w:t>
      </w:r>
      <w:r w:rsidR="0041622B">
        <w:rPr>
          <w:szCs w:val="24"/>
        </w:rPr>
        <w:t xml:space="preserve">by a law practice </w:t>
      </w:r>
      <w:r>
        <w:rPr>
          <w:szCs w:val="24"/>
        </w:rPr>
        <w:t>on the basis of hourly rates for work done.  Section 1 provides that the costs payable to th</w:t>
      </w:r>
      <w:r w:rsidR="0041622B">
        <w:rPr>
          <w:szCs w:val="24"/>
        </w:rPr>
        <w:t>e entitled</w:t>
      </w:r>
      <w:r>
        <w:rPr>
          <w:szCs w:val="24"/>
        </w:rPr>
        <w:t xml:space="preserve"> party are to be allowed on the basis of reasonable hourly rates.  Maximum rates apply according to the category of the legal practitioner or other person</w:t>
      </w:r>
      <w:r w:rsidR="00F6458E">
        <w:rPr>
          <w:szCs w:val="24"/>
        </w:rPr>
        <w:t xml:space="preserve"> doing the work and according to the general nature of the work.</w:t>
      </w:r>
    </w:p>
    <w:p w14:paraId="57E7B4FF" w14:textId="77777777" w:rsidR="00F6458E" w:rsidRDefault="00F6458E" w:rsidP="00A11BC8">
      <w:pPr>
        <w:pStyle w:val="ListParagraph"/>
        <w:numPr>
          <w:ilvl w:val="0"/>
          <w:numId w:val="5"/>
        </w:numPr>
        <w:spacing w:after="120"/>
        <w:ind w:left="720"/>
        <w:jc w:val="both"/>
        <w:rPr>
          <w:szCs w:val="24"/>
        </w:rPr>
      </w:pPr>
      <w:r>
        <w:rPr>
          <w:szCs w:val="24"/>
        </w:rPr>
        <w:t>Section 2 sets out matters to which the Court may have regard in determining reasonableness.</w:t>
      </w:r>
    </w:p>
    <w:p w14:paraId="07CC4556" w14:textId="6E3CB4C8" w:rsidR="00B80958" w:rsidRDefault="00F6458E" w:rsidP="00A11BC8">
      <w:pPr>
        <w:pStyle w:val="ListParagraph"/>
        <w:numPr>
          <w:ilvl w:val="0"/>
          <w:numId w:val="5"/>
        </w:numPr>
        <w:spacing w:after="120"/>
        <w:ind w:left="720"/>
        <w:jc w:val="both"/>
        <w:rPr>
          <w:szCs w:val="24"/>
        </w:rPr>
      </w:pPr>
      <w:r>
        <w:rPr>
          <w:szCs w:val="24"/>
        </w:rPr>
        <w:t>Section 3</w:t>
      </w:r>
      <w:r w:rsidR="00B80958">
        <w:rPr>
          <w:szCs w:val="24"/>
        </w:rPr>
        <w:t xml:space="preserve"> provides that where the </w:t>
      </w:r>
      <w:r w:rsidR="00AC6D73">
        <w:rPr>
          <w:szCs w:val="24"/>
        </w:rPr>
        <w:t xml:space="preserve">entitled </w:t>
      </w:r>
      <w:r w:rsidR="00B80958">
        <w:rPr>
          <w:szCs w:val="24"/>
        </w:rPr>
        <w:t xml:space="preserve">party </w:t>
      </w:r>
      <w:r w:rsidR="00AC6D73">
        <w:rPr>
          <w:szCs w:val="24"/>
        </w:rPr>
        <w:t>has</w:t>
      </w:r>
      <w:r w:rsidR="00B80958">
        <w:rPr>
          <w:szCs w:val="24"/>
        </w:rPr>
        <w:t xml:space="preserve"> not </w:t>
      </w:r>
      <w:r w:rsidR="008C015E">
        <w:rPr>
          <w:szCs w:val="24"/>
        </w:rPr>
        <w:t xml:space="preserve">been </w:t>
      </w:r>
      <w:r w:rsidR="00B80958">
        <w:rPr>
          <w:szCs w:val="24"/>
        </w:rPr>
        <w:t>charged on the basis of hourly rates, a reasonable amount for doing the work is to be allowed, having regard to such of the matters listed in Section 2 as may be relevant.</w:t>
      </w:r>
    </w:p>
    <w:p w14:paraId="27F1FCBD" w14:textId="1F60BE18" w:rsidR="0056316C" w:rsidRDefault="00B80958" w:rsidP="00A11BC8">
      <w:pPr>
        <w:pStyle w:val="ListParagraph"/>
        <w:numPr>
          <w:ilvl w:val="0"/>
          <w:numId w:val="5"/>
        </w:numPr>
        <w:spacing w:after="120"/>
        <w:ind w:left="720"/>
        <w:jc w:val="both"/>
        <w:rPr>
          <w:szCs w:val="24"/>
        </w:rPr>
      </w:pPr>
      <w:r>
        <w:rPr>
          <w:szCs w:val="24"/>
        </w:rPr>
        <w:lastRenderedPageBreak/>
        <w:t>Section 4 deals with counsel</w:t>
      </w:r>
      <w:r w:rsidR="002B37D6">
        <w:rPr>
          <w:szCs w:val="24"/>
        </w:rPr>
        <w:t>’</w:t>
      </w:r>
      <w:r>
        <w:rPr>
          <w:szCs w:val="24"/>
        </w:rPr>
        <w:t>s fees.  These are to be allowed in reasonable amounts up to specified maximums</w:t>
      </w:r>
      <w:r w:rsidR="00123ABA">
        <w:rPr>
          <w:szCs w:val="24"/>
        </w:rPr>
        <w:t xml:space="preserve"> and remain largely unchanged</w:t>
      </w:r>
      <w:r w:rsidR="0056316C">
        <w:rPr>
          <w:szCs w:val="24"/>
        </w:rPr>
        <w:t>.</w:t>
      </w:r>
      <w:r w:rsidR="00123ABA">
        <w:rPr>
          <w:szCs w:val="24"/>
        </w:rPr>
        <w:t xml:space="preserve"> The</w:t>
      </w:r>
      <w:r w:rsidR="003944E4">
        <w:rPr>
          <w:szCs w:val="24"/>
        </w:rPr>
        <w:t>re will be common principles applicable to the assessment of the reasonableness of hourly rates as between counsel fees and law practice costs.</w:t>
      </w:r>
    </w:p>
    <w:p w14:paraId="575D53C8" w14:textId="1EEABB6E" w:rsidR="0056316C" w:rsidRDefault="0056316C" w:rsidP="00A11BC8">
      <w:pPr>
        <w:pStyle w:val="ListParagraph"/>
        <w:numPr>
          <w:ilvl w:val="0"/>
          <w:numId w:val="5"/>
        </w:numPr>
        <w:spacing w:after="120"/>
        <w:ind w:left="720"/>
        <w:jc w:val="both"/>
        <w:rPr>
          <w:szCs w:val="24"/>
        </w:rPr>
      </w:pPr>
      <w:r>
        <w:rPr>
          <w:szCs w:val="24"/>
        </w:rPr>
        <w:t>Section 5 provides that witnesses</w:t>
      </w:r>
      <w:r w:rsidR="002B37D6">
        <w:rPr>
          <w:szCs w:val="24"/>
        </w:rPr>
        <w:t>’</w:t>
      </w:r>
      <w:r>
        <w:rPr>
          <w:szCs w:val="24"/>
        </w:rPr>
        <w:t xml:space="preserve"> expenses and interpreters’ allowances are to be allowed at reasonable amounts as disbursements.</w:t>
      </w:r>
    </w:p>
    <w:p w14:paraId="572030BD" w14:textId="56E3B135" w:rsidR="00BA5F48" w:rsidRDefault="0056316C" w:rsidP="00A11BC8">
      <w:pPr>
        <w:pStyle w:val="ListParagraph"/>
        <w:numPr>
          <w:ilvl w:val="0"/>
          <w:numId w:val="5"/>
        </w:numPr>
        <w:spacing w:after="120"/>
        <w:ind w:left="720"/>
        <w:jc w:val="both"/>
        <w:rPr>
          <w:szCs w:val="24"/>
        </w:rPr>
      </w:pPr>
      <w:r>
        <w:rPr>
          <w:szCs w:val="24"/>
        </w:rPr>
        <w:t xml:space="preserve">Section 6 </w:t>
      </w:r>
      <w:r w:rsidR="002B37D6">
        <w:rPr>
          <w:szCs w:val="24"/>
        </w:rPr>
        <w:t>specifies</w:t>
      </w:r>
      <w:r w:rsidR="002A66D8">
        <w:rPr>
          <w:szCs w:val="24"/>
        </w:rPr>
        <w:t xml:space="preserve"> amounts that may be recovered </w:t>
      </w:r>
      <w:r w:rsidR="002D5CEB">
        <w:rPr>
          <w:szCs w:val="24"/>
        </w:rPr>
        <w:t xml:space="preserve">in respect of </w:t>
      </w:r>
      <w:r w:rsidR="002A66D8">
        <w:rPr>
          <w:szCs w:val="24"/>
        </w:rPr>
        <w:t xml:space="preserve">the costs of obtaining a </w:t>
      </w:r>
      <w:r w:rsidR="002D5CEB">
        <w:rPr>
          <w:szCs w:val="24"/>
        </w:rPr>
        <w:t xml:space="preserve">company </w:t>
      </w:r>
      <w:r w:rsidR="002A66D8">
        <w:rPr>
          <w:szCs w:val="24"/>
        </w:rPr>
        <w:t xml:space="preserve">winding up order under the short form bill procedure referred to in Rule 17.7 of Chapter </w:t>
      </w:r>
      <w:r w:rsidR="002D5CEB">
        <w:rPr>
          <w:szCs w:val="24"/>
        </w:rPr>
        <w:t>V</w:t>
      </w:r>
      <w:r w:rsidR="002A66D8">
        <w:rPr>
          <w:szCs w:val="24"/>
        </w:rPr>
        <w:t xml:space="preserve"> of the </w:t>
      </w:r>
      <w:r w:rsidR="00BA5F48">
        <w:rPr>
          <w:szCs w:val="24"/>
        </w:rPr>
        <w:t>Rules of the Supreme Court.</w:t>
      </w:r>
    </w:p>
    <w:p w14:paraId="130DAC9B" w14:textId="77777777" w:rsidR="00BA5F48" w:rsidRDefault="00BA5F48" w:rsidP="00A11BC8">
      <w:pPr>
        <w:pStyle w:val="ListParagraph"/>
        <w:numPr>
          <w:ilvl w:val="0"/>
          <w:numId w:val="5"/>
        </w:numPr>
        <w:spacing w:after="120"/>
        <w:ind w:left="720"/>
        <w:jc w:val="both"/>
        <w:rPr>
          <w:szCs w:val="24"/>
        </w:rPr>
      </w:pPr>
      <w:r>
        <w:rPr>
          <w:szCs w:val="24"/>
        </w:rPr>
        <w:t>Section 7 relates to travelling expenses.</w:t>
      </w:r>
    </w:p>
    <w:p w14:paraId="4876C126" w14:textId="77777777" w:rsidR="00BA5F48" w:rsidRDefault="00BA5F48" w:rsidP="00A11BC8">
      <w:pPr>
        <w:pStyle w:val="ListParagraph"/>
        <w:numPr>
          <w:ilvl w:val="0"/>
          <w:numId w:val="5"/>
        </w:numPr>
        <w:spacing w:after="120"/>
        <w:ind w:left="720"/>
        <w:jc w:val="both"/>
        <w:rPr>
          <w:szCs w:val="24"/>
        </w:rPr>
      </w:pPr>
      <w:r>
        <w:rPr>
          <w:szCs w:val="24"/>
        </w:rPr>
        <w:t>Section 8 makes provision for the costs of reproduction of documents.</w:t>
      </w:r>
    </w:p>
    <w:p w14:paraId="4AE7910A" w14:textId="77777777" w:rsidR="00BA5F48" w:rsidRDefault="00BA5F48" w:rsidP="00A11BC8">
      <w:pPr>
        <w:pStyle w:val="ListParagraph"/>
        <w:numPr>
          <w:ilvl w:val="0"/>
          <w:numId w:val="5"/>
        </w:numPr>
        <w:spacing w:after="120"/>
        <w:ind w:left="720"/>
        <w:jc w:val="both"/>
        <w:rPr>
          <w:szCs w:val="24"/>
        </w:rPr>
      </w:pPr>
      <w:r>
        <w:rPr>
          <w:szCs w:val="24"/>
        </w:rPr>
        <w:t>Section 9 deals with disbursements generally.</w:t>
      </w:r>
    </w:p>
    <w:p w14:paraId="2609A895" w14:textId="3B46B9E2" w:rsidR="000330EE" w:rsidRPr="00C046F9" w:rsidRDefault="000330EE" w:rsidP="00A11BC8">
      <w:pPr>
        <w:pStyle w:val="Default"/>
        <w:numPr>
          <w:ilvl w:val="0"/>
          <w:numId w:val="5"/>
        </w:numPr>
        <w:spacing w:before="120" w:after="120"/>
        <w:ind w:left="720"/>
        <w:jc w:val="both"/>
        <w:rPr>
          <w:rFonts w:ascii="Book Antiqua" w:hAnsi="Book Antiqua"/>
          <w:color w:val="auto"/>
        </w:rPr>
      </w:pPr>
      <w:r w:rsidRPr="00EA0D05">
        <w:rPr>
          <w:rFonts w:ascii="Book Antiqua" w:hAnsi="Book Antiqua"/>
          <w:color w:val="auto"/>
        </w:rPr>
        <w:lastRenderedPageBreak/>
        <w:t xml:space="preserve">The key guiding principle of party/party costs recovery is that the </w:t>
      </w:r>
      <w:r w:rsidR="008C015E">
        <w:rPr>
          <w:rFonts w:ascii="Book Antiqua" w:hAnsi="Book Antiqua"/>
          <w:color w:val="auto"/>
        </w:rPr>
        <w:t xml:space="preserve">entitled </w:t>
      </w:r>
      <w:r w:rsidRPr="00EA0D05">
        <w:rPr>
          <w:rFonts w:ascii="Book Antiqua" w:hAnsi="Book Antiqua"/>
          <w:color w:val="auto"/>
        </w:rPr>
        <w:t>party</w:t>
      </w:r>
      <w:r w:rsidR="001775E2">
        <w:rPr>
          <w:rFonts w:ascii="Book Antiqua" w:hAnsi="Book Antiqua"/>
          <w:color w:val="auto"/>
        </w:rPr>
        <w:t xml:space="preserve"> </w:t>
      </w:r>
      <w:r w:rsidRPr="00EA0D05">
        <w:rPr>
          <w:rFonts w:ascii="Book Antiqua" w:hAnsi="Book Antiqua"/>
          <w:color w:val="auto"/>
        </w:rPr>
        <w:t xml:space="preserve">is entitled to their reasonable costs by way of an indemnity against the expense of litigation. </w:t>
      </w:r>
    </w:p>
    <w:p w14:paraId="4ED50E91" w14:textId="66DFEC89" w:rsidR="00BA5F48" w:rsidRDefault="0094544D" w:rsidP="00A11BC8">
      <w:pPr>
        <w:pStyle w:val="ListParagraph"/>
        <w:numPr>
          <w:ilvl w:val="0"/>
          <w:numId w:val="5"/>
        </w:numPr>
        <w:spacing w:after="120"/>
        <w:ind w:left="720"/>
        <w:jc w:val="both"/>
        <w:rPr>
          <w:szCs w:val="24"/>
        </w:rPr>
      </w:pPr>
      <w:r>
        <w:rPr>
          <w:szCs w:val="24"/>
        </w:rPr>
        <w:t>The new scale is intended to provide a simplified, cost effective, fair, transparent and reasonable scheme for party/party costs recovery in Victoria.</w:t>
      </w:r>
    </w:p>
    <w:p w14:paraId="5B1895E4" w14:textId="76EC5F71" w:rsidR="005652BC" w:rsidRPr="00F64198" w:rsidRDefault="005652BC" w:rsidP="005652BC">
      <w:pPr>
        <w:pStyle w:val="Heading3"/>
        <w:spacing w:after="120"/>
      </w:pPr>
      <w:bookmarkStart w:id="5" w:name="_Toc178173274"/>
      <w:r w:rsidRPr="00F64198">
        <w:t>Section 1</w:t>
      </w:r>
      <w:r w:rsidR="000710CD">
        <w:t xml:space="preserve"> of Appendix A</w:t>
      </w:r>
      <w:r w:rsidRPr="00F64198">
        <w:t xml:space="preserve">: </w:t>
      </w:r>
      <w:r w:rsidR="009339F1">
        <w:t>w</w:t>
      </w:r>
      <w:r w:rsidRPr="00F64198">
        <w:t>here a</w:t>
      </w:r>
      <w:r w:rsidR="00CA64EF">
        <w:t>n e</w:t>
      </w:r>
      <w:r w:rsidR="00CA64EF" w:rsidRPr="00F64198">
        <w:t>ntitled</w:t>
      </w:r>
      <w:r w:rsidRPr="00F64198">
        <w:t xml:space="preserve"> </w:t>
      </w:r>
      <w:r>
        <w:t>p</w:t>
      </w:r>
      <w:r w:rsidRPr="00F64198">
        <w:t xml:space="preserve">arty </w:t>
      </w:r>
      <w:r w:rsidR="00CA64EF">
        <w:t>has been</w:t>
      </w:r>
      <w:r w:rsidRPr="00F64198">
        <w:t xml:space="preserve"> </w:t>
      </w:r>
      <w:r>
        <w:t>c</w:t>
      </w:r>
      <w:r w:rsidRPr="00F64198">
        <w:t xml:space="preserve">harged on the </w:t>
      </w:r>
      <w:r>
        <w:t>b</w:t>
      </w:r>
      <w:r w:rsidRPr="00F64198">
        <w:t xml:space="preserve">asis of </w:t>
      </w:r>
      <w:r>
        <w:t>h</w:t>
      </w:r>
      <w:r w:rsidRPr="00F64198">
        <w:t xml:space="preserve">ourly </w:t>
      </w:r>
      <w:r>
        <w:t>r</w:t>
      </w:r>
      <w:r w:rsidRPr="00F64198">
        <w:t>ates</w:t>
      </w:r>
      <w:bookmarkEnd w:id="5"/>
    </w:p>
    <w:p w14:paraId="593B3361" w14:textId="1734C310" w:rsidR="005652BC" w:rsidRDefault="005652BC" w:rsidP="00A11BC8">
      <w:pPr>
        <w:pStyle w:val="ListParagraph"/>
        <w:numPr>
          <w:ilvl w:val="0"/>
          <w:numId w:val="5"/>
        </w:numPr>
        <w:spacing w:after="120"/>
        <w:ind w:left="720"/>
        <w:jc w:val="both"/>
        <w:rPr>
          <w:szCs w:val="24"/>
        </w:rPr>
      </w:pPr>
      <w:r>
        <w:rPr>
          <w:szCs w:val="24"/>
        </w:rPr>
        <w:t xml:space="preserve">Section 1.1 </w:t>
      </w:r>
      <w:r w:rsidRPr="00F85F84">
        <w:rPr>
          <w:szCs w:val="24"/>
        </w:rPr>
        <w:t>provides a three</w:t>
      </w:r>
      <w:r>
        <w:rPr>
          <w:szCs w:val="24"/>
        </w:rPr>
        <w:t>-</w:t>
      </w:r>
      <w:r w:rsidRPr="00F85F84">
        <w:rPr>
          <w:szCs w:val="24"/>
        </w:rPr>
        <w:t xml:space="preserve">tiered scale incorporating applicable </w:t>
      </w:r>
      <w:r w:rsidRPr="00141BCD">
        <w:rPr>
          <w:i/>
          <w:iCs/>
          <w:szCs w:val="24"/>
        </w:rPr>
        <w:t>maximum</w:t>
      </w:r>
      <w:r>
        <w:rPr>
          <w:szCs w:val="24"/>
        </w:rPr>
        <w:t xml:space="preserve"> </w:t>
      </w:r>
      <w:r w:rsidRPr="00F85F84">
        <w:rPr>
          <w:szCs w:val="24"/>
        </w:rPr>
        <w:t>hour</w:t>
      </w:r>
      <w:r>
        <w:rPr>
          <w:szCs w:val="24"/>
        </w:rPr>
        <w:t>ly</w:t>
      </w:r>
      <w:r w:rsidRPr="00F85F84">
        <w:rPr>
          <w:szCs w:val="24"/>
        </w:rPr>
        <w:t xml:space="preserve"> rates for legal practitioners</w:t>
      </w:r>
      <w:r w:rsidR="002C5FD3">
        <w:rPr>
          <w:szCs w:val="24"/>
        </w:rPr>
        <w:t xml:space="preserve"> (other than counsel)</w:t>
      </w:r>
      <w:r>
        <w:rPr>
          <w:szCs w:val="24"/>
        </w:rPr>
        <w:t xml:space="preserve">, depending on their years of post-admission </w:t>
      </w:r>
      <w:r w:rsidRPr="00F85F84">
        <w:rPr>
          <w:szCs w:val="24"/>
        </w:rPr>
        <w:t>experience</w:t>
      </w:r>
      <w:r>
        <w:rPr>
          <w:szCs w:val="24"/>
        </w:rPr>
        <w:t>.</w:t>
      </w:r>
    </w:p>
    <w:p w14:paraId="4F2EEB20" w14:textId="78121CCF" w:rsidR="005652BC" w:rsidRPr="00F85F84" w:rsidRDefault="005652BC" w:rsidP="00A11BC8">
      <w:pPr>
        <w:pStyle w:val="ListParagraph"/>
        <w:numPr>
          <w:ilvl w:val="0"/>
          <w:numId w:val="5"/>
        </w:numPr>
        <w:spacing w:after="120"/>
        <w:ind w:left="720"/>
        <w:jc w:val="both"/>
        <w:rPr>
          <w:szCs w:val="24"/>
        </w:rPr>
      </w:pPr>
      <w:r>
        <w:rPr>
          <w:szCs w:val="24"/>
        </w:rPr>
        <w:t xml:space="preserve">Section 1.2 provides for </w:t>
      </w:r>
      <w:r w:rsidRPr="00D61995">
        <w:rPr>
          <w:i/>
          <w:iCs/>
          <w:szCs w:val="24"/>
        </w:rPr>
        <w:t>maximum</w:t>
      </w:r>
      <w:r>
        <w:rPr>
          <w:szCs w:val="24"/>
        </w:rPr>
        <w:t xml:space="preserve"> hourly rates for e</w:t>
      </w:r>
      <w:r w:rsidRPr="00F85F84">
        <w:rPr>
          <w:szCs w:val="24"/>
        </w:rPr>
        <w:t xml:space="preserve">mployees of a </w:t>
      </w:r>
      <w:r w:rsidR="002C5FD3">
        <w:rPr>
          <w:szCs w:val="24"/>
        </w:rPr>
        <w:t>law</w:t>
      </w:r>
      <w:r w:rsidR="002C5FD3" w:rsidRPr="00F85F84">
        <w:rPr>
          <w:szCs w:val="24"/>
        </w:rPr>
        <w:t xml:space="preserve"> </w:t>
      </w:r>
      <w:r w:rsidRPr="00F85F84">
        <w:rPr>
          <w:szCs w:val="24"/>
        </w:rPr>
        <w:t>practice</w:t>
      </w:r>
      <w:r w:rsidR="008C23DF">
        <w:rPr>
          <w:szCs w:val="24"/>
        </w:rPr>
        <w:t xml:space="preserve"> (including law graduates)</w:t>
      </w:r>
      <w:r w:rsidRPr="00F85F84">
        <w:rPr>
          <w:szCs w:val="24"/>
        </w:rPr>
        <w:t xml:space="preserve"> who are not legal practitioners</w:t>
      </w:r>
      <w:r>
        <w:rPr>
          <w:szCs w:val="24"/>
        </w:rPr>
        <w:t xml:space="preserve"> </w:t>
      </w:r>
      <w:r w:rsidR="008C23DF">
        <w:rPr>
          <w:szCs w:val="24"/>
        </w:rPr>
        <w:t xml:space="preserve">and </w:t>
      </w:r>
      <w:r>
        <w:rPr>
          <w:szCs w:val="24"/>
        </w:rPr>
        <w:t>who</w:t>
      </w:r>
      <w:r w:rsidRPr="00F85F84">
        <w:rPr>
          <w:szCs w:val="24"/>
        </w:rPr>
        <w:t>:</w:t>
      </w:r>
    </w:p>
    <w:p w14:paraId="55FF1120" w14:textId="77777777" w:rsidR="005652BC" w:rsidRPr="00EA0D05" w:rsidRDefault="005652BC" w:rsidP="005652BC">
      <w:pPr>
        <w:spacing w:after="120"/>
        <w:ind w:left="1440" w:hanging="720"/>
        <w:jc w:val="both"/>
        <w:rPr>
          <w:rFonts w:ascii="Book Antiqua" w:hAnsi="Book Antiqua"/>
        </w:rPr>
      </w:pPr>
      <w:r w:rsidRPr="00EA0D05">
        <w:rPr>
          <w:rFonts w:ascii="Book Antiqua" w:hAnsi="Book Antiqua"/>
        </w:rPr>
        <w:lastRenderedPageBreak/>
        <w:t>(</w:t>
      </w:r>
      <w:r>
        <w:rPr>
          <w:rFonts w:ascii="Book Antiqua" w:hAnsi="Book Antiqua"/>
        </w:rPr>
        <w:t>a</w:t>
      </w:r>
      <w:r w:rsidRPr="00EA0D05">
        <w:rPr>
          <w:rFonts w:ascii="Book Antiqua" w:hAnsi="Book Antiqua"/>
        </w:rPr>
        <w:t>)</w:t>
      </w:r>
      <w:r w:rsidRPr="00EA0D05">
        <w:rPr>
          <w:rFonts w:ascii="Book Antiqua" w:hAnsi="Book Antiqua"/>
        </w:rPr>
        <w:tab/>
        <w:t xml:space="preserve">perform work requiring legal skill or knowledge (formerly known </w:t>
      </w:r>
      <w:r>
        <w:rPr>
          <w:rFonts w:ascii="Book Antiqua" w:hAnsi="Book Antiqua"/>
        </w:rPr>
        <w:t xml:space="preserve">as </w:t>
      </w:r>
      <w:r w:rsidRPr="00EA0D05">
        <w:rPr>
          <w:rFonts w:ascii="Book Antiqua" w:hAnsi="Book Antiqua"/>
        </w:rPr>
        <w:t>clerks); or</w:t>
      </w:r>
    </w:p>
    <w:p w14:paraId="3540E50C" w14:textId="77777777" w:rsidR="005652BC" w:rsidRPr="00EA0D05" w:rsidRDefault="005652BC" w:rsidP="005652BC">
      <w:pPr>
        <w:ind w:left="1440" w:hanging="720"/>
        <w:jc w:val="both"/>
        <w:rPr>
          <w:rFonts w:ascii="Book Antiqua" w:hAnsi="Book Antiqua"/>
        </w:rPr>
      </w:pPr>
      <w:r w:rsidRPr="00EA0D05">
        <w:rPr>
          <w:rFonts w:ascii="Book Antiqua" w:hAnsi="Book Antiqua"/>
        </w:rPr>
        <w:t>(</w:t>
      </w:r>
      <w:r>
        <w:rPr>
          <w:rFonts w:ascii="Book Antiqua" w:hAnsi="Book Antiqua"/>
        </w:rPr>
        <w:t>b</w:t>
      </w:r>
      <w:r w:rsidRPr="00EA0D05">
        <w:rPr>
          <w:rFonts w:ascii="Book Antiqua" w:hAnsi="Book Antiqua"/>
        </w:rPr>
        <w:t>)</w:t>
      </w:r>
      <w:r w:rsidRPr="00EA0D05">
        <w:rPr>
          <w:rFonts w:ascii="Book Antiqua" w:hAnsi="Book Antiqua"/>
        </w:rPr>
        <w:tab/>
        <w:t xml:space="preserve">perform work </w:t>
      </w:r>
      <w:r>
        <w:rPr>
          <w:rFonts w:ascii="Book Antiqua" w:hAnsi="Book Antiqua"/>
        </w:rPr>
        <w:t xml:space="preserve">not requiring </w:t>
      </w:r>
      <w:r w:rsidRPr="00EA0D05">
        <w:rPr>
          <w:rFonts w:ascii="Book Antiqua" w:hAnsi="Book Antiqua"/>
        </w:rPr>
        <w:t>legal skill or knowledge</w:t>
      </w:r>
      <w:r>
        <w:rPr>
          <w:rFonts w:ascii="Book Antiqua" w:hAnsi="Book Antiqua"/>
        </w:rPr>
        <w:t xml:space="preserve">, which is capable of performance by a clerk. </w:t>
      </w:r>
    </w:p>
    <w:p w14:paraId="159FD0D5" w14:textId="69E83A3E" w:rsidR="005652BC" w:rsidRDefault="005652BC" w:rsidP="00A11BC8">
      <w:pPr>
        <w:pStyle w:val="ListParagraph"/>
        <w:numPr>
          <w:ilvl w:val="0"/>
          <w:numId w:val="5"/>
        </w:numPr>
        <w:ind w:left="720"/>
        <w:jc w:val="both"/>
        <w:rPr>
          <w:szCs w:val="24"/>
        </w:rPr>
      </w:pPr>
      <w:r>
        <w:rPr>
          <w:szCs w:val="24"/>
        </w:rPr>
        <w:t xml:space="preserve">Section 1.2(c) </w:t>
      </w:r>
      <w:r w:rsidRPr="00F85F84">
        <w:rPr>
          <w:szCs w:val="24"/>
        </w:rPr>
        <w:t xml:space="preserve">recognises that some </w:t>
      </w:r>
      <w:r w:rsidR="002C5FD3">
        <w:rPr>
          <w:szCs w:val="24"/>
        </w:rPr>
        <w:t>law</w:t>
      </w:r>
      <w:r w:rsidR="002C5FD3" w:rsidRPr="00F85F84">
        <w:rPr>
          <w:szCs w:val="24"/>
        </w:rPr>
        <w:t xml:space="preserve"> </w:t>
      </w:r>
      <w:r w:rsidRPr="00F85F84">
        <w:rPr>
          <w:szCs w:val="24"/>
        </w:rPr>
        <w:t>practices employ professionals such as accountants, financial advisors</w:t>
      </w:r>
      <w:r>
        <w:rPr>
          <w:szCs w:val="24"/>
        </w:rPr>
        <w:t>,</w:t>
      </w:r>
      <w:r w:rsidRPr="00F85F84">
        <w:rPr>
          <w:szCs w:val="24"/>
        </w:rPr>
        <w:t xml:space="preserve"> information technology specialists and data and forensic analysts. If work performed by these </w:t>
      </w:r>
      <w:r>
        <w:rPr>
          <w:szCs w:val="24"/>
        </w:rPr>
        <w:t>employees</w:t>
      </w:r>
      <w:r w:rsidRPr="00F85F84">
        <w:rPr>
          <w:szCs w:val="24"/>
        </w:rPr>
        <w:t xml:space="preserve"> was referred to external providers</w:t>
      </w:r>
      <w:r>
        <w:rPr>
          <w:szCs w:val="24"/>
        </w:rPr>
        <w:t>,</w:t>
      </w:r>
      <w:r w:rsidRPr="00F85F84">
        <w:rPr>
          <w:szCs w:val="24"/>
        </w:rPr>
        <w:t xml:space="preserve"> the amount charged </w:t>
      </w:r>
      <w:r>
        <w:rPr>
          <w:szCs w:val="24"/>
        </w:rPr>
        <w:t xml:space="preserve">would </w:t>
      </w:r>
      <w:r w:rsidRPr="00F85F84">
        <w:rPr>
          <w:szCs w:val="24"/>
        </w:rPr>
        <w:t xml:space="preserve">be claimable as disbursements. To the extent that the work </w:t>
      </w:r>
      <w:r>
        <w:rPr>
          <w:szCs w:val="24"/>
        </w:rPr>
        <w:t xml:space="preserve">of such employees </w:t>
      </w:r>
      <w:r w:rsidRPr="00F85F84">
        <w:rPr>
          <w:szCs w:val="24"/>
        </w:rPr>
        <w:t>compl</w:t>
      </w:r>
      <w:r w:rsidR="008C23DF">
        <w:rPr>
          <w:szCs w:val="24"/>
        </w:rPr>
        <w:t>e</w:t>
      </w:r>
      <w:r w:rsidRPr="00F85F84">
        <w:rPr>
          <w:szCs w:val="24"/>
        </w:rPr>
        <w:t>ments or supports the delivery of legal services</w:t>
      </w:r>
      <w:r w:rsidR="00A62622">
        <w:rPr>
          <w:szCs w:val="24"/>
        </w:rPr>
        <w:t xml:space="preserve"> in relation to a proceeding</w:t>
      </w:r>
      <w:r w:rsidRPr="00F85F84">
        <w:rPr>
          <w:szCs w:val="24"/>
        </w:rPr>
        <w:t>, reasonable hourly rates may be allowed</w:t>
      </w:r>
      <w:r w:rsidR="00A62622">
        <w:rPr>
          <w:szCs w:val="24"/>
        </w:rPr>
        <w:t>, up to the maximum rate specified in s</w:t>
      </w:r>
      <w:r w:rsidR="00763B81">
        <w:rPr>
          <w:szCs w:val="24"/>
        </w:rPr>
        <w:t>ection 1.2(c).</w:t>
      </w:r>
      <w:r w:rsidRPr="00F85F84">
        <w:rPr>
          <w:szCs w:val="24"/>
        </w:rPr>
        <w:t xml:space="preserve">  </w:t>
      </w:r>
    </w:p>
    <w:p w14:paraId="489BCC20" w14:textId="1BC7701D" w:rsidR="004609CD" w:rsidRPr="00F85F84" w:rsidRDefault="005450D7" w:rsidP="00A11BC8">
      <w:pPr>
        <w:pStyle w:val="ListParagraph"/>
        <w:numPr>
          <w:ilvl w:val="0"/>
          <w:numId w:val="5"/>
        </w:numPr>
        <w:ind w:left="720"/>
        <w:jc w:val="both"/>
        <w:rPr>
          <w:szCs w:val="24"/>
        </w:rPr>
      </w:pPr>
      <w:r>
        <w:rPr>
          <w:szCs w:val="24"/>
        </w:rPr>
        <w:t xml:space="preserve">There are no </w:t>
      </w:r>
      <w:r w:rsidRPr="00FA420B">
        <w:rPr>
          <w:i/>
          <w:iCs/>
          <w:szCs w:val="24"/>
        </w:rPr>
        <w:t>minimum</w:t>
      </w:r>
      <w:r>
        <w:rPr>
          <w:szCs w:val="24"/>
        </w:rPr>
        <w:t xml:space="preserve"> hourly rates</w:t>
      </w:r>
      <w:r w:rsidR="00FB27EB">
        <w:rPr>
          <w:szCs w:val="24"/>
        </w:rPr>
        <w:t xml:space="preserve"> for legal practitioners or employees.</w:t>
      </w:r>
    </w:p>
    <w:p w14:paraId="38B2FB8E" w14:textId="415CFCD5" w:rsidR="000D2A61" w:rsidRPr="00EC789C" w:rsidRDefault="002C5FD3" w:rsidP="00A11BC8">
      <w:pPr>
        <w:pStyle w:val="ListParagraph"/>
        <w:numPr>
          <w:ilvl w:val="0"/>
          <w:numId w:val="5"/>
        </w:numPr>
        <w:spacing w:after="120" w:line="276" w:lineRule="auto"/>
        <w:ind w:left="720"/>
        <w:jc w:val="both"/>
        <w:rPr>
          <w:szCs w:val="24"/>
        </w:rPr>
      </w:pPr>
      <w:r>
        <w:rPr>
          <w:szCs w:val="24"/>
        </w:rPr>
        <w:lastRenderedPageBreak/>
        <w:t>From 1 January 2025</w:t>
      </w:r>
      <w:r w:rsidR="007B52AF">
        <w:rPr>
          <w:szCs w:val="24"/>
        </w:rPr>
        <w:t xml:space="preserve">, a bill of </w:t>
      </w:r>
      <w:r w:rsidR="00C535DD">
        <w:rPr>
          <w:szCs w:val="24"/>
        </w:rPr>
        <w:t xml:space="preserve">party-party </w:t>
      </w:r>
      <w:r w:rsidR="007B52AF">
        <w:rPr>
          <w:szCs w:val="24"/>
        </w:rPr>
        <w:t xml:space="preserve">costs under Section 1 </w:t>
      </w:r>
      <w:r w:rsidR="000D2A61" w:rsidRPr="00EC789C">
        <w:rPr>
          <w:szCs w:val="24"/>
        </w:rPr>
        <w:t>must itemise the</w:t>
      </w:r>
      <w:r w:rsidR="007B52AF">
        <w:rPr>
          <w:szCs w:val="24"/>
        </w:rPr>
        <w:t xml:space="preserve"> claim</w:t>
      </w:r>
      <w:r w:rsidR="00AC6D3E">
        <w:rPr>
          <w:szCs w:val="24"/>
        </w:rPr>
        <w:t xml:space="preserve"> in accordance with the new</w:t>
      </w:r>
      <w:r w:rsidR="00390A02">
        <w:rPr>
          <w:szCs w:val="24"/>
        </w:rPr>
        <w:t xml:space="preserve"> provision</w:t>
      </w:r>
      <w:r w:rsidR="00114C56">
        <w:rPr>
          <w:szCs w:val="24"/>
        </w:rPr>
        <w:t>s</w:t>
      </w:r>
      <w:r w:rsidR="00390A02">
        <w:rPr>
          <w:szCs w:val="24"/>
        </w:rPr>
        <w:t xml:space="preserve"> of</w:t>
      </w:r>
      <w:r w:rsidR="00AC6D3E">
        <w:rPr>
          <w:szCs w:val="24"/>
        </w:rPr>
        <w:t xml:space="preserve"> </w:t>
      </w:r>
      <w:proofErr w:type="spellStart"/>
      <w:r w:rsidR="00AC6D3E">
        <w:rPr>
          <w:szCs w:val="24"/>
        </w:rPr>
        <w:t>rr</w:t>
      </w:r>
      <w:proofErr w:type="spellEnd"/>
      <w:r w:rsidR="00AC6D3E">
        <w:rPr>
          <w:szCs w:val="24"/>
        </w:rPr>
        <w:t xml:space="preserve"> 63.42(2)</w:t>
      </w:r>
      <w:r w:rsidR="0065198B">
        <w:rPr>
          <w:szCs w:val="24"/>
        </w:rPr>
        <w:t xml:space="preserve"> and</w:t>
      </w:r>
      <w:r w:rsidR="00AC6D3E">
        <w:rPr>
          <w:szCs w:val="24"/>
        </w:rPr>
        <w:t xml:space="preserve"> (3) of the </w:t>
      </w:r>
      <w:r w:rsidR="00FA45F6">
        <w:rPr>
          <w:i/>
          <w:iCs/>
          <w:szCs w:val="24"/>
        </w:rPr>
        <w:t>Rules.</w:t>
      </w:r>
      <w:r w:rsidR="00FA45F6">
        <w:rPr>
          <w:szCs w:val="24"/>
        </w:rPr>
        <w:t xml:space="preserve">  That will involve, among other things, referring to and applying the relevant hour</w:t>
      </w:r>
      <w:r w:rsidR="000710CD">
        <w:rPr>
          <w:szCs w:val="24"/>
        </w:rPr>
        <w:t>ly</w:t>
      </w:r>
      <w:r w:rsidR="00FA45F6">
        <w:rPr>
          <w:szCs w:val="24"/>
        </w:rPr>
        <w:t xml:space="preserve"> rates.  Under r 63.42(10)</w:t>
      </w:r>
      <w:r w:rsidR="00682F9B">
        <w:rPr>
          <w:szCs w:val="24"/>
        </w:rPr>
        <w:t xml:space="preserve">, </w:t>
      </w:r>
      <w:r w:rsidR="00A92350">
        <w:rPr>
          <w:szCs w:val="24"/>
        </w:rPr>
        <w:t xml:space="preserve">matters relied on in relation to the determination of reasonableness </w:t>
      </w:r>
      <w:r w:rsidR="000710CD">
        <w:rPr>
          <w:szCs w:val="24"/>
        </w:rPr>
        <w:t xml:space="preserve">– </w:t>
      </w:r>
      <w:r w:rsidR="00C87377">
        <w:rPr>
          <w:szCs w:val="24"/>
        </w:rPr>
        <w:t>unless already stated in the bill pursuant to other requirements</w:t>
      </w:r>
      <w:r w:rsidR="000C17E9">
        <w:rPr>
          <w:szCs w:val="24"/>
        </w:rPr>
        <w:t xml:space="preserve"> –</w:t>
      </w:r>
      <w:r w:rsidR="00A92350">
        <w:rPr>
          <w:szCs w:val="24"/>
        </w:rPr>
        <w:t xml:space="preserve"> are to be stated briefly in a separate part of the bill of costs</w:t>
      </w:r>
      <w:r w:rsidR="00DA5A50">
        <w:rPr>
          <w:szCs w:val="24"/>
        </w:rPr>
        <w:t>.</w:t>
      </w:r>
      <w:r w:rsidR="000D2A61" w:rsidRPr="00EC789C">
        <w:rPr>
          <w:szCs w:val="24"/>
        </w:rPr>
        <w:t xml:space="preserve"> </w:t>
      </w:r>
    </w:p>
    <w:p w14:paraId="45694FD3" w14:textId="2FB2D9B9" w:rsidR="000D2A61" w:rsidRPr="00EC789C" w:rsidRDefault="000D2A61" w:rsidP="00A11BC8">
      <w:pPr>
        <w:pStyle w:val="ListParagraph"/>
        <w:numPr>
          <w:ilvl w:val="0"/>
          <w:numId w:val="5"/>
        </w:numPr>
        <w:spacing w:after="120"/>
        <w:ind w:left="720"/>
        <w:jc w:val="both"/>
        <w:rPr>
          <w:szCs w:val="24"/>
        </w:rPr>
      </w:pPr>
      <w:r w:rsidRPr="00EC789C">
        <w:rPr>
          <w:szCs w:val="24"/>
        </w:rPr>
        <w:t xml:space="preserve">The </w:t>
      </w:r>
      <w:r w:rsidR="005C3CF8">
        <w:rPr>
          <w:szCs w:val="24"/>
        </w:rPr>
        <w:t xml:space="preserve">inclusion of </w:t>
      </w:r>
      <w:r w:rsidRPr="00EC789C">
        <w:rPr>
          <w:szCs w:val="24"/>
        </w:rPr>
        <w:t xml:space="preserve">maximum hourly </w:t>
      </w:r>
      <w:r>
        <w:rPr>
          <w:szCs w:val="24"/>
        </w:rPr>
        <w:t>rate</w:t>
      </w:r>
      <w:r w:rsidR="005C3CF8">
        <w:rPr>
          <w:szCs w:val="24"/>
        </w:rPr>
        <w:t>s</w:t>
      </w:r>
      <w:r>
        <w:rPr>
          <w:szCs w:val="24"/>
        </w:rPr>
        <w:t xml:space="preserve"> </w:t>
      </w:r>
      <w:r w:rsidRPr="00EC789C">
        <w:rPr>
          <w:szCs w:val="24"/>
        </w:rPr>
        <w:t xml:space="preserve">in Section 1 should not be seen as an endorsement by the Court that </w:t>
      </w:r>
      <w:r>
        <w:rPr>
          <w:szCs w:val="24"/>
        </w:rPr>
        <w:t xml:space="preserve">those rates are </w:t>
      </w:r>
      <w:r w:rsidRPr="00EC789C">
        <w:rPr>
          <w:szCs w:val="24"/>
        </w:rPr>
        <w:t xml:space="preserve">reasonable in every case or even in most cases. It is not an invitation for practitioners to charge their clients the maximum hourly rate and claim that rate as between parties. All claims must be reasonable.  </w:t>
      </w:r>
    </w:p>
    <w:p w14:paraId="30DBBBBD" w14:textId="2C858B7A" w:rsidR="00DA5A50" w:rsidRDefault="00DA5A50" w:rsidP="00A11BC8">
      <w:pPr>
        <w:pStyle w:val="ListParagraph"/>
        <w:numPr>
          <w:ilvl w:val="0"/>
          <w:numId w:val="5"/>
        </w:numPr>
        <w:spacing w:after="120"/>
        <w:ind w:left="720"/>
        <w:jc w:val="both"/>
        <w:rPr>
          <w:szCs w:val="24"/>
        </w:rPr>
      </w:pPr>
      <w:r>
        <w:rPr>
          <w:szCs w:val="24"/>
        </w:rPr>
        <w:lastRenderedPageBreak/>
        <w:t>Equally, claiming a full unit of six minutes where the amount charged would not be reasonable for the work done is discouraged.  For example:</w:t>
      </w:r>
    </w:p>
    <w:p w14:paraId="6568164B" w14:textId="287F3E06" w:rsidR="00DA5A50" w:rsidRDefault="009F6530" w:rsidP="009F6530">
      <w:pPr>
        <w:pStyle w:val="ListParagraph"/>
        <w:numPr>
          <w:ilvl w:val="0"/>
          <w:numId w:val="0"/>
        </w:numPr>
        <w:spacing w:after="120"/>
        <w:ind w:left="1440" w:hanging="720"/>
        <w:jc w:val="both"/>
        <w:rPr>
          <w:szCs w:val="24"/>
        </w:rPr>
      </w:pPr>
      <w:r>
        <w:rPr>
          <w:szCs w:val="24"/>
        </w:rPr>
        <w:t>(a)</w:t>
      </w:r>
      <w:r>
        <w:rPr>
          <w:szCs w:val="24"/>
        </w:rPr>
        <w:tab/>
        <w:t>claiming one full unit of charge for reading incoming correspondence of say 20 words or less</w:t>
      </w:r>
      <w:r w:rsidR="00712138">
        <w:rPr>
          <w:szCs w:val="24"/>
        </w:rPr>
        <w:t xml:space="preserve"> may not be considered reasonable; or</w:t>
      </w:r>
    </w:p>
    <w:p w14:paraId="39610068" w14:textId="1F55F57B" w:rsidR="00712138" w:rsidRDefault="00712138" w:rsidP="009F6530">
      <w:pPr>
        <w:pStyle w:val="ListParagraph"/>
        <w:numPr>
          <w:ilvl w:val="0"/>
          <w:numId w:val="0"/>
        </w:numPr>
        <w:spacing w:after="120"/>
        <w:ind w:left="1440" w:hanging="720"/>
        <w:jc w:val="both"/>
        <w:rPr>
          <w:szCs w:val="24"/>
        </w:rPr>
      </w:pPr>
      <w:r>
        <w:rPr>
          <w:szCs w:val="24"/>
        </w:rPr>
        <w:t>(b)</w:t>
      </w:r>
      <w:r>
        <w:rPr>
          <w:szCs w:val="24"/>
        </w:rPr>
        <w:tab/>
        <w:t>claiming two units of charge when the work done took seven minutes may not, in all the circumstances, be considered reasonable.</w:t>
      </w:r>
    </w:p>
    <w:p w14:paraId="6D064EBE" w14:textId="44C9DDDE" w:rsidR="00712138" w:rsidRDefault="00712138" w:rsidP="00E739C7">
      <w:pPr>
        <w:pStyle w:val="ListParagraph"/>
        <w:numPr>
          <w:ilvl w:val="0"/>
          <w:numId w:val="0"/>
        </w:numPr>
        <w:spacing w:after="120"/>
        <w:ind w:left="720"/>
        <w:jc w:val="both"/>
        <w:rPr>
          <w:szCs w:val="24"/>
        </w:rPr>
      </w:pPr>
      <w:r>
        <w:rPr>
          <w:szCs w:val="24"/>
        </w:rPr>
        <w:t>A person drawing a bill of costs must use their discretion to appropriately moderate claims that may not be reasonable.  Whether it is the hourly rate itself or the number of units claimed, all claims must be reasonable.</w:t>
      </w:r>
    </w:p>
    <w:p w14:paraId="7428384D" w14:textId="1CFE1A53" w:rsidR="000D2A61" w:rsidRPr="00EC789C" w:rsidRDefault="000D2A61" w:rsidP="00A11BC8">
      <w:pPr>
        <w:pStyle w:val="ListParagraph"/>
        <w:numPr>
          <w:ilvl w:val="0"/>
          <w:numId w:val="5"/>
        </w:numPr>
        <w:spacing w:after="120"/>
        <w:ind w:left="720"/>
        <w:jc w:val="both"/>
        <w:rPr>
          <w:szCs w:val="24"/>
        </w:rPr>
      </w:pPr>
      <w:r w:rsidRPr="00EC789C">
        <w:rPr>
          <w:szCs w:val="24"/>
        </w:rPr>
        <w:t xml:space="preserve">Where </w:t>
      </w:r>
      <w:r w:rsidR="00087827">
        <w:rPr>
          <w:szCs w:val="24"/>
        </w:rPr>
        <w:t xml:space="preserve">party/party </w:t>
      </w:r>
      <w:r w:rsidRPr="00EC789C">
        <w:rPr>
          <w:szCs w:val="24"/>
        </w:rPr>
        <w:t xml:space="preserve">costs are </w:t>
      </w:r>
      <w:r w:rsidR="00087827">
        <w:rPr>
          <w:szCs w:val="24"/>
        </w:rPr>
        <w:t>payable</w:t>
      </w:r>
      <w:r w:rsidR="00087827" w:rsidRPr="00EC789C">
        <w:rPr>
          <w:szCs w:val="24"/>
        </w:rPr>
        <w:t xml:space="preserve"> </w:t>
      </w:r>
      <w:r w:rsidRPr="00EC789C">
        <w:rPr>
          <w:szCs w:val="24"/>
        </w:rPr>
        <w:t xml:space="preserve">on </w:t>
      </w:r>
      <w:r w:rsidR="00087827">
        <w:rPr>
          <w:szCs w:val="24"/>
        </w:rPr>
        <w:t>the</w:t>
      </w:r>
      <w:r w:rsidRPr="00EC789C">
        <w:rPr>
          <w:szCs w:val="24"/>
        </w:rPr>
        <w:t xml:space="preserve"> standard basis, the onus will be on the </w:t>
      </w:r>
      <w:r w:rsidR="005874F7">
        <w:rPr>
          <w:szCs w:val="24"/>
        </w:rPr>
        <w:t>entitled party</w:t>
      </w:r>
      <w:r w:rsidRPr="00EC789C">
        <w:rPr>
          <w:szCs w:val="24"/>
        </w:rPr>
        <w:t xml:space="preserve"> to satisfy the Costs Court that the </w:t>
      </w:r>
      <w:r w:rsidR="00D74C2B">
        <w:rPr>
          <w:szCs w:val="24"/>
        </w:rPr>
        <w:t xml:space="preserve">hourly </w:t>
      </w:r>
      <w:r w:rsidRPr="00EC789C">
        <w:rPr>
          <w:szCs w:val="24"/>
        </w:rPr>
        <w:t>rate</w:t>
      </w:r>
      <w:r w:rsidR="00D74C2B">
        <w:rPr>
          <w:szCs w:val="24"/>
        </w:rPr>
        <w:t>s</w:t>
      </w:r>
      <w:r w:rsidRPr="00EC789C">
        <w:rPr>
          <w:szCs w:val="24"/>
        </w:rPr>
        <w:t xml:space="preserve"> claimed </w:t>
      </w:r>
      <w:r w:rsidR="00D74C2B">
        <w:rPr>
          <w:szCs w:val="24"/>
        </w:rPr>
        <w:t>are</w:t>
      </w:r>
      <w:r w:rsidRPr="00EC789C">
        <w:rPr>
          <w:szCs w:val="24"/>
        </w:rPr>
        <w:t xml:space="preserve"> reasonable</w:t>
      </w:r>
      <w:r>
        <w:rPr>
          <w:szCs w:val="24"/>
        </w:rPr>
        <w:t>.</w:t>
      </w:r>
    </w:p>
    <w:p w14:paraId="4604DC55" w14:textId="5BD9AAC1" w:rsidR="000D2A61" w:rsidRPr="00EC789C" w:rsidRDefault="005C75E4" w:rsidP="00A11BC8">
      <w:pPr>
        <w:pStyle w:val="ListParagraph"/>
        <w:numPr>
          <w:ilvl w:val="0"/>
          <w:numId w:val="5"/>
        </w:numPr>
        <w:spacing w:after="120"/>
        <w:ind w:left="720"/>
        <w:jc w:val="both"/>
        <w:rPr>
          <w:szCs w:val="24"/>
        </w:rPr>
      </w:pPr>
      <w:r>
        <w:rPr>
          <w:szCs w:val="24"/>
        </w:rPr>
        <w:lastRenderedPageBreak/>
        <w:t>Where party/party costs are payable on the</w:t>
      </w:r>
      <w:r w:rsidR="000D2A61" w:rsidRPr="00EC789C">
        <w:rPr>
          <w:szCs w:val="24"/>
        </w:rPr>
        <w:t xml:space="preserve"> indemnity basis,</w:t>
      </w:r>
      <w:r>
        <w:rPr>
          <w:szCs w:val="24"/>
        </w:rPr>
        <w:t xml:space="preserve"> all costs are to be allowed</w:t>
      </w:r>
      <w:r w:rsidR="00E93063">
        <w:rPr>
          <w:szCs w:val="24"/>
        </w:rPr>
        <w:t xml:space="preserve"> except insofar as they are of an unreasonable amount or have been unreasonably incurred</w:t>
      </w:r>
      <w:r w:rsidR="00737C59">
        <w:rPr>
          <w:szCs w:val="24"/>
        </w:rPr>
        <w:t xml:space="preserve">, and any doubt in those respects is to be resolved in favour of the party to whom costs are payable: see </w:t>
      </w:r>
      <w:r w:rsidR="004D6DED">
        <w:rPr>
          <w:szCs w:val="24"/>
        </w:rPr>
        <w:t>Rule 63.30.1. Nevertheless, in a taxation on the indemnity basis</w:t>
      </w:r>
      <w:r w:rsidR="00074FCA">
        <w:rPr>
          <w:szCs w:val="24"/>
        </w:rPr>
        <w:t>, the scale</w:t>
      </w:r>
      <w:r w:rsidR="001A4213">
        <w:rPr>
          <w:szCs w:val="24"/>
        </w:rPr>
        <w:t xml:space="preserve"> in Appendix A remains applicable. Thus</w:t>
      </w:r>
      <w:r w:rsidR="00B56F98">
        <w:rPr>
          <w:szCs w:val="24"/>
        </w:rPr>
        <w:t xml:space="preserve"> all claimable</w:t>
      </w:r>
      <w:r w:rsidR="001A4213">
        <w:rPr>
          <w:szCs w:val="24"/>
        </w:rPr>
        <w:t xml:space="preserve"> costs</w:t>
      </w:r>
      <w:r w:rsidR="004D6DED">
        <w:rPr>
          <w:szCs w:val="24"/>
        </w:rPr>
        <w:t xml:space="preserve"> </w:t>
      </w:r>
      <w:r w:rsidR="00B42709">
        <w:rPr>
          <w:szCs w:val="24"/>
        </w:rPr>
        <w:t>remain subject to</w:t>
      </w:r>
      <w:r w:rsidR="004D6DED">
        <w:rPr>
          <w:szCs w:val="24"/>
        </w:rPr>
        <w:t xml:space="preserve"> the reasonableness requirements and</w:t>
      </w:r>
      <w:r w:rsidR="00546C25">
        <w:rPr>
          <w:szCs w:val="24"/>
        </w:rPr>
        <w:t xml:space="preserve">, </w:t>
      </w:r>
      <w:r w:rsidR="00B77EFC">
        <w:rPr>
          <w:szCs w:val="24"/>
        </w:rPr>
        <w:t>in the case of a party who has been charged on the basis of hourly rates, to</w:t>
      </w:r>
      <w:r w:rsidR="004D6DED">
        <w:rPr>
          <w:szCs w:val="24"/>
        </w:rPr>
        <w:t xml:space="preserve"> the maximums set out in Section 1 of Appendix A</w:t>
      </w:r>
      <w:r w:rsidR="00E11879">
        <w:rPr>
          <w:szCs w:val="24"/>
        </w:rPr>
        <w:t>.</w:t>
      </w:r>
    </w:p>
    <w:p w14:paraId="4385742F" w14:textId="64E75345" w:rsidR="000D2A61" w:rsidRPr="00EC789C" w:rsidRDefault="00642545" w:rsidP="00A11BC8">
      <w:pPr>
        <w:pStyle w:val="ListParagraph"/>
        <w:numPr>
          <w:ilvl w:val="0"/>
          <w:numId w:val="5"/>
        </w:numPr>
        <w:spacing w:after="120"/>
        <w:ind w:left="720"/>
        <w:jc w:val="both"/>
        <w:rPr>
          <w:szCs w:val="24"/>
        </w:rPr>
      </w:pPr>
      <w:r>
        <w:rPr>
          <w:szCs w:val="24"/>
        </w:rPr>
        <w:t>A</w:t>
      </w:r>
      <w:r w:rsidR="00557DB5">
        <w:rPr>
          <w:szCs w:val="24"/>
        </w:rPr>
        <w:t>n entitled party</w:t>
      </w:r>
      <w:r w:rsidR="000D2A61" w:rsidRPr="00EC789C">
        <w:rPr>
          <w:szCs w:val="24"/>
        </w:rPr>
        <w:t xml:space="preserve"> who has been charged on the basis of hourly rates </w:t>
      </w:r>
      <w:r w:rsidR="004102C5">
        <w:rPr>
          <w:szCs w:val="24"/>
        </w:rPr>
        <w:t>may</w:t>
      </w:r>
      <w:r w:rsidR="004102C5" w:rsidRPr="00EC789C">
        <w:rPr>
          <w:szCs w:val="24"/>
        </w:rPr>
        <w:t xml:space="preserve"> </w:t>
      </w:r>
      <w:r w:rsidR="000D2A61" w:rsidRPr="00EC789C">
        <w:rPr>
          <w:szCs w:val="24"/>
        </w:rPr>
        <w:t>claim the actual rate they have been charged, exclusive of GST, provided that:</w:t>
      </w:r>
    </w:p>
    <w:p w14:paraId="71C6F79A" w14:textId="77777777" w:rsidR="000D2A61" w:rsidRPr="00EA0D05" w:rsidRDefault="000D2A61" w:rsidP="000D2A61">
      <w:pPr>
        <w:spacing w:after="120"/>
        <w:ind w:firstLine="720"/>
        <w:jc w:val="both"/>
        <w:rPr>
          <w:rFonts w:ascii="Book Antiqua" w:hAnsi="Book Antiqua"/>
        </w:rPr>
      </w:pPr>
      <w:r w:rsidRPr="00EA0D05">
        <w:rPr>
          <w:rFonts w:ascii="Book Antiqua" w:hAnsi="Book Antiqua"/>
        </w:rPr>
        <w:t xml:space="preserve">(i) </w:t>
      </w:r>
      <w:r w:rsidRPr="00EA0D05">
        <w:rPr>
          <w:rFonts w:ascii="Book Antiqua" w:hAnsi="Book Antiqua"/>
        </w:rPr>
        <w:tab/>
        <w:t>the hourly rate is within the maximum rates allowed in Section 1; and</w:t>
      </w:r>
    </w:p>
    <w:p w14:paraId="7915C88D" w14:textId="1E71A79D" w:rsidR="000D2A61" w:rsidRPr="00EA0D05" w:rsidRDefault="000D2A61" w:rsidP="000D2A61">
      <w:pPr>
        <w:ind w:left="1440" w:hanging="720"/>
        <w:jc w:val="both"/>
        <w:rPr>
          <w:rFonts w:ascii="Book Antiqua" w:hAnsi="Book Antiqua"/>
        </w:rPr>
      </w:pPr>
      <w:r w:rsidRPr="00EA0D05">
        <w:rPr>
          <w:rFonts w:ascii="Book Antiqua" w:hAnsi="Book Antiqua"/>
        </w:rPr>
        <w:lastRenderedPageBreak/>
        <w:t xml:space="preserve">(ii) </w:t>
      </w:r>
      <w:r w:rsidRPr="00EA0D05">
        <w:rPr>
          <w:rFonts w:ascii="Book Antiqua" w:hAnsi="Book Antiqua"/>
        </w:rPr>
        <w:tab/>
        <w:t xml:space="preserve">the rates are considered by the </w:t>
      </w:r>
      <w:r w:rsidR="00526886">
        <w:rPr>
          <w:rFonts w:ascii="Book Antiqua" w:hAnsi="Book Antiqua"/>
        </w:rPr>
        <w:t>entitled party</w:t>
      </w:r>
      <w:r w:rsidRPr="00EA0D05">
        <w:rPr>
          <w:rFonts w:ascii="Book Antiqua" w:hAnsi="Book Antiqua"/>
        </w:rPr>
        <w:t xml:space="preserve"> to be </w:t>
      </w:r>
      <w:r>
        <w:rPr>
          <w:rFonts w:ascii="Book Antiqua" w:hAnsi="Book Antiqua"/>
        </w:rPr>
        <w:t>‘</w:t>
      </w:r>
      <w:r w:rsidRPr="00EA0D05">
        <w:rPr>
          <w:rFonts w:ascii="Book Antiqua" w:hAnsi="Book Antiqua"/>
        </w:rPr>
        <w:t>reasonable</w:t>
      </w:r>
      <w:r>
        <w:rPr>
          <w:rFonts w:ascii="Book Antiqua" w:hAnsi="Book Antiqua"/>
        </w:rPr>
        <w:t>’</w:t>
      </w:r>
      <w:r w:rsidRPr="00EA0D05">
        <w:rPr>
          <w:rFonts w:ascii="Book Antiqua" w:hAnsi="Book Antiqua"/>
        </w:rPr>
        <w:t xml:space="preserve"> having regard to Section 2 of Appendix A. The </w:t>
      </w:r>
      <w:r w:rsidR="00A35FAD">
        <w:rPr>
          <w:rFonts w:ascii="Book Antiqua" w:hAnsi="Book Antiqua"/>
        </w:rPr>
        <w:t>entitled party</w:t>
      </w:r>
      <w:r w:rsidRPr="00EA0D05">
        <w:rPr>
          <w:rFonts w:ascii="Book Antiqua" w:hAnsi="Book Antiqua"/>
        </w:rPr>
        <w:t xml:space="preserve"> must make a self-assessment of the rates claimed and certify at the end </w:t>
      </w:r>
      <w:r w:rsidR="00642545">
        <w:rPr>
          <w:rFonts w:ascii="Book Antiqua" w:hAnsi="Book Antiqua"/>
        </w:rPr>
        <w:t xml:space="preserve">of </w:t>
      </w:r>
      <w:r w:rsidRPr="00EA0D05">
        <w:rPr>
          <w:rFonts w:ascii="Book Antiqua" w:hAnsi="Book Antiqua"/>
        </w:rPr>
        <w:t>the bill that</w:t>
      </w:r>
      <w:r>
        <w:rPr>
          <w:rFonts w:ascii="Book Antiqua" w:hAnsi="Book Antiqua"/>
        </w:rPr>
        <w:t>,</w:t>
      </w:r>
      <w:r w:rsidRPr="00EA0D05">
        <w:rPr>
          <w:rFonts w:ascii="Book Antiqua" w:hAnsi="Book Antiqua"/>
        </w:rPr>
        <w:t xml:space="preserve"> in their opinion, the rates are reasonable. </w:t>
      </w:r>
    </w:p>
    <w:p w14:paraId="53BBC1EE" w14:textId="1AB04E03" w:rsidR="000D2A61" w:rsidRPr="008B4E4E" w:rsidRDefault="000D2A61" w:rsidP="00A11BC8">
      <w:pPr>
        <w:pStyle w:val="ListParagraph"/>
        <w:numPr>
          <w:ilvl w:val="0"/>
          <w:numId w:val="5"/>
        </w:numPr>
        <w:spacing w:after="120"/>
        <w:ind w:left="720"/>
        <w:jc w:val="both"/>
        <w:rPr>
          <w:szCs w:val="24"/>
        </w:rPr>
      </w:pPr>
      <w:r w:rsidRPr="008B4E4E">
        <w:rPr>
          <w:szCs w:val="24"/>
        </w:rPr>
        <w:t xml:space="preserve">If there is an objection to </w:t>
      </w:r>
      <w:r w:rsidR="008D3C75">
        <w:rPr>
          <w:szCs w:val="24"/>
        </w:rPr>
        <w:t>a</w:t>
      </w:r>
      <w:r w:rsidR="000C17E9">
        <w:rPr>
          <w:szCs w:val="24"/>
        </w:rPr>
        <w:t>n hourly</w:t>
      </w:r>
      <w:r w:rsidR="008D3C75" w:rsidRPr="008B4E4E">
        <w:rPr>
          <w:szCs w:val="24"/>
        </w:rPr>
        <w:t xml:space="preserve"> </w:t>
      </w:r>
      <w:r w:rsidRPr="008B4E4E">
        <w:rPr>
          <w:szCs w:val="24"/>
        </w:rPr>
        <w:t>rate claimed in the bill of costs</w:t>
      </w:r>
      <w:r w:rsidR="000C17E9">
        <w:rPr>
          <w:szCs w:val="24"/>
        </w:rPr>
        <w:t xml:space="preserve">, </w:t>
      </w:r>
      <w:r w:rsidRPr="008B4E4E">
        <w:rPr>
          <w:szCs w:val="24"/>
        </w:rPr>
        <w:t xml:space="preserve">the costs assessor will determine the reasonableness of the rate and </w:t>
      </w:r>
      <w:r w:rsidR="00B77EFC">
        <w:rPr>
          <w:szCs w:val="24"/>
        </w:rPr>
        <w:t xml:space="preserve">of </w:t>
      </w:r>
      <w:r w:rsidRPr="008B4E4E">
        <w:rPr>
          <w:szCs w:val="24"/>
        </w:rPr>
        <w:t>the overall amount charged for the work done</w:t>
      </w:r>
      <w:r w:rsidR="00730DD1">
        <w:rPr>
          <w:szCs w:val="24"/>
        </w:rPr>
        <w:t>,</w:t>
      </w:r>
      <w:r w:rsidRPr="008B4E4E">
        <w:rPr>
          <w:szCs w:val="24"/>
        </w:rPr>
        <w:t xml:space="preserve"> based on the criteria in </w:t>
      </w:r>
      <w:r>
        <w:rPr>
          <w:szCs w:val="24"/>
        </w:rPr>
        <w:t>S</w:t>
      </w:r>
      <w:r w:rsidRPr="008B4E4E">
        <w:rPr>
          <w:szCs w:val="24"/>
        </w:rPr>
        <w:t>ection 2 of Appendix A.</w:t>
      </w:r>
    </w:p>
    <w:p w14:paraId="650BB946" w14:textId="0937FF4A" w:rsidR="000D2A61" w:rsidRPr="008B4E4E" w:rsidRDefault="000D2A61" w:rsidP="00A11BC8">
      <w:pPr>
        <w:pStyle w:val="ListParagraph"/>
        <w:numPr>
          <w:ilvl w:val="0"/>
          <w:numId w:val="5"/>
        </w:numPr>
        <w:spacing w:after="120"/>
        <w:ind w:left="720"/>
        <w:jc w:val="both"/>
        <w:rPr>
          <w:szCs w:val="24"/>
        </w:rPr>
      </w:pPr>
      <w:r w:rsidRPr="008B4E4E">
        <w:rPr>
          <w:szCs w:val="24"/>
        </w:rPr>
        <w:t>The objective will be to determin</w:t>
      </w:r>
      <w:r w:rsidR="00F530E8">
        <w:rPr>
          <w:szCs w:val="24"/>
        </w:rPr>
        <w:t>e</w:t>
      </w:r>
      <w:r w:rsidRPr="008B4E4E">
        <w:rPr>
          <w:szCs w:val="24"/>
        </w:rPr>
        <w:t xml:space="preserve"> whether the amount </w:t>
      </w:r>
      <w:r w:rsidR="00A35FAD">
        <w:rPr>
          <w:szCs w:val="24"/>
        </w:rPr>
        <w:t>claimed</w:t>
      </w:r>
      <w:r w:rsidR="00A35FAD" w:rsidRPr="008B4E4E">
        <w:rPr>
          <w:szCs w:val="24"/>
        </w:rPr>
        <w:t xml:space="preserve"> </w:t>
      </w:r>
      <w:r w:rsidRPr="008B4E4E">
        <w:rPr>
          <w:szCs w:val="24"/>
        </w:rPr>
        <w:t>relative to the work done is re</w:t>
      </w:r>
      <w:r>
        <w:rPr>
          <w:szCs w:val="24"/>
        </w:rPr>
        <w:t>asonable</w:t>
      </w:r>
      <w:r w:rsidRPr="008B4E4E">
        <w:rPr>
          <w:szCs w:val="24"/>
        </w:rPr>
        <w:t>. For example</w:t>
      </w:r>
      <w:r>
        <w:rPr>
          <w:szCs w:val="24"/>
        </w:rPr>
        <w:t>,</w:t>
      </w:r>
      <w:r w:rsidRPr="008B4E4E">
        <w:rPr>
          <w:szCs w:val="24"/>
        </w:rPr>
        <w:t xml:space="preserve"> the costs assessor may consider whether the work done required legal skill or knowledge, or other professional skills and expertise. The same hourly rate will not necessarily be allowed for all time spent or work done by the same individual. It follows that </w:t>
      </w:r>
      <w:r>
        <w:rPr>
          <w:szCs w:val="24"/>
        </w:rPr>
        <w:t>t</w:t>
      </w:r>
      <w:r w:rsidRPr="008B4E4E">
        <w:rPr>
          <w:szCs w:val="24"/>
        </w:rPr>
        <w:t xml:space="preserve">he hourly rate allowed </w:t>
      </w:r>
      <w:r w:rsidRPr="008B4E4E">
        <w:rPr>
          <w:szCs w:val="24"/>
        </w:rPr>
        <w:lastRenderedPageBreak/>
        <w:t xml:space="preserve">for a lawyer drafting a letter requiring legal skill </w:t>
      </w:r>
      <w:r>
        <w:rPr>
          <w:szCs w:val="24"/>
        </w:rPr>
        <w:t>may</w:t>
      </w:r>
      <w:r w:rsidRPr="008B4E4E">
        <w:rPr>
          <w:szCs w:val="24"/>
        </w:rPr>
        <w:t xml:space="preserve"> be higher than the hourly rate allowed for the same lawyer collating court books.</w:t>
      </w:r>
    </w:p>
    <w:p w14:paraId="07AC6C68" w14:textId="45EF6EF1" w:rsidR="000B728C" w:rsidRDefault="008E7FCC" w:rsidP="00A11BC8">
      <w:pPr>
        <w:pStyle w:val="ListParagraph"/>
        <w:numPr>
          <w:ilvl w:val="0"/>
          <w:numId w:val="5"/>
        </w:numPr>
        <w:ind w:left="720"/>
        <w:jc w:val="both"/>
        <w:rPr>
          <w:szCs w:val="24"/>
        </w:rPr>
      </w:pPr>
      <w:r>
        <w:rPr>
          <w:szCs w:val="24"/>
        </w:rPr>
        <w:t>Where a</w:t>
      </w:r>
      <w:r w:rsidR="000B728C" w:rsidRPr="008B4E4E">
        <w:rPr>
          <w:szCs w:val="24"/>
        </w:rPr>
        <w:t xml:space="preserve"> matter proceeds to a </w:t>
      </w:r>
      <w:r>
        <w:rPr>
          <w:szCs w:val="24"/>
        </w:rPr>
        <w:t xml:space="preserve">full </w:t>
      </w:r>
      <w:r w:rsidR="000B728C" w:rsidRPr="008B4E4E">
        <w:rPr>
          <w:szCs w:val="24"/>
        </w:rPr>
        <w:t xml:space="preserve">taxation, any general objection in relation to the </w:t>
      </w:r>
      <w:r w:rsidR="000B728C">
        <w:rPr>
          <w:szCs w:val="24"/>
        </w:rPr>
        <w:t xml:space="preserve">hourly </w:t>
      </w:r>
      <w:r w:rsidR="000B728C" w:rsidRPr="008B4E4E">
        <w:rPr>
          <w:szCs w:val="24"/>
        </w:rPr>
        <w:t>rate</w:t>
      </w:r>
      <w:r w:rsidR="000B728C">
        <w:rPr>
          <w:szCs w:val="24"/>
        </w:rPr>
        <w:t>s</w:t>
      </w:r>
      <w:r w:rsidR="000B728C" w:rsidRPr="008B4E4E">
        <w:rPr>
          <w:szCs w:val="24"/>
        </w:rPr>
        <w:t xml:space="preserve"> charge</w:t>
      </w:r>
      <w:r w:rsidR="000B728C">
        <w:rPr>
          <w:szCs w:val="24"/>
        </w:rPr>
        <w:t>d</w:t>
      </w:r>
      <w:r w:rsidR="000B728C" w:rsidRPr="008B4E4E">
        <w:rPr>
          <w:szCs w:val="24"/>
        </w:rPr>
        <w:t xml:space="preserve"> will be dealt with at the taxation. There will not be a separate preliminary hearing to determine the applicable hourly rate</w:t>
      </w:r>
      <w:r w:rsidR="00C276BD">
        <w:rPr>
          <w:szCs w:val="24"/>
        </w:rPr>
        <w:t>s</w:t>
      </w:r>
      <w:r w:rsidR="000B728C" w:rsidRPr="008B4E4E">
        <w:rPr>
          <w:szCs w:val="24"/>
        </w:rPr>
        <w:t xml:space="preserve">. </w:t>
      </w:r>
    </w:p>
    <w:p w14:paraId="379FD33A" w14:textId="633035BD" w:rsidR="005620E9" w:rsidRPr="00586715" w:rsidRDefault="005620E9" w:rsidP="005620E9">
      <w:pPr>
        <w:pStyle w:val="Heading3"/>
        <w:spacing w:after="120"/>
      </w:pPr>
      <w:bookmarkStart w:id="6" w:name="_Toc178173275"/>
      <w:r w:rsidRPr="00F64198">
        <w:t>Section 3</w:t>
      </w:r>
      <w:r w:rsidR="00D16486">
        <w:t xml:space="preserve"> of Appendix A</w:t>
      </w:r>
      <w:r w:rsidRPr="00F64198">
        <w:t xml:space="preserve">: </w:t>
      </w:r>
      <w:r>
        <w:t>w</w:t>
      </w:r>
      <w:r w:rsidRPr="00F64198">
        <w:t>here a</w:t>
      </w:r>
      <w:r w:rsidR="00A35FAD">
        <w:t>n e</w:t>
      </w:r>
      <w:r w:rsidR="00A35FAD" w:rsidRPr="00F64198">
        <w:t>ntitled</w:t>
      </w:r>
      <w:r w:rsidRPr="00F64198">
        <w:t xml:space="preserve"> </w:t>
      </w:r>
      <w:r>
        <w:t>p</w:t>
      </w:r>
      <w:r w:rsidRPr="00F64198">
        <w:t xml:space="preserve">arty </w:t>
      </w:r>
      <w:r w:rsidR="0037366D">
        <w:t xml:space="preserve">has </w:t>
      </w:r>
      <w:r>
        <w:t>n</w:t>
      </w:r>
      <w:r w:rsidRPr="00F64198">
        <w:t xml:space="preserve">ot </w:t>
      </w:r>
      <w:r w:rsidR="0037366D">
        <w:t xml:space="preserve">been </w:t>
      </w:r>
      <w:r>
        <w:t>c</w:t>
      </w:r>
      <w:r w:rsidRPr="00F64198">
        <w:t xml:space="preserve">harged on the </w:t>
      </w:r>
      <w:r>
        <w:t>b</w:t>
      </w:r>
      <w:r w:rsidRPr="00F64198">
        <w:t xml:space="preserve">asis of </w:t>
      </w:r>
      <w:r>
        <w:t>h</w:t>
      </w:r>
      <w:r w:rsidRPr="00F64198">
        <w:t xml:space="preserve">ourly </w:t>
      </w:r>
      <w:r>
        <w:t>r</w:t>
      </w:r>
      <w:r w:rsidRPr="00F64198">
        <w:t>ates</w:t>
      </w:r>
      <w:bookmarkEnd w:id="6"/>
    </w:p>
    <w:p w14:paraId="0977179D" w14:textId="33197AD0" w:rsidR="005620E9" w:rsidRDefault="005620E9" w:rsidP="00A11BC8">
      <w:pPr>
        <w:pStyle w:val="ListParagraph"/>
        <w:numPr>
          <w:ilvl w:val="0"/>
          <w:numId w:val="5"/>
        </w:numPr>
        <w:spacing w:after="120"/>
        <w:ind w:left="720"/>
        <w:jc w:val="both"/>
        <w:rPr>
          <w:szCs w:val="24"/>
        </w:rPr>
      </w:pPr>
      <w:r w:rsidRPr="00250B5B">
        <w:rPr>
          <w:szCs w:val="24"/>
        </w:rPr>
        <w:t xml:space="preserve">Section 3 of Appendix A relates to </w:t>
      </w:r>
      <w:r w:rsidR="00697C20">
        <w:rPr>
          <w:szCs w:val="24"/>
        </w:rPr>
        <w:t>cases</w:t>
      </w:r>
      <w:r w:rsidRPr="00250B5B">
        <w:rPr>
          <w:szCs w:val="24"/>
        </w:rPr>
        <w:t xml:space="preserve"> where the party entitled to costs is not charged on the basis of hourly rates. In such cases</w:t>
      </w:r>
      <w:r>
        <w:rPr>
          <w:szCs w:val="24"/>
        </w:rPr>
        <w:t>,</w:t>
      </w:r>
      <w:r w:rsidR="00697C20">
        <w:rPr>
          <w:szCs w:val="24"/>
        </w:rPr>
        <w:t xml:space="preserve"> a reasonable amount is to be allowed</w:t>
      </w:r>
      <w:r w:rsidR="00946A1B">
        <w:rPr>
          <w:szCs w:val="24"/>
        </w:rPr>
        <w:t xml:space="preserve"> and th</w:t>
      </w:r>
      <w:r w:rsidR="00946A1B" w:rsidRPr="00C76838">
        <w:rPr>
          <w:szCs w:val="24"/>
        </w:rPr>
        <w:t>e</w:t>
      </w:r>
      <w:r w:rsidR="005D4D2C" w:rsidRPr="00C76838">
        <w:rPr>
          <w:szCs w:val="24"/>
        </w:rPr>
        <w:t xml:space="preserve"> considerations of reasonableness in Section 2 of Appendix A apply.</w:t>
      </w:r>
    </w:p>
    <w:p w14:paraId="38D196B6" w14:textId="48788495" w:rsidR="005620E9" w:rsidRDefault="00C276BD" w:rsidP="00A11BC8">
      <w:pPr>
        <w:pStyle w:val="ListParagraph"/>
        <w:numPr>
          <w:ilvl w:val="0"/>
          <w:numId w:val="5"/>
        </w:numPr>
        <w:spacing w:after="120"/>
        <w:ind w:left="720"/>
        <w:jc w:val="both"/>
        <w:rPr>
          <w:rStyle w:val="ui-provider"/>
          <w:szCs w:val="24"/>
        </w:rPr>
      </w:pPr>
      <w:r>
        <w:rPr>
          <w:rStyle w:val="ui-provider"/>
          <w:szCs w:val="24"/>
        </w:rPr>
        <w:t xml:space="preserve">A </w:t>
      </w:r>
      <w:r w:rsidR="005620E9" w:rsidRPr="006E0C26">
        <w:rPr>
          <w:rStyle w:val="ui-provider"/>
          <w:szCs w:val="24"/>
        </w:rPr>
        <w:t>bill of costs</w:t>
      </w:r>
      <w:r>
        <w:rPr>
          <w:rStyle w:val="ui-provider"/>
          <w:szCs w:val="24"/>
        </w:rPr>
        <w:t xml:space="preserve"> under Section</w:t>
      </w:r>
      <w:r w:rsidR="000F1ACF">
        <w:rPr>
          <w:rStyle w:val="ui-provider"/>
          <w:szCs w:val="24"/>
        </w:rPr>
        <w:t xml:space="preserve"> 3 must itemise the claim</w:t>
      </w:r>
      <w:r w:rsidR="00697C20">
        <w:rPr>
          <w:rStyle w:val="ui-provider"/>
          <w:szCs w:val="24"/>
        </w:rPr>
        <w:t xml:space="preserve"> in accordance with</w:t>
      </w:r>
      <w:r w:rsidR="001D3342">
        <w:rPr>
          <w:rStyle w:val="ui-provider"/>
          <w:szCs w:val="24"/>
        </w:rPr>
        <w:t xml:space="preserve"> </w:t>
      </w:r>
      <w:proofErr w:type="spellStart"/>
      <w:r w:rsidR="000F1ACF">
        <w:rPr>
          <w:rStyle w:val="ui-provider"/>
          <w:szCs w:val="24"/>
        </w:rPr>
        <w:t>r</w:t>
      </w:r>
      <w:r w:rsidR="00244082">
        <w:rPr>
          <w:rStyle w:val="ui-provider"/>
          <w:szCs w:val="24"/>
        </w:rPr>
        <w:t>r</w:t>
      </w:r>
      <w:proofErr w:type="spellEnd"/>
      <w:r w:rsidR="00244082">
        <w:rPr>
          <w:rStyle w:val="ui-provider"/>
          <w:szCs w:val="24"/>
        </w:rPr>
        <w:t> </w:t>
      </w:r>
      <w:r w:rsidR="001D3342">
        <w:rPr>
          <w:rStyle w:val="ui-provider"/>
          <w:szCs w:val="24"/>
        </w:rPr>
        <w:t>63.42</w:t>
      </w:r>
      <w:r w:rsidR="000F1ACF">
        <w:rPr>
          <w:rStyle w:val="ui-provider"/>
          <w:szCs w:val="24"/>
        </w:rPr>
        <w:t xml:space="preserve">(2) and </w:t>
      </w:r>
      <w:r w:rsidR="001D3342">
        <w:rPr>
          <w:rStyle w:val="ui-provider"/>
          <w:szCs w:val="24"/>
        </w:rPr>
        <w:t xml:space="preserve">(4) of the </w:t>
      </w:r>
      <w:r w:rsidR="001D3342">
        <w:rPr>
          <w:rStyle w:val="ui-provider"/>
          <w:i/>
          <w:iCs/>
          <w:szCs w:val="24"/>
        </w:rPr>
        <w:t>Rules.</w:t>
      </w:r>
      <w:r w:rsidR="005D4D2C">
        <w:rPr>
          <w:rStyle w:val="ui-provider"/>
          <w:szCs w:val="24"/>
        </w:rPr>
        <w:t xml:space="preserve"> </w:t>
      </w:r>
      <w:r w:rsidR="00133A1F">
        <w:rPr>
          <w:rStyle w:val="ui-provider"/>
          <w:szCs w:val="24"/>
        </w:rPr>
        <w:lastRenderedPageBreak/>
        <w:t>Again, u</w:t>
      </w:r>
      <w:r w:rsidR="003F7F1D">
        <w:rPr>
          <w:rStyle w:val="ui-provider"/>
          <w:szCs w:val="24"/>
        </w:rPr>
        <w:t xml:space="preserve">nder </w:t>
      </w:r>
      <w:r w:rsidR="0002126D">
        <w:rPr>
          <w:rStyle w:val="ui-provider"/>
          <w:szCs w:val="24"/>
        </w:rPr>
        <w:t>r</w:t>
      </w:r>
      <w:r w:rsidR="003F7F1D">
        <w:rPr>
          <w:rStyle w:val="ui-provider"/>
          <w:szCs w:val="24"/>
        </w:rPr>
        <w:t xml:space="preserve"> 6</w:t>
      </w:r>
      <w:r w:rsidR="0002126D">
        <w:rPr>
          <w:rStyle w:val="ui-provider"/>
          <w:szCs w:val="24"/>
        </w:rPr>
        <w:t>3.42(1</w:t>
      </w:r>
      <w:r w:rsidR="003D4555">
        <w:rPr>
          <w:rStyle w:val="ui-provider"/>
          <w:szCs w:val="24"/>
        </w:rPr>
        <w:t>0</w:t>
      </w:r>
      <w:r w:rsidR="0002126D">
        <w:rPr>
          <w:rStyle w:val="ui-provider"/>
          <w:szCs w:val="24"/>
        </w:rPr>
        <w:t xml:space="preserve">), matters relied on in relation to the determination of reasonableness (but not yet stated in the </w:t>
      </w:r>
      <w:r w:rsidR="003D4555">
        <w:rPr>
          <w:rStyle w:val="ui-provider"/>
          <w:szCs w:val="24"/>
        </w:rPr>
        <w:t>b</w:t>
      </w:r>
      <w:r w:rsidR="0002126D">
        <w:rPr>
          <w:rStyle w:val="ui-provider"/>
          <w:szCs w:val="24"/>
        </w:rPr>
        <w:t>ill</w:t>
      </w:r>
      <w:r w:rsidR="00A42948">
        <w:rPr>
          <w:rStyle w:val="ui-provider"/>
          <w:szCs w:val="24"/>
        </w:rPr>
        <w:t xml:space="preserve"> pursuant to other requirements</w:t>
      </w:r>
      <w:r w:rsidR="0002126D">
        <w:rPr>
          <w:rStyle w:val="ui-provider"/>
          <w:szCs w:val="24"/>
        </w:rPr>
        <w:t xml:space="preserve">) are to be set out briefly in a separate part of the </w:t>
      </w:r>
      <w:r w:rsidR="00B43067">
        <w:rPr>
          <w:rStyle w:val="ui-provider"/>
          <w:szCs w:val="24"/>
        </w:rPr>
        <w:t>b</w:t>
      </w:r>
      <w:r w:rsidR="0002126D">
        <w:rPr>
          <w:rStyle w:val="ui-provider"/>
          <w:szCs w:val="24"/>
        </w:rPr>
        <w:t xml:space="preserve">ill.  </w:t>
      </w:r>
      <w:r w:rsidR="003D4555">
        <w:rPr>
          <w:rStyle w:val="ui-provider"/>
          <w:szCs w:val="24"/>
        </w:rPr>
        <w:t>In claims under Section</w:t>
      </w:r>
      <w:r w:rsidR="0065198B">
        <w:rPr>
          <w:rStyle w:val="ui-provider"/>
          <w:szCs w:val="24"/>
        </w:rPr>
        <w:t xml:space="preserve"> 3, this</w:t>
      </w:r>
      <w:r w:rsidR="003D4555">
        <w:rPr>
          <w:rStyle w:val="ui-provider"/>
          <w:szCs w:val="24"/>
        </w:rPr>
        <w:t xml:space="preserve"> </w:t>
      </w:r>
      <w:r w:rsidR="0002126D">
        <w:rPr>
          <w:rStyle w:val="ui-provider"/>
          <w:szCs w:val="24"/>
        </w:rPr>
        <w:t xml:space="preserve">will commonly require the </w:t>
      </w:r>
      <w:r w:rsidR="007B26CB">
        <w:rPr>
          <w:rStyle w:val="ui-provider"/>
          <w:szCs w:val="24"/>
        </w:rPr>
        <w:t>entitled party</w:t>
      </w:r>
      <w:r w:rsidR="0002126D">
        <w:rPr>
          <w:rStyle w:val="ui-provider"/>
          <w:szCs w:val="24"/>
        </w:rPr>
        <w:t xml:space="preserve"> to identify the general basis on which they have</w:t>
      </w:r>
      <w:r w:rsidR="00D509D7">
        <w:rPr>
          <w:rStyle w:val="ui-provider"/>
          <w:szCs w:val="24"/>
        </w:rPr>
        <w:t xml:space="preserve"> been charged, e</w:t>
      </w:r>
      <w:r w:rsidR="00285B99">
        <w:rPr>
          <w:rStyle w:val="ui-provider"/>
          <w:szCs w:val="24"/>
        </w:rPr>
        <w:t>.</w:t>
      </w:r>
      <w:r w:rsidR="00D509D7">
        <w:rPr>
          <w:rStyle w:val="ui-provider"/>
          <w:szCs w:val="24"/>
        </w:rPr>
        <w:t>g. a fixed cost agreement or some other pricing model.</w:t>
      </w:r>
    </w:p>
    <w:p w14:paraId="5B8F9231" w14:textId="08F53B1F" w:rsidR="005620E9" w:rsidRPr="008E0E6D" w:rsidRDefault="00D509D7" w:rsidP="00A11BC8">
      <w:pPr>
        <w:pStyle w:val="ListParagraph"/>
        <w:numPr>
          <w:ilvl w:val="0"/>
          <w:numId w:val="5"/>
        </w:numPr>
        <w:spacing w:after="120"/>
        <w:ind w:left="720"/>
        <w:jc w:val="both"/>
        <w:rPr>
          <w:szCs w:val="24"/>
        </w:rPr>
      </w:pPr>
      <w:r>
        <w:rPr>
          <w:rStyle w:val="ui-provider"/>
          <w:szCs w:val="24"/>
        </w:rPr>
        <w:t>Correspondingly</w:t>
      </w:r>
      <w:r w:rsidR="005620E9">
        <w:rPr>
          <w:rStyle w:val="ui-provider"/>
          <w:szCs w:val="24"/>
        </w:rPr>
        <w:t xml:space="preserve">, the notice of objections </w:t>
      </w:r>
      <w:r>
        <w:rPr>
          <w:rStyle w:val="ui-provider"/>
          <w:szCs w:val="24"/>
        </w:rPr>
        <w:t xml:space="preserve">of the </w:t>
      </w:r>
      <w:r w:rsidR="005E1E08">
        <w:rPr>
          <w:rStyle w:val="ui-provider"/>
          <w:szCs w:val="24"/>
        </w:rPr>
        <w:t>liable party</w:t>
      </w:r>
      <w:r>
        <w:rPr>
          <w:rStyle w:val="ui-provider"/>
          <w:szCs w:val="24"/>
        </w:rPr>
        <w:t xml:space="preserve"> </w:t>
      </w:r>
      <w:r w:rsidR="005620E9">
        <w:rPr>
          <w:rStyle w:val="ui-provider"/>
          <w:szCs w:val="24"/>
        </w:rPr>
        <w:t>must</w:t>
      </w:r>
      <w:r>
        <w:rPr>
          <w:rStyle w:val="ui-provider"/>
          <w:szCs w:val="24"/>
        </w:rPr>
        <w:t xml:space="preserve"> not only address the itemised claims made </w:t>
      </w:r>
      <w:r w:rsidR="00155646">
        <w:rPr>
          <w:rStyle w:val="ui-provider"/>
          <w:szCs w:val="24"/>
        </w:rPr>
        <w:t>and their reasonableness</w:t>
      </w:r>
      <w:r w:rsidR="004C3604">
        <w:rPr>
          <w:rStyle w:val="ui-provider"/>
          <w:szCs w:val="24"/>
        </w:rPr>
        <w:t>,</w:t>
      </w:r>
      <w:r w:rsidR="00155646">
        <w:rPr>
          <w:rStyle w:val="ui-provider"/>
          <w:szCs w:val="24"/>
        </w:rPr>
        <w:t xml:space="preserve"> </w:t>
      </w:r>
      <w:r>
        <w:rPr>
          <w:rStyle w:val="ui-provider"/>
          <w:szCs w:val="24"/>
        </w:rPr>
        <w:t xml:space="preserve">but must address </w:t>
      </w:r>
      <w:r w:rsidR="005D4D2C">
        <w:rPr>
          <w:rStyle w:val="ui-provider"/>
          <w:szCs w:val="24"/>
        </w:rPr>
        <w:t xml:space="preserve">any statement made </w:t>
      </w:r>
      <w:r w:rsidR="00946A1B">
        <w:rPr>
          <w:rStyle w:val="ui-provider"/>
          <w:szCs w:val="24"/>
        </w:rPr>
        <w:t xml:space="preserve">in the separate part of the </w:t>
      </w:r>
      <w:r w:rsidR="00B43067">
        <w:rPr>
          <w:rStyle w:val="ui-provider"/>
          <w:szCs w:val="24"/>
        </w:rPr>
        <w:t>b</w:t>
      </w:r>
      <w:r w:rsidR="00946A1B">
        <w:rPr>
          <w:rStyle w:val="ui-provider"/>
          <w:szCs w:val="24"/>
        </w:rPr>
        <w:t xml:space="preserve">ill </w:t>
      </w:r>
      <w:r w:rsidR="005D4D2C">
        <w:rPr>
          <w:rStyle w:val="ui-provider"/>
          <w:szCs w:val="24"/>
        </w:rPr>
        <w:t>relating to reasonableness</w:t>
      </w:r>
      <w:r>
        <w:rPr>
          <w:rStyle w:val="ui-provider"/>
          <w:szCs w:val="24"/>
        </w:rPr>
        <w:t xml:space="preserve">, such as </w:t>
      </w:r>
      <w:r w:rsidR="00AD50C8">
        <w:rPr>
          <w:rStyle w:val="ui-provider"/>
          <w:szCs w:val="24"/>
        </w:rPr>
        <w:t xml:space="preserve">any reliance by the </w:t>
      </w:r>
      <w:r w:rsidR="005E1E08" w:rsidRPr="00881FA8">
        <w:rPr>
          <w:rStyle w:val="ui-provider"/>
          <w:szCs w:val="24"/>
        </w:rPr>
        <w:t>entitled party</w:t>
      </w:r>
      <w:r w:rsidR="00AD50C8">
        <w:rPr>
          <w:rStyle w:val="ui-provider"/>
          <w:szCs w:val="24"/>
        </w:rPr>
        <w:t xml:space="preserve"> on a particular model of pricing.</w:t>
      </w:r>
      <w:r>
        <w:rPr>
          <w:rStyle w:val="ui-provider"/>
          <w:szCs w:val="24"/>
        </w:rPr>
        <w:t xml:space="preserve"> </w:t>
      </w:r>
    </w:p>
    <w:p w14:paraId="2DE845FB" w14:textId="0C0B0436" w:rsidR="005620E9" w:rsidRPr="00680D16" w:rsidRDefault="005D4D2C" w:rsidP="00A11BC8">
      <w:pPr>
        <w:pStyle w:val="ListParagraph"/>
        <w:numPr>
          <w:ilvl w:val="0"/>
          <w:numId w:val="5"/>
        </w:numPr>
        <w:spacing w:after="120"/>
        <w:ind w:left="720"/>
        <w:jc w:val="both"/>
        <w:rPr>
          <w:rStyle w:val="cf01"/>
          <w:rFonts w:ascii="Book Antiqua" w:hAnsi="Book Antiqua" w:cs="Times New Roman"/>
          <w:sz w:val="24"/>
          <w:szCs w:val="24"/>
        </w:rPr>
      </w:pPr>
      <w:r>
        <w:rPr>
          <w:rFonts w:cs="Arial"/>
          <w:szCs w:val="24"/>
        </w:rPr>
        <w:t xml:space="preserve">Section 3 recognises </w:t>
      </w:r>
      <w:r w:rsidR="005620E9" w:rsidRPr="00480CC1">
        <w:rPr>
          <w:rFonts w:cs="Arial"/>
          <w:szCs w:val="24"/>
        </w:rPr>
        <w:t>that law practices are adopting innovative pricing models such as value pricing and fixed</w:t>
      </w:r>
      <w:r w:rsidR="00F817CD">
        <w:rPr>
          <w:rFonts w:cs="Arial"/>
          <w:szCs w:val="24"/>
        </w:rPr>
        <w:t xml:space="preserve"> </w:t>
      </w:r>
      <w:r w:rsidR="005620E9" w:rsidRPr="00480CC1">
        <w:rPr>
          <w:rFonts w:cs="Arial"/>
          <w:szCs w:val="24"/>
        </w:rPr>
        <w:t>pricing, as an alternative to time-based costing</w:t>
      </w:r>
      <w:r w:rsidR="00D16486">
        <w:rPr>
          <w:rFonts w:cs="Arial"/>
          <w:szCs w:val="24"/>
        </w:rPr>
        <w:t>.</w:t>
      </w:r>
      <w:r w:rsidR="005620E9" w:rsidRPr="004318D4">
        <w:rPr>
          <w:rStyle w:val="cf01"/>
          <w:rFonts w:ascii="Book Antiqua" w:hAnsi="Book Antiqua"/>
          <w:sz w:val="24"/>
          <w:szCs w:val="24"/>
        </w:rPr>
        <w:t xml:space="preserve"> </w:t>
      </w:r>
      <w:r w:rsidR="00123ABA" w:rsidRPr="004318D4">
        <w:rPr>
          <w:rStyle w:val="cf01"/>
          <w:rFonts w:ascii="Book Antiqua" w:hAnsi="Book Antiqua"/>
          <w:sz w:val="24"/>
          <w:szCs w:val="24"/>
        </w:rPr>
        <w:t>The intention of the Rules is not to discourage any form of pricing model,</w:t>
      </w:r>
      <w:r w:rsidR="00A9532B">
        <w:rPr>
          <w:rStyle w:val="cf01"/>
          <w:rFonts w:ascii="Book Antiqua" w:hAnsi="Book Antiqua"/>
          <w:sz w:val="24"/>
          <w:szCs w:val="24"/>
        </w:rPr>
        <w:t xml:space="preserve"> while still seeking </w:t>
      </w:r>
      <w:r w:rsidR="00123ABA" w:rsidRPr="004318D4">
        <w:rPr>
          <w:rStyle w:val="cf01"/>
          <w:rFonts w:ascii="Book Antiqua" w:hAnsi="Book Antiqua"/>
          <w:sz w:val="24"/>
          <w:szCs w:val="24"/>
        </w:rPr>
        <w:t xml:space="preserve">to </w:t>
      </w:r>
      <w:r w:rsidR="00123ABA" w:rsidRPr="004318D4">
        <w:rPr>
          <w:rStyle w:val="cf01"/>
          <w:rFonts w:ascii="Book Antiqua" w:hAnsi="Book Antiqua"/>
          <w:sz w:val="24"/>
          <w:szCs w:val="24"/>
        </w:rPr>
        <w:lastRenderedPageBreak/>
        <w:t xml:space="preserve">ensure that a liable party is able to adequately test the reasonableness of the costs </w:t>
      </w:r>
      <w:r w:rsidR="00123ABA">
        <w:rPr>
          <w:rStyle w:val="cf01"/>
          <w:rFonts w:ascii="Book Antiqua" w:hAnsi="Book Antiqua"/>
          <w:sz w:val="24"/>
          <w:szCs w:val="24"/>
        </w:rPr>
        <w:t xml:space="preserve">claimed. </w:t>
      </w:r>
    </w:p>
    <w:p w14:paraId="42D18267" w14:textId="43822CDD" w:rsidR="005620E9" w:rsidRPr="00480CC1" w:rsidRDefault="00815010" w:rsidP="00A11BC8">
      <w:pPr>
        <w:pStyle w:val="ListParagraph"/>
        <w:numPr>
          <w:ilvl w:val="0"/>
          <w:numId w:val="5"/>
        </w:numPr>
        <w:spacing w:after="120"/>
        <w:ind w:left="720"/>
        <w:jc w:val="both"/>
        <w:rPr>
          <w:szCs w:val="24"/>
        </w:rPr>
      </w:pPr>
      <w:r>
        <w:rPr>
          <w:szCs w:val="24"/>
        </w:rPr>
        <w:t>It is understood</w:t>
      </w:r>
      <w:r w:rsidR="005620E9">
        <w:rPr>
          <w:szCs w:val="24"/>
        </w:rPr>
        <w:t xml:space="preserve"> that some law practices m</w:t>
      </w:r>
      <w:r w:rsidR="005620E9" w:rsidRPr="005800EB">
        <w:t xml:space="preserve">ay continue to charge on the </w:t>
      </w:r>
      <w:r w:rsidR="005620E9">
        <w:t xml:space="preserve">2024 Scale. </w:t>
      </w:r>
      <w:r w:rsidR="005620E9" w:rsidRPr="005800EB">
        <w:t xml:space="preserve"> For example, if after 1 January 2025 a personal injury law practice chooses to </w:t>
      </w:r>
      <w:r w:rsidR="005620E9">
        <w:t xml:space="preserve">continue to </w:t>
      </w:r>
      <w:r w:rsidR="005620E9" w:rsidRPr="005800EB">
        <w:t xml:space="preserve">charge their client on the basis of </w:t>
      </w:r>
      <w:r w:rsidR="005620E9">
        <w:t xml:space="preserve">the 2024 scale, </w:t>
      </w:r>
      <w:r w:rsidR="005620E9" w:rsidRPr="005800EB">
        <w:t xml:space="preserve"> the client, as between parties, will be entitled to claim costs</w:t>
      </w:r>
      <w:r w:rsidR="006F2257">
        <w:t xml:space="preserve"> by reference to </w:t>
      </w:r>
      <w:r w:rsidR="005620E9">
        <w:t>the 2024 scale</w:t>
      </w:r>
      <w:r w:rsidR="005620E9" w:rsidRPr="005800EB">
        <w:t xml:space="preserve"> and recover an amount that is reasonable.</w:t>
      </w:r>
    </w:p>
    <w:p w14:paraId="7A84898C" w14:textId="453AEA3F" w:rsidR="005620E9" w:rsidRPr="0097361F" w:rsidRDefault="005620E9" w:rsidP="00A11BC8">
      <w:pPr>
        <w:pStyle w:val="ListParagraph"/>
        <w:numPr>
          <w:ilvl w:val="0"/>
          <w:numId w:val="5"/>
        </w:numPr>
        <w:spacing w:after="120"/>
        <w:ind w:left="720"/>
        <w:jc w:val="both"/>
        <w:rPr>
          <w:szCs w:val="24"/>
        </w:rPr>
      </w:pPr>
      <w:r w:rsidRPr="005800EB">
        <w:rPr>
          <w:szCs w:val="24"/>
        </w:rPr>
        <w:t xml:space="preserve">Although </w:t>
      </w:r>
      <w:r w:rsidR="00123ABA">
        <w:rPr>
          <w:szCs w:val="24"/>
        </w:rPr>
        <w:t>it is likely</w:t>
      </w:r>
      <w:r w:rsidR="00A9532B">
        <w:rPr>
          <w:szCs w:val="24"/>
        </w:rPr>
        <w:t xml:space="preserve"> that</w:t>
      </w:r>
      <w:r w:rsidR="00123ABA">
        <w:rPr>
          <w:szCs w:val="24"/>
        </w:rPr>
        <w:t xml:space="preserve"> over time many law practices </w:t>
      </w:r>
      <w:r w:rsidRPr="005800EB">
        <w:rPr>
          <w:szCs w:val="24"/>
        </w:rPr>
        <w:t xml:space="preserve">will adopt </w:t>
      </w:r>
      <w:r w:rsidR="00123ABA">
        <w:rPr>
          <w:szCs w:val="24"/>
        </w:rPr>
        <w:t xml:space="preserve">cost agreement structures based on </w:t>
      </w:r>
      <w:r>
        <w:rPr>
          <w:szCs w:val="24"/>
        </w:rPr>
        <w:t xml:space="preserve">Section 1 of Appendix A </w:t>
      </w:r>
      <w:r w:rsidRPr="005800EB">
        <w:rPr>
          <w:szCs w:val="24"/>
        </w:rPr>
        <w:t>in order to facilitate party/party recovery based on time</w:t>
      </w:r>
      <w:r w:rsidR="006F2257">
        <w:rPr>
          <w:szCs w:val="24"/>
        </w:rPr>
        <w:t xml:space="preserve"> costing</w:t>
      </w:r>
      <w:r w:rsidRPr="005800EB">
        <w:rPr>
          <w:szCs w:val="24"/>
        </w:rPr>
        <w:t xml:space="preserve">, there will be no </w:t>
      </w:r>
      <w:r w:rsidRPr="005800EB">
        <w:rPr>
          <w:rStyle w:val="cf01"/>
          <w:rFonts w:ascii="Book Antiqua" w:hAnsi="Book Antiqua"/>
          <w:sz w:val="24"/>
          <w:szCs w:val="24"/>
        </w:rPr>
        <w:t>obligation to</w:t>
      </w:r>
      <w:r w:rsidR="00F817CD">
        <w:rPr>
          <w:rStyle w:val="cf01"/>
          <w:rFonts w:ascii="Book Antiqua" w:hAnsi="Book Antiqua"/>
          <w:sz w:val="24"/>
          <w:szCs w:val="24"/>
        </w:rPr>
        <w:t xml:space="preserve"> do so, much less</w:t>
      </w:r>
      <w:r w:rsidR="000A4BFC">
        <w:rPr>
          <w:rStyle w:val="cf01"/>
          <w:rFonts w:ascii="Book Antiqua" w:hAnsi="Book Antiqua"/>
          <w:sz w:val="24"/>
          <w:szCs w:val="24"/>
        </w:rPr>
        <w:t xml:space="preserve"> to</w:t>
      </w:r>
      <w:r w:rsidRPr="005800EB">
        <w:rPr>
          <w:rStyle w:val="cf01"/>
          <w:rFonts w:ascii="Book Antiqua" w:hAnsi="Book Antiqua"/>
          <w:sz w:val="24"/>
          <w:szCs w:val="24"/>
        </w:rPr>
        <w:t xml:space="preserve"> </w:t>
      </w:r>
      <w:r w:rsidRPr="005800EB">
        <w:rPr>
          <w:szCs w:val="24"/>
        </w:rPr>
        <w:t>re-negotiate existing arrangements</w:t>
      </w:r>
      <w:r w:rsidRPr="00250B5B">
        <w:rPr>
          <w:i/>
          <w:iCs/>
          <w:szCs w:val="24"/>
        </w:rPr>
        <w:t>.</w:t>
      </w:r>
      <w:r w:rsidR="00FD256F">
        <w:rPr>
          <w:i/>
          <w:iCs/>
          <w:szCs w:val="24"/>
        </w:rPr>
        <w:t xml:space="preserve"> </w:t>
      </w:r>
      <w:r w:rsidRPr="0097361F">
        <w:rPr>
          <w:szCs w:val="24"/>
        </w:rPr>
        <w:t>This is of particular significance if,</w:t>
      </w:r>
      <w:r w:rsidRPr="004E0367">
        <w:rPr>
          <w:szCs w:val="24"/>
        </w:rPr>
        <w:t xml:space="preserve"> for example,</w:t>
      </w:r>
      <w:r w:rsidRPr="004B14B2">
        <w:rPr>
          <w:szCs w:val="24"/>
        </w:rPr>
        <w:t xml:space="preserve"> a</w:t>
      </w:r>
      <w:r w:rsidRPr="00086AD3">
        <w:rPr>
          <w:szCs w:val="24"/>
        </w:rPr>
        <w:t xml:space="preserve"> matter is nearing completion and a change in the mode of charging would cause undue inconvenience or uncertainty. </w:t>
      </w:r>
      <w:r w:rsidRPr="00086AD3">
        <w:rPr>
          <w:szCs w:val="24"/>
        </w:rPr>
        <w:lastRenderedPageBreak/>
        <w:t xml:space="preserve">The law practice and client may </w:t>
      </w:r>
      <w:r w:rsidR="00D16486">
        <w:rPr>
          <w:szCs w:val="24"/>
        </w:rPr>
        <w:t xml:space="preserve">choose to </w:t>
      </w:r>
      <w:r w:rsidRPr="00086AD3">
        <w:rPr>
          <w:szCs w:val="24"/>
        </w:rPr>
        <w:t>continue with their existing arrangement until the matter is completed.</w:t>
      </w:r>
      <w:r>
        <w:rPr>
          <w:szCs w:val="24"/>
        </w:rPr>
        <w:t xml:space="preserve"> </w:t>
      </w:r>
      <w:r w:rsidRPr="004E0367">
        <w:rPr>
          <w:szCs w:val="24"/>
        </w:rPr>
        <w:t>It should be noted</w:t>
      </w:r>
      <w:r w:rsidR="00B03195">
        <w:rPr>
          <w:szCs w:val="24"/>
        </w:rPr>
        <w:t>,</w:t>
      </w:r>
      <w:r w:rsidRPr="004E0367">
        <w:rPr>
          <w:szCs w:val="24"/>
        </w:rPr>
        <w:t xml:space="preserve"> however, that the Court will not update the </w:t>
      </w:r>
      <w:r>
        <w:rPr>
          <w:szCs w:val="24"/>
        </w:rPr>
        <w:t>2024 Scale</w:t>
      </w:r>
      <w:r w:rsidRPr="0097361F">
        <w:rPr>
          <w:szCs w:val="24"/>
        </w:rPr>
        <w:t xml:space="preserve">. </w:t>
      </w:r>
    </w:p>
    <w:p w14:paraId="1DDBDC31" w14:textId="62DEA0E7" w:rsidR="00163314" w:rsidRDefault="00163314" w:rsidP="006E7DDF">
      <w:pPr>
        <w:pStyle w:val="Heading3"/>
        <w:keepNext/>
        <w:spacing w:after="120"/>
        <w:rPr>
          <w:b w:val="0"/>
          <w:bCs w:val="0"/>
        </w:rPr>
      </w:pPr>
      <w:bookmarkStart w:id="7" w:name="_Toc178173276"/>
      <w:bookmarkStart w:id="8" w:name="_Toc175840703"/>
      <w:r w:rsidRPr="00E739C7">
        <w:t>Transitional cases</w:t>
      </w:r>
      <w:r>
        <w:t>: examples</w:t>
      </w:r>
      <w:bookmarkEnd w:id="7"/>
    </w:p>
    <w:p w14:paraId="4FDED866" w14:textId="212D4F55" w:rsidR="00163314" w:rsidRPr="00E739C7" w:rsidRDefault="00163314" w:rsidP="00A11BC8">
      <w:pPr>
        <w:pStyle w:val="ListParagraph"/>
        <w:numPr>
          <w:ilvl w:val="0"/>
          <w:numId w:val="5"/>
        </w:numPr>
        <w:spacing w:after="120"/>
        <w:ind w:left="720"/>
        <w:jc w:val="both"/>
        <w:rPr>
          <w:szCs w:val="24"/>
        </w:rPr>
      </w:pPr>
      <w:r w:rsidRPr="00E739C7">
        <w:rPr>
          <w:szCs w:val="24"/>
        </w:rPr>
        <w:t>For work performed before 1 January 2025</w:t>
      </w:r>
      <w:r w:rsidR="00CA1BEB">
        <w:rPr>
          <w:szCs w:val="24"/>
        </w:rPr>
        <w:t xml:space="preserve"> in relation to proceedings in the Supreme Court,</w:t>
      </w:r>
      <w:r w:rsidRPr="00E739C7">
        <w:rPr>
          <w:szCs w:val="24"/>
        </w:rPr>
        <w:t xml:space="preserve"> party/party costs will be recoverable in accordance with the scale of costs that applied at the time the work was done. For work performed after 1 January 2025, party/party costs will be recoverable on the basis of the new scale applicable from 1 January 2025</w:t>
      </w:r>
      <w:r w:rsidR="009964FF">
        <w:rPr>
          <w:szCs w:val="24"/>
        </w:rPr>
        <w:t>.</w:t>
      </w:r>
      <w:r w:rsidRPr="00E739C7">
        <w:rPr>
          <w:szCs w:val="24"/>
        </w:rPr>
        <w:t xml:space="preserve"> </w:t>
      </w:r>
    </w:p>
    <w:p w14:paraId="3320A6F5" w14:textId="624939C2" w:rsidR="00163314" w:rsidRPr="00E739C7" w:rsidRDefault="00163314" w:rsidP="00A11BC8">
      <w:pPr>
        <w:pStyle w:val="ListParagraph"/>
        <w:numPr>
          <w:ilvl w:val="0"/>
          <w:numId w:val="5"/>
        </w:numPr>
        <w:spacing w:after="120"/>
        <w:ind w:left="720"/>
        <w:jc w:val="both"/>
        <w:rPr>
          <w:szCs w:val="24"/>
        </w:rPr>
      </w:pPr>
      <w:r w:rsidRPr="00E739C7">
        <w:rPr>
          <w:szCs w:val="24"/>
        </w:rPr>
        <w:t>The following examples demonstrate how Appendix A will operate in</w:t>
      </w:r>
      <w:r w:rsidR="009964FF">
        <w:rPr>
          <w:szCs w:val="24"/>
        </w:rPr>
        <w:t xml:space="preserve"> relation to</w:t>
      </w:r>
      <w:r w:rsidRPr="00E739C7">
        <w:rPr>
          <w:szCs w:val="24"/>
        </w:rPr>
        <w:t xml:space="preserve"> a proceeding</w:t>
      </w:r>
      <w:r w:rsidR="001A2F44">
        <w:rPr>
          <w:szCs w:val="24"/>
        </w:rPr>
        <w:t xml:space="preserve"> in the Supreme Court </w:t>
      </w:r>
      <w:r w:rsidRPr="00E739C7">
        <w:rPr>
          <w:szCs w:val="24"/>
        </w:rPr>
        <w:t>which was issued before 1 January 2025</w:t>
      </w:r>
      <w:r w:rsidR="009964FF">
        <w:rPr>
          <w:szCs w:val="24"/>
        </w:rPr>
        <w:t xml:space="preserve"> but which</w:t>
      </w:r>
      <w:r w:rsidR="006744E4">
        <w:rPr>
          <w:szCs w:val="24"/>
        </w:rPr>
        <w:t xml:space="preserve"> (apart from costs) is finalised</w:t>
      </w:r>
      <w:r w:rsidRPr="00E739C7">
        <w:rPr>
          <w:szCs w:val="24"/>
        </w:rPr>
        <w:t xml:space="preserve"> after that date</w:t>
      </w:r>
      <w:r w:rsidR="006744E4">
        <w:rPr>
          <w:szCs w:val="24"/>
        </w:rPr>
        <w:t>. The examples differ according to the basis</w:t>
      </w:r>
      <w:r w:rsidRPr="00E739C7">
        <w:rPr>
          <w:szCs w:val="24"/>
        </w:rPr>
        <w:t xml:space="preserve"> upon which the </w:t>
      </w:r>
      <w:r w:rsidR="0052548E">
        <w:rPr>
          <w:szCs w:val="24"/>
        </w:rPr>
        <w:t>law practice</w:t>
      </w:r>
      <w:r w:rsidRPr="00E739C7">
        <w:rPr>
          <w:szCs w:val="24"/>
        </w:rPr>
        <w:t xml:space="preserve"> charge</w:t>
      </w:r>
      <w:r w:rsidR="0052548E">
        <w:rPr>
          <w:szCs w:val="24"/>
        </w:rPr>
        <w:t>s</w:t>
      </w:r>
      <w:r w:rsidRPr="00E739C7">
        <w:rPr>
          <w:szCs w:val="24"/>
        </w:rPr>
        <w:t xml:space="preserve"> their client:</w:t>
      </w:r>
    </w:p>
    <w:p w14:paraId="06B1E00C" w14:textId="1D41939A" w:rsidR="00163314" w:rsidRPr="00E739C7" w:rsidRDefault="00163314" w:rsidP="00163314">
      <w:pPr>
        <w:spacing w:after="120"/>
        <w:ind w:left="1440" w:hanging="720"/>
        <w:jc w:val="both"/>
        <w:rPr>
          <w:rFonts w:ascii="Book Antiqua" w:hAnsi="Book Antiqua"/>
        </w:rPr>
      </w:pPr>
      <w:r w:rsidRPr="00E739C7">
        <w:lastRenderedPageBreak/>
        <w:t>(</w:t>
      </w:r>
      <w:r w:rsidR="0052548E">
        <w:t>a</w:t>
      </w:r>
      <w:r w:rsidRPr="00E739C7">
        <w:t>)</w:t>
      </w:r>
      <w:r w:rsidRPr="00E739C7">
        <w:tab/>
      </w:r>
      <w:r w:rsidRPr="00E739C7">
        <w:rPr>
          <w:rFonts w:ascii="Book Antiqua" w:hAnsi="Book Antiqua"/>
        </w:rPr>
        <w:t>In February 2024, a party to a proceeding instruct</w:t>
      </w:r>
      <w:r w:rsidR="00BC34EF">
        <w:rPr>
          <w:rFonts w:ascii="Book Antiqua" w:hAnsi="Book Antiqua"/>
        </w:rPr>
        <w:t>s</w:t>
      </w:r>
      <w:r w:rsidRPr="00E739C7">
        <w:rPr>
          <w:rFonts w:ascii="Book Antiqua" w:hAnsi="Book Antiqua"/>
        </w:rPr>
        <w:t xml:space="preserve"> a </w:t>
      </w:r>
      <w:r w:rsidR="00AA71F6">
        <w:rPr>
          <w:rFonts w:ascii="Book Antiqua" w:hAnsi="Book Antiqua"/>
        </w:rPr>
        <w:t>law practice that</w:t>
      </w:r>
      <w:r w:rsidRPr="00E739C7">
        <w:rPr>
          <w:rFonts w:ascii="Book Antiqua" w:hAnsi="Book Antiqua"/>
        </w:rPr>
        <w:t xml:space="preserve"> charges on the basis of a set hourly rate</w:t>
      </w:r>
      <w:r w:rsidR="00AA71F6">
        <w:rPr>
          <w:rFonts w:ascii="Book Antiqua" w:hAnsi="Book Antiqua"/>
        </w:rPr>
        <w:t xml:space="preserve"> pursuant to a costs agreement</w:t>
      </w:r>
      <w:r w:rsidRPr="00E739C7">
        <w:rPr>
          <w:rFonts w:ascii="Book Antiqua" w:hAnsi="Book Antiqua"/>
        </w:rPr>
        <w:t xml:space="preserve">. In July 2025, the matter </w:t>
      </w:r>
      <w:r w:rsidR="00AA71F6">
        <w:rPr>
          <w:rFonts w:ascii="Book Antiqua" w:hAnsi="Book Antiqua"/>
        </w:rPr>
        <w:t>is finalised</w:t>
      </w:r>
      <w:r w:rsidRPr="00E739C7">
        <w:rPr>
          <w:rFonts w:ascii="Book Antiqua" w:hAnsi="Book Antiqua"/>
        </w:rPr>
        <w:t xml:space="preserve"> and the party </w:t>
      </w:r>
      <w:r w:rsidR="00532303">
        <w:rPr>
          <w:rFonts w:ascii="Book Antiqua" w:hAnsi="Book Antiqua"/>
        </w:rPr>
        <w:t>becomes an</w:t>
      </w:r>
      <w:r w:rsidR="00532303" w:rsidRPr="00E739C7">
        <w:rPr>
          <w:rFonts w:ascii="Book Antiqua" w:hAnsi="Book Antiqua"/>
        </w:rPr>
        <w:t xml:space="preserve"> </w:t>
      </w:r>
      <w:r w:rsidRPr="00E739C7">
        <w:rPr>
          <w:rFonts w:ascii="Book Antiqua" w:hAnsi="Book Antiqua"/>
        </w:rPr>
        <w:t>entitled party. For all work undertaken</w:t>
      </w:r>
      <w:r w:rsidR="00394C23">
        <w:rPr>
          <w:rFonts w:ascii="Book Antiqua" w:hAnsi="Book Antiqua"/>
        </w:rPr>
        <w:t xml:space="preserve"> between February 2024 and 31</w:t>
      </w:r>
      <w:r w:rsidR="00BC34EF">
        <w:rPr>
          <w:rFonts w:ascii="Book Antiqua" w:hAnsi="Book Antiqua"/>
        </w:rPr>
        <w:t> </w:t>
      </w:r>
      <w:r w:rsidR="00394C23">
        <w:rPr>
          <w:rFonts w:ascii="Book Antiqua" w:hAnsi="Book Antiqua"/>
        </w:rPr>
        <w:t>December 2024,</w:t>
      </w:r>
      <w:r w:rsidRPr="00E739C7">
        <w:rPr>
          <w:rFonts w:ascii="Book Antiqua" w:hAnsi="Book Antiqua"/>
        </w:rPr>
        <w:t xml:space="preserve"> the costs are assessed in accordance with the 2024 Scale. For all work undertaken on 1 January 2025 and beyond, the costs are assessed in accordance with Section 1 of Appendix A. </w:t>
      </w:r>
    </w:p>
    <w:p w14:paraId="70ECD412" w14:textId="58BA7399" w:rsidR="00163314" w:rsidRPr="00E739C7" w:rsidRDefault="00163314" w:rsidP="00163314">
      <w:pPr>
        <w:spacing w:after="120"/>
        <w:ind w:left="1440" w:hanging="720"/>
        <w:jc w:val="both"/>
        <w:rPr>
          <w:rFonts w:ascii="Book Antiqua" w:hAnsi="Book Antiqua"/>
        </w:rPr>
      </w:pPr>
      <w:r w:rsidRPr="00E739C7">
        <w:rPr>
          <w:rFonts w:ascii="Book Antiqua" w:hAnsi="Book Antiqua"/>
        </w:rPr>
        <w:t>(</w:t>
      </w:r>
      <w:r w:rsidR="0052548E">
        <w:rPr>
          <w:rFonts w:ascii="Book Antiqua" w:hAnsi="Book Antiqua"/>
        </w:rPr>
        <w:t>b</w:t>
      </w:r>
      <w:r w:rsidRPr="00E739C7">
        <w:rPr>
          <w:rFonts w:ascii="Book Antiqua" w:hAnsi="Book Antiqua"/>
        </w:rPr>
        <w:t>)</w:t>
      </w:r>
      <w:r w:rsidRPr="00E739C7">
        <w:rPr>
          <w:rFonts w:ascii="Book Antiqua" w:hAnsi="Book Antiqua"/>
        </w:rPr>
        <w:tab/>
        <w:t>In February 2024, a party to a proceeding</w:t>
      </w:r>
      <w:r w:rsidR="001A2F44">
        <w:rPr>
          <w:rFonts w:ascii="Book Antiqua" w:hAnsi="Book Antiqua"/>
        </w:rPr>
        <w:t xml:space="preserve"> </w:t>
      </w:r>
      <w:r w:rsidRPr="00E739C7">
        <w:rPr>
          <w:rFonts w:ascii="Book Antiqua" w:hAnsi="Book Antiqua"/>
        </w:rPr>
        <w:t>instruct</w:t>
      </w:r>
      <w:r w:rsidR="00BC34EF">
        <w:rPr>
          <w:rFonts w:ascii="Book Antiqua" w:hAnsi="Book Antiqua"/>
        </w:rPr>
        <w:t>s</w:t>
      </w:r>
      <w:r w:rsidRPr="00E739C7">
        <w:rPr>
          <w:rFonts w:ascii="Book Antiqua" w:hAnsi="Book Antiqua"/>
        </w:rPr>
        <w:t xml:space="preserve"> a </w:t>
      </w:r>
      <w:r w:rsidR="001A2F44">
        <w:rPr>
          <w:rFonts w:ascii="Book Antiqua" w:hAnsi="Book Antiqua"/>
        </w:rPr>
        <w:t>law practice</w:t>
      </w:r>
      <w:r w:rsidRPr="00E739C7">
        <w:rPr>
          <w:rFonts w:ascii="Book Antiqua" w:hAnsi="Book Antiqua"/>
        </w:rPr>
        <w:t xml:space="preserve"> </w:t>
      </w:r>
      <w:r w:rsidR="001A2F44">
        <w:rPr>
          <w:rFonts w:ascii="Book Antiqua" w:hAnsi="Book Antiqua"/>
        </w:rPr>
        <w:t>that</w:t>
      </w:r>
      <w:r w:rsidRPr="00E739C7">
        <w:rPr>
          <w:rFonts w:ascii="Book Antiqua" w:hAnsi="Book Antiqua"/>
        </w:rPr>
        <w:t xml:space="preserve"> charges on the basis of the 2024 Scale</w:t>
      </w:r>
      <w:r w:rsidR="001A2F44">
        <w:rPr>
          <w:rFonts w:ascii="Book Antiqua" w:hAnsi="Book Antiqua"/>
        </w:rPr>
        <w:t xml:space="preserve"> pursuant to a costs agreement</w:t>
      </w:r>
      <w:r w:rsidRPr="00E739C7">
        <w:rPr>
          <w:rFonts w:ascii="Book Antiqua" w:hAnsi="Book Antiqua"/>
        </w:rPr>
        <w:t xml:space="preserve">. In July 2025, the matter </w:t>
      </w:r>
      <w:r w:rsidR="001A2F44">
        <w:rPr>
          <w:rFonts w:ascii="Book Antiqua" w:hAnsi="Book Antiqua"/>
        </w:rPr>
        <w:t>is finalised</w:t>
      </w:r>
      <w:r w:rsidRPr="00E739C7">
        <w:rPr>
          <w:rFonts w:ascii="Book Antiqua" w:hAnsi="Book Antiqua"/>
        </w:rPr>
        <w:t xml:space="preserve"> and the party </w:t>
      </w:r>
      <w:r w:rsidR="002B4434">
        <w:rPr>
          <w:rFonts w:ascii="Book Antiqua" w:hAnsi="Book Antiqua"/>
        </w:rPr>
        <w:t xml:space="preserve">becomes an </w:t>
      </w:r>
      <w:r w:rsidRPr="00E739C7">
        <w:rPr>
          <w:rFonts w:ascii="Book Antiqua" w:hAnsi="Book Antiqua"/>
        </w:rPr>
        <w:t xml:space="preserve">entitled party.  At no time </w:t>
      </w:r>
      <w:r w:rsidR="00BB7323">
        <w:rPr>
          <w:rFonts w:ascii="Book Antiqua" w:hAnsi="Book Antiqua"/>
        </w:rPr>
        <w:t xml:space="preserve">was the costs agreement amended as to the basis of charging.  For all work undertaken between February 2024 and 31 December 2024 </w:t>
      </w:r>
      <w:r w:rsidR="00BB7323">
        <w:rPr>
          <w:rFonts w:ascii="Book Antiqua" w:hAnsi="Book Antiqua"/>
        </w:rPr>
        <w:lastRenderedPageBreak/>
        <w:t xml:space="preserve">the costs are assessed in accordance with the 2024 Scale.  For all work undertaken on or after 1 January 2025, party/party costs will be assessed under Section 3 of Appendix A.  They will be assessed at a reasonable amount, taking into account the actual amounts charged to the </w:t>
      </w:r>
      <w:r w:rsidR="002A20AB">
        <w:rPr>
          <w:rFonts w:ascii="Book Antiqua" w:hAnsi="Book Antiqua"/>
        </w:rPr>
        <w:t xml:space="preserve">entitled </w:t>
      </w:r>
      <w:r w:rsidR="00BB7323">
        <w:rPr>
          <w:rFonts w:ascii="Book Antiqua" w:hAnsi="Book Antiqua"/>
        </w:rPr>
        <w:t>party under the costs agreement (see paragraph (a) of Section 2</w:t>
      </w:r>
      <w:r w:rsidR="002958A9">
        <w:rPr>
          <w:rFonts w:ascii="Book Antiqua" w:hAnsi="Book Antiqua"/>
        </w:rPr>
        <w:t xml:space="preserve"> of Appendix A) and taking into account any other relevant matters referred to in Section 2. </w:t>
      </w:r>
    </w:p>
    <w:p w14:paraId="48909AB8" w14:textId="23ECBF8A" w:rsidR="00163314" w:rsidRDefault="00163314" w:rsidP="00163314">
      <w:pPr>
        <w:spacing w:after="240"/>
        <w:ind w:left="1440" w:hanging="720"/>
        <w:jc w:val="both"/>
        <w:rPr>
          <w:rFonts w:ascii="Book Antiqua" w:hAnsi="Book Antiqua"/>
        </w:rPr>
      </w:pPr>
      <w:r w:rsidRPr="00E739C7">
        <w:rPr>
          <w:rFonts w:ascii="Book Antiqua" w:hAnsi="Book Antiqua"/>
        </w:rPr>
        <w:t>(</w:t>
      </w:r>
      <w:r w:rsidR="0052548E">
        <w:rPr>
          <w:rFonts w:ascii="Book Antiqua" w:hAnsi="Book Antiqua"/>
        </w:rPr>
        <w:t>c</w:t>
      </w:r>
      <w:r w:rsidRPr="00E739C7">
        <w:rPr>
          <w:rFonts w:ascii="Book Antiqua" w:hAnsi="Book Antiqua"/>
        </w:rPr>
        <w:t>)</w:t>
      </w:r>
      <w:r w:rsidRPr="00E739C7">
        <w:rPr>
          <w:rFonts w:ascii="Book Antiqua" w:hAnsi="Book Antiqua"/>
        </w:rPr>
        <w:tab/>
        <w:t xml:space="preserve">In February 2024, a party to a proceeding instructs a </w:t>
      </w:r>
      <w:r w:rsidR="002958A9">
        <w:rPr>
          <w:rFonts w:ascii="Book Antiqua" w:hAnsi="Book Antiqua"/>
        </w:rPr>
        <w:t>law practice that</w:t>
      </w:r>
      <w:r w:rsidRPr="00E739C7">
        <w:rPr>
          <w:rFonts w:ascii="Book Antiqua" w:hAnsi="Book Antiqua"/>
        </w:rPr>
        <w:t xml:space="preserve"> charges on the basis of the 2024 Scale.  In anticipation of the new scale of costs, the </w:t>
      </w:r>
      <w:r w:rsidR="00FC0440">
        <w:rPr>
          <w:rFonts w:ascii="Book Antiqua" w:hAnsi="Book Antiqua"/>
        </w:rPr>
        <w:t>law practice and the client vary</w:t>
      </w:r>
      <w:r w:rsidRPr="00E739C7">
        <w:rPr>
          <w:rFonts w:ascii="Book Antiqua" w:hAnsi="Book Antiqua"/>
        </w:rPr>
        <w:t xml:space="preserve"> the terms of the cost agreement</w:t>
      </w:r>
      <w:r w:rsidR="00B03195">
        <w:rPr>
          <w:rFonts w:ascii="Book Antiqua" w:hAnsi="Book Antiqua"/>
        </w:rPr>
        <w:t>,</w:t>
      </w:r>
      <w:r w:rsidRPr="00E739C7">
        <w:rPr>
          <w:rFonts w:ascii="Book Antiqua" w:hAnsi="Book Antiqua"/>
        </w:rPr>
        <w:t xml:space="preserve"> and from 1 January 2025 the </w:t>
      </w:r>
      <w:r w:rsidR="00FC0440">
        <w:rPr>
          <w:rFonts w:ascii="Book Antiqua" w:hAnsi="Book Antiqua"/>
        </w:rPr>
        <w:t>law practice</w:t>
      </w:r>
      <w:r w:rsidRPr="00E739C7">
        <w:rPr>
          <w:rFonts w:ascii="Book Antiqua" w:hAnsi="Book Antiqua"/>
        </w:rPr>
        <w:t xml:space="preserve"> charges on the basis of hourly rates.  In July 2025, the matter </w:t>
      </w:r>
      <w:r w:rsidR="00FC0440">
        <w:rPr>
          <w:rFonts w:ascii="Book Antiqua" w:hAnsi="Book Antiqua"/>
        </w:rPr>
        <w:t>is finalised</w:t>
      </w:r>
      <w:r w:rsidRPr="00E739C7">
        <w:rPr>
          <w:rFonts w:ascii="Book Antiqua" w:hAnsi="Book Antiqua"/>
        </w:rPr>
        <w:t xml:space="preserve"> and the party </w:t>
      </w:r>
      <w:r w:rsidR="002A20AB">
        <w:rPr>
          <w:rFonts w:ascii="Book Antiqua" w:hAnsi="Book Antiqua"/>
        </w:rPr>
        <w:t>becomes an</w:t>
      </w:r>
      <w:r w:rsidR="002A20AB" w:rsidRPr="00E739C7">
        <w:rPr>
          <w:rFonts w:ascii="Book Antiqua" w:hAnsi="Book Antiqua"/>
        </w:rPr>
        <w:t xml:space="preserve"> </w:t>
      </w:r>
      <w:r w:rsidRPr="00E739C7">
        <w:rPr>
          <w:rFonts w:ascii="Book Antiqua" w:hAnsi="Book Antiqua"/>
        </w:rPr>
        <w:t xml:space="preserve">entitled party. The work undertaken prior to 1 January </w:t>
      </w:r>
      <w:r w:rsidRPr="00E739C7">
        <w:rPr>
          <w:rFonts w:ascii="Book Antiqua" w:hAnsi="Book Antiqua"/>
        </w:rPr>
        <w:lastRenderedPageBreak/>
        <w:t>2025 is assessed in accordance with the 2024 Scale. For all work undertaken on 1 January 2025 and beyond, the costs are assessed in accordance with Section 1 of Appendix A.</w:t>
      </w:r>
      <w:r>
        <w:rPr>
          <w:rFonts w:ascii="Book Antiqua" w:hAnsi="Book Antiqua"/>
        </w:rPr>
        <w:t xml:space="preserve"> </w:t>
      </w:r>
    </w:p>
    <w:p w14:paraId="7021ACE9" w14:textId="39D24752" w:rsidR="00310531" w:rsidRPr="009F6D69" w:rsidRDefault="00310531" w:rsidP="00E739C7">
      <w:pPr>
        <w:pStyle w:val="Heading3"/>
        <w:keepNext/>
        <w:spacing w:after="120"/>
      </w:pPr>
      <w:bookmarkStart w:id="9" w:name="_Toc178173277"/>
      <w:r w:rsidRPr="009F6D69">
        <w:t>Application</w:t>
      </w:r>
      <w:r w:rsidR="006E7DDF">
        <w:t>s to</w:t>
      </w:r>
      <w:r>
        <w:t xml:space="preserve"> increase</w:t>
      </w:r>
      <w:r w:rsidR="006E7DDF">
        <w:t xml:space="preserve"> the maximums</w:t>
      </w:r>
      <w:r>
        <w:t xml:space="preserve"> in</w:t>
      </w:r>
      <w:r w:rsidR="00DD662F">
        <w:t xml:space="preserve"> the new </w:t>
      </w:r>
      <w:r>
        <w:t>scale</w:t>
      </w:r>
      <w:bookmarkEnd w:id="8"/>
      <w:bookmarkEnd w:id="9"/>
      <w:r>
        <w:t xml:space="preserve"> </w:t>
      </w:r>
    </w:p>
    <w:p w14:paraId="3ED09FA5" w14:textId="4FDBFD86" w:rsidR="00FF658F" w:rsidRDefault="00556AB1" w:rsidP="00A11BC8">
      <w:pPr>
        <w:pStyle w:val="ListParagraph"/>
        <w:numPr>
          <w:ilvl w:val="0"/>
          <w:numId w:val="5"/>
        </w:numPr>
        <w:spacing w:after="120"/>
        <w:ind w:left="720"/>
        <w:jc w:val="both"/>
        <w:rPr>
          <w:szCs w:val="24"/>
        </w:rPr>
      </w:pPr>
      <w:r>
        <w:rPr>
          <w:szCs w:val="24"/>
        </w:rPr>
        <w:t>F</w:t>
      </w:r>
      <w:r w:rsidR="00B53F15">
        <w:rPr>
          <w:szCs w:val="24"/>
        </w:rPr>
        <w:t>rom 1 January 2025,</w:t>
      </w:r>
      <w:r w:rsidR="00FC02FD">
        <w:rPr>
          <w:szCs w:val="24"/>
        </w:rPr>
        <w:t xml:space="preserve"> certain provisions of Order 63 that have authorised the allowance of amounts above scale will be revoked. However</w:t>
      </w:r>
      <w:r w:rsidR="00AA4285">
        <w:rPr>
          <w:szCs w:val="24"/>
        </w:rPr>
        <w:t xml:space="preserve"> </w:t>
      </w:r>
      <w:r w:rsidR="006B3A69">
        <w:rPr>
          <w:szCs w:val="24"/>
        </w:rPr>
        <w:t xml:space="preserve">r </w:t>
      </w:r>
      <w:r w:rsidR="00FC02FD">
        <w:rPr>
          <w:szCs w:val="24"/>
        </w:rPr>
        <w:t>63.</w:t>
      </w:r>
      <w:r w:rsidR="003944E4">
        <w:rPr>
          <w:szCs w:val="24"/>
        </w:rPr>
        <w:t>34</w:t>
      </w:r>
      <w:r w:rsidR="00FC02FD">
        <w:rPr>
          <w:szCs w:val="24"/>
        </w:rPr>
        <w:t>(</w:t>
      </w:r>
      <w:r w:rsidR="006B3A69">
        <w:rPr>
          <w:szCs w:val="24"/>
        </w:rPr>
        <w:t>3</w:t>
      </w:r>
      <w:r w:rsidR="00FC02FD">
        <w:rPr>
          <w:szCs w:val="24"/>
        </w:rPr>
        <w:t>)</w:t>
      </w:r>
      <w:r w:rsidR="006B3A69">
        <w:rPr>
          <w:szCs w:val="24"/>
        </w:rPr>
        <w:t>,</w:t>
      </w:r>
      <w:r w:rsidR="0010421A">
        <w:rPr>
          <w:szCs w:val="24"/>
        </w:rPr>
        <w:t xml:space="preserve"> </w:t>
      </w:r>
      <w:r w:rsidR="00AA4285">
        <w:rPr>
          <w:szCs w:val="24"/>
        </w:rPr>
        <w:t>which for many years has authorised the allowance of amounts up to 30% above scale</w:t>
      </w:r>
      <w:r w:rsidR="0048139B">
        <w:rPr>
          <w:szCs w:val="24"/>
        </w:rPr>
        <w:t xml:space="preserve"> in certain circumstances, will in substance be retained, albeit </w:t>
      </w:r>
      <w:r w:rsidR="0010421A">
        <w:rPr>
          <w:szCs w:val="24"/>
        </w:rPr>
        <w:t>in a substituted form.</w:t>
      </w:r>
      <w:r w:rsidR="00671C9B">
        <w:rPr>
          <w:szCs w:val="24"/>
        </w:rPr>
        <w:t xml:space="preserve"> </w:t>
      </w:r>
    </w:p>
    <w:p w14:paraId="56F35B3B" w14:textId="4599E65B" w:rsidR="00310531" w:rsidRDefault="00671C9B" w:rsidP="00A11BC8">
      <w:pPr>
        <w:pStyle w:val="ListParagraph"/>
        <w:numPr>
          <w:ilvl w:val="0"/>
          <w:numId w:val="5"/>
        </w:numPr>
        <w:spacing w:after="120"/>
        <w:ind w:left="720"/>
        <w:jc w:val="both"/>
        <w:rPr>
          <w:szCs w:val="24"/>
        </w:rPr>
      </w:pPr>
      <w:r>
        <w:rPr>
          <w:szCs w:val="24"/>
        </w:rPr>
        <w:t>From 1 January 2025,</w:t>
      </w:r>
      <w:r w:rsidR="00886023">
        <w:rPr>
          <w:szCs w:val="24"/>
        </w:rPr>
        <w:t xml:space="preserve"> </w:t>
      </w:r>
      <w:r>
        <w:rPr>
          <w:szCs w:val="24"/>
        </w:rPr>
        <w:t>r 63.3</w:t>
      </w:r>
      <w:r w:rsidR="003944E4">
        <w:rPr>
          <w:szCs w:val="24"/>
        </w:rPr>
        <w:t>4</w:t>
      </w:r>
      <w:r w:rsidR="000A4BFC">
        <w:rPr>
          <w:szCs w:val="24"/>
        </w:rPr>
        <w:t>(3)</w:t>
      </w:r>
      <w:r w:rsidR="00886023">
        <w:rPr>
          <w:szCs w:val="24"/>
        </w:rPr>
        <w:t xml:space="preserve"> will provide that</w:t>
      </w:r>
      <w:r w:rsidR="00FA0F38">
        <w:rPr>
          <w:szCs w:val="24"/>
        </w:rPr>
        <w:t xml:space="preserve"> t</w:t>
      </w:r>
      <w:r w:rsidR="00310531" w:rsidRPr="008B4E4E">
        <w:rPr>
          <w:szCs w:val="24"/>
        </w:rPr>
        <w:t>he Court or the Costs Court</w:t>
      </w:r>
      <w:r w:rsidR="00886023">
        <w:rPr>
          <w:szCs w:val="24"/>
        </w:rPr>
        <w:t>,</w:t>
      </w:r>
      <w:r w:rsidR="007504CB">
        <w:rPr>
          <w:szCs w:val="24"/>
        </w:rPr>
        <w:t xml:space="preserve"> on special grounds arising out of the nature or importance o</w:t>
      </w:r>
      <w:r w:rsidR="00AA0BC9">
        <w:rPr>
          <w:szCs w:val="24"/>
        </w:rPr>
        <w:t>r</w:t>
      </w:r>
      <w:r w:rsidR="007504CB">
        <w:rPr>
          <w:szCs w:val="24"/>
        </w:rPr>
        <w:t xml:space="preserve"> the difficulty or urgency of the case, may allow</w:t>
      </w:r>
      <w:r w:rsidR="000B2591">
        <w:rPr>
          <w:szCs w:val="24"/>
        </w:rPr>
        <w:t xml:space="preserve"> </w:t>
      </w:r>
      <w:r w:rsidR="00224187">
        <w:rPr>
          <w:szCs w:val="24"/>
        </w:rPr>
        <w:t xml:space="preserve">an </w:t>
      </w:r>
      <w:r w:rsidR="000B2591">
        <w:rPr>
          <w:szCs w:val="24"/>
        </w:rPr>
        <w:t>increase, not exceeding 30%, of the maximums set out in Sections 1 and 4 of Appendix A, with respect to the proceed</w:t>
      </w:r>
      <w:r w:rsidR="000B2591">
        <w:rPr>
          <w:szCs w:val="24"/>
        </w:rPr>
        <w:lastRenderedPageBreak/>
        <w:t xml:space="preserve">ing generally or </w:t>
      </w:r>
      <w:r w:rsidR="00224187">
        <w:rPr>
          <w:szCs w:val="24"/>
        </w:rPr>
        <w:t xml:space="preserve">with respect to </w:t>
      </w:r>
      <w:r w:rsidR="000B2591">
        <w:rPr>
          <w:szCs w:val="24"/>
        </w:rPr>
        <w:t xml:space="preserve">any application, step </w:t>
      </w:r>
      <w:r w:rsidR="00C62F89">
        <w:rPr>
          <w:szCs w:val="24"/>
        </w:rPr>
        <w:t>or other mat</w:t>
      </w:r>
      <w:r w:rsidR="00224187">
        <w:rPr>
          <w:szCs w:val="24"/>
        </w:rPr>
        <w:t>t</w:t>
      </w:r>
      <w:r w:rsidR="00C62F89">
        <w:rPr>
          <w:szCs w:val="24"/>
        </w:rPr>
        <w:t>er in the proceeding.</w:t>
      </w:r>
      <w:r w:rsidR="007504CB">
        <w:rPr>
          <w:szCs w:val="24"/>
        </w:rPr>
        <w:t xml:space="preserve"> </w:t>
      </w:r>
      <w:r w:rsidR="00310531" w:rsidRPr="008B4E4E">
        <w:rPr>
          <w:szCs w:val="24"/>
        </w:rPr>
        <w:t xml:space="preserve"> </w:t>
      </w:r>
    </w:p>
    <w:p w14:paraId="58DAF3F5" w14:textId="1DAD3129" w:rsidR="00C62F89" w:rsidRPr="00AE62FB" w:rsidRDefault="00053C46" w:rsidP="00A11BC8">
      <w:pPr>
        <w:pStyle w:val="ListParagraph"/>
        <w:numPr>
          <w:ilvl w:val="0"/>
          <w:numId w:val="5"/>
        </w:numPr>
        <w:tabs>
          <w:tab w:val="left" w:pos="720"/>
        </w:tabs>
        <w:spacing w:after="120"/>
        <w:ind w:left="720"/>
        <w:jc w:val="both"/>
        <w:rPr>
          <w:szCs w:val="24"/>
        </w:rPr>
      </w:pPr>
      <w:r>
        <w:rPr>
          <w:szCs w:val="24"/>
        </w:rPr>
        <w:t>On the other hand</w:t>
      </w:r>
      <w:r w:rsidR="00496216">
        <w:rPr>
          <w:szCs w:val="24"/>
        </w:rPr>
        <w:t>, the Court has not readily increased costs above scale</w:t>
      </w:r>
      <w:r w:rsidR="004166D9">
        <w:rPr>
          <w:szCs w:val="24"/>
        </w:rPr>
        <w:t xml:space="preserve"> pursuant to r 63.3</w:t>
      </w:r>
      <w:r w:rsidR="00B43067">
        <w:rPr>
          <w:szCs w:val="24"/>
        </w:rPr>
        <w:t>4</w:t>
      </w:r>
      <w:r w:rsidR="000A4BFC">
        <w:rPr>
          <w:szCs w:val="24"/>
        </w:rPr>
        <w:t>(3)</w:t>
      </w:r>
      <w:r w:rsidR="00496216">
        <w:rPr>
          <w:szCs w:val="24"/>
        </w:rPr>
        <w:t>:</w:t>
      </w:r>
      <w:r w:rsidR="003640F8">
        <w:rPr>
          <w:szCs w:val="24"/>
        </w:rPr>
        <w:t xml:space="preserve"> </w:t>
      </w:r>
      <w:r w:rsidR="00AA0BC9">
        <w:rPr>
          <w:szCs w:val="24"/>
        </w:rPr>
        <w:t xml:space="preserve"> see</w:t>
      </w:r>
      <w:r w:rsidR="00C62F89" w:rsidRPr="00FD4D8B">
        <w:rPr>
          <w:szCs w:val="24"/>
          <w:shd w:val="clear" w:color="auto" w:fill="FFFFFF"/>
        </w:rPr>
        <w:t> </w:t>
      </w:r>
      <w:r w:rsidR="00C62F89" w:rsidRPr="00FD4D8B">
        <w:rPr>
          <w:i/>
          <w:iCs/>
          <w:szCs w:val="24"/>
          <w:shd w:val="clear" w:color="auto" w:fill="FFFFFF"/>
        </w:rPr>
        <w:t xml:space="preserve">Jenkins v GJ Coles &amp; Co Ltd </w:t>
      </w:r>
      <w:r w:rsidR="00C62F89">
        <w:rPr>
          <w:szCs w:val="24"/>
          <w:shd w:val="clear" w:color="auto" w:fill="FFFFFF"/>
        </w:rPr>
        <w:t>[</w:t>
      </w:r>
      <w:r w:rsidR="00C62F89" w:rsidRPr="00FD4D8B">
        <w:rPr>
          <w:szCs w:val="24"/>
          <w:shd w:val="clear" w:color="auto" w:fill="FFFFFF"/>
        </w:rPr>
        <w:t>1993</w:t>
      </w:r>
      <w:r w:rsidR="00C62F89">
        <w:rPr>
          <w:szCs w:val="24"/>
          <w:shd w:val="clear" w:color="auto" w:fill="FFFFFF"/>
        </w:rPr>
        <w:t>]</w:t>
      </w:r>
      <w:r w:rsidR="00C62F89" w:rsidRPr="00FD4D8B">
        <w:rPr>
          <w:szCs w:val="24"/>
          <w:shd w:val="clear" w:color="auto" w:fill="FFFFFF"/>
        </w:rPr>
        <w:t xml:space="preserve"> 1 VR 155</w:t>
      </w:r>
      <w:r w:rsidR="00496216">
        <w:rPr>
          <w:szCs w:val="24"/>
          <w:shd w:val="clear" w:color="auto" w:fill="FFFFFF"/>
        </w:rPr>
        <w:t xml:space="preserve"> (Hayne</w:t>
      </w:r>
      <w:r w:rsidR="000A4BFC">
        <w:rPr>
          <w:szCs w:val="24"/>
          <w:shd w:val="clear" w:color="auto" w:fill="FFFFFF"/>
        </w:rPr>
        <w:t> </w:t>
      </w:r>
      <w:r w:rsidR="00496216">
        <w:rPr>
          <w:szCs w:val="24"/>
          <w:shd w:val="clear" w:color="auto" w:fill="FFFFFF"/>
        </w:rPr>
        <w:t>J)</w:t>
      </w:r>
      <w:r w:rsidR="00E138C3">
        <w:rPr>
          <w:szCs w:val="24"/>
          <w:shd w:val="clear" w:color="auto" w:fill="FFFFFF"/>
        </w:rPr>
        <w:t>;</w:t>
      </w:r>
      <w:r w:rsidR="00C62F89" w:rsidRPr="00FD4D8B">
        <w:rPr>
          <w:szCs w:val="24"/>
          <w:shd w:val="clear" w:color="auto" w:fill="FFFFFF"/>
        </w:rPr>
        <w:t xml:space="preserve"> and </w:t>
      </w:r>
      <w:r w:rsidR="00C62F89" w:rsidRPr="00FD4D8B">
        <w:rPr>
          <w:i/>
          <w:iCs/>
          <w:szCs w:val="24"/>
          <w:shd w:val="clear" w:color="auto" w:fill="FFFFFF"/>
        </w:rPr>
        <w:t xml:space="preserve">Lenehan v </w:t>
      </w:r>
      <w:proofErr w:type="spellStart"/>
      <w:r w:rsidR="00C62F89" w:rsidRPr="00FD4D8B">
        <w:rPr>
          <w:i/>
          <w:iCs/>
          <w:szCs w:val="24"/>
          <w:shd w:val="clear" w:color="auto" w:fill="FFFFFF"/>
        </w:rPr>
        <w:t>Powercor</w:t>
      </w:r>
      <w:proofErr w:type="spellEnd"/>
      <w:r w:rsidR="00C62F89" w:rsidRPr="00FD4D8B">
        <w:rPr>
          <w:i/>
          <w:iCs/>
          <w:szCs w:val="24"/>
          <w:shd w:val="clear" w:color="auto" w:fill="FFFFFF"/>
        </w:rPr>
        <w:t xml:space="preserve"> Australia Ltd</w:t>
      </w:r>
      <w:r w:rsidR="00C62F89" w:rsidRPr="00FD4D8B">
        <w:rPr>
          <w:szCs w:val="24"/>
          <w:shd w:val="clear" w:color="auto" w:fill="FFFFFF"/>
        </w:rPr>
        <w:t> </w:t>
      </w:r>
      <w:hyperlink r:id="rId15" w:tooltip="View Case" w:history="1">
        <w:r w:rsidR="00C62F89" w:rsidRPr="00FD4D8B">
          <w:rPr>
            <w:rStyle w:val="Hyperlink"/>
            <w:color w:val="auto"/>
            <w:szCs w:val="24"/>
            <w:shd w:val="clear" w:color="auto" w:fill="FFFFFF"/>
          </w:rPr>
          <w:t>[2020] VSC 82</w:t>
        </w:r>
      </w:hyperlink>
      <w:r w:rsidR="00C62F89" w:rsidRPr="00FD4D8B">
        <w:rPr>
          <w:szCs w:val="24"/>
          <w:shd w:val="clear" w:color="auto" w:fill="FFFFFF"/>
        </w:rPr>
        <w:t>, [74]–[75]</w:t>
      </w:r>
      <w:r w:rsidR="00E138C3">
        <w:rPr>
          <w:szCs w:val="24"/>
          <w:shd w:val="clear" w:color="auto" w:fill="FFFFFF"/>
        </w:rPr>
        <w:t xml:space="preserve"> (Nichols J)</w:t>
      </w:r>
      <w:r w:rsidR="00C62F89">
        <w:rPr>
          <w:szCs w:val="24"/>
          <w:shd w:val="clear" w:color="auto" w:fill="FFFFFF"/>
        </w:rPr>
        <w:t xml:space="preserve">. </w:t>
      </w:r>
      <w:r w:rsidR="00C62F89" w:rsidRPr="00FD4D8B">
        <w:rPr>
          <w:szCs w:val="24"/>
          <w:shd w:val="clear" w:color="auto" w:fill="FFFFFF"/>
        </w:rPr>
        <w:t xml:space="preserve">As stated by </w:t>
      </w:r>
      <w:r w:rsidR="00CC5F2B">
        <w:rPr>
          <w:szCs w:val="24"/>
          <w:shd w:val="clear" w:color="auto" w:fill="FFFFFF"/>
        </w:rPr>
        <w:t>Nichols J</w:t>
      </w:r>
      <w:r w:rsidR="00C62F89" w:rsidRPr="00FD4D8B">
        <w:rPr>
          <w:szCs w:val="24"/>
          <w:shd w:val="clear" w:color="auto" w:fill="FFFFFF"/>
        </w:rPr>
        <w:t>, an increase</w:t>
      </w:r>
      <w:r w:rsidR="004166D9">
        <w:rPr>
          <w:szCs w:val="24"/>
          <w:shd w:val="clear" w:color="auto" w:fill="FFFFFF"/>
        </w:rPr>
        <w:t xml:space="preserve"> in </w:t>
      </w:r>
      <w:r w:rsidR="00C62F89" w:rsidRPr="00FD4D8B">
        <w:rPr>
          <w:szCs w:val="24"/>
          <w:shd w:val="clear" w:color="auto" w:fill="FFFFFF"/>
        </w:rPr>
        <w:t>the costs otherwise to be allowed will not be justified on the basis that the case in question is difficult, complex, or “heavy”. A “special” factor must arise. What may constitute a special factor will vary from case to case.</w:t>
      </w:r>
    </w:p>
    <w:p w14:paraId="7DF8D391" w14:textId="122D46C9" w:rsidR="00556AB1" w:rsidRDefault="00556AB1" w:rsidP="00A11BC8">
      <w:pPr>
        <w:pStyle w:val="ListParagraph"/>
        <w:numPr>
          <w:ilvl w:val="0"/>
          <w:numId w:val="5"/>
        </w:numPr>
        <w:spacing w:after="120"/>
        <w:ind w:left="720"/>
        <w:jc w:val="both"/>
        <w:rPr>
          <w:szCs w:val="24"/>
        </w:rPr>
      </w:pPr>
      <w:r>
        <w:rPr>
          <w:szCs w:val="24"/>
        </w:rPr>
        <w:t>As a general observation, if a matter goes to trial, then the trial judge, being familiar with the issues and the work required to deal with them, will usually be in the best position to determine an application to increase the maximums in the scale.  However, if a matter settles before trial, the Costs Court</w:t>
      </w:r>
      <w:r w:rsidR="00FE10FA">
        <w:rPr>
          <w:szCs w:val="24"/>
        </w:rPr>
        <w:t xml:space="preserve"> </w:t>
      </w:r>
      <w:r w:rsidR="00FE10FA">
        <w:rPr>
          <w:szCs w:val="24"/>
        </w:rPr>
        <w:lastRenderedPageBreak/>
        <w:t>may be in as good a position as the Court to determine such an application.</w:t>
      </w:r>
    </w:p>
    <w:p w14:paraId="50FFD88C" w14:textId="376021AE" w:rsidR="00310531" w:rsidRPr="009317C3" w:rsidRDefault="00CC5F2B" w:rsidP="00A11BC8">
      <w:pPr>
        <w:pStyle w:val="ListParagraph"/>
        <w:numPr>
          <w:ilvl w:val="0"/>
          <w:numId w:val="5"/>
        </w:numPr>
        <w:spacing w:after="120"/>
        <w:ind w:left="720"/>
        <w:jc w:val="both"/>
        <w:rPr>
          <w:szCs w:val="24"/>
        </w:rPr>
      </w:pPr>
      <w:r>
        <w:rPr>
          <w:szCs w:val="24"/>
        </w:rPr>
        <w:t xml:space="preserve">Any </w:t>
      </w:r>
      <w:r w:rsidR="00310531" w:rsidRPr="008B4E4E">
        <w:rPr>
          <w:szCs w:val="24"/>
        </w:rPr>
        <w:t>application</w:t>
      </w:r>
      <w:r>
        <w:rPr>
          <w:szCs w:val="24"/>
        </w:rPr>
        <w:t xml:space="preserve"> for an increase under the</w:t>
      </w:r>
      <w:r w:rsidR="00AE7EB9">
        <w:rPr>
          <w:szCs w:val="24"/>
        </w:rPr>
        <w:t xml:space="preserve"> substituted r </w:t>
      </w:r>
      <w:r w:rsidR="0098209B">
        <w:rPr>
          <w:szCs w:val="24"/>
        </w:rPr>
        <w:t xml:space="preserve">63.34(3) of the </w:t>
      </w:r>
      <w:r w:rsidR="0098209B">
        <w:rPr>
          <w:i/>
          <w:iCs/>
          <w:szCs w:val="24"/>
        </w:rPr>
        <w:t>Rules</w:t>
      </w:r>
      <w:r w:rsidR="00310531" w:rsidRPr="008B4E4E">
        <w:rPr>
          <w:szCs w:val="24"/>
        </w:rPr>
        <w:t xml:space="preserve"> </w:t>
      </w:r>
      <w:r w:rsidR="00310531" w:rsidRPr="009317C3">
        <w:rPr>
          <w:szCs w:val="24"/>
        </w:rPr>
        <w:t>must be foreshadowed in the</w:t>
      </w:r>
      <w:r w:rsidR="0098209B" w:rsidRPr="009317C3">
        <w:rPr>
          <w:szCs w:val="24"/>
        </w:rPr>
        <w:t xml:space="preserve"> </w:t>
      </w:r>
      <w:r w:rsidR="005F02AF" w:rsidRPr="009317C3">
        <w:rPr>
          <w:szCs w:val="24"/>
        </w:rPr>
        <w:t xml:space="preserve">Party/Party </w:t>
      </w:r>
      <w:r w:rsidR="00310531" w:rsidRPr="009317C3">
        <w:rPr>
          <w:szCs w:val="24"/>
        </w:rPr>
        <w:t>Taxation Information Form</w:t>
      </w:r>
      <w:r w:rsidR="009317C3" w:rsidRPr="009317C3">
        <w:rPr>
          <w:szCs w:val="24"/>
        </w:rPr>
        <w:t xml:space="preserve"> (see below)</w:t>
      </w:r>
      <w:r w:rsidR="00310531" w:rsidRPr="009317C3">
        <w:rPr>
          <w:szCs w:val="24"/>
        </w:rPr>
        <w:t xml:space="preserve">. </w:t>
      </w:r>
    </w:p>
    <w:p w14:paraId="1A9C4324" w14:textId="77F12318" w:rsidR="00C42B47" w:rsidRPr="009317C3" w:rsidRDefault="009317C3" w:rsidP="00A11BC8">
      <w:pPr>
        <w:pStyle w:val="ListParagraph"/>
        <w:numPr>
          <w:ilvl w:val="0"/>
          <w:numId w:val="5"/>
        </w:numPr>
        <w:tabs>
          <w:tab w:val="left" w:pos="720"/>
          <w:tab w:val="left" w:pos="1080"/>
        </w:tabs>
        <w:spacing w:after="120"/>
        <w:ind w:left="720"/>
        <w:jc w:val="both"/>
        <w:rPr>
          <w:szCs w:val="24"/>
        </w:rPr>
      </w:pPr>
      <w:r>
        <w:rPr>
          <w:szCs w:val="24"/>
        </w:rPr>
        <w:t xml:space="preserve">Any such application </w:t>
      </w:r>
      <w:r w:rsidR="000D00D0" w:rsidRPr="009317C3">
        <w:rPr>
          <w:szCs w:val="24"/>
        </w:rPr>
        <w:t>is to be included</w:t>
      </w:r>
      <w:r w:rsidR="00DA0F3E">
        <w:rPr>
          <w:szCs w:val="24"/>
        </w:rPr>
        <w:t>, also,</w:t>
      </w:r>
      <w:r w:rsidR="000D00D0" w:rsidRPr="009317C3">
        <w:rPr>
          <w:szCs w:val="24"/>
        </w:rPr>
        <w:t xml:space="preserve"> in the </w:t>
      </w:r>
      <w:r w:rsidR="006D4E16" w:rsidRPr="009317C3">
        <w:rPr>
          <w:szCs w:val="24"/>
        </w:rPr>
        <w:t>summons for taxation.  It must be supported by</w:t>
      </w:r>
      <w:r>
        <w:rPr>
          <w:szCs w:val="24"/>
        </w:rPr>
        <w:t xml:space="preserve"> appropriate </w:t>
      </w:r>
      <w:r w:rsidR="006D4E16" w:rsidRPr="009317C3">
        <w:rPr>
          <w:szCs w:val="24"/>
        </w:rPr>
        <w:t>affidavit material.  The extent of the increase sought must be specified.</w:t>
      </w:r>
    </w:p>
    <w:p w14:paraId="5F2A4F3B" w14:textId="494A432B" w:rsidR="00C42B47" w:rsidRPr="009317C3" w:rsidRDefault="00FC7B86" w:rsidP="00A11BC8">
      <w:pPr>
        <w:pStyle w:val="ListParagraph"/>
        <w:numPr>
          <w:ilvl w:val="0"/>
          <w:numId w:val="5"/>
        </w:numPr>
        <w:tabs>
          <w:tab w:val="left" w:pos="720"/>
        </w:tabs>
        <w:spacing w:after="120"/>
        <w:ind w:left="720"/>
        <w:jc w:val="both"/>
        <w:rPr>
          <w:szCs w:val="24"/>
        </w:rPr>
      </w:pPr>
      <w:r w:rsidRPr="009317C3">
        <w:rPr>
          <w:szCs w:val="24"/>
        </w:rPr>
        <w:t>In such cases, the summons for taxation will be made returnable, in the first instance, at a directions hearing.</w:t>
      </w:r>
    </w:p>
    <w:p w14:paraId="752E75F4" w14:textId="66A49D10" w:rsidR="00C42B47" w:rsidRPr="009317C3" w:rsidRDefault="00C42B47" w:rsidP="00A11BC8">
      <w:pPr>
        <w:pStyle w:val="ListParagraph"/>
        <w:numPr>
          <w:ilvl w:val="0"/>
          <w:numId w:val="5"/>
        </w:numPr>
        <w:spacing w:after="120"/>
        <w:ind w:left="720"/>
        <w:jc w:val="both"/>
        <w:rPr>
          <w:szCs w:val="24"/>
        </w:rPr>
      </w:pPr>
      <w:r w:rsidRPr="009317C3">
        <w:rPr>
          <w:szCs w:val="24"/>
        </w:rPr>
        <w:t xml:space="preserve">At least seven days before the directions hearing, the </w:t>
      </w:r>
      <w:r w:rsidR="00CE7DE8" w:rsidRPr="00881FA8">
        <w:rPr>
          <w:szCs w:val="24"/>
        </w:rPr>
        <w:t>liable party</w:t>
      </w:r>
      <w:r w:rsidR="006A1BD7">
        <w:rPr>
          <w:szCs w:val="24"/>
        </w:rPr>
        <w:t xml:space="preserve"> must </w:t>
      </w:r>
      <w:r w:rsidRPr="009317C3">
        <w:rPr>
          <w:szCs w:val="24"/>
        </w:rPr>
        <w:t xml:space="preserve">file a </w:t>
      </w:r>
      <w:r w:rsidR="00B36ED5" w:rsidRPr="009317C3">
        <w:rPr>
          <w:szCs w:val="24"/>
        </w:rPr>
        <w:t xml:space="preserve">written </w:t>
      </w:r>
      <w:r w:rsidRPr="009317C3">
        <w:rPr>
          <w:szCs w:val="24"/>
        </w:rPr>
        <w:t>response to the application</w:t>
      </w:r>
      <w:r w:rsidR="00B36ED5" w:rsidRPr="009317C3">
        <w:rPr>
          <w:szCs w:val="24"/>
        </w:rPr>
        <w:t xml:space="preserve"> for an increase in the maximums</w:t>
      </w:r>
      <w:r w:rsidRPr="009317C3">
        <w:rPr>
          <w:szCs w:val="24"/>
        </w:rPr>
        <w:t xml:space="preserve">.  </w:t>
      </w:r>
    </w:p>
    <w:p w14:paraId="564A8690" w14:textId="77777777" w:rsidR="0089102C" w:rsidRPr="004318D4" w:rsidRDefault="0089102C" w:rsidP="004318D4">
      <w:pPr>
        <w:spacing w:after="120"/>
        <w:jc w:val="both"/>
        <w:rPr>
          <w:highlight w:val="yellow"/>
        </w:rPr>
      </w:pPr>
    </w:p>
    <w:p w14:paraId="3CF96B73" w14:textId="624916E8" w:rsidR="00DC24A7" w:rsidRPr="004537FA" w:rsidRDefault="002C0774" w:rsidP="00620D33">
      <w:pPr>
        <w:pStyle w:val="Heading1"/>
      </w:pPr>
      <w:bookmarkStart w:id="10" w:name="_Toc178173278"/>
      <w:r w:rsidRPr="004537FA">
        <w:lastRenderedPageBreak/>
        <w:t>COMMENC</w:t>
      </w:r>
      <w:r w:rsidR="0089102C">
        <w:t>E</w:t>
      </w:r>
      <w:r w:rsidRPr="004537FA">
        <w:t xml:space="preserve">MENT </w:t>
      </w:r>
      <w:r w:rsidR="0089102C">
        <w:t xml:space="preserve">AND CONDUCT </w:t>
      </w:r>
      <w:r w:rsidRPr="004537FA">
        <w:t xml:space="preserve">OF </w:t>
      </w:r>
      <w:r w:rsidR="0051730F" w:rsidRPr="004537FA">
        <w:t>PARTY</w:t>
      </w:r>
      <w:r w:rsidR="00307E35">
        <w:t>/</w:t>
      </w:r>
      <w:r w:rsidR="001D7E3B" w:rsidRPr="004537FA">
        <w:t xml:space="preserve">PARTY </w:t>
      </w:r>
      <w:r w:rsidR="00BA2275">
        <w:t>APPLICATIONS</w:t>
      </w:r>
      <w:r w:rsidR="00BA2275" w:rsidRPr="004537FA">
        <w:t xml:space="preserve"> </w:t>
      </w:r>
      <w:r w:rsidR="00C06852" w:rsidRPr="004537FA">
        <w:t>IN THE COSTS COURT</w:t>
      </w:r>
      <w:bookmarkEnd w:id="10"/>
    </w:p>
    <w:p w14:paraId="62EE2F09" w14:textId="003955CC" w:rsidR="00216778" w:rsidRDefault="001205CD" w:rsidP="00A11BC8">
      <w:pPr>
        <w:pStyle w:val="ListParagraph"/>
        <w:numPr>
          <w:ilvl w:val="0"/>
          <w:numId w:val="5"/>
        </w:numPr>
        <w:spacing w:after="120"/>
        <w:ind w:left="720"/>
        <w:jc w:val="both"/>
        <w:rPr>
          <w:szCs w:val="24"/>
        </w:rPr>
      </w:pPr>
      <w:r>
        <w:rPr>
          <w:szCs w:val="24"/>
        </w:rPr>
        <w:t xml:space="preserve">Applications for </w:t>
      </w:r>
      <w:r w:rsidR="00065E10">
        <w:rPr>
          <w:szCs w:val="24"/>
        </w:rPr>
        <w:t xml:space="preserve">party/party </w:t>
      </w:r>
      <w:r>
        <w:rPr>
          <w:szCs w:val="24"/>
        </w:rPr>
        <w:t>taxation</w:t>
      </w:r>
      <w:r w:rsidR="00E42460">
        <w:rPr>
          <w:szCs w:val="24"/>
        </w:rPr>
        <w:t xml:space="preserve"> in the Costs Court are commenced by summons filed with the Prothonotary: r 63.38.</w:t>
      </w:r>
      <w:r w:rsidR="00065E10">
        <w:rPr>
          <w:szCs w:val="24"/>
        </w:rPr>
        <w:t xml:space="preserve"> From 1 January 2025, the following additional</w:t>
      </w:r>
      <w:r w:rsidR="00216778">
        <w:rPr>
          <w:szCs w:val="24"/>
        </w:rPr>
        <w:t xml:space="preserve"> requirements will apply.</w:t>
      </w:r>
      <w:r w:rsidR="00E42460">
        <w:rPr>
          <w:szCs w:val="24"/>
        </w:rPr>
        <w:t xml:space="preserve">  </w:t>
      </w:r>
    </w:p>
    <w:p w14:paraId="3B6CB89E" w14:textId="77777777" w:rsidR="004318D4" w:rsidRDefault="004318D4" w:rsidP="004318D4">
      <w:pPr>
        <w:pStyle w:val="ListParagraph"/>
        <w:numPr>
          <w:ilvl w:val="0"/>
          <w:numId w:val="0"/>
        </w:numPr>
        <w:spacing w:after="120"/>
        <w:ind w:left="720"/>
        <w:jc w:val="both"/>
        <w:rPr>
          <w:szCs w:val="24"/>
        </w:rPr>
      </w:pPr>
    </w:p>
    <w:p w14:paraId="637DAD1B" w14:textId="77777777" w:rsidR="00065E10" w:rsidRPr="0059017F" w:rsidRDefault="00065E10" w:rsidP="00065E10">
      <w:pPr>
        <w:pStyle w:val="Heading3"/>
        <w:spacing w:after="120"/>
      </w:pPr>
      <w:bookmarkStart w:id="11" w:name="_Toc178173279"/>
      <w:r>
        <w:t xml:space="preserve">Party/Party </w:t>
      </w:r>
      <w:r w:rsidRPr="0059017F">
        <w:t xml:space="preserve">Taxation </w:t>
      </w:r>
      <w:r>
        <w:t>I</w:t>
      </w:r>
      <w:r w:rsidRPr="0059017F">
        <w:t xml:space="preserve">nformation </w:t>
      </w:r>
      <w:r>
        <w:t>F</w:t>
      </w:r>
      <w:r w:rsidRPr="0059017F">
        <w:t>orm</w:t>
      </w:r>
      <w:bookmarkEnd w:id="11"/>
      <w:r w:rsidRPr="0059017F">
        <w:t xml:space="preserve"> </w:t>
      </w:r>
    </w:p>
    <w:p w14:paraId="1E16FC2C" w14:textId="3F6CDBA7" w:rsidR="00594BB9" w:rsidRDefault="00594BB9" w:rsidP="00594BB9">
      <w:pPr>
        <w:pStyle w:val="ListParagraph"/>
        <w:numPr>
          <w:ilvl w:val="0"/>
          <w:numId w:val="5"/>
        </w:numPr>
        <w:spacing w:after="120"/>
        <w:ind w:left="720"/>
        <w:jc w:val="both"/>
        <w:rPr>
          <w:szCs w:val="24"/>
        </w:rPr>
      </w:pPr>
      <w:r w:rsidRPr="00B54E48">
        <w:rPr>
          <w:szCs w:val="24"/>
        </w:rPr>
        <w:t>Before</w:t>
      </w:r>
      <w:r>
        <w:rPr>
          <w:szCs w:val="24"/>
        </w:rPr>
        <w:t xml:space="preserve"> filing or serving a summons for taxation,</w:t>
      </w:r>
      <w:r w:rsidRPr="00B54E48">
        <w:rPr>
          <w:szCs w:val="24"/>
        </w:rPr>
        <w:t xml:space="preserve"> the </w:t>
      </w:r>
      <w:r w:rsidR="00CE7DE8">
        <w:rPr>
          <w:szCs w:val="24"/>
        </w:rPr>
        <w:t>entitled party</w:t>
      </w:r>
      <w:r w:rsidRPr="00B54E48">
        <w:rPr>
          <w:szCs w:val="24"/>
        </w:rPr>
        <w:t xml:space="preserve"> must email a completed Party</w:t>
      </w:r>
      <w:r>
        <w:rPr>
          <w:szCs w:val="24"/>
        </w:rPr>
        <w:t>/</w:t>
      </w:r>
      <w:r w:rsidRPr="00B54E48">
        <w:rPr>
          <w:szCs w:val="24"/>
        </w:rPr>
        <w:t xml:space="preserve">Party Taxation </w:t>
      </w:r>
      <w:r>
        <w:rPr>
          <w:szCs w:val="24"/>
        </w:rPr>
        <w:t>I</w:t>
      </w:r>
      <w:r w:rsidRPr="00B54E48">
        <w:rPr>
          <w:szCs w:val="24"/>
        </w:rPr>
        <w:t>nformation Form (</w:t>
      </w:r>
      <w:r>
        <w:rPr>
          <w:szCs w:val="24"/>
        </w:rPr>
        <w:t>Annexure</w:t>
      </w:r>
      <w:r w:rsidRPr="00B54E48">
        <w:rPr>
          <w:szCs w:val="24"/>
        </w:rPr>
        <w:t xml:space="preserve"> </w:t>
      </w:r>
      <w:r>
        <w:rPr>
          <w:szCs w:val="24"/>
        </w:rPr>
        <w:t>A</w:t>
      </w:r>
      <w:r w:rsidRPr="00B54E48">
        <w:rPr>
          <w:szCs w:val="24"/>
        </w:rPr>
        <w:t xml:space="preserve">) to: </w:t>
      </w:r>
      <w:hyperlink r:id="rId16" w:history="1">
        <w:r w:rsidRPr="00B54E48">
          <w:rPr>
            <w:rStyle w:val="Hyperlink"/>
            <w:color w:val="auto"/>
            <w:szCs w:val="24"/>
          </w:rPr>
          <w:t>costs.court@supcourt.vic.gov.au</w:t>
        </w:r>
      </w:hyperlink>
      <w:r w:rsidRPr="00B54E48">
        <w:rPr>
          <w:szCs w:val="24"/>
        </w:rPr>
        <w:t xml:space="preserve">. </w:t>
      </w:r>
    </w:p>
    <w:p w14:paraId="35E9D950" w14:textId="7F494FBC" w:rsidR="00F5762F" w:rsidRPr="00B54E48" w:rsidRDefault="00C06852" w:rsidP="00A11BC8">
      <w:pPr>
        <w:pStyle w:val="ListParagraph"/>
        <w:numPr>
          <w:ilvl w:val="0"/>
          <w:numId w:val="5"/>
        </w:numPr>
        <w:spacing w:after="120"/>
        <w:ind w:left="720"/>
        <w:jc w:val="both"/>
        <w:rPr>
          <w:szCs w:val="24"/>
        </w:rPr>
      </w:pPr>
      <w:r w:rsidRPr="00B54E48">
        <w:rPr>
          <w:szCs w:val="24"/>
        </w:rPr>
        <w:t>The Form</w:t>
      </w:r>
      <w:r w:rsidR="00966178">
        <w:rPr>
          <w:szCs w:val="24"/>
        </w:rPr>
        <w:t xml:space="preserve"> largely speaks for itself. However, the following matters</w:t>
      </w:r>
      <w:r w:rsidR="00DA0F3E">
        <w:rPr>
          <w:szCs w:val="24"/>
        </w:rPr>
        <w:t>, in particular,</w:t>
      </w:r>
      <w:r w:rsidR="00966178">
        <w:rPr>
          <w:szCs w:val="24"/>
        </w:rPr>
        <w:t xml:space="preserve"> are worth noting:</w:t>
      </w:r>
    </w:p>
    <w:p w14:paraId="39FB1800" w14:textId="77777777" w:rsidR="00DB2D5E" w:rsidRDefault="005E73BA" w:rsidP="00184B65">
      <w:pPr>
        <w:spacing w:after="120"/>
        <w:ind w:left="1440" w:hanging="720"/>
        <w:jc w:val="both"/>
        <w:rPr>
          <w:rFonts w:ascii="Book Antiqua" w:hAnsi="Book Antiqua"/>
        </w:rPr>
      </w:pPr>
      <w:r w:rsidRPr="00EA0D05">
        <w:rPr>
          <w:rFonts w:ascii="Book Antiqua" w:hAnsi="Book Antiqua"/>
        </w:rPr>
        <w:t>(</w:t>
      </w:r>
      <w:r w:rsidR="00991B7A">
        <w:rPr>
          <w:rFonts w:ascii="Book Antiqua" w:hAnsi="Book Antiqua"/>
        </w:rPr>
        <w:t>a</w:t>
      </w:r>
      <w:r w:rsidRPr="00EA0D05">
        <w:rPr>
          <w:rFonts w:ascii="Book Antiqua" w:hAnsi="Book Antiqua"/>
        </w:rPr>
        <w:t>)</w:t>
      </w:r>
      <w:r w:rsidRPr="00EA0D05">
        <w:rPr>
          <w:rFonts w:ascii="Book Antiqua" w:hAnsi="Book Antiqua"/>
        </w:rPr>
        <w:tab/>
      </w:r>
      <w:r w:rsidR="00E63BB0">
        <w:rPr>
          <w:rFonts w:ascii="Book Antiqua" w:hAnsi="Book Antiqua"/>
        </w:rPr>
        <w:t>An e</w:t>
      </w:r>
      <w:r w:rsidR="00E63BB0" w:rsidRPr="00EA0D05">
        <w:rPr>
          <w:rFonts w:ascii="Book Antiqua" w:hAnsi="Book Antiqua"/>
        </w:rPr>
        <w:t>stimate</w:t>
      </w:r>
      <w:r w:rsidR="00E63BB0">
        <w:rPr>
          <w:rFonts w:ascii="Book Antiqua" w:hAnsi="Book Antiqua"/>
        </w:rPr>
        <w:t xml:space="preserve"> </w:t>
      </w:r>
      <w:r w:rsidR="00DB2D5E">
        <w:rPr>
          <w:rFonts w:ascii="Book Antiqua" w:hAnsi="Book Antiqua"/>
        </w:rPr>
        <w:t xml:space="preserve">must be given </w:t>
      </w:r>
      <w:r w:rsidR="00E63BB0">
        <w:rPr>
          <w:rFonts w:ascii="Book Antiqua" w:hAnsi="Book Antiqua"/>
        </w:rPr>
        <w:t>of</w:t>
      </w:r>
      <w:r w:rsidR="00E63BB0" w:rsidRPr="00EA0D05">
        <w:rPr>
          <w:rFonts w:ascii="Book Antiqua" w:hAnsi="Book Antiqua"/>
        </w:rPr>
        <w:t xml:space="preserve"> </w:t>
      </w:r>
      <w:r w:rsidR="00E63BB0">
        <w:rPr>
          <w:rFonts w:ascii="Book Antiqua" w:hAnsi="Book Antiqua"/>
        </w:rPr>
        <w:t xml:space="preserve">the </w:t>
      </w:r>
      <w:r w:rsidR="00E63BB0" w:rsidRPr="00EA0D05">
        <w:rPr>
          <w:rFonts w:ascii="Book Antiqua" w:hAnsi="Book Antiqua"/>
        </w:rPr>
        <w:t xml:space="preserve">time required </w:t>
      </w:r>
      <w:r w:rsidR="00E63BB0">
        <w:rPr>
          <w:rFonts w:ascii="Book Antiqua" w:hAnsi="Book Antiqua"/>
        </w:rPr>
        <w:t>to tax</w:t>
      </w:r>
      <w:r w:rsidR="00E63BB0" w:rsidRPr="00EA0D05">
        <w:rPr>
          <w:rFonts w:ascii="Book Antiqua" w:hAnsi="Book Antiqua"/>
        </w:rPr>
        <w:t xml:space="preserve"> the bill of costs. The Costs Court </w:t>
      </w:r>
      <w:r w:rsidR="00E63BB0" w:rsidRPr="00EA0D05">
        <w:rPr>
          <w:rFonts w:ascii="Book Antiqua" w:hAnsi="Book Antiqua"/>
        </w:rPr>
        <w:lastRenderedPageBreak/>
        <w:t>should be notified as soon as practicable in the event of a revised estimate and</w:t>
      </w:r>
      <w:r w:rsidR="00E63BB0">
        <w:rPr>
          <w:rFonts w:ascii="Book Antiqua" w:hAnsi="Book Antiqua"/>
        </w:rPr>
        <w:t>,</w:t>
      </w:r>
      <w:r w:rsidR="00E63BB0" w:rsidRPr="00EA0D05">
        <w:rPr>
          <w:rFonts w:ascii="Book Antiqua" w:hAnsi="Book Antiqua"/>
        </w:rPr>
        <w:t xml:space="preserve"> wherever possible</w:t>
      </w:r>
      <w:r w:rsidR="00E63BB0">
        <w:rPr>
          <w:rFonts w:ascii="Book Antiqua" w:hAnsi="Book Antiqua"/>
        </w:rPr>
        <w:t>,</w:t>
      </w:r>
      <w:r w:rsidR="00E63BB0" w:rsidRPr="00EA0D05">
        <w:rPr>
          <w:rFonts w:ascii="Book Antiqua" w:hAnsi="Book Antiqua"/>
        </w:rPr>
        <w:t xml:space="preserve"> revisions should be as agreed between the parties</w:t>
      </w:r>
      <w:r w:rsidR="00DB2D5E">
        <w:rPr>
          <w:rFonts w:ascii="Book Antiqua" w:hAnsi="Book Antiqua"/>
        </w:rPr>
        <w:t>.</w:t>
      </w:r>
    </w:p>
    <w:p w14:paraId="75F603B4" w14:textId="4E336158" w:rsidR="002F1475" w:rsidRPr="00DB1826" w:rsidRDefault="00184B65" w:rsidP="0038551F">
      <w:pPr>
        <w:tabs>
          <w:tab w:val="left" w:pos="1440"/>
        </w:tabs>
        <w:spacing w:after="120"/>
        <w:ind w:left="1440" w:hanging="720"/>
        <w:jc w:val="both"/>
      </w:pPr>
      <w:r w:rsidRPr="0038551F">
        <w:rPr>
          <w:rFonts w:ascii="Book Antiqua" w:hAnsi="Book Antiqua"/>
        </w:rPr>
        <w:t>(</w:t>
      </w:r>
      <w:r w:rsidR="00991B7A">
        <w:rPr>
          <w:rFonts w:ascii="Book Antiqua" w:hAnsi="Book Antiqua"/>
        </w:rPr>
        <w:t>b</w:t>
      </w:r>
      <w:r w:rsidRPr="0038551F">
        <w:rPr>
          <w:rFonts w:ascii="Book Antiqua" w:hAnsi="Book Antiqua"/>
        </w:rPr>
        <w:t>)</w:t>
      </w:r>
      <w:r w:rsidRPr="0038551F">
        <w:rPr>
          <w:rFonts w:ascii="Book Antiqua" w:hAnsi="Book Antiqua"/>
        </w:rPr>
        <w:tab/>
      </w:r>
      <w:r w:rsidR="003972C2">
        <w:rPr>
          <w:rFonts w:ascii="Book Antiqua" w:hAnsi="Book Antiqua"/>
        </w:rPr>
        <w:t xml:space="preserve">Where the entitlement to costs arises from a court order in respect of which a written judgment </w:t>
      </w:r>
      <w:r w:rsidR="00E10AC4">
        <w:rPr>
          <w:rFonts w:ascii="Book Antiqua" w:hAnsi="Book Antiqua"/>
        </w:rPr>
        <w:t xml:space="preserve">has been published, </w:t>
      </w:r>
      <w:r w:rsidR="003972C2">
        <w:rPr>
          <w:rFonts w:ascii="Book Antiqua" w:hAnsi="Book Antiqua"/>
        </w:rPr>
        <w:t>the medi</w:t>
      </w:r>
      <w:r w:rsidR="009F0B41">
        <w:rPr>
          <w:rFonts w:ascii="Book Antiqua" w:hAnsi="Book Antiqua"/>
        </w:rPr>
        <w:t>um</w:t>
      </w:r>
      <w:r w:rsidR="003972C2">
        <w:rPr>
          <w:rFonts w:ascii="Book Antiqua" w:hAnsi="Book Antiqua"/>
        </w:rPr>
        <w:t xml:space="preserve"> neutral citation of the judgment</w:t>
      </w:r>
      <w:r w:rsidR="00920708">
        <w:rPr>
          <w:rFonts w:ascii="Book Antiqua" w:hAnsi="Book Antiqua"/>
        </w:rPr>
        <w:t xml:space="preserve"> is to be given. If there is a </w:t>
      </w:r>
      <w:r w:rsidR="00DA0F3E">
        <w:rPr>
          <w:rFonts w:ascii="Book Antiqua" w:hAnsi="Book Antiqua"/>
        </w:rPr>
        <w:t xml:space="preserve">written </w:t>
      </w:r>
      <w:r w:rsidR="00920708">
        <w:rPr>
          <w:rFonts w:ascii="Book Antiqua" w:hAnsi="Book Antiqua"/>
        </w:rPr>
        <w:t xml:space="preserve">judgment but it </w:t>
      </w:r>
      <w:r w:rsidR="003972C2">
        <w:rPr>
          <w:rFonts w:ascii="Book Antiqua" w:hAnsi="Book Antiqua"/>
        </w:rPr>
        <w:t xml:space="preserve">has not been published, a copy of </w:t>
      </w:r>
      <w:r w:rsidR="007E3141">
        <w:rPr>
          <w:rFonts w:ascii="Book Antiqua" w:hAnsi="Book Antiqua"/>
        </w:rPr>
        <w:t>the judgment should be attached to the completed Form.</w:t>
      </w:r>
      <w:r w:rsidR="003972C2" w:rsidRPr="00EA0D05">
        <w:rPr>
          <w:rFonts w:ascii="Book Antiqua" w:hAnsi="Book Antiqua"/>
        </w:rPr>
        <w:t xml:space="preserve"> </w:t>
      </w:r>
    </w:p>
    <w:p w14:paraId="44A10F61" w14:textId="6A5FA1A2" w:rsidR="005A4A54" w:rsidRDefault="005E73BA" w:rsidP="00F85F84">
      <w:pPr>
        <w:spacing w:after="120"/>
        <w:ind w:left="1440" w:hanging="720"/>
        <w:jc w:val="both"/>
        <w:rPr>
          <w:rFonts w:ascii="Book Antiqua" w:hAnsi="Book Antiqua"/>
        </w:rPr>
      </w:pPr>
      <w:r w:rsidRPr="00EA0D05">
        <w:rPr>
          <w:rFonts w:ascii="Book Antiqua" w:hAnsi="Book Antiqua"/>
        </w:rPr>
        <w:t>(</w:t>
      </w:r>
      <w:r w:rsidR="00991B7A">
        <w:rPr>
          <w:rFonts w:ascii="Book Antiqua" w:hAnsi="Book Antiqua"/>
        </w:rPr>
        <w:t>c</w:t>
      </w:r>
      <w:r w:rsidRPr="00EA0D05">
        <w:rPr>
          <w:rFonts w:ascii="Book Antiqua" w:hAnsi="Book Antiqua"/>
        </w:rPr>
        <w:t>)</w:t>
      </w:r>
      <w:r w:rsidRPr="00EA0D05">
        <w:rPr>
          <w:rFonts w:ascii="Book Antiqua" w:hAnsi="Book Antiqua"/>
        </w:rPr>
        <w:tab/>
      </w:r>
      <w:r w:rsidR="007E3141">
        <w:rPr>
          <w:rFonts w:ascii="Book Antiqua" w:hAnsi="Book Antiqua"/>
        </w:rPr>
        <w:t>W</w:t>
      </w:r>
      <w:r w:rsidR="005A4A54">
        <w:rPr>
          <w:rFonts w:ascii="Book Antiqua" w:hAnsi="Book Antiqua"/>
        </w:rPr>
        <w:t>here</w:t>
      </w:r>
      <w:r w:rsidR="005A4A54" w:rsidRPr="00EA0D05">
        <w:rPr>
          <w:rFonts w:ascii="Book Antiqua" w:hAnsi="Book Antiqua"/>
        </w:rPr>
        <w:t xml:space="preserve"> there is no written judgment</w:t>
      </w:r>
      <w:r w:rsidR="005A4A54">
        <w:rPr>
          <w:rFonts w:ascii="Book Antiqua" w:hAnsi="Book Antiqua"/>
        </w:rPr>
        <w:t xml:space="preserve">, </w:t>
      </w:r>
      <w:r w:rsidR="005A4A54" w:rsidRPr="00EA0D05">
        <w:rPr>
          <w:rFonts w:ascii="Book Antiqua" w:hAnsi="Book Antiqua"/>
        </w:rPr>
        <w:t xml:space="preserve">a short summary (no more than 300 words) of the principal </w:t>
      </w:r>
      <w:r w:rsidR="005A4A54">
        <w:rPr>
          <w:rFonts w:ascii="Book Antiqua" w:hAnsi="Book Antiqua"/>
        </w:rPr>
        <w:t>proceeding</w:t>
      </w:r>
      <w:r w:rsidR="00DA0F3E">
        <w:rPr>
          <w:rFonts w:ascii="Book Antiqua" w:hAnsi="Book Antiqua"/>
        </w:rPr>
        <w:t>,</w:t>
      </w:r>
      <w:r w:rsidR="005A4A54">
        <w:rPr>
          <w:rFonts w:ascii="Book Antiqua" w:hAnsi="Book Antiqua"/>
        </w:rPr>
        <w:t xml:space="preserve"> </w:t>
      </w:r>
      <w:r w:rsidR="005A4A54" w:rsidRPr="00EA0D05">
        <w:rPr>
          <w:rFonts w:ascii="Book Antiqua" w:hAnsi="Book Antiqua"/>
        </w:rPr>
        <w:t>with sufficient detail to enable a basic understanding of</w:t>
      </w:r>
      <w:r w:rsidR="00A61935">
        <w:rPr>
          <w:rFonts w:ascii="Book Antiqua" w:hAnsi="Book Antiqua"/>
        </w:rPr>
        <w:t xml:space="preserve"> it</w:t>
      </w:r>
      <w:r w:rsidR="00F85F56">
        <w:rPr>
          <w:rFonts w:ascii="Book Antiqua" w:hAnsi="Book Antiqua"/>
        </w:rPr>
        <w:t>,</w:t>
      </w:r>
      <w:r w:rsidR="00A61935">
        <w:rPr>
          <w:rFonts w:ascii="Book Antiqua" w:hAnsi="Book Antiqua"/>
        </w:rPr>
        <w:t xml:space="preserve"> </w:t>
      </w:r>
      <w:r w:rsidR="00703E2A">
        <w:rPr>
          <w:rFonts w:ascii="Book Antiqua" w:hAnsi="Book Antiqua"/>
        </w:rPr>
        <w:t>is to</w:t>
      </w:r>
      <w:r w:rsidR="00A61935">
        <w:rPr>
          <w:rFonts w:ascii="Book Antiqua" w:hAnsi="Book Antiqua"/>
        </w:rPr>
        <w:t xml:space="preserve"> be included.</w:t>
      </w:r>
    </w:p>
    <w:p w14:paraId="57EC9F8F" w14:textId="6C91C1C3" w:rsidR="00CE7DE8" w:rsidRDefault="000F6957" w:rsidP="00F85F84">
      <w:pPr>
        <w:spacing w:after="120"/>
        <w:ind w:left="1440" w:hanging="720"/>
        <w:jc w:val="both"/>
        <w:rPr>
          <w:rFonts w:ascii="Book Antiqua" w:hAnsi="Book Antiqua"/>
        </w:rPr>
      </w:pPr>
      <w:r>
        <w:rPr>
          <w:rFonts w:ascii="Book Antiqua" w:hAnsi="Book Antiqua"/>
        </w:rPr>
        <w:t>(d)</w:t>
      </w:r>
      <w:r>
        <w:rPr>
          <w:rFonts w:ascii="Book Antiqua" w:hAnsi="Book Antiqua"/>
        </w:rPr>
        <w:tab/>
        <w:t xml:space="preserve">If the </w:t>
      </w:r>
      <w:r w:rsidRPr="00881FA8">
        <w:rPr>
          <w:rFonts w:ascii="Book Antiqua" w:hAnsi="Book Antiqua"/>
        </w:rPr>
        <w:t>entitled party</w:t>
      </w:r>
      <w:r>
        <w:rPr>
          <w:rFonts w:ascii="Book Antiqua" w:hAnsi="Book Antiqua"/>
        </w:rPr>
        <w:t xml:space="preserve"> proposes that </w:t>
      </w:r>
      <w:r w:rsidR="0067063F">
        <w:rPr>
          <w:rFonts w:ascii="Book Antiqua" w:hAnsi="Book Antiqua"/>
        </w:rPr>
        <w:t>on the first return o</w:t>
      </w:r>
      <w:r w:rsidR="00BD1664">
        <w:rPr>
          <w:rFonts w:ascii="Book Antiqua" w:hAnsi="Book Antiqua"/>
        </w:rPr>
        <w:t>f</w:t>
      </w:r>
      <w:r w:rsidR="0067063F">
        <w:rPr>
          <w:rFonts w:ascii="Book Antiqua" w:hAnsi="Book Antiqua"/>
        </w:rPr>
        <w:t xml:space="preserve"> the summons for taxation there should be a directions hearing, the </w:t>
      </w:r>
      <w:r w:rsidR="0067063F" w:rsidRPr="00881FA8">
        <w:rPr>
          <w:rFonts w:ascii="Book Antiqua" w:hAnsi="Book Antiqua"/>
        </w:rPr>
        <w:t>entitled party</w:t>
      </w:r>
      <w:r w:rsidR="0067063F">
        <w:rPr>
          <w:rFonts w:ascii="Book Antiqua" w:hAnsi="Book Antiqua"/>
        </w:rPr>
        <w:t xml:space="preserve"> must give a reason or reasons (e</w:t>
      </w:r>
      <w:r w:rsidR="00BD1664">
        <w:rPr>
          <w:rFonts w:ascii="Book Antiqua" w:hAnsi="Book Antiqua"/>
        </w:rPr>
        <w:t>.</w:t>
      </w:r>
      <w:r w:rsidR="0067063F">
        <w:rPr>
          <w:rFonts w:ascii="Book Antiqua" w:hAnsi="Book Antiqua"/>
        </w:rPr>
        <w:t>g</w:t>
      </w:r>
      <w:r w:rsidR="009C0324">
        <w:rPr>
          <w:rFonts w:ascii="Book Antiqua" w:hAnsi="Book Antiqua"/>
        </w:rPr>
        <w:t xml:space="preserve">. that the </w:t>
      </w:r>
      <w:r w:rsidR="009C0324" w:rsidRPr="00881FA8">
        <w:rPr>
          <w:rFonts w:ascii="Book Antiqua" w:hAnsi="Book Antiqua"/>
        </w:rPr>
        <w:t>responden</w:t>
      </w:r>
      <w:r w:rsidR="009C0324">
        <w:rPr>
          <w:rFonts w:ascii="Book Antiqua" w:hAnsi="Book Antiqua"/>
        </w:rPr>
        <w:t>t is self-represented).</w:t>
      </w:r>
    </w:p>
    <w:p w14:paraId="2952C1F0" w14:textId="0B8582C2" w:rsidR="00A61935" w:rsidRPr="00EA0D05" w:rsidRDefault="00215018" w:rsidP="00A61935">
      <w:pPr>
        <w:spacing w:after="120"/>
        <w:ind w:left="1440" w:hanging="720"/>
        <w:jc w:val="both"/>
        <w:rPr>
          <w:rFonts w:ascii="Book Antiqua" w:hAnsi="Book Antiqua"/>
        </w:rPr>
      </w:pPr>
      <w:r w:rsidRPr="00EA0D05">
        <w:rPr>
          <w:rFonts w:ascii="Book Antiqua" w:hAnsi="Book Antiqua"/>
        </w:rPr>
        <w:t>(</w:t>
      </w:r>
      <w:r w:rsidR="000F6957">
        <w:rPr>
          <w:rFonts w:ascii="Book Antiqua" w:hAnsi="Book Antiqua"/>
        </w:rPr>
        <w:t>e</w:t>
      </w:r>
      <w:r w:rsidRPr="00EA0D05">
        <w:rPr>
          <w:rFonts w:ascii="Book Antiqua" w:hAnsi="Book Antiqua"/>
        </w:rPr>
        <w:t xml:space="preserve">) </w:t>
      </w:r>
      <w:r w:rsidRPr="00EA0D05">
        <w:rPr>
          <w:rFonts w:ascii="Book Antiqua" w:hAnsi="Book Antiqua"/>
        </w:rPr>
        <w:tab/>
      </w:r>
      <w:r w:rsidR="005642CF">
        <w:rPr>
          <w:rFonts w:ascii="Book Antiqua" w:hAnsi="Book Antiqua"/>
        </w:rPr>
        <w:t xml:space="preserve">Details are to be given </w:t>
      </w:r>
      <w:r w:rsidR="00A61935">
        <w:rPr>
          <w:rFonts w:ascii="Book Antiqua" w:hAnsi="Book Antiqua"/>
        </w:rPr>
        <w:t>of any application for an increase beyond</w:t>
      </w:r>
      <w:r w:rsidR="00A61935" w:rsidRPr="0038551F">
        <w:rPr>
          <w:rFonts w:ascii="Book Antiqua" w:hAnsi="Book Antiqua"/>
        </w:rPr>
        <w:t xml:space="preserve"> the maximums</w:t>
      </w:r>
      <w:r w:rsidR="00A61935">
        <w:rPr>
          <w:rFonts w:ascii="Book Antiqua" w:hAnsi="Book Antiqua"/>
        </w:rPr>
        <w:t xml:space="preserve"> set out</w:t>
      </w:r>
      <w:r w:rsidR="00A61935" w:rsidRPr="0038551F">
        <w:rPr>
          <w:rFonts w:ascii="Book Antiqua" w:hAnsi="Book Antiqua"/>
        </w:rPr>
        <w:t xml:space="preserve"> in </w:t>
      </w:r>
      <w:r w:rsidR="00A61935">
        <w:rPr>
          <w:rFonts w:ascii="Book Antiqua" w:hAnsi="Book Antiqua"/>
        </w:rPr>
        <w:t>S</w:t>
      </w:r>
      <w:r w:rsidR="00A61935" w:rsidRPr="0038551F">
        <w:rPr>
          <w:rFonts w:ascii="Book Antiqua" w:hAnsi="Book Antiqua"/>
        </w:rPr>
        <w:t>ection 1 or Section 4 of Appendix A</w:t>
      </w:r>
      <w:r w:rsidR="005642CF">
        <w:rPr>
          <w:rFonts w:ascii="Book Antiqua" w:hAnsi="Book Antiqua"/>
        </w:rPr>
        <w:t>.</w:t>
      </w:r>
    </w:p>
    <w:p w14:paraId="259B3282" w14:textId="4BFB5AAA" w:rsidR="00F5762F" w:rsidRDefault="00215018" w:rsidP="00760B11">
      <w:pPr>
        <w:spacing w:after="120"/>
        <w:ind w:left="1440" w:hanging="720"/>
        <w:jc w:val="both"/>
        <w:rPr>
          <w:rFonts w:ascii="Book Antiqua" w:hAnsi="Book Antiqua"/>
        </w:rPr>
      </w:pPr>
      <w:r w:rsidRPr="00EA0D05">
        <w:rPr>
          <w:rFonts w:ascii="Book Antiqua" w:hAnsi="Book Antiqua"/>
        </w:rPr>
        <w:t>(</w:t>
      </w:r>
      <w:r w:rsidR="000F6957">
        <w:rPr>
          <w:rFonts w:ascii="Book Antiqua" w:hAnsi="Book Antiqua"/>
        </w:rPr>
        <w:t>f</w:t>
      </w:r>
      <w:r w:rsidRPr="00EA0D05">
        <w:rPr>
          <w:rFonts w:ascii="Book Antiqua" w:hAnsi="Book Antiqua"/>
        </w:rPr>
        <w:t>)</w:t>
      </w:r>
      <w:r w:rsidRPr="00EA0D05">
        <w:rPr>
          <w:rFonts w:ascii="Book Antiqua" w:hAnsi="Book Antiqua"/>
        </w:rPr>
        <w:tab/>
      </w:r>
      <w:r w:rsidR="00B40DDB">
        <w:rPr>
          <w:rFonts w:ascii="Book Antiqua" w:hAnsi="Book Antiqua"/>
        </w:rPr>
        <w:t>Where</w:t>
      </w:r>
      <w:r w:rsidR="00B40DDB" w:rsidRPr="00EA0D05">
        <w:rPr>
          <w:rFonts w:ascii="Book Antiqua" w:hAnsi="Book Antiqua"/>
        </w:rPr>
        <w:t xml:space="preserve"> orders are sought by consent</w:t>
      </w:r>
      <w:r w:rsidR="00B40DDB">
        <w:rPr>
          <w:rFonts w:ascii="Book Antiqua" w:hAnsi="Book Antiqua"/>
        </w:rPr>
        <w:t>,</w:t>
      </w:r>
      <w:r w:rsidR="00B40DDB" w:rsidRPr="00EA0D05">
        <w:rPr>
          <w:rFonts w:ascii="Book Antiqua" w:hAnsi="Book Antiqua"/>
        </w:rPr>
        <w:t xml:space="preserve"> signed minutes </w:t>
      </w:r>
      <w:r w:rsidR="00B40DDB">
        <w:rPr>
          <w:rFonts w:ascii="Book Antiqua" w:hAnsi="Book Antiqua"/>
        </w:rPr>
        <w:t>of the</w:t>
      </w:r>
      <w:r w:rsidR="00B40DDB" w:rsidRPr="00EA0D05">
        <w:rPr>
          <w:rFonts w:ascii="Book Antiqua" w:hAnsi="Book Antiqua"/>
        </w:rPr>
        <w:t xml:space="preserve"> </w:t>
      </w:r>
      <w:r w:rsidR="00B40DDB">
        <w:rPr>
          <w:rFonts w:ascii="Book Antiqua" w:hAnsi="Book Antiqua"/>
        </w:rPr>
        <w:t xml:space="preserve">proposed </w:t>
      </w:r>
      <w:r w:rsidR="00B40DDB" w:rsidRPr="00EA0D05">
        <w:rPr>
          <w:rFonts w:ascii="Book Antiqua" w:hAnsi="Book Antiqua"/>
        </w:rPr>
        <w:t>consent order</w:t>
      </w:r>
      <w:r w:rsidR="00B40DDB">
        <w:rPr>
          <w:rFonts w:ascii="Book Antiqua" w:hAnsi="Book Antiqua"/>
        </w:rPr>
        <w:t>s,</w:t>
      </w:r>
      <w:r w:rsidR="00B40DDB" w:rsidRPr="00EA0D05">
        <w:rPr>
          <w:rFonts w:ascii="Book Antiqua" w:hAnsi="Book Antiqua"/>
        </w:rPr>
        <w:t xml:space="preserve"> </w:t>
      </w:r>
      <w:r w:rsidR="00B40DDB">
        <w:rPr>
          <w:rFonts w:ascii="Book Antiqua" w:hAnsi="Book Antiqua"/>
        </w:rPr>
        <w:t>both</w:t>
      </w:r>
      <w:r w:rsidR="00B40DDB" w:rsidRPr="00EA0D05">
        <w:rPr>
          <w:rFonts w:ascii="Book Antiqua" w:hAnsi="Book Antiqua"/>
        </w:rPr>
        <w:t xml:space="preserve"> in PDF</w:t>
      </w:r>
      <w:r w:rsidR="00B40DDB">
        <w:rPr>
          <w:rFonts w:ascii="Book Antiqua" w:hAnsi="Book Antiqua"/>
        </w:rPr>
        <w:t xml:space="preserve"> form and in</w:t>
      </w:r>
      <w:r w:rsidR="00B40DDB" w:rsidRPr="00EA0D05">
        <w:rPr>
          <w:rFonts w:ascii="Book Antiqua" w:hAnsi="Book Antiqua"/>
        </w:rPr>
        <w:t xml:space="preserve"> editable </w:t>
      </w:r>
      <w:r w:rsidR="00B40DDB">
        <w:rPr>
          <w:rFonts w:ascii="Book Antiqua" w:hAnsi="Book Antiqua"/>
        </w:rPr>
        <w:t>form</w:t>
      </w:r>
      <w:r w:rsidR="00B40DDB" w:rsidRPr="00EA0D05">
        <w:rPr>
          <w:rFonts w:ascii="Book Antiqua" w:hAnsi="Book Antiqua"/>
        </w:rPr>
        <w:t xml:space="preserve"> </w:t>
      </w:r>
      <w:r w:rsidR="00B40DDB">
        <w:rPr>
          <w:rFonts w:ascii="Book Antiqua" w:hAnsi="Book Antiqua"/>
        </w:rPr>
        <w:t>(R</w:t>
      </w:r>
      <w:r w:rsidR="00B40DDB" w:rsidRPr="00EA0D05">
        <w:rPr>
          <w:rFonts w:ascii="Book Antiqua" w:hAnsi="Book Antiqua"/>
        </w:rPr>
        <w:t xml:space="preserve">ich </w:t>
      </w:r>
      <w:r w:rsidR="00B40DDB">
        <w:rPr>
          <w:rFonts w:ascii="Book Antiqua" w:hAnsi="Book Antiqua"/>
        </w:rPr>
        <w:t>T</w:t>
      </w:r>
      <w:r w:rsidR="00B40DDB" w:rsidRPr="00EA0D05">
        <w:rPr>
          <w:rFonts w:ascii="Book Antiqua" w:hAnsi="Book Antiqua"/>
        </w:rPr>
        <w:t>ext or Word</w:t>
      </w:r>
      <w:r w:rsidR="00B40DDB">
        <w:rPr>
          <w:rFonts w:ascii="Book Antiqua" w:hAnsi="Book Antiqua"/>
        </w:rPr>
        <w:t>)</w:t>
      </w:r>
      <w:r w:rsidR="003E463B">
        <w:rPr>
          <w:rFonts w:ascii="Book Antiqua" w:hAnsi="Book Antiqua"/>
        </w:rPr>
        <w:t>, are to be attached</w:t>
      </w:r>
      <w:r w:rsidR="00B40DDB">
        <w:rPr>
          <w:rFonts w:ascii="Book Antiqua" w:hAnsi="Book Antiqua"/>
        </w:rPr>
        <w:t xml:space="preserve">.  At the </w:t>
      </w:r>
      <w:r w:rsidR="00B40DDB" w:rsidRPr="00BD1664">
        <w:rPr>
          <w:rFonts w:ascii="Book Antiqua" w:hAnsi="Book Antiqua"/>
        </w:rPr>
        <w:t xml:space="preserve">same time, copies of the minutes are to be sent to the </w:t>
      </w:r>
      <w:r w:rsidR="00BC0A52">
        <w:rPr>
          <w:rFonts w:ascii="Book Antiqua" w:hAnsi="Book Antiqua"/>
        </w:rPr>
        <w:t>Costs Court</w:t>
      </w:r>
      <w:r w:rsidR="00BC34EF">
        <w:rPr>
          <w:rFonts w:ascii="Book Antiqua" w:hAnsi="Book Antiqua"/>
        </w:rPr>
        <w:t>.</w:t>
      </w:r>
      <w:r w:rsidR="00B40DDB" w:rsidRPr="00BD1664">
        <w:rPr>
          <w:rFonts w:ascii="Book Antiqua" w:hAnsi="Book Antiqua"/>
        </w:rPr>
        <w:t xml:space="preserve"> A return email address is also required.</w:t>
      </w:r>
    </w:p>
    <w:p w14:paraId="4C446669" w14:textId="02B58A47" w:rsidR="005E73BA" w:rsidRPr="00EA0D05" w:rsidRDefault="005E73BA" w:rsidP="00A11BC8">
      <w:pPr>
        <w:pStyle w:val="ListParagraph"/>
        <w:numPr>
          <w:ilvl w:val="0"/>
          <w:numId w:val="5"/>
        </w:numPr>
        <w:spacing w:after="120"/>
        <w:ind w:left="720"/>
        <w:jc w:val="both"/>
      </w:pPr>
      <w:r w:rsidRPr="00EA0D05">
        <w:t xml:space="preserve">A </w:t>
      </w:r>
      <w:r w:rsidR="00F85F56">
        <w:t xml:space="preserve">return </w:t>
      </w:r>
      <w:r w:rsidRPr="00EA0D05">
        <w:t xml:space="preserve">date for </w:t>
      </w:r>
      <w:r w:rsidR="00F85F56">
        <w:t>the</w:t>
      </w:r>
      <w:r w:rsidR="00813488" w:rsidRPr="00EA0D05">
        <w:t xml:space="preserve"> </w:t>
      </w:r>
      <w:r w:rsidR="000A148D">
        <w:t>s</w:t>
      </w:r>
      <w:r w:rsidRPr="00EA0D05">
        <w:t xml:space="preserve">ummons for </w:t>
      </w:r>
      <w:r w:rsidR="000A148D">
        <w:t>t</w:t>
      </w:r>
      <w:r w:rsidRPr="00EA0D05">
        <w:t xml:space="preserve">axation will not be </w:t>
      </w:r>
      <w:r w:rsidR="00F85F56">
        <w:t>allocated</w:t>
      </w:r>
      <w:r w:rsidRPr="00EA0D05">
        <w:t xml:space="preserve"> without </w:t>
      </w:r>
      <w:r w:rsidR="00F2633E">
        <w:t>a</w:t>
      </w:r>
      <w:r w:rsidR="00F2633E" w:rsidRPr="00EA0D05">
        <w:t xml:space="preserve"> </w:t>
      </w:r>
      <w:r w:rsidRPr="00EA0D05">
        <w:t xml:space="preserve">completed </w:t>
      </w:r>
      <w:r w:rsidR="005F02AF">
        <w:t xml:space="preserve">Party/Party </w:t>
      </w:r>
      <w:r w:rsidR="00F2633E" w:rsidRPr="00E51E3B">
        <w:t>Taxation Information Form</w:t>
      </w:r>
      <w:r w:rsidRPr="00B10380">
        <w:t>.</w:t>
      </w:r>
    </w:p>
    <w:p w14:paraId="2B31AD45" w14:textId="6F65383D" w:rsidR="00757E17" w:rsidRDefault="00760B11" w:rsidP="00A11BC8">
      <w:pPr>
        <w:pStyle w:val="ListParagraph"/>
        <w:numPr>
          <w:ilvl w:val="0"/>
          <w:numId w:val="5"/>
        </w:numPr>
        <w:spacing w:after="120"/>
        <w:ind w:left="720"/>
        <w:jc w:val="both"/>
      </w:pPr>
      <w:r>
        <w:t>O</w:t>
      </w:r>
      <w:r w:rsidR="00ED4DCC">
        <w:t>nce the Form has been received</w:t>
      </w:r>
      <w:r w:rsidR="002D4586">
        <w:t xml:space="preserve"> and </w:t>
      </w:r>
      <w:r w:rsidR="00B7773D">
        <w:t>accepted</w:t>
      </w:r>
      <w:r w:rsidR="002D4586">
        <w:t>,</w:t>
      </w:r>
      <w:r w:rsidR="00ED4DCC">
        <w:t xml:space="preserve"> t</w:t>
      </w:r>
      <w:r w:rsidR="005E73BA" w:rsidRPr="00EA0D05">
        <w:t xml:space="preserve">he Registry will </w:t>
      </w:r>
      <w:r w:rsidR="002D4586">
        <w:t>allocate a return date</w:t>
      </w:r>
      <w:r w:rsidR="005E73BA" w:rsidRPr="00EA0D05">
        <w:t xml:space="preserve"> for </w:t>
      </w:r>
      <w:r w:rsidR="002D4586">
        <w:t xml:space="preserve">a </w:t>
      </w:r>
      <w:r w:rsidR="005E73BA" w:rsidRPr="00EA0D05">
        <w:t>mediation, assessment or directions hearing</w:t>
      </w:r>
      <w:r w:rsidR="002D4586">
        <w:t xml:space="preserve">, and will notify the </w:t>
      </w:r>
      <w:r w:rsidR="009941E8">
        <w:t>entitled party</w:t>
      </w:r>
      <w:r w:rsidR="002D4586">
        <w:t xml:space="preserve"> accordingly</w:t>
      </w:r>
      <w:r w:rsidR="00282BD0">
        <w:t>.</w:t>
      </w:r>
    </w:p>
    <w:p w14:paraId="714CE7CB" w14:textId="43F0991D" w:rsidR="005E73BA" w:rsidRPr="001A3F17" w:rsidRDefault="00230843" w:rsidP="00E00119">
      <w:pPr>
        <w:pStyle w:val="Heading3"/>
        <w:keepNext/>
        <w:keepLines/>
        <w:spacing w:after="120"/>
        <w:rPr>
          <w:rFonts w:ascii="Book Antiqua" w:hAnsi="Book Antiqua"/>
        </w:rPr>
      </w:pPr>
      <w:bookmarkStart w:id="12" w:name="_Toc178173280"/>
      <w:r>
        <w:rPr>
          <w:rFonts w:ascii="Book Antiqua" w:hAnsi="Book Antiqua"/>
        </w:rPr>
        <w:t>T</w:t>
      </w:r>
      <w:r w:rsidR="005E73BA" w:rsidRPr="001A3F17">
        <w:rPr>
          <w:rFonts w:ascii="Book Antiqua" w:hAnsi="Book Antiqua"/>
        </w:rPr>
        <w:t xml:space="preserve">he </w:t>
      </w:r>
      <w:r w:rsidR="005F02AF" w:rsidRPr="001A3F17">
        <w:rPr>
          <w:rFonts w:ascii="Book Antiqua" w:hAnsi="Book Antiqua"/>
        </w:rPr>
        <w:t>s</w:t>
      </w:r>
      <w:r w:rsidR="005E73BA" w:rsidRPr="001A3F17">
        <w:rPr>
          <w:rFonts w:ascii="Book Antiqua" w:hAnsi="Book Antiqua"/>
        </w:rPr>
        <w:t xml:space="preserve">ummons for </w:t>
      </w:r>
      <w:r w:rsidR="005F02AF" w:rsidRPr="001A3F17">
        <w:rPr>
          <w:rFonts w:ascii="Book Antiqua" w:hAnsi="Book Antiqua"/>
        </w:rPr>
        <w:t>t</w:t>
      </w:r>
      <w:r w:rsidR="005E73BA" w:rsidRPr="001A3F17">
        <w:rPr>
          <w:rFonts w:ascii="Book Antiqua" w:hAnsi="Book Antiqua"/>
        </w:rPr>
        <w:t>axation</w:t>
      </w:r>
      <w:bookmarkEnd w:id="12"/>
      <w:r w:rsidR="005E73BA" w:rsidRPr="001A3F17">
        <w:rPr>
          <w:rFonts w:ascii="Book Antiqua" w:hAnsi="Book Antiqua"/>
        </w:rPr>
        <w:t xml:space="preserve"> </w:t>
      </w:r>
    </w:p>
    <w:p w14:paraId="7EE69D54" w14:textId="02112A91" w:rsidR="00C06852" w:rsidRPr="001A3F17" w:rsidRDefault="002D4586" w:rsidP="00A11BC8">
      <w:pPr>
        <w:pStyle w:val="ListParagraph"/>
        <w:numPr>
          <w:ilvl w:val="0"/>
          <w:numId w:val="5"/>
        </w:numPr>
        <w:spacing w:after="120"/>
        <w:ind w:left="720"/>
        <w:jc w:val="both"/>
      </w:pPr>
      <w:r>
        <w:t>T</w:t>
      </w:r>
      <w:r w:rsidR="001B1B65">
        <w:t xml:space="preserve">he </w:t>
      </w:r>
      <w:r w:rsidR="004D37BD" w:rsidRPr="00881FA8">
        <w:t>entitled party</w:t>
      </w:r>
      <w:r w:rsidR="00F81C34">
        <w:t xml:space="preserve"> must</w:t>
      </w:r>
      <w:r w:rsidR="00F5762F" w:rsidRPr="001A3F17">
        <w:t xml:space="preserve"> e-</w:t>
      </w:r>
      <w:r w:rsidR="00EB6D5D" w:rsidRPr="001A3F17">
        <w:t>f</w:t>
      </w:r>
      <w:r w:rsidR="00F5762F" w:rsidRPr="001A3F17">
        <w:t>il</w:t>
      </w:r>
      <w:r w:rsidR="00BE03B4">
        <w:t>e</w:t>
      </w:r>
      <w:r w:rsidR="005E73BA" w:rsidRPr="001A3F17">
        <w:t xml:space="preserve"> the</w:t>
      </w:r>
      <w:r w:rsidR="00D60E92" w:rsidRPr="001A3F17">
        <w:t xml:space="preserve"> </w:t>
      </w:r>
      <w:r w:rsidR="005F02AF" w:rsidRPr="001A3F17">
        <w:t>s</w:t>
      </w:r>
      <w:r w:rsidR="005E73BA" w:rsidRPr="001A3F17">
        <w:t xml:space="preserve">ummons for </w:t>
      </w:r>
      <w:r w:rsidR="005F02AF" w:rsidRPr="001A3F17">
        <w:t>t</w:t>
      </w:r>
      <w:r w:rsidR="005E73BA" w:rsidRPr="001A3F17">
        <w:t xml:space="preserve">axation </w:t>
      </w:r>
      <w:r>
        <w:t>together with copies</w:t>
      </w:r>
      <w:r w:rsidR="00A300F2">
        <w:t xml:space="preserve"> of</w:t>
      </w:r>
      <w:r w:rsidR="005E73BA" w:rsidRPr="001A3F17">
        <w:t>:</w:t>
      </w:r>
    </w:p>
    <w:p w14:paraId="3C5D7288" w14:textId="1B2B6644" w:rsidR="005E73BA" w:rsidRPr="00E30E60" w:rsidRDefault="0095122F" w:rsidP="00A11BC8">
      <w:pPr>
        <w:pStyle w:val="ListParagraph"/>
        <w:numPr>
          <w:ilvl w:val="0"/>
          <w:numId w:val="8"/>
        </w:numPr>
        <w:ind w:hanging="720"/>
        <w:jc w:val="both"/>
      </w:pPr>
      <w:r>
        <w:t>t</w:t>
      </w:r>
      <w:r w:rsidR="005E73BA" w:rsidRPr="00E30E60">
        <w:t xml:space="preserve">he completed </w:t>
      </w:r>
      <w:r w:rsidR="005C2084" w:rsidRPr="00E30E60">
        <w:t>P</w:t>
      </w:r>
      <w:r w:rsidR="005E73BA" w:rsidRPr="00E30E60">
        <w:t>arty/</w:t>
      </w:r>
      <w:r w:rsidR="000D0D05" w:rsidRPr="00E30E60">
        <w:t>P</w:t>
      </w:r>
      <w:r w:rsidR="005E73BA" w:rsidRPr="00E30E60">
        <w:t>arty Taxation Information Form</w:t>
      </w:r>
      <w:r>
        <w:t>;</w:t>
      </w:r>
      <w:r w:rsidR="005E73BA" w:rsidRPr="00E30E60">
        <w:t xml:space="preserve"> </w:t>
      </w:r>
    </w:p>
    <w:p w14:paraId="0DEA6F70" w14:textId="7214041D" w:rsidR="002C0774" w:rsidRPr="00E30E60" w:rsidRDefault="0095122F" w:rsidP="00A11BC8">
      <w:pPr>
        <w:pStyle w:val="ListParagraph"/>
        <w:numPr>
          <w:ilvl w:val="0"/>
          <w:numId w:val="8"/>
        </w:numPr>
        <w:ind w:hanging="720"/>
        <w:jc w:val="both"/>
      </w:pPr>
      <w:r>
        <w:t>t</w:t>
      </w:r>
      <w:r w:rsidR="00C45B68" w:rsidRPr="00E30E60">
        <w:t xml:space="preserve">he </w:t>
      </w:r>
      <w:r w:rsidR="0035116C" w:rsidRPr="00E30E60">
        <w:t xml:space="preserve">email </w:t>
      </w:r>
      <w:r w:rsidR="002C0774" w:rsidRPr="00E30E60">
        <w:t xml:space="preserve">from the </w:t>
      </w:r>
      <w:r w:rsidR="002C0774" w:rsidRPr="00E30E60">
        <w:rPr>
          <w:szCs w:val="24"/>
        </w:rPr>
        <w:t>Registry</w:t>
      </w:r>
      <w:r w:rsidR="002C0774" w:rsidRPr="00E30E60">
        <w:t xml:space="preserve"> advising </w:t>
      </w:r>
      <w:r w:rsidR="00445E51" w:rsidRPr="00E30E60">
        <w:t>the return date</w:t>
      </w:r>
      <w:r w:rsidR="00883436" w:rsidRPr="00E30E60">
        <w:t xml:space="preserve"> </w:t>
      </w:r>
      <w:r w:rsidR="00E82E02" w:rsidRPr="00E30E60">
        <w:t>of the summons</w:t>
      </w:r>
      <w:r>
        <w:t>;</w:t>
      </w:r>
    </w:p>
    <w:p w14:paraId="279012E3" w14:textId="1469651A" w:rsidR="005E73BA" w:rsidRPr="00E30E60" w:rsidRDefault="00B06F8D" w:rsidP="00A11BC8">
      <w:pPr>
        <w:pStyle w:val="ListParagraph"/>
        <w:numPr>
          <w:ilvl w:val="0"/>
          <w:numId w:val="8"/>
        </w:numPr>
        <w:ind w:hanging="720"/>
        <w:jc w:val="both"/>
        <w:rPr>
          <w:szCs w:val="24"/>
        </w:rPr>
      </w:pPr>
      <w:r>
        <w:rPr>
          <w:szCs w:val="24"/>
        </w:rPr>
        <w:t>t</w:t>
      </w:r>
      <w:r w:rsidR="002C0774" w:rsidRPr="00E30E60">
        <w:rPr>
          <w:szCs w:val="24"/>
        </w:rPr>
        <w:t xml:space="preserve">he </w:t>
      </w:r>
      <w:r w:rsidR="005E73BA" w:rsidRPr="00E30E60">
        <w:rPr>
          <w:szCs w:val="24"/>
        </w:rPr>
        <w:t xml:space="preserve">bill of costs </w:t>
      </w:r>
      <w:r w:rsidR="002B38A5">
        <w:rPr>
          <w:szCs w:val="24"/>
        </w:rPr>
        <w:t>and</w:t>
      </w:r>
      <w:r w:rsidR="005E73BA" w:rsidRPr="00E30E60">
        <w:rPr>
          <w:szCs w:val="24"/>
        </w:rPr>
        <w:t xml:space="preserve"> counsel’s invoices and</w:t>
      </w:r>
      <w:r w:rsidR="003D5210" w:rsidRPr="00E30E60">
        <w:rPr>
          <w:szCs w:val="24"/>
        </w:rPr>
        <w:t>/or</w:t>
      </w:r>
      <w:r w:rsidR="005E73BA" w:rsidRPr="00E30E60">
        <w:rPr>
          <w:szCs w:val="24"/>
        </w:rPr>
        <w:t xml:space="preserve"> </w:t>
      </w:r>
      <w:r w:rsidR="005E73BA" w:rsidRPr="00E30E60">
        <w:t>memorand</w:t>
      </w:r>
      <w:r>
        <w:t>a</w:t>
      </w:r>
      <w:r w:rsidR="005E73BA" w:rsidRPr="00E30E60">
        <w:rPr>
          <w:szCs w:val="24"/>
        </w:rPr>
        <w:t xml:space="preserve"> of fees together with a certification of payment or an undertaking in accordance with r 63.43 of the </w:t>
      </w:r>
      <w:r w:rsidR="005E73BA" w:rsidRPr="00E30E60">
        <w:rPr>
          <w:i/>
          <w:iCs/>
          <w:szCs w:val="24"/>
        </w:rPr>
        <w:t>Rules</w:t>
      </w:r>
      <w:r>
        <w:rPr>
          <w:szCs w:val="24"/>
        </w:rPr>
        <w:t>; and</w:t>
      </w:r>
      <w:r w:rsidR="00384565" w:rsidRPr="00E30E60">
        <w:rPr>
          <w:szCs w:val="24"/>
        </w:rPr>
        <w:t xml:space="preserve"> </w:t>
      </w:r>
    </w:p>
    <w:p w14:paraId="4133DD28" w14:textId="2AAB1093" w:rsidR="005E73BA" w:rsidRPr="00E30E60" w:rsidRDefault="002B38A5" w:rsidP="00A11BC8">
      <w:pPr>
        <w:pStyle w:val="ListParagraph"/>
        <w:numPr>
          <w:ilvl w:val="0"/>
          <w:numId w:val="8"/>
        </w:numPr>
        <w:ind w:hanging="720"/>
        <w:jc w:val="both"/>
        <w:rPr>
          <w:szCs w:val="24"/>
        </w:rPr>
      </w:pPr>
      <w:r>
        <w:rPr>
          <w:szCs w:val="24"/>
        </w:rPr>
        <w:t>where applicable, the</w:t>
      </w:r>
      <w:r w:rsidR="00760B11">
        <w:rPr>
          <w:szCs w:val="24"/>
        </w:rPr>
        <w:t xml:space="preserve"> order for costs </w:t>
      </w:r>
      <w:r w:rsidR="005E73BA" w:rsidRPr="00E30E60">
        <w:rPr>
          <w:szCs w:val="24"/>
        </w:rPr>
        <w:t xml:space="preserve">or </w:t>
      </w:r>
      <w:r w:rsidR="00E11D36">
        <w:rPr>
          <w:szCs w:val="24"/>
        </w:rPr>
        <w:t xml:space="preserve">the </w:t>
      </w:r>
      <w:r w:rsidR="0035109C">
        <w:rPr>
          <w:szCs w:val="24"/>
        </w:rPr>
        <w:t>agreement</w:t>
      </w:r>
      <w:r w:rsidR="00E11D36">
        <w:rPr>
          <w:szCs w:val="24"/>
        </w:rPr>
        <w:t xml:space="preserve"> </w:t>
      </w:r>
      <w:r w:rsidR="0035109C">
        <w:rPr>
          <w:szCs w:val="24"/>
        </w:rPr>
        <w:t>pursuant to which the costs are claimed</w:t>
      </w:r>
      <w:r w:rsidR="005E73BA" w:rsidRPr="00E30E60">
        <w:rPr>
          <w:szCs w:val="24"/>
        </w:rPr>
        <w:t>.</w:t>
      </w:r>
    </w:p>
    <w:p w14:paraId="0B553BDA" w14:textId="61BA430A" w:rsidR="008E0E6D" w:rsidRPr="0035109C" w:rsidRDefault="0055524D" w:rsidP="00A11BC8">
      <w:pPr>
        <w:pStyle w:val="ListParagraph"/>
        <w:numPr>
          <w:ilvl w:val="0"/>
          <w:numId w:val="5"/>
        </w:numPr>
        <w:spacing w:after="120"/>
        <w:ind w:left="720"/>
        <w:jc w:val="both"/>
        <w:rPr>
          <w:b/>
          <w:bCs/>
        </w:rPr>
      </w:pPr>
      <w:r w:rsidRPr="004318D4">
        <w:t xml:space="preserve">The </w:t>
      </w:r>
      <w:r w:rsidR="003944E4" w:rsidRPr="004318D4">
        <w:t>entitled party</w:t>
      </w:r>
      <w:r w:rsidRPr="0035109C">
        <w:t xml:space="preserve"> must pay the </w:t>
      </w:r>
      <w:r w:rsidR="001B1C38" w:rsidRPr="0035109C">
        <w:t>requisite</w:t>
      </w:r>
      <w:r w:rsidRPr="0035109C">
        <w:t xml:space="preserve"> </w:t>
      </w:r>
      <w:r w:rsidR="006B7F17" w:rsidRPr="0035109C">
        <w:t>filing fee.</w:t>
      </w:r>
      <w:r w:rsidR="006B7F17" w:rsidRPr="00E30E60">
        <w:rPr>
          <w:rStyle w:val="FootnoteReference"/>
        </w:rPr>
        <w:footnoteReference w:id="3"/>
      </w:r>
    </w:p>
    <w:p w14:paraId="008B32F0" w14:textId="36BFE58A" w:rsidR="00841A2D" w:rsidRPr="006E0C26" w:rsidRDefault="00841A2D" w:rsidP="0038551F">
      <w:pPr>
        <w:pStyle w:val="Heading3"/>
        <w:spacing w:after="120"/>
      </w:pPr>
      <w:bookmarkStart w:id="13" w:name="_Toc178173281"/>
      <w:r>
        <w:t xml:space="preserve">The </w:t>
      </w:r>
      <w:r w:rsidR="005F02AF">
        <w:t>b</w:t>
      </w:r>
      <w:r w:rsidRPr="006E0C26">
        <w:t xml:space="preserve">ill of </w:t>
      </w:r>
      <w:r w:rsidR="005F02AF">
        <w:t>c</w:t>
      </w:r>
      <w:r w:rsidRPr="006E0C26">
        <w:t>osts</w:t>
      </w:r>
      <w:bookmarkEnd w:id="13"/>
    </w:p>
    <w:p w14:paraId="5DA3D314" w14:textId="679AB180" w:rsidR="00703E2A" w:rsidRDefault="004D37BD" w:rsidP="00A11BC8">
      <w:pPr>
        <w:pStyle w:val="ListParagraph"/>
        <w:numPr>
          <w:ilvl w:val="0"/>
          <w:numId w:val="5"/>
        </w:numPr>
        <w:spacing w:after="120"/>
        <w:ind w:left="720"/>
        <w:jc w:val="both"/>
        <w:rPr>
          <w:szCs w:val="24"/>
        </w:rPr>
      </w:pPr>
      <w:r>
        <w:rPr>
          <w:szCs w:val="24"/>
        </w:rPr>
        <w:t>F</w:t>
      </w:r>
      <w:r w:rsidR="00703E2A">
        <w:rPr>
          <w:szCs w:val="24"/>
        </w:rPr>
        <w:t xml:space="preserve">rom 1 January 2025, the </w:t>
      </w:r>
      <w:r w:rsidR="00E860D6">
        <w:rPr>
          <w:i/>
          <w:iCs/>
          <w:szCs w:val="24"/>
        </w:rPr>
        <w:t>Rules</w:t>
      </w:r>
      <w:r w:rsidR="00E860D6">
        <w:rPr>
          <w:szCs w:val="24"/>
        </w:rPr>
        <w:t xml:space="preserve"> will prescribe new requirements for the drawing of bills of costs.  While the general requirements of the current r 63.42(1)</w:t>
      </w:r>
      <w:r w:rsidR="00D66601">
        <w:rPr>
          <w:szCs w:val="24"/>
        </w:rPr>
        <w:t xml:space="preserve"> will remain, there will be new specific requirements under </w:t>
      </w:r>
      <w:proofErr w:type="spellStart"/>
      <w:r w:rsidR="00D66601">
        <w:rPr>
          <w:szCs w:val="24"/>
        </w:rPr>
        <w:t>rr</w:t>
      </w:r>
      <w:proofErr w:type="spellEnd"/>
      <w:r w:rsidR="00D66601">
        <w:rPr>
          <w:szCs w:val="24"/>
        </w:rPr>
        <w:t> 63.</w:t>
      </w:r>
      <w:r w:rsidR="00B62566">
        <w:rPr>
          <w:szCs w:val="24"/>
        </w:rPr>
        <w:t xml:space="preserve">42(2)–(10) of the </w:t>
      </w:r>
      <w:r w:rsidR="00B62566">
        <w:rPr>
          <w:i/>
          <w:iCs/>
          <w:szCs w:val="24"/>
        </w:rPr>
        <w:t>Rules</w:t>
      </w:r>
      <w:r w:rsidR="00B62566">
        <w:rPr>
          <w:szCs w:val="24"/>
        </w:rPr>
        <w:t>.  These new requirements will differ according to the Section or Sections of Appendix A under which the claims in the bill of costs are made.  All of these requirements will be strictly enfor</w:t>
      </w:r>
      <w:r w:rsidR="00D92F1A">
        <w:rPr>
          <w:szCs w:val="24"/>
        </w:rPr>
        <w:t>ced.</w:t>
      </w:r>
    </w:p>
    <w:p w14:paraId="12A416AA" w14:textId="2696BEA8" w:rsidR="00D92F1A" w:rsidRPr="00A9426B" w:rsidRDefault="0078403D" w:rsidP="00D92F1A">
      <w:pPr>
        <w:pStyle w:val="ListParagraph"/>
        <w:numPr>
          <w:ilvl w:val="0"/>
          <w:numId w:val="5"/>
        </w:numPr>
        <w:spacing w:after="120"/>
        <w:ind w:left="720"/>
        <w:jc w:val="both"/>
        <w:rPr>
          <w:szCs w:val="24"/>
        </w:rPr>
      </w:pPr>
      <w:r>
        <w:rPr>
          <w:szCs w:val="24"/>
        </w:rPr>
        <w:t>Some of the new requirements for preparing bills of costs under Section 1 or Section 3 of Appendix A are mentioned under the corresponding headings above.</w:t>
      </w:r>
    </w:p>
    <w:p w14:paraId="772DC719" w14:textId="1223A7CC" w:rsidR="00841A2D" w:rsidRDefault="00841A2D" w:rsidP="00A11BC8">
      <w:pPr>
        <w:pStyle w:val="ListParagraph"/>
        <w:numPr>
          <w:ilvl w:val="0"/>
          <w:numId w:val="5"/>
        </w:numPr>
        <w:spacing w:after="120"/>
        <w:ind w:left="720"/>
        <w:jc w:val="both"/>
        <w:rPr>
          <w:szCs w:val="24"/>
        </w:rPr>
      </w:pPr>
      <w:r w:rsidRPr="001A3F17">
        <w:rPr>
          <w:szCs w:val="24"/>
        </w:rPr>
        <w:t>As a general principle, the bill of costs</w:t>
      </w:r>
      <w:r w:rsidR="00A238C4">
        <w:rPr>
          <w:szCs w:val="24"/>
        </w:rPr>
        <w:t xml:space="preserve"> for a party-party taxation</w:t>
      </w:r>
      <w:r w:rsidRPr="001A3F17">
        <w:rPr>
          <w:szCs w:val="24"/>
        </w:rPr>
        <w:t xml:space="preserve"> must specify in sufficient detail the work</w:t>
      </w:r>
      <w:r w:rsidRPr="00A9426B">
        <w:rPr>
          <w:szCs w:val="24"/>
        </w:rPr>
        <w:t xml:space="preserve"> done and the amount charged for each item</w:t>
      </w:r>
      <w:r w:rsidR="007F75E9">
        <w:rPr>
          <w:szCs w:val="24"/>
        </w:rPr>
        <w:t>,</w:t>
      </w:r>
      <w:r w:rsidRPr="00A9426B">
        <w:rPr>
          <w:szCs w:val="24"/>
        </w:rPr>
        <w:t xml:space="preserve"> so that the costs respondent can </w:t>
      </w:r>
      <w:r w:rsidR="007F75E9">
        <w:rPr>
          <w:szCs w:val="24"/>
        </w:rPr>
        <w:t>assess</w:t>
      </w:r>
      <w:r w:rsidRPr="00A9426B">
        <w:rPr>
          <w:szCs w:val="24"/>
        </w:rPr>
        <w:t xml:space="preserve"> whether or not the charges for the work are reasonable</w:t>
      </w:r>
      <w:r w:rsidR="007F75E9">
        <w:rPr>
          <w:szCs w:val="24"/>
        </w:rPr>
        <w:t xml:space="preserve">, </w:t>
      </w:r>
      <w:r w:rsidRPr="00A9426B">
        <w:rPr>
          <w:szCs w:val="24"/>
        </w:rPr>
        <w:t xml:space="preserve">and </w:t>
      </w:r>
      <w:r w:rsidR="00A238C4">
        <w:rPr>
          <w:szCs w:val="24"/>
        </w:rPr>
        <w:t xml:space="preserve">can </w:t>
      </w:r>
      <w:r w:rsidRPr="00A9426B">
        <w:rPr>
          <w:szCs w:val="24"/>
        </w:rPr>
        <w:t>make an informed decision about the utility of challenging the bill.</w:t>
      </w:r>
    </w:p>
    <w:p w14:paraId="323C06D7" w14:textId="34985784" w:rsidR="00841A2D" w:rsidRPr="00A9426B" w:rsidRDefault="00841A2D" w:rsidP="00A11BC8">
      <w:pPr>
        <w:pStyle w:val="ListParagraph"/>
        <w:numPr>
          <w:ilvl w:val="0"/>
          <w:numId w:val="5"/>
        </w:numPr>
        <w:spacing w:after="120"/>
        <w:ind w:left="720"/>
        <w:jc w:val="both"/>
        <w:rPr>
          <w:szCs w:val="24"/>
        </w:rPr>
      </w:pPr>
      <w:r w:rsidRPr="00A9426B">
        <w:rPr>
          <w:szCs w:val="24"/>
        </w:rPr>
        <w:t>The detail provided in the description o</w:t>
      </w:r>
      <w:r w:rsidR="00B76463">
        <w:rPr>
          <w:szCs w:val="24"/>
        </w:rPr>
        <w:t>f</w:t>
      </w:r>
      <w:r w:rsidRPr="00A9426B">
        <w:rPr>
          <w:szCs w:val="24"/>
        </w:rPr>
        <w:t xml:space="preserve"> each item will be important to the determination of reasonableness. For example, the length of a document produced or read will inform the </w:t>
      </w:r>
      <w:r w:rsidR="004D37BD">
        <w:rPr>
          <w:szCs w:val="24"/>
        </w:rPr>
        <w:t>liable party</w:t>
      </w:r>
      <w:r w:rsidRPr="00A9426B">
        <w:rPr>
          <w:szCs w:val="24"/>
        </w:rPr>
        <w:t xml:space="preserve"> and the costs assessor of the reasonableness of the time spent on the task. Descriptions limited to a few words such as ‘email to counsel’, ‘conference with client’ </w:t>
      </w:r>
      <w:r w:rsidR="00A238C4">
        <w:rPr>
          <w:szCs w:val="24"/>
        </w:rPr>
        <w:t xml:space="preserve">or </w:t>
      </w:r>
      <w:r w:rsidRPr="00A9426B">
        <w:rPr>
          <w:szCs w:val="24"/>
        </w:rPr>
        <w:t xml:space="preserve">‘reading affidavit’ are insufficient to determine reasonableness. </w:t>
      </w:r>
    </w:p>
    <w:p w14:paraId="1C24CA28" w14:textId="5DED5D4B" w:rsidR="00B4441F" w:rsidRDefault="00B3643A" w:rsidP="00A11BC8">
      <w:pPr>
        <w:pStyle w:val="ListParagraph"/>
        <w:numPr>
          <w:ilvl w:val="0"/>
          <w:numId w:val="5"/>
        </w:numPr>
        <w:spacing w:after="120"/>
        <w:ind w:left="720"/>
        <w:jc w:val="both"/>
        <w:rPr>
          <w:szCs w:val="24"/>
        </w:rPr>
      </w:pPr>
      <w:r>
        <w:rPr>
          <w:szCs w:val="24"/>
        </w:rPr>
        <w:t>Where a claim in a bill of costs is a ‘bundled claim</w:t>
      </w:r>
      <w:r w:rsidR="00DD6267">
        <w:rPr>
          <w:szCs w:val="24"/>
        </w:rPr>
        <w:t>’, i</w:t>
      </w:r>
      <w:r w:rsidR="008D64B1">
        <w:rPr>
          <w:szCs w:val="24"/>
        </w:rPr>
        <w:t>.</w:t>
      </w:r>
      <w:r w:rsidR="00DD6267">
        <w:rPr>
          <w:szCs w:val="24"/>
        </w:rPr>
        <w:t>e. the claim exceeds one unit and relates to more than one task performed by a legal practitioner, employee</w:t>
      </w:r>
      <w:r w:rsidR="005918F8">
        <w:rPr>
          <w:szCs w:val="24"/>
        </w:rPr>
        <w:t xml:space="preserve"> of the legal practice or counsel, the </w:t>
      </w:r>
      <w:r w:rsidR="005918F8" w:rsidRPr="00881FA8">
        <w:rPr>
          <w:szCs w:val="24"/>
        </w:rPr>
        <w:t>entitled party</w:t>
      </w:r>
      <w:r w:rsidR="005918F8">
        <w:rPr>
          <w:szCs w:val="24"/>
        </w:rPr>
        <w:t xml:space="preserve"> must provide sufficient information with respect to each task included in the bundled claim</w:t>
      </w:r>
      <w:r w:rsidR="004E59C5">
        <w:rPr>
          <w:szCs w:val="24"/>
        </w:rPr>
        <w:t xml:space="preserve"> to enable the </w:t>
      </w:r>
      <w:r w:rsidR="004E59C5" w:rsidRPr="00881FA8">
        <w:rPr>
          <w:szCs w:val="24"/>
        </w:rPr>
        <w:t>liable party</w:t>
      </w:r>
      <w:r w:rsidR="004E59C5">
        <w:rPr>
          <w:szCs w:val="24"/>
        </w:rPr>
        <w:t xml:space="preserve"> to consider</w:t>
      </w:r>
      <w:r w:rsidR="006B78D6">
        <w:rPr>
          <w:szCs w:val="24"/>
        </w:rPr>
        <w:t>,</w:t>
      </w:r>
      <w:r w:rsidR="00CA58EE">
        <w:rPr>
          <w:szCs w:val="24"/>
        </w:rPr>
        <w:t xml:space="preserve"> and the costs assessor to determine, its reasonableness.</w:t>
      </w:r>
    </w:p>
    <w:p w14:paraId="43DF35C1" w14:textId="1D4FDED8" w:rsidR="00841A2D" w:rsidRPr="00A9426B" w:rsidRDefault="00841A2D" w:rsidP="00A11BC8">
      <w:pPr>
        <w:pStyle w:val="ListParagraph"/>
        <w:numPr>
          <w:ilvl w:val="0"/>
          <w:numId w:val="5"/>
        </w:numPr>
        <w:spacing w:after="120"/>
        <w:ind w:left="720"/>
        <w:jc w:val="both"/>
        <w:rPr>
          <w:szCs w:val="24"/>
        </w:rPr>
      </w:pPr>
      <w:r w:rsidRPr="00A9426B">
        <w:rPr>
          <w:szCs w:val="24"/>
        </w:rPr>
        <w:t>Th</w:t>
      </w:r>
      <w:r w:rsidR="007F75E9">
        <w:rPr>
          <w:szCs w:val="24"/>
        </w:rPr>
        <w:t xml:space="preserve">e content of the bill of costs </w:t>
      </w:r>
      <w:r w:rsidRPr="00A9426B">
        <w:rPr>
          <w:szCs w:val="24"/>
        </w:rPr>
        <w:t>i</w:t>
      </w:r>
      <w:r w:rsidR="007F75E9">
        <w:rPr>
          <w:szCs w:val="24"/>
        </w:rPr>
        <w:t xml:space="preserve">s </w:t>
      </w:r>
      <w:r w:rsidRPr="00A9426B">
        <w:rPr>
          <w:szCs w:val="24"/>
        </w:rPr>
        <w:t>particular</w:t>
      </w:r>
      <w:r w:rsidR="007F75E9">
        <w:rPr>
          <w:szCs w:val="24"/>
        </w:rPr>
        <w:t>ly</w:t>
      </w:r>
      <w:r w:rsidRPr="00A9426B">
        <w:rPr>
          <w:szCs w:val="24"/>
        </w:rPr>
        <w:t xml:space="preserve"> importan</w:t>
      </w:r>
      <w:r w:rsidR="007F75E9">
        <w:rPr>
          <w:szCs w:val="24"/>
        </w:rPr>
        <w:t>t</w:t>
      </w:r>
      <w:r w:rsidRPr="00A9426B">
        <w:rPr>
          <w:szCs w:val="24"/>
        </w:rPr>
        <w:t xml:space="preserve"> in matters assessed pursuant to Part 8 of Order 63</w:t>
      </w:r>
      <w:r w:rsidR="007F75E9">
        <w:rPr>
          <w:szCs w:val="24"/>
        </w:rPr>
        <w:t>,</w:t>
      </w:r>
      <w:r w:rsidRPr="00A9426B">
        <w:rPr>
          <w:szCs w:val="24"/>
        </w:rPr>
        <w:t xml:space="preserve"> where the assessment is done on the papers and in the absence of the parties. </w:t>
      </w:r>
      <w:r w:rsidR="004E0367">
        <w:rPr>
          <w:szCs w:val="24"/>
        </w:rPr>
        <w:t>Providing sufficient detail in the bill of costs justifying the claim achieves better outcomes.</w:t>
      </w:r>
      <w:r w:rsidR="004E0367" w:rsidRPr="00A9426B" w:rsidDel="007F75E9">
        <w:rPr>
          <w:szCs w:val="24"/>
        </w:rPr>
        <w:t xml:space="preserve"> </w:t>
      </w:r>
    </w:p>
    <w:p w14:paraId="2AADFC75" w14:textId="539CE23E" w:rsidR="00841A2D" w:rsidRPr="001A3F17" w:rsidRDefault="00841A2D" w:rsidP="00A11BC8">
      <w:pPr>
        <w:pStyle w:val="ListParagraph"/>
        <w:numPr>
          <w:ilvl w:val="0"/>
          <w:numId w:val="5"/>
        </w:numPr>
        <w:spacing w:after="120"/>
        <w:ind w:left="720"/>
        <w:jc w:val="both"/>
      </w:pPr>
      <w:r w:rsidRPr="001A3F17">
        <w:t>Where a</w:t>
      </w:r>
      <w:r w:rsidR="00B43067">
        <w:t>n</w:t>
      </w:r>
      <w:r w:rsidRPr="001A3F17">
        <w:t xml:space="preserve"> </w:t>
      </w:r>
      <w:r w:rsidR="00CA58EE" w:rsidRPr="00881FA8">
        <w:t>entitled party</w:t>
      </w:r>
      <w:r w:rsidRPr="001A3F17">
        <w:t xml:space="preserve"> is relying on multiple bills, a schedule must be included setting out, in columns, the date of each bill, the number by which the bill is identified</w:t>
      </w:r>
      <w:r w:rsidR="007850C3">
        <w:t xml:space="preserve"> and</w:t>
      </w:r>
      <w:r w:rsidRPr="001A3F17">
        <w:t xml:space="preserve"> the amount of professional fees and disbursements charged in each bill</w:t>
      </w:r>
      <w:r w:rsidR="007850C3">
        <w:t>,</w:t>
      </w:r>
      <w:r w:rsidRPr="001A3F17">
        <w:t xml:space="preserve"> with the amounts totalled at the bottom of each column.</w:t>
      </w:r>
    </w:p>
    <w:p w14:paraId="70F7919D" w14:textId="7C77BD6A" w:rsidR="006309C3" w:rsidRPr="00E77E88" w:rsidRDefault="006309C3" w:rsidP="00E739C7">
      <w:pPr>
        <w:spacing w:after="120"/>
        <w:jc w:val="both"/>
      </w:pPr>
      <w:r w:rsidRPr="00E77E88">
        <w:rPr>
          <w:b/>
          <w:bCs/>
        </w:rPr>
        <w:t xml:space="preserve">Notice of </w:t>
      </w:r>
      <w:r w:rsidR="000A148D" w:rsidRPr="00E77E88">
        <w:rPr>
          <w:b/>
          <w:bCs/>
        </w:rPr>
        <w:t>o</w:t>
      </w:r>
      <w:r w:rsidRPr="00E77E88">
        <w:rPr>
          <w:b/>
          <w:bCs/>
        </w:rPr>
        <w:t xml:space="preserve">bjections </w:t>
      </w:r>
    </w:p>
    <w:p w14:paraId="0715A50D" w14:textId="7B472201" w:rsidR="006309C3" w:rsidRPr="00865813" w:rsidRDefault="004C145B" w:rsidP="00865813">
      <w:pPr>
        <w:pStyle w:val="ListParagraph"/>
        <w:numPr>
          <w:ilvl w:val="0"/>
          <w:numId w:val="5"/>
        </w:numPr>
        <w:spacing w:after="120"/>
        <w:ind w:left="720"/>
        <w:jc w:val="both"/>
        <w:rPr>
          <w:szCs w:val="24"/>
        </w:rPr>
      </w:pPr>
      <w:r>
        <w:rPr>
          <w:szCs w:val="24"/>
        </w:rPr>
        <w:t xml:space="preserve">Under </w:t>
      </w:r>
      <w:r w:rsidR="00865813">
        <w:rPr>
          <w:szCs w:val="24"/>
        </w:rPr>
        <w:t xml:space="preserve">existing requirements, namely under </w:t>
      </w:r>
      <w:r>
        <w:rPr>
          <w:szCs w:val="24"/>
        </w:rPr>
        <w:t xml:space="preserve">r 63.47 of the </w:t>
      </w:r>
      <w:r>
        <w:rPr>
          <w:i/>
          <w:iCs/>
          <w:szCs w:val="24"/>
        </w:rPr>
        <w:t>Rules</w:t>
      </w:r>
      <w:r w:rsidR="00B25FDC">
        <w:rPr>
          <w:szCs w:val="24"/>
        </w:rPr>
        <w:t>,</w:t>
      </w:r>
      <w:r>
        <w:rPr>
          <w:szCs w:val="24"/>
        </w:rPr>
        <w:t xml:space="preserve"> </w:t>
      </w:r>
      <w:r w:rsidR="00B25FDC">
        <w:rPr>
          <w:szCs w:val="24"/>
        </w:rPr>
        <w:t>t</w:t>
      </w:r>
      <w:r w:rsidR="006309C3" w:rsidRPr="002A1948">
        <w:rPr>
          <w:szCs w:val="24"/>
        </w:rPr>
        <w:t xml:space="preserve">he </w:t>
      </w:r>
      <w:r w:rsidR="00AB2273" w:rsidRPr="00881FA8">
        <w:rPr>
          <w:szCs w:val="24"/>
        </w:rPr>
        <w:t>liable party</w:t>
      </w:r>
      <w:r w:rsidR="006309C3" w:rsidRPr="002A1948">
        <w:rPr>
          <w:szCs w:val="24"/>
        </w:rPr>
        <w:t xml:space="preserve"> </w:t>
      </w:r>
      <w:r w:rsidR="00B25FDC">
        <w:rPr>
          <w:szCs w:val="24"/>
        </w:rPr>
        <w:t>must</w:t>
      </w:r>
      <w:r w:rsidR="006309C3" w:rsidRPr="002A1948">
        <w:rPr>
          <w:szCs w:val="24"/>
        </w:rPr>
        <w:t xml:space="preserve"> file a </w:t>
      </w:r>
      <w:r w:rsidR="000A148D">
        <w:t>n</w:t>
      </w:r>
      <w:r w:rsidR="006309C3" w:rsidRPr="002A1948">
        <w:rPr>
          <w:szCs w:val="24"/>
        </w:rPr>
        <w:t xml:space="preserve">otice of </w:t>
      </w:r>
      <w:r w:rsidR="000A148D">
        <w:t>o</w:t>
      </w:r>
      <w:r w:rsidR="006309C3" w:rsidRPr="002A1948">
        <w:rPr>
          <w:szCs w:val="24"/>
        </w:rPr>
        <w:t>bjection</w:t>
      </w:r>
      <w:r w:rsidR="006309C3">
        <w:rPr>
          <w:szCs w:val="24"/>
        </w:rPr>
        <w:t>s</w:t>
      </w:r>
      <w:r w:rsidR="006309C3" w:rsidRPr="002A1948">
        <w:rPr>
          <w:szCs w:val="24"/>
        </w:rPr>
        <w:t xml:space="preserve"> at least seven days prior to the </w:t>
      </w:r>
      <w:r w:rsidR="006309C3">
        <w:rPr>
          <w:szCs w:val="24"/>
        </w:rPr>
        <w:t xml:space="preserve">return </w:t>
      </w:r>
      <w:r w:rsidR="006309C3" w:rsidRPr="002A1948">
        <w:rPr>
          <w:szCs w:val="24"/>
        </w:rPr>
        <w:t xml:space="preserve">date of </w:t>
      </w:r>
      <w:r w:rsidR="00B25FDC">
        <w:rPr>
          <w:szCs w:val="24"/>
        </w:rPr>
        <w:t>a</w:t>
      </w:r>
      <w:r w:rsidR="006309C3" w:rsidRPr="002A1948">
        <w:rPr>
          <w:szCs w:val="24"/>
        </w:rPr>
        <w:t xml:space="preserve"> </w:t>
      </w:r>
      <w:r w:rsidR="006309C3">
        <w:rPr>
          <w:szCs w:val="24"/>
        </w:rPr>
        <w:t xml:space="preserve">summons for taxation. </w:t>
      </w:r>
      <w:r w:rsidR="00B25FDC">
        <w:rPr>
          <w:szCs w:val="24"/>
        </w:rPr>
        <w:t xml:space="preserve">The notice of objections must </w:t>
      </w:r>
      <w:r w:rsidR="006309C3" w:rsidRPr="002A1948">
        <w:rPr>
          <w:szCs w:val="24"/>
        </w:rPr>
        <w:t>state specifically and concisely the grounds of objection to each item</w:t>
      </w:r>
      <w:r w:rsidR="006309C3">
        <w:t>.</w:t>
      </w:r>
      <w:r w:rsidR="00865813">
        <w:t xml:space="preserve">  </w:t>
      </w:r>
      <w:r w:rsidR="006309C3" w:rsidRPr="00865813">
        <w:t>The objections to each item must provide sufficient information to enable the</w:t>
      </w:r>
      <w:r w:rsidR="001B1AD3">
        <w:t xml:space="preserve"> entitled party </w:t>
      </w:r>
      <w:r w:rsidR="006309C3" w:rsidRPr="00865813">
        <w:t>to understand the nature of the objection. Objections in the nature of ‘excessive’, ‘unreasonable’ and the like, or simply requesting the production of a document</w:t>
      </w:r>
      <w:r w:rsidR="00E77E88" w:rsidRPr="00865813">
        <w:t>,</w:t>
      </w:r>
      <w:r w:rsidR="006309C3" w:rsidRPr="00865813">
        <w:t xml:space="preserve"> do not comply with the </w:t>
      </w:r>
      <w:r w:rsidR="006309C3" w:rsidRPr="00865813">
        <w:rPr>
          <w:i/>
          <w:iCs/>
        </w:rPr>
        <w:t>Rules</w:t>
      </w:r>
      <w:r w:rsidR="006309C3" w:rsidRPr="00865813">
        <w:t xml:space="preserve"> and will be disregarded</w:t>
      </w:r>
      <w:r w:rsidR="006309C3" w:rsidRPr="002A1948">
        <w:t>.</w:t>
      </w:r>
    </w:p>
    <w:p w14:paraId="64699BEB" w14:textId="0E248FAE" w:rsidR="006309C3" w:rsidRPr="00C93146" w:rsidRDefault="00B357D3" w:rsidP="00DE2AD7">
      <w:pPr>
        <w:pStyle w:val="ListParagraph"/>
        <w:numPr>
          <w:ilvl w:val="0"/>
          <w:numId w:val="5"/>
        </w:numPr>
        <w:spacing w:after="120"/>
        <w:ind w:left="720"/>
        <w:jc w:val="both"/>
        <w:rPr>
          <w:rFonts w:ascii="Times New Roman" w:hAnsi="Times New Roman"/>
        </w:rPr>
      </w:pPr>
      <w:r>
        <w:rPr>
          <w:rFonts w:cs="Arial"/>
          <w:szCs w:val="24"/>
        </w:rPr>
        <w:t>Further, a</w:t>
      </w:r>
      <w:r w:rsidR="00FC20FF">
        <w:rPr>
          <w:rFonts w:cs="Arial"/>
          <w:szCs w:val="24"/>
        </w:rPr>
        <w:t>s from 1 January 2025, t</w:t>
      </w:r>
      <w:r w:rsidR="006309C3" w:rsidRPr="00C93146">
        <w:rPr>
          <w:rFonts w:cs="Arial"/>
          <w:szCs w:val="24"/>
        </w:rPr>
        <w:t xml:space="preserve">he </w:t>
      </w:r>
      <w:r w:rsidR="000A148D">
        <w:rPr>
          <w:rFonts w:cs="Arial"/>
          <w:szCs w:val="24"/>
        </w:rPr>
        <w:t>n</w:t>
      </w:r>
      <w:r w:rsidR="006309C3" w:rsidRPr="00C93146">
        <w:rPr>
          <w:rFonts w:cs="Arial"/>
          <w:szCs w:val="24"/>
        </w:rPr>
        <w:t xml:space="preserve">otice of </w:t>
      </w:r>
      <w:r w:rsidR="000A148D">
        <w:rPr>
          <w:rFonts w:cs="Arial"/>
          <w:szCs w:val="24"/>
        </w:rPr>
        <w:t>o</w:t>
      </w:r>
      <w:r w:rsidR="006309C3" w:rsidRPr="00C93146">
        <w:rPr>
          <w:rFonts w:cs="Arial"/>
          <w:szCs w:val="24"/>
        </w:rPr>
        <w:t>bjections</w:t>
      </w:r>
      <w:r w:rsidR="007850C3">
        <w:rPr>
          <w:rFonts w:cs="Arial"/>
          <w:szCs w:val="24"/>
        </w:rPr>
        <w:t xml:space="preserve"> </w:t>
      </w:r>
      <w:r w:rsidR="00FC20FF">
        <w:rPr>
          <w:rFonts w:cs="Arial"/>
          <w:szCs w:val="24"/>
        </w:rPr>
        <w:t>will</w:t>
      </w:r>
      <w:r w:rsidR="007850C3">
        <w:rPr>
          <w:rFonts w:cs="Arial"/>
          <w:szCs w:val="24"/>
        </w:rPr>
        <w:t xml:space="preserve"> </w:t>
      </w:r>
      <w:r w:rsidR="00FC20FF">
        <w:rPr>
          <w:rFonts w:cs="Arial"/>
          <w:szCs w:val="24"/>
        </w:rPr>
        <w:t>need to</w:t>
      </w:r>
      <w:r w:rsidR="007850C3">
        <w:rPr>
          <w:rFonts w:cs="Arial"/>
          <w:szCs w:val="24"/>
        </w:rPr>
        <w:t xml:space="preserve"> </w:t>
      </w:r>
      <w:r w:rsidR="006309C3" w:rsidRPr="00C93146">
        <w:rPr>
          <w:rFonts w:cs="Arial"/>
          <w:szCs w:val="24"/>
        </w:rPr>
        <w:t>address</w:t>
      </w:r>
      <w:r w:rsidR="00B05987">
        <w:rPr>
          <w:rFonts w:cs="Arial"/>
          <w:szCs w:val="24"/>
        </w:rPr>
        <w:t xml:space="preserve"> the specific matters relied on by the </w:t>
      </w:r>
      <w:r w:rsidR="00AB2273" w:rsidRPr="00881FA8">
        <w:rPr>
          <w:rFonts w:cs="Arial"/>
          <w:szCs w:val="24"/>
        </w:rPr>
        <w:t>entitled party</w:t>
      </w:r>
      <w:r w:rsidR="00B05987">
        <w:rPr>
          <w:rFonts w:cs="Arial"/>
          <w:szCs w:val="24"/>
        </w:rPr>
        <w:t xml:space="preserve"> pursuant to the new requirements for bills of costs, including as to reasonableness</w:t>
      </w:r>
      <w:r w:rsidR="006309C3" w:rsidRPr="00C93146">
        <w:rPr>
          <w:rFonts w:cs="Arial"/>
          <w:szCs w:val="24"/>
        </w:rPr>
        <w:t>.</w:t>
      </w:r>
    </w:p>
    <w:p w14:paraId="2475DF86" w14:textId="2BA8B51E" w:rsidR="006309C3" w:rsidRPr="004318D4" w:rsidRDefault="007921BF" w:rsidP="00DE2AD7">
      <w:pPr>
        <w:pStyle w:val="ListParagraph"/>
        <w:numPr>
          <w:ilvl w:val="0"/>
          <w:numId w:val="5"/>
        </w:numPr>
        <w:spacing w:after="120"/>
        <w:ind w:left="720"/>
        <w:jc w:val="both"/>
      </w:pPr>
      <w:r>
        <w:rPr>
          <w:rFonts w:cs="Arial"/>
        </w:rPr>
        <w:t xml:space="preserve">The </w:t>
      </w:r>
      <w:r w:rsidR="000A148D">
        <w:rPr>
          <w:rFonts w:cs="Arial"/>
        </w:rPr>
        <w:t>n</w:t>
      </w:r>
      <w:r w:rsidR="006309C3" w:rsidRPr="00A00FAE">
        <w:rPr>
          <w:rFonts w:cs="Arial"/>
        </w:rPr>
        <w:t xml:space="preserve">otice of </w:t>
      </w:r>
      <w:r w:rsidR="000A148D">
        <w:rPr>
          <w:rFonts w:cs="Arial"/>
        </w:rPr>
        <w:t>o</w:t>
      </w:r>
      <w:r w:rsidR="006309C3" w:rsidRPr="00A00FAE">
        <w:rPr>
          <w:rFonts w:cs="Arial"/>
        </w:rPr>
        <w:t>bjection</w:t>
      </w:r>
      <w:r>
        <w:rPr>
          <w:rFonts w:cs="Arial"/>
        </w:rPr>
        <w:t>s</w:t>
      </w:r>
      <w:r w:rsidR="006309C3" w:rsidRPr="00A00FAE">
        <w:rPr>
          <w:rFonts w:cs="Arial"/>
        </w:rPr>
        <w:t xml:space="preserve"> must state the amount by which it is contended the items or the claim</w:t>
      </w:r>
      <w:r w:rsidR="007850C3">
        <w:rPr>
          <w:rFonts w:cs="Arial"/>
        </w:rPr>
        <w:t xml:space="preserve"> s</w:t>
      </w:r>
      <w:r w:rsidR="006309C3" w:rsidRPr="00A00FAE">
        <w:rPr>
          <w:rFonts w:cs="Arial"/>
        </w:rPr>
        <w:t>hould be reduced</w:t>
      </w:r>
      <w:r w:rsidR="002F06FE">
        <w:rPr>
          <w:rFonts w:cs="Arial"/>
        </w:rPr>
        <w:t>,</w:t>
      </w:r>
      <w:r w:rsidR="006309C3" w:rsidRPr="00A00FAE">
        <w:rPr>
          <w:rFonts w:cs="Arial"/>
        </w:rPr>
        <w:t xml:space="preserve"> and </w:t>
      </w:r>
      <w:r w:rsidR="00106B3E">
        <w:rPr>
          <w:rFonts w:cs="Arial"/>
        </w:rPr>
        <w:t>identify any</w:t>
      </w:r>
      <w:r w:rsidR="00106B3E" w:rsidRPr="00A00FAE">
        <w:rPr>
          <w:rFonts w:cs="Arial"/>
        </w:rPr>
        <w:t xml:space="preserve"> </w:t>
      </w:r>
      <w:r w:rsidR="006309C3" w:rsidRPr="00A00FAE">
        <w:rPr>
          <w:rFonts w:cs="Arial"/>
        </w:rPr>
        <w:t xml:space="preserve">authority </w:t>
      </w:r>
      <w:r w:rsidR="002F06FE">
        <w:rPr>
          <w:rFonts w:cs="Arial"/>
        </w:rPr>
        <w:t>upon</w:t>
      </w:r>
      <w:r w:rsidR="002F06FE" w:rsidRPr="00A00FAE">
        <w:rPr>
          <w:rFonts w:cs="Arial"/>
        </w:rPr>
        <w:t xml:space="preserve"> </w:t>
      </w:r>
      <w:r w:rsidR="006309C3" w:rsidRPr="00A00FAE">
        <w:rPr>
          <w:rFonts w:cs="Arial"/>
        </w:rPr>
        <w:t>which the</w:t>
      </w:r>
      <w:r w:rsidR="00106B3E">
        <w:rPr>
          <w:rFonts w:cs="Arial"/>
        </w:rPr>
        <w:t xml:space="preserve"> </w:t>
      </w:r>
      <w:r w:rsidR="00AB2273">
        <w:rPr>
          <w:rFonts w:cs="Arial"/>
        </w:rPr>
        <w:t>liable party</w:t>
      </w:r>
      <w:r w:rsidR="006309C3" w:rsidRPr="00A00FAE">
        <w:rPr>
          <w:rFonts w:cs="Arial"/>
        </w:rPr>
        <w:t xml:space="preserve"> rel</w:t>
      </w:r>
      <w:r w:rsidR="00106B3E">
        <w:rPr>
          <w:rFonts w:cs="Arial"/>
        </w:rPr>
        <w:t>ies</w:t>
      </w:r>
      <w:r w:rsidR="006309C3" w:rsidRPr="00A00FAE">
        <w:rPr>
          <w:rFonts w:cs="Arial"/>
        </w:rPr>
        <w:t xml:space="preserve"> in support of that contention</w:t>
      </w:r>
      <w:r w:rsidR="002F06FE">
        <w:rPr>
          <w:rFonts w:cs="Arial"/>
        </w:rPr>
        <w:t>.</w:t>
      </w:r>
    </w:p>
    <w:p w14:paraId="765C47B8" w14:textId="77777777" w:rsidR="004318D4" w:rsidRPr="00D95729" w:rsidRDefault="004318D4" w:rsidP="00DE2AD7">
      <w:pPr>
        <w:pStyle w:val="ListParagraph"/>
        <w:numPr>
          <w:ilvl w:val="0"/>
          <w:numId w:val="0"/>
        </w:numPr>
        <w:spacing w:after="120"/>
        <w:ind w:left="720"/>
        <w:jc w:val="both"/>
      </w:pPr>
    </w:p>
    <w:p w14:paraId="0B4936E1" w14:textId="7FF0A23F" w:rsidR="008E0E6D" w:rsidRPr="008E0E6D" w:rsidRDefault="001A74B3" w:rsidP="00620D33">
      <w:pPr>
        <w:pStyle w:val="Heading1"/>
      </w:pPr>
      <w:bookmarkStart w:id="14" w:name="_Toc178173282"/>
      <w:r w:rsidRPr="00EA0D05">
        <w:t>DETERMINATION OF PARTY</w:t>
      </w:r>
      <w:r>
        <w:t>/</w:t>
      </w:r>
      <w:r w:rsidRPr="00EA0D05">
        <w:t>PARTY</w:t>
      </w:r>
      <w:r>
        <w:t xml:space="preserve"> COSTS DISPUTES</w:t>
      </w:r>
      <w:bookmarkEnd w:id="14"/>
      <w:r>
        <w:t xml:space="preserve"> </w:t>
      </w:r>
    </w:p>
    <w:p w14:paraId="1FC98C92" w14:textId="721F23C2" w:rsidR="007F0ACA" w:rsidRPr="007F0ACA" w:rsidRDefault="007F0ACA" w:rsidP="00A11BC8">
      <w:pPr>
        <w:pStyle w:val="ListParagraph"/>
        <w:numPr>
          <w:ilvl w:val="0"/>
          <w:numId w:val="5"/>
        </w:numPr>
        <w:spacing w:after="120"/>
        <w:ind w:left="720"/>
        <w:jc w:val="both"/>
      </w:pPr>
      <w:r w:rsidRPr="001A74B3">
        <w:t xml:space="preserve">The Costs Court utilises various procedures to </w:t>
      </w:r>
      <w:r w:rsidR="0038773A">
        <w:t>deal with</w:t>
      </w:r>
      <w:r w:rsidRPr="001A74B3">
        <w:t xml:space="preserve"> party/party costs disputes: </w:t>
      </w:r>
    </w:p>
    <w:p w14:paraId="561A36F8" w14:textId="6FCF4DB4" w:rsidR="00163A29" w:rsidRPr="0076548D" w:rsidRDefault="00163A29" w:rsidP="00A11BC8">
      <w:pPr>
        <w:pStyle w:val="ListParagraph"/>
        <w:numPr>
          <w:ilvl w:val="0"/>
          <w:numId w:val="9"/>
        </w:numPr>
        <w:ind w:hanging="720"/>
        <w:jc w:val="both"/>
        <w:rPr>
          <w:szCs w:val="24"/>
        </w:rPr>
      </w:pPr>
      <w:r w:rsidRPr="004B14B2">
        <w:t>Mediations</w:t>
      </w:r>
      <w:r w:rsidRPr="0076548D">
        <w:rPr>
          <w:szCs w:val="24"/>
        </w:rPr>
        <w:t xml:space="preserve"> are the most time and cost efficient means of </w:t>
      </w:r>
      <w:r w:rsidR="0038773A">
        <w:rPr>
          <w:szCs w:val="24"/>
        </w:rPr>
        <w:t>dealing with</w:t>
      </w:r>
      <w:r w:rsidRPr="0076548D">
        <w:rPr>
          <w:szCs w:val="24"/>
        </w:rPr>
        <w:t xml:space="preserve"> costs disputes. They are particularly effective with respect to more complex matters with large costs claims, resulting in more efficient use of Court resources  and significant cost savings to the parties.</w:t>
      </w:r>
    </w:p>
    <w:p w14:paraId="46BBBEDB" w14:textId="4B574C66" w:rsidR="00163A29" w:rsidRDefault="004B14B2" w:rsidP="00A11BC8">
      <w:pPr>
        <w:pStyle w:val="ListParagraph"/>
        <w:numPr>
          <w:ilvl w:val="0"/>
          <w:numId w:val="9"/>
        </w:numPr>
        <w:ind w:hanging="720"/>
        <w:jc w:val="both"/>
        <w:rPr>
          <w:szCs w:val="24"/>
        </w:rPr>
      </w:pPr>
      <w:r>
        <w:rPr>
          <w:szCs w:val="24"/>
        </w:rPr>
        <w:t xml:space="preserve">Assessments in </w:t>
      </w:r>
      <w:r w:rsidR="00430769">
        <w:rPr>
          <w:szCs w:val="24"/>
        </w:rPr>
        <w:t>c</w:t>
      </w:r>
      <w:r>
        <w:rPr>
          <w:szCs w:val="24"/>
        </w:rPr>
        <w:t>hambers,</w:t>
      </w:r>
      <w:r w:rsidR="00163A29" w:rsidRPr="0076548D">
        <w:rPr>
          <w:szCs w:val="24"/>
        </w:rPr>
        <w:t xml:space="preserve"> pursuant to Part 8 of Order 63 of the </w:t>
      </w:r>
      <w:r w:rsidR="00163A29" w:rsidRPr="004733E0">
        <w:rPr>
          <w:i/>
          <w:iCs/>
          <w:szCs w:val="24"/>
        </w:rPr>
        <w:t>Rules</w:t>
      </w:r>
      <w:r>
        <w:rPr>
          <w:iCs/>
          <w:szCs w:val="24"/>
        </w:rPr>
        <w:t>,</w:t>
      </w:r>
      <w:r w:rsidR="002F06FE">
        <w:rPr>
          <w:i/>
          <w:iCs/>
          <w:szCs w:val="24"/>
        </w:rPr>
        <w:t xml:space="preserve"> </w:t>
      </w:r>
      <w:r w:rsidRPr="0076548D">
        <w:rPr>
          <w:szCs w:val="24"/>
        </w:rPr>
        <w:t>are done at first instance on all claims under $100,000</w:t>
      </w:r>
      <w:r w:rsidR="00B12841">
        <w:rPr>
          <w:szCs w:val="24"/>
        </w:rPr>
        <w:t xml:space="preserve">. </w:t>
      </w:r>
      <w:r w:rsidRPr="0076548D">
        <w:rPr>
          <w:szCs w:val="24"/>
        </w:rPr>
        <w:t xml:space="preserve"> </w:t>
      </w:r>
      <w:r w:rsidR="00791F86">
        <w:rPr>
          <w:szCs w:val="24"/>
        </w:rPr>
        <w:t xml:space="preserve">They are also done </w:t>
      </w:r>
      <w:r>
        <w:rPr>
          <w:szCs w:val="24"/>
        </w:rPr>
        <w:t xml:space="preserve">on </w:t>
      </w:r>
      <w:r w:rsidRPr="0076548D">
        <w:rPr>
          <w:szCs w:val="24"/>
        </w:rPr>
        <w:t>all matters that fail to resolve at mediation, irrespective of the amount of the claim.</w:t>
      </w:r>
      <w:r w:rsidR="00163A29" w:rsidRPr="0076548D">
        <w:rPr>
          <w:szCs w:val="24"/>
        </w:rPr>
        <w:t xml:space="preserve"> In most cases</w:t>
      </w:r>
      <w:r w:rsidR="00163A29">
        <w:rPr>
          <w:szCs w:val="24"/>
        </w:rPr>
        <w:t>,</w:t>
      </w:r>
      <w:r>
        <w:rPr>
          <w:szCs w:val="24"/>
        </w:rPr>
        <w:t xml:space="preserve"> they</w:t>
      </w:r>
      <w:r w:rsidR="00163A29">
        <w:rPr>
          <w:szCs w:val="24"/>
        </w:rPr>
        <w:t xml:space="preserve"> </w:t>
      </w:r>
      <w:r>
        <w:rPr>
          <w:szCs w:val="24"/>
        </w:rPr>
        <w:t>are cost neutral as they are</w:t>
      </w:r>
      <w:r w:rsidR="00163A29" w:rsidRPr="0076548D">
        <w:rPr>
          <w:szCs w:val="24"/>
        </w:rPr>
        <w:t xml:space="preserve"> done on the material filed up to the point of assessment.</w:t>
      </w:r>
      <w:r w:rsidR="00163A29">
        <w:rPr>
          <w:szCs w:val="24"/>
        </w:rPr>
        <w:t xml:space="preserve"> </w:t>
      </w:r>
    </w:p>
    <w:p w14:paraId="0A91284F" w14:textId="61EE0CBB" w:rsidR="00175D35" w:rsidRPr="0076548D" w:rsidRDefault="006D2C26" w:rsidP="00A11BC8">
      <w:pPr>
        <w:pStyle w:val="ListParagraph"/>
        <w:numPr>
          <w:ilvl w:val="0"/>
          <w:numId w:val="9"/>
        </w:numPr>
        <w:ind w:hanging="720"/>
        <w:jc w:val="both"/>
        <w:rPr>
          <w:szCs w:val="24"/>
        </w:rPr>
      </w:pPr>
      <w:r>
        <w:t xml:space="preserve">In </w:t>
      </w:r>
      <w:r w:rsidR="00430769">
        <w:t>certain</w:t>
      </w:r>
      <w:r>
        <w:t xml:space="preserve"> </w:t>
      </w:r>
      <w:r w:rsidRPr="004B14B2">
        <w:rPr>
          <w:szCs w:val="24"/>
        </w:rPr>
        <w:t>cases</w:t>
      </w:r>
      <w:r>
        <w:t xml:space="preserve">, </w:t>
      </w:r>
      <w:r w:rsidRPr="00EA0D05">
        <w:t xml:space="preserve">the Costs Court </w:t>
      </w:r>
      <w:r w:rsidR="00353C69">
        <w:t>may</w:t>
      </w:r>
      <w:r w:rsidR="00791F86">
        <w:t xml:space="preserve"> </w:t>
      </w:r>
      <w:r w:rsidR="0062509C">
        <w:t xml:space="preserve">determine </w:t>
      </w:r>
      <w:r w:rsidR="00791F86">
        <w:t xml:space="preserve">costs on a gross sum basis.  </w:t>
      </w:r>
      <w:r w:rsidR="0062509C">
        <w:t>F</w:t>
      </w:r>
      <w:r w:rsidR="00791F86">
        <w:t>rom</w:t>
      </w:r>
      <w:r w:rsidR="0025410C">
        <w:t xml:space="preserve"> 1 January 2025, the Costs Court will have wider powers in that regard</w:t>
      </w:r>
      <w:r w:rsidR="00430769">
        <w:t xml:space="preserve"> (see below)</w:t>
      </w:r>
      <w:r w:rsidR="0025410C">
        <w:t>.</w:t>
      </w:r>
    </w:p>
    <w:p w14:paraId="55F49B1D" w14:textId="4E07F47E" w:rsidR="002F06FE" w:rsidRDefault="00163A29" w:rsidP="00A11BC8">
      <w:pPr>
        <w:pStyle w:val="ListParagraph"/>
        <w:numPr>
          <w:ilvl w:val="0"/>
          <w:numId w:val="9"/>
        </w:numPr>
        <w:ind w:hanging="720"/>
        <w:jc w:val="both"/>
      </w:pPr>
      <w:r w:rsidRPr="0076548D">
        <w:rPr>
          <w:szCs w:val="24"/>
        </w:rPr>
        <w:t xml:space="preserve">Taxations are the last </w:t>
      </w:r>
      <w:r w:rsidRPr="004B14B2">
        <w:t>option</w:t>
      </w:r>
      <w:r w:rsidRPr="0076548D">
        <w:rPr>
          <w:szCs w:val="24"/>
        </w:rPr>
        <w:t xml:space="preserve"> for </w:t>
      </w:r>
      <w:r w:rsidR="0038773A">
        <w:rPr>
          <w:szCs w:val="24"/>
        </w:rPr>
        <w:t>dealing with</w:t>
      </w:r>
      <w:r w:rsidRPr="0076548D">
        <w:rPr>
          <w:szCs w:val="24"/>
        </w:rPr>
        <w:t xml:space="preserve"> costs disputes. </w:t>
      </w:r>
    </w:p>
    <w:p w14:paraId="3A951755" w14:textId="75C19B74" w:rsidR="0072168A" w:rsidRPr="004318D4" w:rsidRDefault="00163A29" w:rsidP="00A11BC8">
      <w:pPr>
        <w:pStyle w:val="ListParagraph"/>
        <w:numPr>
          <w:ilvl w:val="0"/>
          <w:numId w:val="5"/>
        </w:numPr>
        <w:ind w:left="720"/>
        <w:jc w:val="both"/>
      </w:pPr>
      <w:r w:rsidRPr="0076548D">
        <w:rPr>
          <w:szCs w:val="24"/>
        </w:rPr>
        <w:t>The Costs Court will continue to prioritise its procedures in this way.</w:t>
      </w:r>
    </w:p>
    <w:p w14:paraId="26E5F1FB" w14:textId="7A9B8047" w:rsidR="00DC083C" w:rsidRPr="00EA0D05" w:rsidRDefault="00DC083C" w:rsidP="0038551F">
      <w:pPr>
        <w:pStyle w:val="Heading3"/>
        <w:spacing w:after="120"/>
      </w:pPr>
      <w:bookmarkStart w:id="15" w:name="_Toc178173283"/>
      <w:r w:rsidRPr="00EA0D05">
        <w:t>Mediation</w:t>
      </w:r>
      <w:bookmarkEnd w:id="15"/>
      <w:r w:rsidRPr="00EA0D05">
        <w:t xml:space="preserve"> </w:t>
      </w:r>
    </w:p>
    <w:p w14:paraId="5E80FC74" w14:textId="2CE04620" w:rsidR="00DC083C" w:rsidRDefault="00DC083C" w:rsidP="00A11BC8">
      <w:pPr>
        <w:pStyle w:val="ListParagraph"/>
        <w:numPr>
          <w:ilvl w:val="0"/>
          <w:numId w:val="5"/>
        </w:numPr>
        <w:spacing w:after="120"/>
        <w:ind w:left="720"/>
        <w:jc w:val="both"/>
        <w:rPr>
          <w:szCs w:val="24"/>
        </w:rPr>
      </w:pPr>
      <w:r w:rsidRPr="007C5AD1">
        <w:rPr>
          <w:szCs w:val="24"/>
        </w:rPr>
        <w:t>Except where a party is self-represented, claim</w:t>
      </w:r>
      <w:r w:rsidR="00176C69">
        <w:rPr>
          <w:szCs w:val="24"/>
        </w:rPr>
        <w:t>s</w:t>
      </w:r>
      <w:r w:rsidRPr="007C5AD1">
        <w:rPr>
          <w:szCs w:val="24"/>
        </w:rPr>
        <w:t xml:space="preserve"> for </w:t>
      </w:r>
      <w:r w:rsidR="00935E42">
        <w:rPr>
          <w:szCs w:val="24"/>
        </w:rPr>
        <w:t>costs</w:t>
      </w:r>
      <w:r w:rsidRPr="007C5AD1">
        <w:rPr>
          <w:szCs w:val="24"/>
        </w:rPr>
        <w:t xml:space="preserve"> over $100,000</w:t>
      </w:r>
      <w:r>
        <w:rPr>
          <w:szCs w:val="24"/>
        </w:rPr>
        <w:t xml:space="preserve"> </w:t>
      </w:r>
      <w:r w:rsidRPr="007C5AD1">
        <w:rPr>
          <w:szCs w:val="24"/>
        </w:rPr>
        <w:t xml:space="preserve">will </w:t>
      </w:r>
      <w:r w:rsidR="00FA3AF7">
        <w:rPr>
          <w:szCs w:val="24"/>
        </w:rPr>
        <w:t xml:space="preserve">generally </w:t>
      </w:r>
      <w:r w:rsidRPr="007C5AD1">
        <w:rPr>
          <w:szCs w:val="24"/>
        </w:rPr>
        <w:t>be listed</w:t>
      </w:r>
      <w:r w:rsidR="00467AD9">
        <w:rPr>
          <w:szCs w:val="24"/>
        </w:rPr>
        <w:t>,</w:t>
      </w:r>
      <w:r w:rsidRPr="007C5AD1">
        <w:rPr>
          <w:szCs w:val="24"/>
        </w:rPr>
        <w:t xml:space="preserve"> </w:t>
      </w:r>
      <w:r w:rsidR="00467AD9">
        <w:rPr>
          <w:szCs w:val="24"/>
        </w:rPr>
        <w:t>in the first instance,</w:t>
      </w:r>
      <w:r w:rsidRPr="007C5AD1">
        <w:rPr>
          <w:szCs w:val="24"/>
        </w:rPr>
        <w:t xml:space="preserve"> for </w:t>
      </w:r>
      <w:r>
        <w:rPr>
          <w:szCs w:val="24"/>
        </w:rPr>
        <w:t>m</w:t>
      </w:r>
      <w:r w:rsidRPr="007C5AD1">
        <w:rPr>
          <w:szCs w:val="24"/>
        </w:rPr>
        <w:t xml:space="preserve">ediation pursuant to </w:t>
      </w:r>
      <w:proofErr w:type="spellStart"/>
      <w:r w:rsidRPr="007C5AD1">
        <w:rPr>
          <w:szCs w:val="24"/>
        </w:rPr>
        <w:t>rr</w:t>
      </w:r>
      <w:proofErr w:type="spellEnd"/>
      <w:r w:rsidRPr="007C5AD1">
        <w:rPr>
          <w:szCs w:val="24"/>
        </w:rPr>
        <w:t xml:space="preserve"> 50.07, 50.07.1, 57.07.02 and 50.07.4 of the </w:t>
      </w:r>
      <w:r w:rsidRPr="004D1AFD">
        <w:rPr>
          <w:i/>
          <w:iCs/>
          <w:szCs w:val="24"/>
        </w:rPr>
        <w:t>Rules</w:t>
      </w:r>
      <w:r w:rsidR="00FA3AF7">
        <w:rPr>
          <w:szCs w:val="24"/>
        </w:rPr>
        <w:t>.  The mediation will usually be fixed to take place</w:t>
      </w:r>
      <w:r w:rsidRPr="007C5AD1">
        <w:rPr>
          <w:szCs w:val="24"/>
        </w:rPr>
        <w:t xml:space="preserve"> within approximately six weeks after </w:t>
      </w:r>
      <w:r w:rsidR="00D505C0">
        <w:rPr>
          <w:szCs w:val="24"/>
        </w:rPr>
        <w:t xml:space="preserve">the </w:t>
      </w:r>
      <w:r w:rsidRPr="007C5AD1">
        <w:rPr>
          <w:szCs w:val="24"/>
        </w:rPr>
        <w:t xml:space="preserve">filing </w:t>
      </w:r>
      <w:r w:rsidR="00D505C0">
        <w:rPr>
          <w:szCs w:val="24"/>
        </w:rPr>
        <w:t xml:space="preserve">of </w:t>
      </w:r>
      <w:r w:rsidRPr="007C5AD1">
        <w:rPr>
          <w:szCs w:val="24"/>
        </w:rPr>
        <w:t xml:space="preserve">the </w:t>
      </w:r>
      <w:r w:rsidR="000A148D">
        <w:rPr>
          <w:szCs w:val="24"/>
        </w:rPr>
        <w:t>s</w:t>
      </w:r>
      <w:r w:rsidRPr="007C5AD1">
        <w:rPr>
          <w:szCs w:val="24"/>
        </w:rPr>
        <w:t xml:space="preserve">ummons for </w:t>
      </w:r>
      <w:r w:rsidR="000A148D">
        <w:rPr>
          <w:szCs w:val="24"/>
        </w:rPr>
        <w:t>t</w:t>
      </w:r>
      <w:r w:rsidRPr="007C5AD1">
        <w:rPr>
          <w:szCs w:val="24"/>
        </w:rPr>
        <w:t xml:space="preserve">axation. </w:t>
      </w:r>
    </w:p>
    <w:p w14:paraId="1561D8EB" w14:textId="59A1A3F2" w:rsidR="00DC083C" w:rsidRPr="007C5AD1" w:rsidRDefault="00DC083C" w:rsidP="00A11BC8">
      <w:pPr>
        <w:pStyle w:val="ListParagraph"/>
        <w:numPr>
          <w:ilvl w:val="0"/>
          <w:numId w:val="5"/>
        </w:numPr>
        <w:spacing w:after="120"/>
        <w:ind w:left="720"/>
        <w:jc w:val="both"/>
        <w:rPr>
          <w:szCs w:val="24"/>
        </w:rPr>
      </w:pPr>
      <w:r w:rsidRPr="007C5AD1">
        <w:rPr>
          <w:szCs w:val="24"/>
        </w:rPr>
        <w:t xml:space="preserve">Where the </w:t>
      </w:r>
      <w:r w:rsidR="005F02AF">
        <w:rPr>
          <w:szCs w:val="24"/>
        </w:rPr>
        <w:t xml:space="preserve">Party/Party </w:t>
      </w:r>
      <w:r w:rsidRPr="007C5AD1">
        <w:rPr>
          <w:szCs w:val="24"/>
        </w:rPr>
        <w:t xml:space="preserve">Taxation Information Form </w:t>
      </w:r>
      <w:r w:rsidR="00C24AFE">
        <w:rPr>
          <w:szCs w:val="24"/>
        </w:rPr>
        <w:t>indicates</w:t>
      </w:r>
      <w:r w:rsidRPr="007C5AD1">
        <w:rPr>
          <w:szCs w:val="24"/>
        </w:rPr>
        <w:t xml:space="preserve"> that </w:t>
      </w:r>
      <w:r w:rsidR="0062509C">
        <w:rPr>
          <w:szCs w:val="24"/>
        </w:rPr>
        <w:t xml:space="preserve">any party </w:t>
      </w:r>
      <w:r w:rsidRPr="007C5AD1">
        <w:rPr>
          <w:szCs w:val="24"/>
        </w:rPr>
        <w:t>will be self-represented, the matter will be listed</w:t>
      </w:r>
      <w:r w:rsidR="007B0753">
        <w:rPr>
          <w:szCs w:val="24"/>
        </w:rPr>
        <w:t>, in the first instance,</w:t>
      </w:r>
      <w:r w:rsidRPr="007C5AD1">
        <w:rPr>
          <w:szCs w:val="24"/>
        </w:rPr>
        <w:t xml:space="preserve"> </w:t>
      </w:r>
      <w:r w:rsidR="00D505C0">
        <w:rPr>
          <w:szCs w:val="24"/>
        </w:rPr>
        <w:t>for</w:t>
      </w:r>
      <w:r w:rsidR="00D505C0" w:rsidRPr="007C5AD1">
        <w:rPr>
          <w:szCs w:val="24"/>
        </w:rPr>
        <w:t xml:space="preserve"> </w:t>
      </w:r>
      <w:r w:rsidRPr="007C5AD1">
        <w:rPr>
          <w:szCs w:val="24"/>
        </w:rPr>
        <w:t>the next available directions hearing</w:t>
      </w:r>
      <w:r w:rsidR="006D00F7">
        <w:rPr>
          <w:szCs w:val="24"/>
        </w:rPr>
        <w:t>.  These are</w:t>
      </w:r>
      <w:r w:rsidRPr="007C5AD1">
        <w:rPr>
          <w:szCs w:val="24"/>
        </w:rPr>
        <w:t xml:space="preserve"> held monthly.</w:t>
      </w:r>
    </w:p>
    <w:p w14:paraId="65CB5CA0" w14:textId="291B5D72" w:rsidR="00DC083C" w:rsidRPr="007C5AD1" w:rsidRDefault="00176C69" w:rsidP="00A11BC8">
      <w:pPr>
        <w:pStyle w:val="ListParagraph"/>
        <w:numPr>
          <w:ilvl w:val="0"/>
          <w:numId w:val="5"/>
        </w:numPr>
        <w:spacing w:after="120"/>
        <w:ind w:left="720"/>
        <w:jc w:val="both"/>
        <w:rPr>
          <w:szCs w:val="24"/>
        </w:rPr>
      </w:pPr>
      <w:r>
        <w:rPr>
          <w:szCs w:val="24"/>
        </w:rPr>
        <w:t>As mentioned above, a</w:t>
      </w:r>
      <w:r w:rsidR="00DC083C" w:rsidRPr="007C5AD1">
        <w:rPr>
          <w:szCs w:val="24"/>
        </w:rPr>
        <w:t xml:space="preserve"> </w:t>
      </w:r>
      <w:r w:rsidR="000A148D">
        <w:rPr>
          <w:szCs w:val="24"/>
        </w:rPr>
        <w:t>n</w:t>
      </w:r>
      <w:r w:rsidR="00DC083C" w:rsidRPr="007C5AD1">
        <w:rPr>
          <w:szCs w:val="24"/>
        </w:rPr>
        <w:t xml:space="preserve">otice of </w:t>
      </w:r>
      <w:r w:rsidR="000A148D">
        <w:rPr>
          <w:szCs w:val="24"/>
        </w:rPr>
        <w:t>o</w:t>
      </w:r>
      <w:r w:rsidR="00DC083C" w:rsidRPr="007C5AD1">
        <w:rPr>
          <w:szCs w:val="24"/>
        </w:rPr>
        <w:t xml:space="preserve">bjections in accordance with the </w:t>
      </w:r>
      <w:r w:rsidR="00DC083C" w:rsidRPr="004D1AFD">
        <w:rPr>
          <w:i/>
          <w:iCs/>
          <w:szCs w:val="24"/>
        </w:rPr>
        <w:t>Rules</w:t>
      </w:r>
      <w:r w:rsidR="00DC083C" w:rsidRPr="00E72884">
        <w:rPr>
          <w:szCs w:val="24"/>
        </w:rPr>
        <w:t xml:space="preserve"> </w:t>
      </w:r>
      <w:r w:rsidR="00DC083C" w:rsidRPr="007C5AD1">
        <w:rPr>
          <w:szCs w:val="24"/>
        </w:rPr>
        <w:t xml:space="preserve">must be filed by the </w:t>
      </w:r>
      <w:r w:rsidR="00394C15" w:rsidRPr="00881FA8">
        <w:rPr>
          <w:szCs w:val="24"/>
        </w:rPr>
        <w:t>liable party</w:t>
      </w:r>
      <w:r w:rsidR="00DC083C" w:rsidRPr="007C5AD1">
        <w:rPr>
          <w:szCs w:val="24"/>
        </w:rPr>
        <w:t xml:space="preserve"> at least seven days prior to the </w:t>
      </w:r>
      <w:r w:rsidR="002F364C">
        <w:rPr>
          <w:szCs w:val="24"/>
        </w:rPr>
        <w:t>return date of the summons for taxation – in this case at least seven days prior to the date fixed for the mediation</w:t>
      </w:r>
      <w:r w:rsidR="00DC083C" w:rsidRPr="007C5AD1">
        <w:rPr>
          <w:szCs w:val="24"/>
        </w:rPr>
        <w:t xml:space="preserve">. </w:t>
      </w:r>
    </w:p>
    <w:p w14:paraId="45AD5B3D" w14:textId="69B13E6D" w:rsidR="00DC083C" w:rsidRPr="00E52FCA" w:rsidRDefault="002F06FE" w:rsidP="00A11BC8">
      <w:pPr>
        <w:pStyle w:val="ListParagraph"/>
        <w:numPr>
          <w:ilvl w:val="0"/>
          <w:numId w:val="5"/>
        </w:numPr>
        <w:spacing w:after="120"/>
        <w:ind w:left="720"/>
        <w:jc w:val="both"/>
        <w:rPr>
          <w:b/>
          <w:bCs/>
          <w:i/>
          <w:iCs/>
          <w:szCs w:val="24"/>
        </w:rPr>
      </w:pPr>
      <w:r>
        <w:rPr>
          <w:szCs w:val="24"/>
        </w:rPr>
        <w:t>T</w:t>
      </w:r>
      <w:r w:rsidRPr="00E52FCA">
        <w:rPr>
          <w:szCs w:val="24"/>
        </w:rPr>
        <w:t xml:space="preserve">he </w:t>
      </w:r>
      <w:r w:rsidR="000D4DA0">
        <w:rPr>
          <w:szCs w:val="24"/>
        </w:rPr>
        <w:t xml:space="preserve">costs assessor </w:t>
      </w:r>
      <w:r w:rsidRPr="00E52FCA">
        <w:rPr>
          <w:szCs w:val="24"/>
        </w:rPr>
        <w:t>assigned to mediate the matter</w:t>
      </w:r>
      <w:r>
        <w:rPr>
          <w:szCs w:val="24"/>
        </w:rPr>
        <w:t xml:space="preserve"> will convey</w:t>
      </w:r>
      <w:r w:rsidRPr="00E52FCA">
        <w:rPr>
          <w:szCs w:val="24"/>
        </w:rPr>
        <w:t xml:space="preserve"> </w:t>
      </w:r>
      <w:r w:rsidR="000D4DA0">
        <w:rPr>
          <w:szCs w:val="24"/>
        </w:rPr>
        <w:t xml:space="preserve">to the parties </w:t>
      </w:r>
      <w:r>
        <w:rPr>
          <w:szCs w:val="24"/>
        </w:rPr>
        <w:t>a</w:t>
      </w:r>
      <w:r w:rsidR="00DC083C" w:rsidRPr="00E52FCA">
        <w:rPr>
          <w:szCs w:val="24"/>
        </w:rPr>
        <w:t xml:space="preserve">ny further </w:t>
      </w:r>
      <w:r w:rsidR="000D4DA0">
        <w:rPr>
          <w:szCs w:val="24"/>
        </w:rPr>
        <w:t>requirements</w:t>
      </w:r>
      <w:r w:rsidR="00DC083C" w:rsidRPr="00E52FCA">
        <w:rPr>
          <w:szCs w:val="24"/>
        </w:rPr>
        <w:t xml:space="preserve"> regarding preparation for the mediation</w:t>
      </w:r>
      <w:r w:rsidR="003738A0">
        <w:rPr>
          <w:szCs w:val="24"/>
        </w:rPr>
        <w:t>,</w:t>
      </w:r>
      <w:r w:rsidR="00DC083C" w:rsidRPr="00E52FCA">
        <w:rPr>
          <w:szCs w:val="24"/>
        </w:rPr>
        <w:t xml:space="preserve"> </w:t>
      </w:r>
      <w:r w:rsidR="003738A0">
        <w:rPr>
          <w:szCs w:val="24"/>
        </w:rPr>
        <w:t xml:space="preserve">such as </w:t>
      </w:r>
      <w:r w:rsidR="00DC083C" w:rsidRPr="00E52FCA">
        <w:rPr>
          <w:szCs w:val="24"/>
        </w:rPr>
        <w:t xml:space="preserve"> requirement</w:t>
      </w:r>
      <w:r w:rsidR="003738A0">
        <w:rPr>
          <w:szCs w:val="24"/>
        </w:rPr>
        <w:t>s</w:t>
      </w:r>
      <w:r w:rsidR="00DC083C" w:rsidRPr="00E52FCA">
        <w:rPr>
          <w:szCs w:val="24"/>
        </w:rPr>
        <w:t xml:space="preserve"> to provide specified documents </w:t>
      </w:r>
      <w:r w:rsidR="00670DC7">
        <w:rPr>
          <w:szCs w:val="24"/>
        </w:rPr>
        <w:t xml:space="preserve">or </w:t>
      </w:r>
      <w:r w:rsidR="00DC083C" w:rsidRPr="00E52FCA">
        <w:rPr>
          <w:szCs w:val="24"/>
        </w:rPr>
        <w:t xml:space="preserve">information, position papers or confidential offers. </w:t>
      </w:r>
    </w:p>
    <w:p w14:paraId="26920954" w14:textId="08ED732A" w:rsidR="00DC083C" w:rsidRDefault="00DC083C" w:rsidP="00A11BC8">
      <w:pPr>
        <w:pStyle w:val="ListParagraph"/>
        <w:numPr>
          <w:ilvl w:val="0"/>
          <w:numId w:val="5"/>
        </w:numPr>
        <w:spacing w:after="120"/>
        <w:ind w:left="720"/>
        <w:jc w:val="both"/>
        <w:rPr>
          <w:szCs w:val="24"/>
        </w:rPr>
      </w:pPr>
      <w:r w:rsidRPr="007C5AD1">
        <w:rPr>
          <w:szCs w:val="24"/>
        </w:rPr>
        <w:t xml:space="preserve">Mediations will be scheduled to </w:t>
      </w:r>
      <w:r w:rsidR="002F364C">
        <w:rPr>
          <w:szCs w:val="24"/>
        </w:rPr>
        <w:t>take place</w:t>
      </w:r>
      <w:r w:rsidRPr="007C5AD1">
        <w:rPr>
          <w:szCs w:val="24"/>
        </w:rPr>
        <w:t xml:space="preserve"> via the Zoom platform. If </w:t>
      </w:r>
      <w:r w:rsidR="00394C15">
        <w:rPr>
          <w:szCs w:val="24"/>
        </w:rPr>
        <w:t>any</w:t>
      </w:r>
      <w:r w:rsidR="00394C15" w:rsidRPr="007C5AD1">
        <w:rPr>
          <w:szCs w:val="24"/>
        </w:rPr>
        <w:t xml:space="preserve"> </w:t>
      </w:r>
      <w:r w:rsidRPr="007C5AD1">
        <w:rPr>
          <w:szCs w:val="24"/>
        </w:rPr>
        <w:t xml:space="preserve">party wishes to have the mediation conducted other than online, they should </w:t>
      </w:r>
      <w:r w:rsidR="00670DC7">
        <w:rPr>
          <w:szCs w:val="24"/>
        </w:rPr>
        <w:t xml:space="preserve"> </w:t>
      </w:r>
      <w:r w:rsidRPr="007C5AD1">
        <w:rPr>
          <w:szCs w:val="24"/>
        </w:rPr>
        <w:t xml:space="preserve">inform the </w:t>
      </w:r>
      <w:r w:rsidR="00237DDE">
        <w:rPr>
          <w:szCs w:val="24"/>
        </w:rPr>
        <w:t>assigned costs assessor</w:t>
      </w:r>
      <w:r w:rsidRPr="007C5AD1">
        <w:rPr>
          <w:szCs w:val="24"/>
        </w:rPr>
        <w:t xml:space="preserve"> by sending an email to the Costs Court on </w:t>
      </w:r>
      <w:hyperlink r:id="rId17" w:history="1">
        <w:r w:rsidRPr="007C5AD1">
          <w:rPr>
            <w:rStyle w:val="Hyperlink"/>
            <w:color w:val="auto"/>
            <w:szCs w:val="24"/>
          </w:rPr>
          <w:t>costs.court@supcourt.vic.gov.au</w:t>
        </w:r>
      </w:hyperlink>
      <w:r w:rsidRPr="007C5AD1">
        <w:rPr>
          <w:szCs w:val="24"/>
        </w:rPr>
        <w:t xml:space="preserve">, stating reasons for the proposed change to the mode of mediation (see </w:t>
      </w:r>
      <w:r w:rsidRPr="007C5AD1">
        <w:rPr>
          <w:i/>
          <w:iCs/>
          <w:szCs w:val="24"/>
        </w:rPr>
        <w:t>Notice to the Profession - New SCV Mediation Centre 21 April 2023</w:t>
      </w:r>
      <w:r w:rsidRPr="007C5AD1">
        <w:rPr>
          <w:szCs w:val="24"/>
        </w:rPr>
        <w:t>).</w:t>
      </w:r>
    </w:p>
    <w:p w14:paraId="4B7CB102" w14:textId="77777777" w:rsidR="00DC083C" w:rsidRPr="007C5AD1" w:rsidRDefault="00DC083C" w:rsidP="00A11BC8">
      <w:pPr>
        <w:pStyle w:val="ListParagraph"/>
        <w:numPr>
          <w:ilvl w:val="0"/>
          <w:numId w:val="5"/>
        </w:numPr>
        <w:spacing w:after="120"/>
        <w:ind w:left="720"/>
        <w:jc w:val="both"/>
        <w:rPr>
          <w:szCs w:val="24"/>
        </w:rPr>
      </w:pPr>
      <w:r w:rsidRPr="007C5AD1">
        <w:rPr>
          <w:szCs w:val="24"/>
        </w:rPr>
        <w:t>Unless parties are otherwise advised, they should assume that the mediation is listed for one day, and practitioners are expected to be available for the duration of the mediation.</w:t>
      </w:r>
    </w:p>
    <w:p w14:paraId="099F7D3C" w14:textId="77777777" w:rsidR="00DC083C" w:rsidRPr="007C5AD1" w:rsidRDefault="00DC083C" w:rsidP="00A11BC8">
      <w:pPr>
        <w:pStyle w:val="ListParagraph"/>
        <w:numPr>
          <w:ilvl w:val="0"/>
          <w:numId w:val="5"/>
        </w:numPr>
        <w:spacing w:after="120"/>
        <w:ind w:left="720"/>
        <w:jc w:val="both"/>
        <w:rPr>
          <w:szCs w:val="24"/>
        </w:rPr>
      </w:pPr>
      <w:r w:rsidRPr="007C5AD1">
        <w:rPr>
          <w:szCs w:val="24"/>
        </w:rPr>
        <w:t xml:space="preserve">Parties attending the mediation must have </w:t>
      </w:r>
      <w:r>
        <w:rPr>
          <w:szCs w:val="24"/>
        </w:rPr>
        <w:t xml:space="preserve">full </w:t>
      </w:r>
      <w:r w:rsidRPr="007C5AD1">
        <w:rPr>
          <w:szCs w:val="24"/>
        </w:rPr>
        <w:t xml:space="preserve">authority to settle without the need to revert to </w:t>
      </w:r>
      <w:r>
        <w:rPr>
          <w:szCs w:val="24"/>
        </w:rPr>
        <w:t>an</w:t>
      </w:r>
      <w:r w:rsidRPr="007C5AD1">
        <w:rPr>
          <w:szCs w:val="24"/>
        </w:rPr>
        <w:t xml:space="preserve"> authorising party during the course of the mediation.</w:t>
      </w:r>
    </w:p>
    <w:p w14:paraId="469422AA" w14:textId="5F818631" w:rsidR="00DC083C" w:rsidRPr="007C5AD1" w:rsidRDefault="00DC083C" w:rsidP="00A11BC8">
      <w:pPr>
        <w:pStyle w:val="ListParagraph"/>
        <w:numPr>
          <w:ilvl w:val="0"/>
          <w:numId w:val="5"/>
        </w:numPr>
        <w:spacing w:after="120"/>
        <w:ind w:left="720"/>
        <w:jc w:val="both"/>
        <w:rPr>
          <w:szCs w:val="24"/>
        </w:rPr>
      </w:pPr>
      <w:r w:rsidRPr="007C5AD1">
        <w:rPr>
          <w:bCs/>
          <w:szCs w:val="24"/>
        </w:rPr>
        <w:t>No later than two business days</w:t>
      </w:r>
      <w:r>
        <w:rPr>
          <w:bCs/>
          <w:szCs w:val="24"/>
        </w:rPr>
        <w:t xml:space="preserve"> before the mediation</w:t>
      </w:r>
      <w:r w:rsidRPr="007C5AD1">
        <w:rPr>
          <w:bCs/>
          <w:szCs w:val="24"/>
        </w:rPr>
        <w:t>,</w:t>
      </w:r>
      <w:r w:rsidRPr="007C5AD1">
        <w:rPr>
          <w:b/>
          <w:szCs w:val="24"/>
        </w:rPr>
        <w:t xml:space="preserve"> </w:t>
      </w:r>
      <w:r>
        <w:rPr>
          <w:rFonts w:cs="BookAntiqua"/>
          <w:szCs w:val="24"/>
          <w:lang w:eastAsia="ja-JP"/>
        </w:rPr>
        <w:t>p</w:t>
      </w:r>
      <w:r w:rsidRPr="007C5AD1">
        <w:rPr>
          <w:rFonts w:cs="BookAntiqua"/>
          <w:szCs w:val="24"/>
          <w:lang w:eastAsia="ja-JP"/>
        </w:rPr>
        <w:t xml:space="preserve">arties </w:t>
      </w:r>
      <w:r>
        <w:rPr>
          <w:rFonts w:cs="BookAntiqua"/>
          <w:szCs w:val="24"/>
          <w:lang w:eastAsia="ja-JP"/>
        </w:rPr>
        <w:t>must</w:t>
      </w:r>
      <w:r w:rsidRPr="007C5AD1">
        <w:rPr>
          <w:rFonts w:cs="BookAntiqua"/>
          <w:szCs w:val="24"/>
          <w:lang w:eastAsia="ja-JP"/>
        </w:rPr>
        <w:t xml:space="preserve"> advise the </w:t>
      </w:r>
      <w:r w:rsidR="00A35684">
        <w:rPr>
          <w:rFonts w:cs="BookAntiqua"/>
          <w:szCs w:val="24"/>
          <w:lang w:eastAsia="ja-JP"/>
        </w:rPr>
        <w:t>assigned costs assessor</w:t>
      </w:r>
      <w:r w:rsidRPr="007C5AD1">
        <w:rPr>
          <w:rFonts w:cs="BookAntiqua"/>
          <w:szCs w:val="24"/>
          <w:lang w:eastAsia="ja-JP"/>
        </w:rPr>
        <w:t xml:space="preserve"> of </w:t>
      </w:r>
      <w:r>
        <w:rPr>
          <w:rFonts w:cs="BookAntiqua"/>
          <w:szCs w:val="24"/>
          <w:lang w:eastAsia="ja-JP"/>
        </w:rPr>
        <w:t xml:space="preserve">the </w:t>
      </w:r>
      <w:r w:rsidRPr="007C5AD1">
        <w:rPr>
          <w:rFonts w:cs="BookAntiqua"/>
          <w:szCs w:val="24"/>
          <w:lang w:eastAsia="ja-JP"/>
        </w:rPr>
        <w:t>contact details (phone number, email address and any other necessary details) of all persons who will be attending</w:t>
      </w:r>
      <w:r w:rsidR="000B5C71">
        <w:rPr>
          <w:rFonts w:cs="BookAntiqua"/>
          <w:szCs w:val="24"/>
          <w:lang w:eastAsia="ja-JP"/>
        </w:rPr>
        <w:t xml:space="preserve"> –</w:t>
      </w:r>
      <w:r w:rsidRPr="007C5AD1">
        <w:rPr>
          <w:rFonts w:cs="BookAntiqua"/>
          <w:szCs w:val="24"/>
          <w:lang w:eastAsia="ja-JP"/>
        </w:rPr>
        <w:t xml:space="preserve"> including solicitors, counsel, costs consultants, clients</w:t>
      </w:r>
      <w:r>
        <w:rPr>
          <w:rFonts w:cs="BookAntiqua"/>
          <w:szCs w:val="24"/>
          <w:lang w:eastAsia="ja-JP"/>
        </w:rPr>
        <w:t>,</w:t>
      </w:r>
      <w:r w:rsidRPr="007C5AD1">
        <w:rPr>
          <w:rFonts w:cs="BookAntiqua"/>
          <w:szCs w:val="24"/>
          <w:lang w:eastAsia="ja-JP"/>
        </w:rPr>
        <w:t xml:space="preserve"> and all persons with instructions to settle the matter. This advice </w:t>
      </w:r>
      <w:r w:rsidR="00AB2E42">
        <w:rPr>
          <w:rFonts w:cs="BookAntiqua"/>
          <w:szCs w:val="24"/>
          <w:lang w:eastAsia="ja-JP"/>
        </w:rPr>
        <w:t>must</w:t>
      </w:r>
      <w:r w:rsidRPr="007C5AD1">
        <w:rPr>
          <w:rFonts w:cs="BookAntiqua"/>
          <w:szCs w:val="24"/>
          <w:lang w:eastAsia="ja-JP"/>
        </w:rPr>
        <w:t xml:space="preserve"> be sent to the Costs Court email address: </w:t>
      </w:r>
      <w:hyperlink r:id="rId18" w:history="1">
        <w:r w:rsidRPr="00712125">
          <w:rPr>
            <w:rStyle w:val="Hyperlink"/>
            <w:rFonts w:cs="BookAntiqua"/>
            <w:szCs w:val="24"/>
            <w:lang w:eastAsia="ja-JP"/>
          </w:rPr>
          <w:t>costs.court@supcourt.vic.gov.au</w:t>
        </w:r>
      </w:hyperlink>
      <w:r>
        <w:rPr>
          <w:rFonts w:cs="BookAntiqua"/>
          <w:szCs w:val="24"/>
          <w:lang w:eastAsia="ja-JP"/>
        </w:rPr>
        <w:t xml:space="preserve">. </w:t>
      </w:r>
    </w:p>
    <w:p w14:paraId="109ED8A3" w14:textId="1BEA8BB2" w:rsidR="00B32235" w:rsidRPr="0038551F" w:rsidRDefault="00DC083C" w:rsidP="00A11BC8">
      <w:pPr>
        <w:pStyle w:val="ListParagraph"/>
        <w:numPr>
          <w:ilvl w:val="0"/>
          <w:numId w:val="5"/>
        </w:numPr>
        <w:ind w:left="720"/>
        <w:jc w:val="both"/>
        <w:rPr>
          <w:b/>
          <w:bCs/>
        </w:rPr>
      </w:pPr>
      <w:r w:rsidRPr="006F37E8">
        <w:rPr>
          <w:szCs w:val="24"/>
        </w:rPr>
        <w:t xml:space="preserve">If the matter </w:t>
      </w:r>
      <w:r w:rsidR="00B82FAE">
        <w:rPr>
          <w:szCs w:val="24"/>
        </w:rPr>
        <w:t xml:space="preserve">resolves at mediation, consent orders will be made accordingly.  If the matter </w:t>
      </w:r>
      <w:r w:rsidRPr="006F37E8">
        <w:rPr>
          <w:szCs w:val="24"/>
        </w:rPr>
        <w:t xml:space="preserve">does not resolve at mediation, </w:t>
      </w:r>
      <w:r>
        <w:rPr>
          <w:szCs w:val="24"/>
        </w:rPr>
        <w:t>it</w:t>
      </w:r>
      <w:r w:rsidRPr="006F37E8">
        <w:rPr>
          <w:szCs w:val="24"/>
        </w:rPr>
        <w:t xml:space="preserve"> may </w:t>
      </w:r>
      <w:r>
        <w:rPr>
          <w:szCs w:val="24"/>
        </w:rPr>
        <w:t xml:space="preserve">be </w:t>
      </w:r>
      <w:r w:rsidRPr="006F37E8">
        <w:rPr>
          <w:szCs w:val="24"/>
        </w:rPr>
        <w:t>list</w:t>
      </w:r>
      <w:r>
        <w:rPr>
          <w:szCs w:val="24"/>
        </w:rPr>
        <w:t>ed</w:t>
      </w:r>
      <w:r w:rsidRPr="006F37E8">
        <w:rPr>
          <w:szCs w:val="24"/>
        </w:rPr>
        <w:t xml:space="preserve"> for an assessment in chambers, </w:t>
      </w:r>
      <w:r w:rsidR="003A7672">
        <w:rPr>
          <w:szCs w:val="24"/>
        </w:rPr>
        <w:t xml:space="preserve">for </w:t>
      </w:r>
      <w:r w:rsidRPr="006F37E8">
        <w:rPr>
          <w:szCs w:val="24"/>
        </w:rPr>
        <w:t>taxation</w:t>
      </w:r>
      <w:r w:rsidR="003A7672">
        <w:rPr>
          <w:szCs w:val="24"/>
        </w:rPr>
        <w:t xml:space="preserve"> </w:t>
      </w:r>
      <w:r w:rsidRPr="006F37E8">
        <w:rPr>
          <w:szCs w:val="24"/>
        </w:rPr>
        <w:t xml:space="preserve">or </w:t>
      </w:r>
      <w:r w:rsidR="003A7672">
        <w:rPr>
          <w:szCs w:val="24"/>
        </w:rPr>
        <w:t xml:space="preserve">for </w:t>
      </w:r>
      <w:r w:rsidRPr="006F37E8">
        <w:rPr>
          <w:szCs w:val="24"/>
        </w:rPr>
        <w:t>a directions hearing.</w:t>
      </w:r>
    </w:p>
    <w:p w14:paraId="0068153E" w14:textId="445A0575" w:rsidR="00696D04" w:rsidRDefault="00696D04" w:rsidP="00E00119">
      <w:pPr>
        <w:pStyle w:val="Heading3"/>
        <w:keepNext/>
        <w:keepLines/>
        <w:spacing w:after="120"/>
      </w:pPr>
      <w:bookmarkStart w:id="16" w:name="_Toc178173284"/>
      <w:r>
        <w:t>Assessment i</w:t>
      </w:r>
      <w:r w:rsidRPr="00EA0D05">
        <w:t xml:space="preserve">n </w:t>
      </w:r>
      <w:r w:rsidR="00620D33">
        <w:t>c</w:t>
      </w:r>
      <w:r w:rsidRPr="00EA0D05">
        <w:t>hambers</w:t>
      </w:r>
      <w:bookmarkEnd w:id="16"/>
      <w:r w:rsidRPr="00EA0D05">
        <w:t xml:space="preserve"> </w:t>
      </w:r>
    </w:p>
    <w:p w14:paraId="3403A033" w14:textId="6CF66612" w:rsidR="00696D04" w:rsidRPr="00E707E6" w:rsidRDefault="00B87272" w:rsidP="00A11BC8">
      <w:pPr>
        <w:pStyle w:val="ListParagraph"/>
        <w:numPr>
          <w:ilvl w:val="0"/>
          <w:numId w:val="5"/>
        </w:numPr>
        <w:spacing w:after="120"/>
        <w:ind w:left="720"/>
        <w:jc w:val="both"/>
        <w:rPr>
          <w:szCs w:val="24"/>
        </w:rPr>
      </w:pPr>
      <w:r>
        <w:rPr>
          <w:bCs/>
          <w:szCs w:val="24"/>
        </w:rPr>
        <w:t>Party-party c</w:t>
      </w:r>
      <w:r w:rsidR="00696D04" w:rsidRPr="00E707E6">
        <w:rPr>
          <w:bCs/>
          <w:szCs w:val="24"/>
        </w:rPr>
        <w:t>laim</w:t>
      </w:r>
      <w:r w:rsidR="004B14B2">
        <w:rPr>
          <w:bCs/>
          <w:szCs w:val="24"/>
        </w:rPr>
        <w:t>s for</w:t>
      </w:r>
      <w:r w:rsidR="00696D04" w:rsidRPr="00E707E6">
        <w:rPr>
          <w:bCs/>
          <w:szCs w:val="24"/>
        </w:rPr>
        <w:t xml:space="preserve"> costs of less than $100,000</w:t>
      </w:r>
      <w:r w:rsidR="00696D04">
        <w:rPr>
          <w:szCs w:val="24"/>
        </w:rPr>
        <w:t xml:space="preserve"> </w:t>
      </w:r>
      <w:r w:rsidR="00696D04" w:rsidRPr="00E707E6">
        <w:rPr>
          <w:szCs w:val="24"/>
        </w:rPr>
        <w:t xml:space="preserve">will </w:t>
      </w:r>
      <w:r w:rsidR="00257EF8">
        <w:rPr>
          <w:szCs w:val="24"/>
        </w:rPr>
        <w:t xml:space="preserve">generally </w:t>
      </w:r>
      <w:r w:rsidR="00696D04" w:rsidRPr="00E707E6">
        <w:rPr>
          <w:szCs w:val="24"/>
        </w:rPr>
        <w:t xml:space="preserve">be listed directly for assessment </w:t>
      </w:r>
      <w:r w:rsidR="00696D04">
        <w:rPr>
          <w:szCs w:val="24"/>
        </w:rPr>
        <w:t xml:space="preserve">in chambers </w:t>
      </w:r>
      <w:r w:rsidR="00696D04" w:rsidRPr="00E707E6">
        <w:rPr>
          <w:szCs w:val="24"/>
        </w:rPr>
        <w:t xml:space="preserve">pursuant to Part 8 of Order 63 of the </w:t>
      </w:r>
      <w:r w:rsidR="00696D04" w:rsidRPr="004D1AFD">
        <w:rPr>
          <w:i/>
          <w:iCs/>
          <w:szCs w:val="24"/>
        </w:rPr>
        <w:t>Rules</w:t>
      </w:r>
      <w:r w:rsidR="00696D04" w:rsidRPr="00B215CD">
        <w:rPr>
          <w:szCs w:val="24"/>
        </w:rPr>
        <w:t>.</w:t>
      </w:r>
      <w:r w:rsidR="00696D04" w:rsidRPr="00E707E6">
        <w:rPr>
          <w:szCs w:val="24"/>
        </w:rPr>
        <w:t xml:space="preserve"> </w:t>
      </w:r>
    </w:p>
    <w:p w14:paraId="0A25929C" w14:textId="4BFEC69A" w:rsidR="00696D04" w:rsidRPr="00E707E6" w:rsidRDefault="00696D04" w:rsidP="00A11BC8">
      <w:pPr>
        <w:pStyle w:val="ListParagraph"/>
        <w:numPr>
          <w:ilvl w:val="0"/>
          <w:numId w:val="5"/>
        </w:numPr>
        <w:spacing w:after="120"/>
        <w:ind w:left="720"/>
        <w:jc w:val="both"/>
        <w:rPr>
          <w:szCs w:val="24"/>
        </w:rPr>
      </w:pPr>
      <w:r w:rsidRPr="00E707E6">
        <w:rPr>
          <w:szCs w:val="24"/>
        </w:rPr>
        <w:t xml:space="preserve">The </w:t>
      </w:r>
      <w:r w:rsidR="00ED3EE7" w:rsidRPr="00881FA8">
        <w:rPr>
          <w:szCs w:val="24"/>
        </w:rPr>
        <w:t>entitled party</w:t>
      </w:r>
      <w:r w:rsidRPr="00E707E6">
        <w:rPr>
          <w:szCs w:val="24"/>
        </w:rPr>
        <w:t xml:space="preserve"> will be given details of the assessment procedure in </w:t>
      </w:r>
      <w:r w:rsidR="005A78AD">
        <w:rPr>
          <w:szCs w:val="24"/>
        </w:rPr>
        <w:t>an</w:t>
      </w:r>
      <w:r w:rsidR="005A78AD" w:rsidRPr="00E707E6">
        <w:rPr>
          <w:szCs w:val="24"/>
        </w:rPr>
        <w:t xml:space="preserve"> </w:t>
      </w:r>
      <w:r w:rsidRPr="00E707E6">
        <w:rPr>
          <w:szCs w:val="24"/>
        </w:rPr>
        <w:t xml:space="preserve">assessment notice when the </w:t>
      </w:r>
      <w:r w:rsidR="000A148D">
        <w:rPr>
          <w:szCs w:val="24"/>
        </w:rPr>
        <w:t>s</w:t>
      </w:r>
      <w:r w:rsidRPr="00E707E6">
        <w:rPr>
          <w:szCs w:val="24"/>
        </w:rPr>
        <w:t xml:space="preserve">ummons for </w:t>
      </w:r>
      <w:r w:rsidR="000A148D">
        <w:rPr>
          <w:szCs w:val="24"/>
        </w:rPr>
        <w:t>t</w:t>
      </w:r>
      <w:r w:rsidRPr="00E707E6">
        <w:rPr>
          <w:szCs w:val="24"/>
        </w:rPr>
        <w:t xml:space="preserve">axation and bill of costs are filed. The </w:t>
      </w:r>
      <w:r w:rsidR="003944E4">
        <w:rPr>
          <w:szCs w:val="24"/>
        </w:rPr>
        <w:t>entitled party</w:t>
      </w:r>
      <w:r w:rsidR="003944E4" w:rsidRPr="00E707E6">
        <w:rPr>
          <w:szCs w:val="24"/>
        </w:rPr>
        <w:t xml:space="preserve"> </w:t>
      </w:r>
      <w:r w:rsidRPr="00E707E6">
        <w:rPr>
          <w:szCs w:val="24"/>
        </w:rPr>
        <w:t xml:space="preserve">must </w:t>
      </w:r>
      <w:r w:rsidR="0087296F">
        <w:rPr>
          <w:szCs w:val="24"/>
        </w:rPr>
        <w:t>serve a copy of the assessment notice</w:t>
      </w:r>
      <w:r w:rsidRPr="00E707E6">
        <w:rPr>
          <w:szCs w:val="24"/>
        </w:rPr>
        <w:t xml:space="preserve"> when serving the </w:t>
      </w:r>
      <w:r w:rsidR="000A148D">
        <w:rPr>
          <w:szCs w:val="24"/>
        </w:rPr>
        <w:t>s</w:t>
      </w:r>
      <w:r w:rsidRPr="00E707E6">
        <w:rPr>
          <w:szCs w:val="24"/>
        </w:rPr>
        <w:t xml:space="preserve">ummons for </w:t>
      </w:r>
      <w:r w:rsidR="000A148D">
        <w:rPr>
          <w:szCs w:val="24"/>
        </w:rPr>
        <w:t>t</w:t>
      </w:r>
      <w:r w:rsidRPr="00E707E6">
        <w:rPr>
          <w:szCs w:val="24"/>
        </w:rPr>
        <w:t xml:space="preserve">axation and bill of costs. </w:t>
      </w:r>
    </w:p>
    <w:p w14:paraId="5E761082" w14:textId="74DA7AEC" w:rsidR="00696D04" w:rsidRPr="006F37E8" w:rsidRDefault="00696D04" w:rsidP="00A11BC8">
      <w:pPr>
        <w:pStyle w:val="ListParagraph"/>
        <w:numPr>
          <w:ilvl w:val="0"/>
          <w:numId w:val="5"/>
        </w:numPr>
        <w:spacing w:after="120"/>
        <w:ind w:left="720"/>
        <w:jc w:val="both"/>
        <w:rPr>
          <w:szCs w:val="24"/>
        </w:rPr>
      </w:pPr>
      <w:r w:rsidRPr="006F37E8">
        <w:rPr>
          <w:szCs w:val="24"/>
        </w:rPr>
        <w:t xml:space="preserve">Where the </w:t>
      </w:r>
      <w:r w:rsidR="005F02AF">
        <w:rPr>
          <w:szCs w:val="24"/>
        </w:rPr>
        <w:t xml:space="preserve">Party/Party </w:t>
      </w:r>
      <w:r w:rsidRPr="006F37E8">
        <w:rPr>
          <w:szCs w:val="24"/>
        </w:rPr>
        <w:t xml:space="preserve">Taxation Information Form states that the </w:t>
      </w:r>
      <w:r w:rsidR="00ED3EE7" w:rsidRPr="00881FA8">
        <w:rPr>
          <w:szCs w:val="24"/>
        </w:rPr>
        <w:t>liable party</w:t>
      </w:r>
      <w:r w:rsidR="00ED3EE7" w:rsidRPr="006F37E8">
        <w:rPr>
          <w:szCs w:val="24"/>
        </w:rPr>
        <w:t xml:space="preserve"> </w:t>
      </w:r>
      <w:r w:rsidRPr="006F37E8">
        <w:rPr>
          <w:szCs w:val="24"/>
        </w:rPr>
        <w:t xml:space="preserve">will be self-represented, the matter will be listed </w:t>
      </w:r>
      <w:r w:rsidR="00452CF5">
        <w:rPr>
          <w:szCs w:val="24"/>
        </w:rPr>
        <w:t>for</w:t>
      </w:r>
      <w:r w:rsidRPr="006F37E8">
        <w:rPr>
          <w:szCs w:val="24"/>
        </w:rPr>
        <w:t xml:space="preserve"> the next available directions hearing</w:t>
      </w:r>
      <w:r w:rsidR="0087296F">
        <w:rPr>
          <w:szCs w:val="24"/>
        </w:rPr>
        <w:t>,</w:t>
      </w:r>
      <w:r w:rsidRPr="006F37E8">
        <w:rPr>
          <w:szCs w:val="24"/>
        </w:rPr>
        <w:t xml:space="preserve"> unless the </w:t>
      </w:r>
      <w:r w:rsidR="00ED3EE7" w:rsidRPr="00881FA8">
        <w:rPr>
          <w:szCs w:val="24"/>
        </w:rPr>
        <w:t>entitled party</w:t>
      </w:r>
      <w:r w:rsidR="00ED3EE7" w:rsidRPr="006F37E8">
        <w:rPr>
          <w:szCs w:val="24"/>
        </w:rPr>
        <w:t xml:space="preserve"> </w:t>
      </w:r>
      <w:r w:rsidR="00452CF5">
        <w:rPr>
          <w:szCs w:val="24"/>
        </w:rPr>
        <w:t>satisfies</w:t>
      </w:r>
      <w:r w:rsidRPr="006F37E8">
        <w:rPr>
          <w:szCs w:val="24"/>
        </w:rPr>
        <w:t xml:space="preserve"> the </w:t>
      </w:r>
      <w:r w:rsidR="009B0A61">
        <w:rPr>
          <w:szCs w:val="24"/>
        </w:rPr>
        <w:t xml:space="preserve">Costs </w:t>
      </w:r>
      <w:r w:rsidRPr="006F37E8">
        <w:rPr>
          <w:szCs w:val="24"/>
        </w:rPr>
        <w:t>Court</w:t>
      </w:r>
      <w:r w:rsidR="00452CF5">
        <w:rPr>
          <w:szCs w:val="24"/>
        </w:rPr>
        <w:t xml:space="preserve"> that,</w:t>
      </w:r>
      <w:r w:rsidRPr="006F37E8">
        <w:rPr>
          <w:szCs w:val="24"/>
        </w:rPr>
        <w:t xml:space="preserve"> </w:t>
      </w:r>
      <w:r w:rsidR="00B52882">
        <w:rPr>
          <w:szCs w:val="24"/>
        </w:rPr>
        <w:t>for</w:t>
      </w:r>
      <w:r w:rsidRPr="006F37E8">
        <w:rPr>
          <w:szCs w:val="24"/>
        </w:rPr>
        <w:t xml:space="preserve"> some special reason</w:t>
      </w:r>
      <w:r w:rsidR="00B52882">
        <w:rPr>
          <w:szCs w:val="24"/>
        </w:rPr>
        <w:t>,</w:t>
      </w:r>
      <w:r w:rsidRPr="006F37E8">
        <w:rPr>
          <w:szCs w:val="24"/>
        </w:rPr>
        <w:t xml:space="preserve"> the </w:t>
      </w:r>
      <w:r w:rsidR="00F90384">
        <w:rPr>
          <w:szCs w:val="24"/>
        </w:rPr>
        <w:t>claim</w:t>
      </w:r>
      <w:r w:rsidRPr="006F37E8">
        <w:rPr>
          <w:szCs w:val="24"/>
        </w:rPr>
        <w:t xml:space="preserve"> can </w:t>
      </w:r>
      <w:r w:rsidR="00F90384">
        <w:rPr>
          <w:szCs w:val="24"/>
        </w:rPr>
        <w:t xml:space="preserve">nevertheless </w:t>
      </w:r>
      <w:r w:rsidRPr="006F37E8">
        <w:rPr>
          <w:szCs w:val="24"/>
        </w:rPr>
        <w:t>be assessed.</w:t>
      </w:r>
    </w:p>
    <w:p w14:paraId="0B1EFE9D" w14:textId="686CF622" w:rsidR="00696D04" w:rsidRDefault="000175FD" w:rsidP="00A11BC8">
      <w:pPr>
        <w:pStyle w:val="ListParagraph"/>
        <w:numPr>
          <w:ilvl w:val="0"/>
          <w:numId w:val="5"/>
        </w:numPr>
        <w:spacing w:after="120"/>
        <w:ind w:left="720"/>
        <w:jc w:val="both"/>
        <w:rPr>
          <w:szCs w:val="24"/>
        </w:rPr>
      </w:pPr>
      <w:r>
        <w:rPr>
          <w:szCs w:val="24"/>
        </w:rPr>
        <w:t xml:space="preserve">Where a claim is to be assessed in chambers, </w:t>
      </w:r>
      <w:r w:rsidR="00C86D94">
        <w:rPr>
          <w:szCs w:val="24"/>
        </w:rPr>
        <w:t>t</w:t>
      </w:r>
      <w:r w:rsidR="00696D04" w:rsidRPr="00E707E6">
        <w:rPr>
          <w:szCs w:val="24"/>
        </w:rPr>
        <w:t xml:space="preserve">he </w:t>
      </w:r>
      <w:r w:rsidR="00C935DE" w:rsidRPr="00881FA8">
        <w:rPr>
          <w:szCs w:val="24"/>
        </w:rPr>
        <w:t>liable party’s</w:t>
      </w:r>
      <w:r w:rsidR="00C935DE" w:rsidRPr="00E707E6">
        <w:rPr>
          <w:szCs w:val="24"/>
        </w:rPr>
        <w:t xml:space="preserve"> </w:t>
      </w:r>
      <w:r w:rsidR="000A148D">
        <w:rPr>
          <w:szCs w:val="24"/>
        </w:rPr>
        <w:t>n</w:t>
      </w:r>
      <w:r w:rsidR="00696D04" w:rsidRPr="00E707E6">
        <w:rPr>
          <w:szCs w:val="24"/>
        </w:rPr>
        <w:t xml:space="preserve">otice of </w:t>
      </w:r>
      <w:r w:rsidR="000A148D">
        <w:rPr>
          <w:szCs w:val="24"/>
        </w:rPr>
        <w:t>o</w:t>
      </w:r>
      <w:r w:rsidR="00696D04" w:rsidRPr="00E707E6">
        <w:rPr>
          <w:szCs w:val="24"/>
        </w:rPr>
        <w:t>bjection</w:t>
      </w:r>
      <w:r w:rsidR="00696D04">
        <w:rPr>
          <w:szCs w:val="24"/>
        </w:rPr>
        <w:t>s</w:t>
      </w:r>
      <w:r w:rsidR="00696D04" w:rsidRPr="00E707E6">
        <w:rPr>
          <w:szCs w:val="24"/>
        </w:rPr>
        <w:t xml:space="preserve"> </w:t>
      </w:r>
      <w:r w:rsidR="00C86D94">
        <w:rPr>
          <w:szCs w:val="24"/>
        </w:rPr>
        <w:t xml:space="preserve">must be filed at least seven days prior </w:t>
      </w:r>
      <w:r w:rsidR="00696D04" w:rsidRPr="00E707E6">
        <w:rPr>
          <w:szCs w:val="24"/>
        </w:rPr>
        <w:t xml:space="preserve">to the date </w:t>
      </w:r>
      <w:r w:rsidR="00C86D94">
        <w:rPr>
          <w:szCs w:val="24"/>
        </w:rPr>
        <w:t>fixed for</w:t>
      </w:r>
      <w:r w:rsidR="00696D04" w:rsidRPr="00E707E6">
        <w:rPr>
          <w:szCs w:val="24"/>
        </w:rPr>
        <w:t xml:space="preserve"> the assessment</w:t>
      </w:r>
      <w:r w:rsidR="00696D04">
        <w:rPr>
          <w:szCs w:val="24"/>
        </w:rPr>
        <w:t>.</w:t>
      </w:r>
      <w:r w:rsidR="00696D04" w:rsidRPr="00E707E6">
        <w:rPr>
          <w:szCs w:val="24"/>
        </w:rPr>
        <w:t xml:space="preserve"> </w:t>
      </w:r>
    </w:p>
    <w:p w14:paraId="3F1A7D84" w14:textId="0C818EE2" w:rsidR="00696D04" w:rsidRPr="00E707E6" w:rsidRDefault="00696D04" w:rsidP="00A11BC8">
      <w:pPr>
        <w:pStyle w:val="ListParagraph"/>
        <w:numPr>
          <w:ilvl w:val="0"/>
          <w:numId w:val="5"/>
        </w:numPr>
        <w:spacing w:after="120"/>
        <w:ind w:left="720"/>
        <w:jc w:val="both"/>
        <w:rPr>
          <w:szCs w:val="24"/>
        </w:rPr>
      </w:pPr>
      <w:r w:rsidRPr="00E707E6">
        <w:rPr>
          <w:szCs w:val="24"/>
        </w:rPr>
        <w:t xml:space="preserve">If the </w:t>
      </w:r>
      <w:r w:rsidR="00C935DE" w:rsidRPr="00881FA8">
        <w:rPr>
          <w:szCs w:val="24"/>
        </w:rPr>
        <w:t>liable party</w:t>
      </w:r>
      <w:r w:rsidRPr="00E707E6">
        <w:rPr>
          <w:szCs w:val="24"/>
        </w:rPr>
        <w:t xml:space="preserve"> does not file a </w:t>
      </w:r>
      <w:r w:rsidR="000A148D">
        <w:rPr>
          <w:szCs w:val="24"/>
        </w:rPr>
        <w:t>n</w:t>
      </w:r>
      <w:r w:rsidRPr="00E707E6">
        <w:rPr>
          <w:szCs w:val="24"/>
        </w:rPr>
        <w:t xml:space="preserve">otice of </w:t>
      </w:r>
      <w:r w:rsidR="000A148D">
        <w:rPr>
          <w:szCs w:val="24"/>
        </w:rPr>
        <w:t>o</w:t>
      </w:r>
      <w:r w:rsidRPr="00E707E6">
        <w:rPr>
          <w:szCs w:val="24"/>
        </w:rPr>
        <w:t>bjection</w:t>
      </w:r>
      <w:r>
        <w:rPr>
          <w:szCs w:val="24"/>
        </w:rPr>
        <w:t>s</w:t>
      </w:r>
      <w:r w:rsidRPr="00E707E6">
        <w:rPr>
          <w:szCs w:val="24"/>
        </w:rPr>
        <w:t xml:space="preserve">, the </w:t>
      </w:r>
      <w:r w:rsidR="00C935DE" w:rsidRPr="00881FA8">
        <w:rPr>
          <w:szCs w:val="24"/>
        </w:rPr>
        <w:t>entitled party</w:t>
      </w:r>
      <w:r w:rsidRPr="00E707E6">
        <w:rPr>
          <w:szCs w:val="24"/>
        </w:rPr>
        <w:t xml:space="preserve"> must file an affidavit of service </w:t>
      </w:r>
      <w:r>
        <w:rPr>
          <w:szCs w:val="24"/>
        </w:rPr>
        <w:t xml:space="preserve">two business </w:t>
      </w:r>
      <w:r w:rsidRPr="00E707E6">
        <w:rPr>
          <w:szCs w:val="24"/>
        </w:rPr>
        <w:t xml:space="preserve">days </w:t>
      </w:r>
      <w:r w:rsidR="004F2DD9">
        <w:rPr>
          <w:szCs w:val="24"/>
        </w:rPr>
        <w:t>prior to</w:t>
      </w:r>
      <w:r w:rsidR="004F2DD9" w:rsidRPr="00E707E6">
        <w:rPr>
          <w:szCs w:val="24"/>
        </w:rPr>
        <w:t xml:space="preserve"> </w:t>
      </w:r>
      <w:r w:rsidRPr="00E707E6">
        <w:rPr>
          <w:szCs w:val="24"/>
        </w:rPr>
        <w:t>the date</w:t>
      </w:r>
      <w:r w:rsidR="001B1AD3">
        <w:rPr>
          <w:szCs w:val="24"/>
        </w:rPr>
        <w:t xml:space="preserve"> fixed for </w:t>
      </w:r>
      <w:r>
        <w:rPr>
          <w:szCs w:val="24"/>
        </w:rPr>
        <w:t>the</w:t>
      </w:r>
      <w:r w:rsidRPr="00E707E6">
        <w:rPr>
          <w:szCs w:val="24"/>
        </w:rPr>
        <w:t xml:space="preserve"> assessment.</w:t>
      </w:r>
    </w:p>
    <w:p w14:paraId="764DF86F" w14:textId="501E42B6" w:rsidR="00696D04" w:rsidRPr="00E707E6" w:rsidRDefault="005A78AD" w:rsidP="00A11BC8">
      <w:pPr>
        <w:pStyle w:val="ListParagraph"/>
        <w:numPr>
          <w:ilvl w:val="0"/>
          <w:numId w:val="5"/>
        </w:numPr>
        <w:spacing w:after="120"/>
        <w:ind w:left="720"/>
        <w:jc w:val="both"/>
        <w:rPr>
          <w:i/>
          <w:iCs/>
          <w:szCs w:val="24"/>
        </w:rPr>
      </w:pPr>
      <w:r>
        <w:rPr>
          <w:szCs w:val="24"/>
        </w:rPr>
        <w:t xml:space="preserve">An </w:t>
      </w:r>
      <w:r w:rsidR="00696D04">
        <w:rPr>
          <w:szCs w:val="24"/>
        </w:rPr>
        <w:t xml:space="preserve">assessment </w:t>
      </w:r>
      <w:r w:rsidR="00696D04" w:rsidRPr="00E707E6">
        <w:rPr>
          <w:szCs w:val="24"/>
        </w:rPr>
        <w:t xml:space="preserve">in chambers does not require the costs assessor to make a determination on each or any individual item in the bill of costs as </w:t>
      </w:r>
      <w:r w:rsidR="00A24C2D">
        <w:rPr>
          <w:szCs w:val="24"/>
        </w:rPr>
        <w:t>the assessor</w:t>
      </w:r>
      <w:r w:rsidR="00696D04" w:rsidRPr="00E707E6">
        <w:rPr>
          <w:szCs w:val="24"/>
        </w:rPr>
        <w:t xml:space="preserve"> would in a </w:t>
      </w:r>
      <w:r w:rsidR="006122EA" w:rsidRPr="006122EA">
        <w:rPr>
          <w:i/>
          <w:iCs/>
          <w:szCs w:val="24"/>
        </w:rPr>
        <w:t>seriatim</w:t>
      </w:r>
      <w:r w:rsidR="006122EA">
        <w:rPr>
          <w:szCs w:val="24"/>
        </w:rPr>
        <w:t xml:space="preserve"> </w:t>
      </w:r>
      <w:r w:rsidR="00696D04" w:rsidRPr="006122EA">
        <w:rPr>
          <w:szCs w:val="24"/>
        </w:rPr>
        <w:t>taxation</w:t>
      </w:r>
      <w:r w:rsidR="00696D04" w:rsidRPr="00E707E6">
        <w:rPr>
          <w:szCs w:val="24"/>
        </w:rPr>
        <w:t xml:space="preserve"> of costs. It requires the assessor to provide an </w:t>
      </w:r>
      <w:r w:rsidR="00696D04">
        <w:rPr>
          <w:szCs w:val="24"/>
        </w:rPr>
        <w:t>‘</w:t>
      </w:r>
      <w:r w:rsidR="00696D04" w:rsidRPr="00E707E6">
        <w:rPr>
          <w:i/>
          <w:iCs/>
          <w:szCs w:val="24"/>
        </w:rPr>
        <w:t xml:space="preserve">estimate of the approximate total for which, if the bill were to be taxed, an order on taxation under </w:t>
      </w:r>
      <w:r w:rsidR="00696D04">
        <w:rPr>
          <w:i/>
          <w:iCs/>
          <w:szCs w:val="24"/>
        </w:rPr>
        <w:t>r</w:t>
      </w:r>
      <w:r w:rsidR="00696D04" w:rsidRPr="00E707E6">
        <w:rPr>
          <w:i/>
          <w:iCs/>
          <w:szCs w:val="24"/>
        </w:rPr>
        <w:t xml:space="preserve"> 63.56 would be likely to be made</w:t>
      </w:r>
      <w:r w:rsidR="00696D04">
        <w:rPr>
          <w:szCs w:val="24"/>
        </w:rPr>
        <w:t>’</w:t>
      </w:r>
      <w:r w:rsidR="00A24C2D">
        <w:rPr>
          <w:szCs w:val="24"/>
        </w:rPr>
        <w:t>: see r 63.88(1)</w:t>
      </w:r>
      <w:r w:rsidR="00696D04" w:rsidRPr="00E707E6">
        <w:rPr>
          <w:i/>
          <w:iCs/>
          <w:szCs w:val="24"/>
        </w:rPr>
        <w:t xml:space="preserve">. </w:t>
      </w:r>
    </w:p>
    <w:p w14:paraId="1072FEFD" w14:textId="0815ED65" w:rsidR="001F0EBE" w:rsidRPr="001F0EBE" w:rsidRDefault="005A78AD" w:rsidP="00A11BC8">
      <w:pPr>
        <w:pStyle w:val="ListParagraph"/>
        <w:numPr>
          <w:ilvl w:val="0"/>
          <w:numId w:val="5"/>
        </w:numPr>
        <w:spacing w:after="120"/>
        <w:ind w:left="720"/>
        <w:jc w:val="both"/>
        <w:rPr>
          <w:i/>
          <w:iCs/>
          <w:szCs w:val="24"/>
        </w:rPr>
      </w:pPr>
      <w:r>
        <w:rPr>
          <w:szCs w:val="24"/>
        </w:rPr>
        <w:t xml:space="preserve">If </w:t>
      </w:r>
      <w:r w:rsidR="00A535EE">
        <w:rPr>
          <w:szCs w:val="24"/>
        </w:rPr>
        <w:t>any</w:t>
      </w:r>
      <w:r w:rsidR="00A535EE" w:rsidRPr="00E707E6">
        <w:rPr>
          <w:szCs w:val="24"/>
        </w:rPr>
        <w:t xml:space="preserve"> </w:t>
      </w:r>
      <w:r w:rsidR="00696D04" w:rsidRPr="00E707E6">
        <w:rPr>
          <w:szCs w:val="24"/>
        </w:rPr>
        <w:t>party</w:t>
      </w:r>
      <w:r>
        <w:rPr>
          <w:szCs w:val="24"/>
        </w:rPr>
        <w:t xml:space="preserve"> objects to the assessment</w:t>
      </w:r>
      <w:r w:rsidR="00B216D1">
        <w:rPr>
          <w:szCs w:val="24"/>
        </w:rPr>
        <w:t xml:space="preserve"> within 21 days</w:t>
      </w:r>
      <w:r w:rsidR="00696D04" w:rsidRPr="00E707E6">
        <w:rPr>
          <w:szCs w:val="24"/>
        </w:rPr>
        <w:t xml:space="preserve">, the </w:t>
      </w:r>
      <w:r w:rsidR="00696D04">
        <w:rPr>
          <w:szCs w:val="24"/>
        </w:rPr>
        <w:t>m</w:t>
      </w:r>
      <w:r w:rsidR="00696D04" w:rsidRPr="00E707E6">
        <w:rPr>
          <w:szCs w:val="24"/>
        </w:rPr>
        <w:t xml:space="preserve">atter will be listed for taxation. </w:t>
      </w:r>
      <w:r w:rsidR="001F0EBE">
        <w:rPr>
          <w:szCs w:val="24"/>
        </w:rPr>
        <w:t xml:space="preserve">Otherwise, the assessor may make an order as on taxation for the amount of the estimate: see </w:t>
      </w:r>
      <w:r w:rsidR="00B216D1">
        <w:rPr>
          <w:szCs w:val="24"/>
        </w:rPr>
        <w:t xml:space="preserve">r </w:t>
      </w:r>
      <w:r w:rsidR="001F0EBE">
        <w:rPr>
          <w:szCs w:val="24"/>
        </w:rPr>
        <w:t>63.8</w:t>
      </w:r>
      <w:r w:rsidR="003944E4">
        <w:rPr>
          <w:szCs w:val="24"/>
        </w:rPr>
        <w:t>8</w:t>
      </w:r>
      <w:r w:rsidR="001F0EBE">
        <w:rPr>
          <w:szCs w:val="24"/>
        </w:rPr>
        <w:t>(4).</w:t>
      </w:r>
    </w:p>
    <w:p w14:paraId="5F6D27C2" w14:textId="4E2D2C37" w:rsidR="00696D04" w:rsidRPr="007806AC" w:rsidRDefault="0030054C" w:rsidP="00A11BC8">
      <w:pPr>
        <w:pStyle w:val="ListParagraph"/>
        <w:numPr>
          <w:ilvl w:val="0"/>
          <w:numId w:val="5"/>
        </w:numPr>
        <w:spacing w:after="120"/>
        <w:ind w:left="720"/>
        <w:jc w:val="both"/>
        <w:rPr>
          <w:szCs w:val="24"/>
        </w:rPr>
      </w:pPr>
      <w:r>
        <w:rPr>
          <w:szCs w:val="24"/>
        </w:rPr>
        <w:t>From 1 January 2025</w:t>
      </w:r>
      <w:r w:rsidR="000E3D27">
        <w:rPr>
          <w:szCs w:val="24"/>
        </w:rPr>
        <w:t>,</w:t>
      </w:r>
      <w:r>
        <w:rPr>
          <w:szCs w:val="24"/>
        </w:rPr>
        <w:t xml:space="preserve"> </w:t>
      </w:r>
      <w:r w:rsidR="00F31D0F">
        <w:rPr>
          <w:szCs w:val="24"/>
        </w:rPr>
        <w:t>a costs sanction may result from a failure to accept an estimate.  There will be a new r 63.89</w:t>
      </w:r>
      <w:r w:rsidR="00913BBD">
        <w:rPr>
          <w:szCs w:val="24"/>
        </w:rPr>
        <w:t>.1</w:t>
      </w:r>
      <w:r>
        <w:rPr>
          <w:szCs w:val="24"/>
        </w:rPr>
        <w:t>,</w:t>
      </w:r>
      <w:r w:rsidR="00913BBD">
        <w:rPr>
          <w:szCs w:val="24"/>
        </w:rPr>
        <w:t xml:space="preserve"> based on a corresponding provision of the </w:t>
      </w:r>
      <w:r w:rsidR="00913BBD">
        <w:rPr>
          <w:i/>
          <w:iCs/>
          <w:szCs w:val="24"/>
        </w:rPr>
        <w:t>Federal Court Rules 2011.</w:t>
      </w:r>
      <w:r w:rsidR="00913BBD">
        <w:rPr>
          <w:szCs w:val="24"/>
        </w:rPr>
        <w:t xml:space="preserve"> </w:t>
      </w:r>
      <w:r w:rsidR="000E3D27">
        <w:rPr>
          <w:szCs w:val="24"/>
        </w:rPr>
        <w:t xml:space="preserve"> </w:t>
      </w:r>
      <w:r w:rsidR="00A535EE">
        <w:rPr>
          <w:szCs w:val="24"/>
        </w:rPr>
        <w:t>Under new r 63.89.1(1)</w:t>
      </w:r>
      <w:r w:rsidR="00EF64A3">
        <w:rPr>
          <w:szCs w:val="24"/>
        </w:rPr>
        <w:t>, w</w:t>
      </w:r>
      <w:r w:rsidR="00AE1E58">
        <w:rPr>
          <w:szCs w:val="24"/>
        </w:rPr>
        <w:t xml:space="preserve">here </w:t>
      </w:r>
      <w:r w:rsidR="00696D04" w:rsidRPr="001D0D70">
        <w:rPr>
          <w:szCs w:val="24"/>
        </w:rPr>
        <w:t xml:space="preserve">the </w:t>
      </w:r>
      <w:r w:rsidR="00EF64A3" w:rsidRPr="00881FA8">
        <w:rPr>
          <w:szCs w:val="24"/>
        </w:rPr>
        <w:t>entitled party</w:t>
      </w:r>
      <w:r w:rsidR="00696D04" w:rsidRPr="001D0D70">
        <w:rPr>
          <w:szCs w:val="24"/>
        </w:rPr>
        <w:t xml:space="preserve"> object</w:t>
      </w:r>
      <w:r>
        <w:rPr>
          <w:szCs w:val="24"/>
        </w:rPr>
        <w:t>s</w:t>
      </w:r>
      <w:r w:rsidR="00696D04" w:rsidRPr="001D0D70">
        <w:rPr>
          <w:szCs w:val="24"/>
        </w:rPr>
        <w:t xml:space="preserve"> to the estimate</w:t>
      </w:r>
      <w:r w:rsidR="00AE1E58">
        <w:rPr>
          <w:szCs w:val="24"/>
        </w:rPr>
        <w:t xml:space="preserve"> and thus triggers a taxation</w:t>
      </w:r>
      <w:r w:rsidR="00696D04" w:rsidRPr="001D0D70">
        <w:rPr>
          <w:szCs w:val="24"/>
        </w:rPr>
        <w:t xml:space="preserve">, </w:t>
      </w:r>
      <w:r>
        <w:rPr>
          <w:szCs w:val="24"/>
        </w:rPr>
        <w:t xml:space="preserve">the </w:t>
      </w:r>
      <w:r w:rsidR="00EF64A3" w:rsidRPr="00881FA8">
        <w:rPr>
          <w:szCs w:val="24"/>
        </w:rPr>
        <w:t>entitled party</w:t>
      </w:r>
      <w:r w:rsidR="00696D04" w:rsidRPr="001D0D70">
        <w:rPr>
          <w:szCs w:val="24"/>
        </w:rPr>
        <w:t xml:space="preserve"> will be required to pay the costs of the taxation unless the costs are taxed at more than 115% of the estimate.</w:t>
      </w:r>
      <w:r>
        <w:rPr>
          <w:szCs w:val="24"/>
        </w:rPr>
        <w:t xml:space="preserve">  </w:t>
      </w:r>
      <w:r w:rsidR="00AE1E58">
        <w:rPr>
          <w:szCs w:val="24"/>
        </w:rPr>
        <w:t>Where</w:t>
      </w:r>
      <w:r w:rsidR="00696D04" w:rsidRPr="001D0D70">
        <w:rPr>
          <w:szCs w:val="24"/>
        </w:rPr>
        <w:t xml:space="preserve"> the </w:t>
      </w:r>
      <w:r w:rsidR="00D2415C" w:rsidRPr="00881FA8">
        <w:rPr>
          <w:szCs w:val="24"/>
        </w:rPr>
        <w:t>liable party</w:t>
      </w:r>
      <w:r w:rsidR="00696D04" w:rsidRPr="001D0D70">
        <w:rPr>
          <w:szCs w:val="24"/>
        </w:rPr>
        <w:t xml:space="preserve"> objects to the estimate</w:t>
      </w:r>
      <w:r w:rsidR="00FD46E0">
        <w:rPr>
          <w:szCs w:val="24"/>
        </w:rPr>
        <w:t xml:space="preserve"> and thus triggers the taxation</w:t>
      </w:r>
      <w:r w:rsidR="00696D04" w:rsidRPr="001D0D70">
        <w:rPr>
          <w:szCs w:val="24"/>
        </w:rPr>
        <w:t xml:space="preserve">, </w:t>
      </w:r>
      <w:r>
        <w:rPr>
          <w:szCs w:val="24"/>
        </w:rPr>
        <w:t xml:space="preserve">the </w:t>
      </w:r>
      <w:r w:rsidR="00D2415C" w:rsidRPr="00881FA8">
        <w:rPr>
          <w:szCs w:val="24"/>
        </w:rPr>
        <w:t>liable party</w:t>
      </w:r>
      <w:r w:rsidR="00696D04" w:rsidRPr="001D0D70">
        <w:rPr>
          <w:szCs w:val="24"/>
        </w:rPr>
        <w:t xml:space="preserve"> will be liable to pay the costs of the taxation unless the costs are taxed at less than 85% of the estimate. </w:t>
      </w:r>
      <w:r w:rsidR="00696D04" w:rsidRPr="0042766E">
        <w:rPr>
          <w:szCs w:val="24"/>
        </w:rPr>
        <w:t>Th</w:t>
      </w:r>
      <w:r w:rsidR="007806AC" w:rsidRPr="0042766E">
        <w:rPr>
          <w:szCs w:val="24"/>
        </w:rPr>
        <w:t>ese consequences</w:t>
      </w:r>
      <w:r w:rsidR="00696D04" w:rsidRPr="00620D33">
        <w:rPr>
          <w:szCs w:val="24"/>
        </w:rPr>
        <w:t xml:space="preserve"> </w:t>
      </w:r>
      <w:r w:rsidR="007806AC" w:rsidRPr="00620D33">
        <w:rPr>
          <w:szCs w:val="24"/>
        </w:rPr>
        <w:t>are</w:t>
      </w:r>
      <w:r w:rsidR="00696D04" w:rsidRPr="001974BC">
        <w:rPr>
          <w:szCs w:val="24"/>
        </w:rPr>
        <w:t xml:space="preserve"> intended to encourage parties to </w:t>
      </w:r>
      <w:r w:rsidR="007806AC">
        <w:rPr>
          <w:szCs w:val="24"/>
        </w:rPr>
        <w:t>carefully consider whether</w:t>
      </w:r>
      <w:r w:rsidR="00696D04" w:rsidRPr="007806AC">
        <w:rPr>
          <w:szCs w:val="24"/>
        </w:rPr>
        <w:t xml:space="preserve"> to </w:t>
      </w:r>
      <w:r w:rsidR="007806AC">
        <w:rPr>
          <w:szCs w:val="24"/>
        </w:rPr>
        <w:t xml:space="preserve">object to </w:t>
      </w:r>
      <w:r w:rsidR="00696D04" w:rsidRPr="007806AC">
        <w:rPr>
          <w:szCs w:val="24"/>
        </w:rPr>
        <w:t xml:space="preserve">the </w:t>
      </w:r>
      <w:r w:rsidR="007806AC">
        <w:rPr>
          <w:szCs w:val="24"/>
        </w:rPr>
        <w:t xml:space="preserve">Cost Court’s </w:t>
      </w:r>
      <w:r w:rsidR="00696D04" w:rsidRPr="007806AC">
        <w:rPr>
          <w:szCs w:val="24"/>
        </w:rPr>
        <w:t>estimate</w:t>
      </w:r>
      <w:r w:rsidR="00696D04" w:rsidRPr="00620D33">
        <w:rPr>
          <w:szCs w:val="24"/>
        </w:rPr>
        <w:t>.</w:t>
      </w:r>
    </w:p>
    <w:p w14:paraId="5E7DDA7E" w14:textId="10769889" w:rsidR="009E009C" w:rsidRPr="0042766E" w:rsidRDefault="00D2415C" w:rsidP="00A11BC8">
      <w:pPr>
        <w:pStyle w:val="ListParagraph"/>
        <w:numPr>
          <w:ilvl w:val="0"/>
          <w:numId w:val="5"/>
        </w:numPr>
        <w:ind w:left="720"/>
        <w:jc w:val="both"/>
        <w:rPr>
          <w:szCs w:val="24"/>
        </w:rPr>
      </w:pPr>
      <w:r>
        <w:rPr>
          <w:szCs w:val="24"/>
        </w:rPr>
        <w:t>Parties will</w:t>
      </w:r>
      <w:r w:rsidR="00EC0856">
        <w:rPr>
          <w:szCs w:val="24"/>
        </w:rPr>
        <w:t xml:space="preserve"> still be able </w:t>
      </w:r>
      <w:r w:rsidR="00696D04" w:rsidRPr="001D0D70">
        <w:rPr>
          <w:szCs w:val="24"/>
        </w:rPr>
        <w:t>to make a</w:t>
      </w:r>
      <w:r w:rsidR="00EC0856">
        <w:rPr>
          <w:szCs w:val="24"/>
        </w:rPr>
        <w:t xml:space="preserve"> potentially useful </w:t>
      </w:r>
      <w:r w:rsidR="00696D04" w:rsidRPr="001D0D70">
        <w:rPr>
          <w:szCs w:val="24"/>
        </w:rPr>
        <w:t>offer of compromise</w:t>
      </w:r>
      <w:r w:rsidR="00EC0856">
        <w:rPr>
          <w:szCs w:val="24"/>
        </w:rPr>
        <w:t xml:space="preserve"> </w:t>
      </w:r>
      <w:r w:rsidR="002B7BF2">
        <w:rPr>
          <w:szCs w:val="24"/>
        </w:rPr>
        <w:t>as to the costs in dispute</w:t>
      </w:r>
      <w:r w:rsidR="00696D04" w:rsidRPr="001D0D70">
        <w:rPr>
          <w:szCs w:val="24"/>
        </w:rPr>
        <w:t xml:space="preserve"> at any point in the proceeding</w:t>
      </w:r>
      <w:r w:rsidR="002B7BF2">
        <w:rPr>
          <w:szCs w:val="24"/>
        </w:rPr>
        <w:t>.  N</w:t>
      </w:r>
      <w:r w:rsidR="00696D04" w:rsidRPr="001D0D70">
        <w:rPr>
          <w:szCs w:val="24"/>
        </w:rPr>
        <w:t>ew r 63.89</w:t>
      </w:r>
      <w:r w:rsidR="002B7BF2">
        <w:rPr>
          <w:szCs w:val="24"/>
        </w:rPr>
        <w:t>.1</w:t>
      </w:r>
      <w:r w:rsidR="00696D04" w:rsidRPr="001D0D70">
        <w:rPr>
          <w:szCs w:val="24"/>
        </w:rPr>
        <w:t>(2) gives the Costs Court the discretion to order that r 63.89.1</w:t>
      </w:r>
      <w:r w:rsidR="00BC43E6">
        <w:rPr>
          <w:szCs w:val="24"/>
        </w:rPr>
        <w:t>(1)</w:t>
      </w:r>
      <w:r w:rsidR="00696D04" w:rsidRPr="001D0D70">
        <w:rPr>
          <w:szCs w:val="24"/>
        </w:rPr>
        <w:t xml:space="preserve"> does not apply if a party offered to compromise the costs on terms more favourable than the costs as taxed. </w:t>
      </w:r>
    </w:p>
    <w:p w14:paraId="3115F731" w14:textId="40BC3C0D" w:rsidR="003C531A" w:rsidRPr="0059017F" w:rsidRDefault="003C531A" w:rsidP="00E00119">
      <w:pPr>
        <w:pStyle w:val="Heading3"/>
        <w:keepNext/>
        <w:keepLines/>
        <w:spacing w:after="120"/>
      </w:pPr>
      <w:bookmarkStart w:id="17" w:name="_Toc178173285"/>
      <w:bookmarkStart w:id="18" w:name="_Hlk174789368"/>
      <w:r w:rsidRPr="0059017F">
        <w:t xml:space="preserve">Gross </w:t>
      </w:r>
      <w:r w:rsidR="00620D33">
        <w:t>s</w:t>
      </w:r>
      <w:r w:rsidRPr="0059017F">
        <w:t xml:space="preserve">um </w:t>
      </w:r>
      <w:r w:rsidR="00620D33">
        <w:t>c</w:t>
      </w:r>
      <w:r w:rsidRPr="0059017F">
        <w:t>osts</w:t>
      </w:r>
      <w:bookmarkEnd w:id="17"/>
      <w:r w:rsidRPr="0059017F">
        <w:t xml:space="preserve"> </w:t>
      </w:r>
    </w:p>
    <w:p w14:paraId="2D057683" w14:textId="1867CC84" w:rsidR="007B7FD4" w:rsidRDefault="007B7FD4" w:rsidP="00A11BC8">
      <w:pPr>
        <w:pStyle w:val="ListParagraph"/>
        <w:numPr>
          <w:ilvl w:val="0"/>
          <w:numId w:val="5"/>
        </w:numPr>
        <w:spacing w:after="120"/>
        <w:ind w:left="720"/>
        <w:jc w:val="both"/>
        <w:rPr>
          <w:szCs w:val="24"/>
        </w:rPr>
      </w:pPr>
      <w:r>
        <w:rPr>
          <w:szCs w:val="24"/>
        </w:rPr>
        <w:t xml:space="preserve">For many years, the </w:t>
      </w:r>
      <w:r>
        <w:rPr>
          <w:i/>
          <w:iCs/>
          <w:szCs w:val="24"/>
        </w:rPr>
        <w:t>Rules</w:t>
      </w:r>
      <w:r>
        <w:rPr>
          <w:szCs w:val="24"/>
        </w:rPr>
        <w:t xml:space="preserve"> ha</w:t>
      </w:r>
      <w:r w:rsidR="00FD46E0">
        <w:rPr>
          <w:szCs w:val="24"/>
        </w:rPr>
        <w:t>ve</w:t>
      </w:r>
      <w:r>
        <w:rPr>
          <w:szCs w:val="24"/>
        </w:rPr>
        <w:t xml:space="preserve"> provided that</w:t>
      </w:r>
      <w:r w:rsidR="00A01C00">
        <w:rPr>
          <w:szCs w:val="24"/>
        </w:rPr>
        <w:t xml:space="preserve">, where the Court orders that costs be paid to a party, the Court may order that that party </w:t>
      </w:r>
      <w:r w:rsidR="002F3D63">
        <w:rPr>
          <w:szCs w:val="24"/>
        </w:rPr>
        <w:t xml:space="preserve">will </w:t>
      </w:r>
      <w:r w:rsidR="00A01C00">
        <w:rPr>
          <w:szCs w:val="24"/>
        </w:rPr>
        <w:t>be entitled to a gross sum specified in the order instead of taxed costs</w:t>
      </w:r>
      <w:r w:rsidR="00B82FAE">
        <w:rPr>
          <w:szCs w:val="24"/>
        </w:rPr>
        <w:t>,</w:t>
      </w:r>
      <w:r w:rsidR="00A01C00">
        <w:rPr>
          <w:szCs w:val="24"/>
        </w:rPr>
        <w:t xml:space="preserve"> </w:t>
      </w:r>
      <w:r w:rsidR="009B7CE7">
        <w:rPr>
          <w:szCs w:val="24"/>
        </w:rPr>
        <w:t xml:space="preserve">or </w:t>
      </w:r>
      <w:r w:rsidR="00B82FAE">
        <w:rPr>
          <w:szCs w:val="24"/>
        </w:rPr>
        <w:t xml:space="preserve">to </w:t>
      </w:r>
      <w:r w:rsidR="009B7CE7">
        <w:rPr>
          <w:szCs w:val="24"/>
        </w:rPr>
        <w:t>a sum in respect of costs to be determined in such manner as the Court directs</w:t>
      </w:r>
      <w:r w:rsidR="00522377">
        <w:rPr>
          <w:szCs w:val="24"/>
        </w:rPr>
        <w:t xml:space="preserve">: </w:t>
      </w:r>
      <w:proofErr w:type="spellStart"/>
      <w:r w:rsidR="00522377">
        <w:rPr>
          <w:szCs w:val="24"/>
        </w:rPr>
        <w:t>rr</w:t>
      </w:r>
      <w:proofErr w:type="spellEnd"/>
      <w:r w:rsidR="009B7CE7">
        <w:rPr>
          <w:szCs w:val="24"/>
        </w:rPr>
        <w:t xml:space="preserve"> </w:t>
      </w:r>
      <w:r w:rsidR="00502A97">
        <w:rPr>
          <w:szCs w:val="24"/>
        </w:rPr>
        <w:t>6</w:t>
      </w:r>
      <w:r w:rsidR="00B82FAE">
        <w:rPr>
          <w:szCs w:val="24"/>
        </w:rPr>
        <w:t>3</w:t>
      </w:r>
      <w:r w:rsidR="00502A97">
        <w:rPr>
          <w:szCs w:val="24"/>
        </w:rPr>
        <w:t>.07(2)(</w:t>
      </w:r>
      <w:r w:rsidR="00F4679B">
        <w:rPr>
          <w:szCs w:val="24"/>
        </w:rPr>
        <w:t>c</w:t>
      </w:r>
      <w:r w:rsidR="00502A97">
        <w:rPr>
          <w:szCs w:val="24"/>
        </w:rPr>
        <w:t>)</w:t>
      </w:r>
      <w:r w:rsidR="00F4679B">
        <w:rPr>
          <w:szCs w:val="24"/>
        </w:rPr>
        <w:t xml:space="preserve"> and (d)</w:t>
      </w:r>
      <w:r w:rsidR="00502A97">
        <w:rPr>
          <w:szCs w:val="24"/>
        </w:rPr>
        <w:t>.</w:t>
      </w:r>
    </w:p>
    <w:p w14:paraId="2E124D39" w14:textId="5B6FB8B4" w:rsidR="00F4679B" w:rsidRPr="0056244A" w:rsidRDefault="00F4679B" w:rsidP="00DB6C22">
      <w:pPr>
        <w:pStyle w:val="ListParagraph"/>
        <w:numPr>
          <w:ilvl w:val="0"/>
          <w:numId w:val="5"/>
        </w:numPr>
        <w:autoSpaceDE w:val="0"/>
        <w:autoSpaceDN w:val="0"/>
        <w:adjustRightInd w:val="0"/>
        <w:spacing w:after="120"/>
        <w:ind w:left="720"/>
        <w:jc w:val="both"/>
        <w:rPr>
          <w:rFonts w:cs="CIDFont+F8"/>
          <w:szCs w:val="24"/>
          <w:lang w:eastAsia="ja-JP"/>
        </w:rPr>
      </w:pPr>
      <w:r>
        <w:rPr>
          <w:szCs w:val="24"/>
        </w:rPr>
        <w:t>A</w:t>
      </w:r>
      <w:r w:rsidRPr="0056244A">
        <w:rPr>
          <w:szCs w:val="24"/>
        </w:rPr>
        <w:t>pplication</w:t>
      </w:r>
      <w:r>
        <w:rPr>
          <w:szCs w:val="24"/>
        </w:rPr>
        <w:t>s</w:t>
      </w:r>
      <w:r w:rsidRPr="0056244A">
        <w:rPr>
          <w:szCs w:val="24"/>
        </w:rPr>
        <w:t xml:space="preserve"> for</w:t>
      </w:r>
      <w:r>
        <w:rPr>
          <w:szCs w:val="24"/>
        </w:rPr>
        <w:t xml:space="preserve"> orders under those provisions are necessarily dealt with, in the first instance, by</w:t>
      </w:r>
      <w:r w:rsidRPr="0056244A">
        <w:rPr>
          <w:szCs w:val="24"/>
        </w:rPr>
        <w:t xml:space="preserve"> the </w:t>
      </w:r>
      <w:r>
        <w:rPr>
          <w:szCs w:val="24"/>
        </w:rPr>
        <w:t>judicial officer</w:t>
      </w:r>
      <w:r w:rsidRPr="0056244A">
        <w:rPr>
          <w:szCs w:val="24"/>
        </w:rPr>
        <w:t xml:space="preserve"> </w:t>
      </w:r>
      <w:r>
        <w:rPr>
          <w:szCs w:val="24"/>
        </w:rPr>
        <w:t>conducting</w:t>
      </w:r>
      <w:r w:rsidRPr="0056244A">
        <w:rPr>
          <w:szCs w:val="24"/>
        </w:rPr>
        <w:t xml:space="preserve"> the principal proceeding.</w:t>
      </w:r>
      <w:r>
        <w:rPr>
          <w:szCs w:val="24"/>
        </w:rPr>
        <w:t xml:space="preserve">  Where such applications have not been dismissed, the Court has adopted one or other of the following three approaches:</w:t>
      </w:r>
      <w:r w:rsidRPr="0056244A">
        <w:rPr>
          <w:rFonts w:cs="CIDFont+F8"/>
          <w:szCs w:val="24"/>
          <w:lang w:eastAsia="ja-JP"/>
        </w:rPr>
        <w:t xml:space="preserve"> </w:t>
      </w:r>
    </w:p>
    <w:p w14:paraId="0F294293" w14:textId="77777777" w:rsidR="00F4679B" w:rsidRPr="00EA0D05" w:rsidRDefault="00F4679B" w:rsidP="00DB6C22">
      <w:pPr>
        <w:autoSpaceDE w:val="0"/>
        <w:autoSpaceDN w:val="0"/>
        <w:adjustRightInd w:val="0"/>
        <w:spacing w:before="120" w:after="120"/>
        <w:ind w:left="1440" w:hanging="720"/>
        <w:jc w:val="both"/>
        <w:rPr>
          <w:rFonts w:ascii="Book Antiqua" w:hAnsi="Book Antiqua" w:cs="CIDFont+F8"/>
          <w:lang w:eastAsia="ja-JP"/>
        </w:rPr>
      </w:pPr>
      <w:r>
        <w:rPr>
          <w:rFonts w:ascii="Book Antiqua" w:hAnsi="Book Antiqua" w:cs="CIDFont+F10"/>
          <w:lang w:eastAsia="ja-JP"/>
        </w:rPr>
        <w:t>(a)</w:t>
      </w:r>
      <w:r>
        <w:rPr>
          <w:rFonts w:ascii="Book Antiqua" w:hAnsi="Book Antiqua" w:cs="CIDFont+F10"/>
          <w:lang w:eastAsia="ja-JP"/>
        </w:rPr>
        <w:tab/>
        <w:t>the</w:t>
      </w:r>
      <w:r w:rsidRPr="00EA0D05">
        <w:rPr>
          <w:rFonts w:ascii="Book Antiqua" w:hAnsi="Book Antiqua" w:cs="CIDFont+F10"/>
          <w:lang w:eastAsia="ja-JP"/>
        </w:rPr>
        <w:t xml:space="preserve"> Court make</w:t>
      </w:r>
      <w:r>
        <w:rPr>
          <w:rFonts w:ascii="Book Antiqua" w:hAnsi="Book Antiqua" w:cs="CIDFont+F10"/>
          <w:lang w:eastAsia="ja-JP"/>
        </w:rPr>
        <w:t>s</w:t>
      </w:r>
      <w:r w:rsidRPr="00EA0D05">
        <w:rPr>
          <w:rFonts w:ascii="Book Antiqua" w:hAnsi="Book Antiqua" w:cs="CIDFont+F10"/>
          <w:lang w:eastAsia="ja-JP"/>
        </w:rPr>
        <w:t xml:space="preserve"> an order for gross sum costs and</w:t>
      </w:r>
      <w:r>
        <w:rPr>
          <w:rFonts w:ascii="Book Antiqua" w:hAnsi="Book Antiqua" w:cs="CIDFont+F10"/>
          <w:lang w:eastAsia="ja-JP"/>
        </w:rPr>
        <w:t xml:space="preserve"> the Court itself</w:t>
      </w:r>
      <w:r w:rsidRPr="00EA0D05">
        <w:rPr>
          <w:rFonts w:ascii="Book Antiqua" w:hAnsi="Book Antiqua" w:cs="CIDFont+F10"/>
          <w:lang w:eastAsia="ja-JP"/>
        </w:rPr>
        <w:t xml:space="preserve"> quantifies the sum</w:t>
      </w:r>
      <w:r>
        <w:rPr>
          <w:rFonts w:ascii="Book Antiqua" w:hAnsi="Book Antiqua" w:cs="CIDFont+F10"/>
          <w:lang w:eastAsia="ja-JP"/>
        </w:rPr>
        <w:t xml:space="preserve"> to be paid</w:t>
      </w:r>
      <w:r w:rsidRPr="00EA0D05">
        <w:rPr>
          <w:rFonts w:ascii="Book Antiqua" w:hAnsi="Book Antiqua" w:cs="CIDFont+F10"/>
          <w:lang w:eastAsia="ja-JP"/>
        </w:rPr>
        <w:t xml:space="preserve"> (see</w:t>
      </w:r>
      <w:r>
        <w:rPr>
          <w:rFonts w:ascii="Book Antiqua" w:hAnsi="Book Antiqua" w:cs="CIDFont+F10"/>
          <w:lang w:eastAsia="ja-JP"/>
        </w:rPr>
        <w:t xml:space="preserve">, for example, </w:t>
      </w:r>
      <w:r w:rsidRPr="00EA0D05">
        <w:rPr>
          <w:rFonts w:ascii="Book Antiqua" w:hAnsi="Book Antiqua" w:cs="CIDFont+F9"/>
          <w:i/>
          <w:iCs/>
          <w:lang w:eastAsia="ja-JP"/>
        </w:rPr>
        <w:t>Deutsch v Deutsch</w:t>
      </w:r>
      <w:r>
        <w:rPr>
          <w:rFonts w:ascii="Book Antiqua" w:hAnsi="Book Antiqua" w:cs="CIDFont+F9"/>
          <w:i/>
          <w:iCs/>
          <w:lang w:eastAsia="ja-JP"/>
        </w:rPr>
        <w:t xml:space="preserve"> </w:t>
      </w:r>
      <w:r w:rsidRPr="00EA0D05">
        <w:rPr>
          <w:rFonts w:ascii="Book Antiqua" w:hAnsi="Book Antiqua" w:cs="CIDFont+F8"/>
          <w:i/>
          <w:iCs/>
          <w:lang w:eastAsia="ja-JP"/>
        </w:rPr>
        <w:t>(No 3)</w:t>
      </w:r>
      <w:r w:rsidRPr="00EA0D05">
        <w:rPr>
          <w:rFonts w:ascii="Book Antiqua" w:hAnsi="Book Antiqua" w:cs="CIDFont+F8"/>
          <w:lang w:eastAsia="ja-JP"/>
        </w:rPr>
        <w:t xml:space="preserve"> [2014] VSC 494</w:t>
      </w:r>
      <w:r>
        <w:rPr>
          <w:rFonts w:ascii="Book Antiqua" w:hAnsi="Book Antiqua" w:cs="CIDFont+F8"/>
          <w:lang w:eastAsia="ja-JP"/>
        </w:rPr>
        <w:t>).</w:t>
      </w:r>
      <w:r w:rsidRPr="00EA0D05">
        <w:rPr>
          <w:rFonts w:ascii="Book Antiqua" w:hAnsi="Book Antiqua" w:cs="CIDFont+F8"/>
          <w:lang w:eastAsia="ja-JP"/>
        </w:rPr>
        <w:t xml:space="preserve"> </w:t>
      </w:r>
    </w:p>
    <w:p w14:paraId="3BCE7328" w14:textId="77777777" w:rsidR="00F4679B" w:rsidRPr="00EA0D05" w:rsidRDefault="00F4679B" w:rsidP="00DB6C22">
      <w:pPr>
        <w:autoSpaceDE w:val="0"/>
        <w:autoSpaceDN w:val="0"/>
        <w:adjustRightInd w:val="0"/>
        <w:spacing w:before="120" w:after="120"/>
        <w:ind w:left="1440" w:hanging="720"/>
        <w:jc w:val="both"/>
        <w:rPr>
          <w:rFonts w:ascii="Book Antiqua" w:hAnsi="Book Antiqua" w:cs="CIDFont+F8"/>
          <w:lang w:eastAsia="ja-JP"/>
        </w:rPr>
      </w:pPr>
      <w:r>
        <w:rPr>
          <w:rFonts w:ascii="Book Antiqua" w:hAnsi="Book Antiqua" w:cs="CIDFont+F10"/>
          <w:lang w:eastAsia="ja-JP"/>
        </w:rPr>
        <w:t>(b)</w:t>
      </w:r>
      <w:r>
        <w:rPr>
          <w:rFonts w:ascii="Book Antiqua" w:hAnsi="Book Antiqua" w:cs="CIDFont+F10"/>
          <w:lang w:eastAsia="ja-JP"/>
        </w:rPr>
        <w:tab/>
      </w:r>
      <w:r w:rsidRPr="00EA0D05">
        <w:rPr>
          <w:rFonts w:ascii="Book Antiqua" w:hAnsi="Book Antiqua" w:cs="CIDFont+F10"/>
          <w:lang w:eastAsia="ja-JP"/>
        </w:rPr>
        <w:t xml:space="preserve">The Court makes </w:t>
      </w:r>
      <w:r>
        <w:rPr>
          <w:rFonts w:ascii="Book Antiqua" w:hAnsi="Book Antiqua" w:cs="CIDFont+F10"/>
          <w:lang w:eastAsia="ja-JP"/>
        </w:rPr>
        <w:t xml:space="preserve">an </w:t>
      </w:r>
      <w:r w:rsidRPr="00EA0D05">
        <w:rPr>
          <w:rFonts w:ascii="Book Antiqua" w:hAnsi="Book Antiqua" w:cs="CIDFont+F10"/>
          <w:lang w:eastAsia="ja-JP"/>
        </w:rPr>
        <w:t>order for gross sum</w:t>
      </w:r>
      <w:r>
        <w:rPr>
          <w:rFonts w:ascii="Book Antiqua" w:hAnsi="Book Antiqua" w:cs="CIDFont+F10"/>
          <w:lang w:eastAsia="ja-JP"/>
        </w:rPr>
        <w:t xml:space="preserve"> costs </w:t>
      </w:r>
      <w:r w:rsidRPr="00EA0D05">
        <w:rPr>
          <w:rFonts w:ascii="Book Antiqua" w:hAnsi="Book Antiqua" w:cs="CIDFont+F10"/>
          <w:lang w:eastAsia="ja-JP"/>
        </w:rPr>
        <w:t>but refers the quantification of the amount to the Costs Court (see</w:t>
      </w:r>
      <w:r>
        <w:rPr>
          <w:rFonts w:ascii="Book Antiqua" w:hAnsi="Book Antiqua" w:cs="CIDFont+F10"/>
          <w:lang w:eastAsia="ja-JP"/>
        </w:rPr>
        <w:t>,</w:t>
      </w:r>
      <w:r w:rsidRPr="00EA0D05">
        <w:rPr>
          <w:rFonts w:ascii="Book Antiqua" w:hAnsi="Book Antiqua" w:cs="CIDFont+F10"/>
          <w:lang w:eastAsia="ja-JP"/>
        </w:rPr>
        <w:t xml:space="preserve"> for example</w:t>
      </w:r>
      <w:r>
        <w:rPr>
          <w:rFonts w:ascii="Book Antiqua" w:hAnsi="Book Antiqua" w:cs="CIDFont+F10"/>
          <w:lang w:eastAsia="ja-JP"/>
        </w:rPr>
        <w:t>,</w:t>
      </w:r>
      <w:r w:rsidRPr="00EA0D05">
        <w:rPr>
          <w:rFonts w:ascii="Book Antiqua" w:hAnsi="Book Antiqua" w:cs="CIDFont+F10"/>
          <w:lang w:eastAsia="ja-JP"/>
        </w:rPr>
        <w:t xml:space="preserve"> </w:t>
      </w:r>
      <w:r w:rsidRPr="00EA0D05">
        <w:rPr>
          <w:rFonts w:ascii="Book Antiqua" w:hAnsi="Book Antiqua" w:cs="CIDFont+F9"/>
          <w:i/>
          <w:iCs/>
          <w:lang w:eastAsia="ja-JP"/>
        </w:rPr>
        <w:t xml:space="preserve">Sunland Waterfront (BVI) Ltd v Prudentia Investments Pty Ltd </w:t>
      </w:r>
      <w:r w:rsidRPr="00EA0D05">
        <w:rPr>
          <w:rFonts w:ascii="Book Antiqua" w:hAnsi="Book Antiqua" w:cs="CIDFont+F8"/>
          <w:i/>
          <w:iCs/>
          <w:lang w:eastAsia="ja-JP"/>
        </w:rPr>
        <w:t>(No 3)</w:t>
      </w:r>
      <w:r w:rsidRPr="00EA0D05">
        <w:rPr>
          <w:rFonts w:ascii="Book Antiqua" w:hAnsi="Book Antiqua" w:cs="CIDFont+F8"/>
          <w:lang w:eastAsia="ja-JP"/>
        </w:rPr>
        <w:t xml:space="preserve"> [2012] VSC 399). </w:t>
      </w:r>
    </w:p>
    <w:p w14:paraId="6B0E2527" w14:textId="616B0F52" w:rsidR="00F4679B" w:rsidRPr="00EA0D05" w:rsidRDefault="00F4679B" w:rsidP="00DB6C22">
      <w:pPr>
        <w:spacing w:before="120" w:after="120"/>
        <w:ind w:left="1440" w:hanging="720"/>
        <w:jc w:val="both"/>
        <w:rPr>
          <w:rFonts w:ascii="CIDFont+F10" w:hAnsi="CIDFont+F10" w:cs="CIDFont+F10"/>
          <w:lang w:eastAsia="ja-JP"/>
        </w:rPr>
      </w:pPr>
      <w:r>
        <w:rPr>
          <w:rFonts w:ascii="Book Antiqua" w:hAnsi="Book Antiqua" w:cs="CIDFont+F10"/>
          <w:lang w:eastAsia="ja-JP"/>
        </w:rPr>
        <w:t>(c)</w:t>
      </w:r>
      <w:r>
        <w:rPr>
          <w:rFonts w:ascii="Book Antiqua" w:hAnsi="Book Antiqua" w:cs="CIDFont+F10"/>
          <w:lang w:eastAsia="ja-JP"/>
        </w:rPr>
        <w:tab/>
      </w:r>
      <w:r w:rsidRPr="00EA0D05">
        <w:rPr>
          <w:rFonts w:ascii="Book Antiqua" w:hAnsi="Book Antiqua" w:cs="CIDFont+F10"/>
          <w:lang w:eastAsia="ja-JP"/>
        </w:rPr>
        <w:t>The Court refers</w:t>
      </w:r>
      <w:r w:rsidR="000B3A1C">
        <w:rPr>
          <w:rFonts w:ascii="Book Antiqua" w:hAnsi="Book Antiqua" w:cs="CIDFont+F10"/>
          <w:lang w:eastAsia="ja-JP"/>
        </w:rPr>
        <w:t xml:space="preserve"> to the Costs Court</w:t>
      </w:r>
      <w:r w:rsidRPr="00EA0D05">
        <w:rPr>
          <w:rFonts w:ascii="Book Antiqua" w:hAnsi="Book Antiqua" w:cs="CIDFont+F10"/>
          <w:lang w:eastAsia="ja-JP"/>
        </w:rPr>
        <w:t xml:space="preserve"> </w:t>
      </w:r>
      <w:r w:rsidR="00B82FAE">
        <w:rPr>
          <w:rFonts w:ascii="Book Antiqua" w:hAnsi="Book Antiqua" w:cs="CIDFont+F10"/>
          <w:lang w:eastAsia="ja-JP"/>
        </w:rPr>
        <w:t xml:space="preserve">both </w:t>
      </w:r>
      <w:r w:rsidRPr="00EA0D05">
        <w:rPr>
          <w:rFonts w:ascii="Book Antiqua" w:hAnsi="Book Antiqua" w:cs="CIDFont+F10"/>
          <w:lang w:eastAsia="ja-JP"/>
        </w:rPr>
        <w:t>the hearing of the application</w:t>
      </w:r>
      <w:r>
        <w:rPr>
          <w:rFonts w:ascii="Book Antiqua" w:hAnsi="Book Antiqua" w:cs="CIDFont+F10"/>
          <w:lang w:eastAsia="ja-JP"/>
        </w:rPr>
        <w:t xml:space="preserve"> for an order</w:t>
      </w:r>
      <w:r w:rsidRPr="00EA0D05">
        <w:rPr>
          <w:rFonts w:ascii="Book Antiqua" w:hAnsi="Book Antiqua" w:cs="CIDFont+F10"/>
          <w:lang w:eastAsia="ja-JP"/>
        </w:rPr>
        <w:t xml:space="preserve"> for gross </w:t>
      </w:r>
      <w:r>
        <w:rPr>
          <w:rFonts w:ascii="Book Antiqua" w:hAnsi="Book Antiqua" w:cs="CIDFont+F10"/>
          <w:lang w:eastAsia="ja-JP"/>
        </w:rPr>
        <w:t xml:space="preserve">sum </w:t>
      </w:r>
      <w:r w:rsidRPr="00EA0D05">
        <w:rPr>
          <w:rFonts w:ascii="Book Antiqua" w:hAnsi="Book Antiqua" w:cs="CIDFont+F10"/>
          <w:lang w:eastAsia="ja-JP"/>
        </w:rPr>
        <w:t xml:space="preserve">costs and </w:t>
      </w:r>
      <w:r w:rsidR="0061050E">
        <w:rPr>
          <w:rFonts w:ascii="Book Antiqua" w:hAnsi="Book Antiqua" w:cs="CIDFont+F10"/>
          <w:lang w:eastAsia="ja-JP"/>
        </w:rPr>
        <w:t>any resulting process to quantify</w:t>
      </w:r>
      <w:r w:rsidRPr="00EA0D05">
        <w:rPr>
          <w:rFonts w:ascii="Book Antiqua" w:hAnsi="Book Antiqua" w:cs="CIDFont+F10"/>
          <w:lang w:eastAsia="ja-JP"/>
        </w:rPr>
        <w:t xml:space="preserve"> </w:t>
      </w:r>
      <w:r w:rsidR="0061050E">
        <w:rPr>
          <w:rFonts w:ascii="Book Antiqua" w:hAnsi="Book Antiqua" w:cs="CIDFont+F10"/>
          <w:lang w:eastAsia="ja-JP"/>
        </w:rPr>
        <w:t>such costs</w:t>
      </w:r>
      <w:r w:rsidRPr="00EA0D05">
        <w:rPr>
          <w:rFonts w:ascii="Book Antiqua" w:hAnsi="Book Antiqua" w:cs="CIDFont+F10"/>
          <w:lang w:eastAsia="ja-JP"/>
        </w:rPr>
        <w:t xml:space="preserve"> (see</w:t>
      </w:r>
      <w:r>
        <w:rPr>
          <w:rFonts w:ascii="Book Antiqua" w:hAnsi="Book Antiqua" w:cs="CIDFont+F10"/>
          <w:lang w:eastAsia="ja-JP"/>
        </w:rPr>
        <w:t>,</w:t>
      </w:r>
      <w:r w:rsidRPr="00EA0D05">
        <w:rPr>
          <w:rFonts w:ascii="Book Antiqua" w:hAnsi="Book Antiqua" w:cs="CIDFont+F10"/>
          <w:lang w:eastAsia="ja-JP"/>
        </w:rPr>
        <w:t xml:space="preserve"> for example</w:t>
      </w:r>
      <w:r>
        <w:rPr>
          <w:rFonts w:ascii="Book Antiqua" w:hAnsi="Book Antiqua" w:cs="CIDFont+F10"/>
          <w:lang w:eastAsia="ja-JP"/>
        </w:rPr>
        <w:t>,</w:t>
      </w:r>
      <w:r w:rsidRPr="00EA0D05">
        <w:rPr>
          <w:rFonts w:ascii="Book Antiqua" w:hAnsi="Book Antiqua" w:cs="CIDFont+F10"/>
          <w:lang w:eastAsia="ja-JP"/>
        </w:rPr>
        <w:t xml:space="preserve"> </w:t>
      </w:r>
      <w:r w:rsidRPr="00EA0D05">
        <w:rPr>
          <w:rFonts w:ascii="Book Antiqua" w:hAnsi="Book Antiqua" w:cs="CIDFont+F10"/>
          <w:i/>
          <w:iCs/>
          <w:lang w:eastAsia="ja-JP"/>
        </w:rPr>
        <w:t xml:space="preserve">Wieland v </w:t>
      </w:r>
      <w:proofErr w:type="spellStart"/>
      <w:r w:rsidRPr="00EA0D05">
        <w:rPr>
          <w:rFonts w:ascii="Book Antiqua" w:hAnsi="Book Antiqua" w:cs="CIDFont+F10"/>
          <w:i/>
          <w:iCs/>
          <w:lang w:eastAsia="ja-JP"/>
        </w:rPr>
        <w:t>Texxcon</w:t>
      </w:r>
      <w:proofErr w:type="spellEnd"/>
      <w:r w:rsidRPr="00EA0D05">
        <w:rPr>
          <w:rFonts w:ascii="Book Antiqua" w:hAnsi="Book Antiqua" w:cs="CIDFont+F10"/>
          <w:i/>
          <w:iCs/>
          <w:lang w:eastAsia="ja-JP"/>
        </w:rPr>
        <w:t xml:space="preserve"> Pty Ltd; </w:t>
      </w:r>
      <w:proofErr w:type="spellStart"/>
      <w:r w:rsidRPr="00EA0D05">
        <w:rPr>
          <w:rFonts w:ascii="Book Antiqua" w:hAnsi="Book Antiqua" w:cs="CIDFont+F10"/>
          <w:i/>
          <w:iCs/>
          <w:lang w:eastAsia="ja-JP"/>
        </w:rPr>
        <w:t>Nominexx</w:t>
      </w:r>
      <w:proofErr w:type="spellEnd"/>
      <w:r w:rsidRPr="00EA0D05">
        <w:rPr>
          <w:rFonts w:ascii="Book Antiqua" w:hAnsi="Book Antiqua" w:cs="CIDFont+F10"/>
          <w:i/>
          <w:iCs/>
          <w:lang w:eastAsia="ja-JP"/>
        </w:rPr>
        <w:t xml:space="preserve"> v Wieland</w:t>
      </w:r>
      <w:r w:rsidRPr="00EA0D05">
        <w:rPr>
          <w:rFonts w:ascii="Book Antiqua" w:hAnsi="Book Antiqua" w:cs="CIDFont+F10"/>
          <w:lang w:eastAsia="ja-JP"/>
        </w:rPr>
        <w:t xml:space="preserve"> [2015] VSCA 305</w:t>
      </w:r>
      <w:r w:rsidRPr="00EA0D05">
        <w:rPr>
          <w:rFonts w:ascii="CIDFont+F10" w:hAnsi="CIDFont+F10" w:cs="CIDFont+F10"/>
          <w:lang w:eastAsia="ja-JP"/>
        </w:rPr>
        <w:t>)</w:t>
      </w:r>
      <w:r>
        <w:rPr>
          <w:rFonts w:ascii="CIDFont+F10" w:hAnsi="CIDFont+F10" w:cs="CIDFont+F10"/>
          <w:lang w:eastAsia="ja-JP"/>
        </w:rPr>
        <w:t>.</w:t>
      </w:r>
    </w:p>
    <w:p w14:paraId="0B1C1423" w14:textId="5AAB43B1" w:rsidR="009A1E77" w:rsidRDefault="0061050E" w:rsidP="00DB6C22">
      <w:pPr>
        <w:pStyle w:val="ListParagraph"/>
        <w:numPr>
          <w:ilvl w:val="0"/>
          <w:numId w:val="5"/>
        </w:numPr>
        <w:spacing w:after="120"/>
        <w:ind w:left="720"/>
        <w:jc w:val="both"/>
        <w:rPr>
          <w:szCs w:val="24"/>
        </w:rPr>
      </w:pPr>
      <w:r>
        <w:rPr>
          <w:szCs w:val="24"/>
        </w:rPr>
        <w:t>Separately</w:t>
      </w:r>
      <w:r w:rsidR="009A1E77">
        <w:rPr>
          <w:szCs w:val="24"/>
        </w:rPr>
        <w:t>,</w:t>
      </w:r>
      <w:r w:rsidR="00291559">
        <w:rPr>
          <w:szCs w:val="24"/>
        </w:rPr>
        <w:t xml:space="preserve"> under the (existing) </w:t>
      </w:r>
      <w:r w:rsidR="00291559" w:rsidRPr="00291559">
        <w:rPr>
          <w:i/>
          <w:iCs/>
          <w:szCs w:val="24"/>
        </w:rPr>
        <w:t>Rules</w:t>
      </w:r>
      <w:r w:rsidR="00291559">
        <w:rPr>
          <w:szCs w:val="24"/>
        </w:rPr>
        <w:t>,</w:t>
      </w:r>
      <w:r w:rsidR="009A1E77">
        <w:rPr>
          <w:szCs w:val="24"/>
        </w:rPr>
        <w:t xml:space="preserve"> where costs are incurred improperly or by negligence or misconduct, the Costs Court </w:t>
      </w:r>
      <w:r w:rsidR="00A84BEA">
        <w:rPr>
          <w:szCs w:val="24"/>
        </w:rPr>
        <w:t xml:space="preserve">itself </w:t>
      </w:r>
      <w:r w:rsidR="009A1E77">
        <w:rPr>
          <w:szCs w:val="24"/>
        </w:rPr>
        <w:t>has had power to disallow the excessive costs and to allow only costs which were reasonable and proper, and to assess those costs at a gross sum: see r 63.71.</w:t>
      </w:r>
    </w:p>
    <w:p w14:paraId="07BF82BF" w14:textId="49C6F7F8" w:rsidR="00147891" w:rsidRDefault="00147891" w:rsidP="00A11BC8">
      <w:pPr>
        <w:pStyle w:val="ListParagraph"/>
        <w:numPr>
          <w:ilvl w:val="0"/>
          <w:numId w:val="5"/>
        </w:numPr>
        <w:spacing w:after="120"/>
        <w:ind w:left="720"/>
        <w:jc w:val="both"/>
        <w:rPr>
          <w:szCs w:val="24"/>
        </w:rPr>
      </w:pPr>
      <w:r>
        <w:rPr>
          <w:szCs w:val="24"/>
        </w:rPr>
        <w:t>From 1 January 2025,</w:t>
      </w:r>
      <w:r w:rsidR="00A84BEA">
        <w:rPr>
          <w:szCs w:val="24"/>
        </w:rPr>
        <w:t xml:space="preserve"> in the absence of any order by the Court</w:t>
      </w:r>
      <w:r w:rsidR="00A017A8">
        <w:rPr>
          <w:szCs w:val="24"/>
        </w:rPr>
        <w:t xml:space="preserve"> to the contrary,</w:t>
      </w:r>
      <w:r>
        <w:rPr>
          <w:szCs w:val="24"/>
        </w:rPr>
        <w:t xml:space="preserve"> the Costs Court will have a new</w:t>
      </w:r>
      <w:r w:rsidR="00A017A8">
        <w:rPr>
          <w:szCs w:val="24"/>
        </w:rPr>
        <w:t xml:space="preserve"> </w:t>
      </w:r>
      <w:r>
        <w:rPr>
          <w:szCs w:val="24"/>
        </w:rPr>
        <w:t xml:space="preserve">power to order that costs be </w:t>
      </w:r>
      <w:r w:rsidR="00E77290">
        <w:rPr>
          <w:szCs w:val="24"/>
        </w:rPr>
        <w:t xml:space="preserve">determined </w:t>
      </w:r>
      <w:r>
        <w:rPr>
          <w:szCs w:val="24"/>
        </w:rPr>
        <w:t>on a gross sum basis</w:t>
      </w:r>
      <w:r w:rsidR="00E77290">
        <w:rPr>
          <w:szCs w:val="24"/>
        </w:rPr>
        <w:t xml:space="preserve"> in lieu of being taxed</w:t>
      </w:r>
      <w:r w:rsidR="00A017A8">
        <w:rPr>
          <w:szCs w:val="24"/>
        </w:rPr>
        <w:t>,</w:t>
      </w:r>
      <w:r>
        <w:rPr>
          <w:szCs w:val="24"/>
        </w:rPr>
        <w:t xml:space="preserve"> and to </w:t>
      </w:r>
      <w:r w:rsidR="00895E58">
        <w:rPr>
          <w:szCs w:val="24"/>
        </w:rPr>
        <w:t>fix the gross sum</w:t>
      </w:r>
      <w:r w:rsidR="009853C4">
        <w:rPr>
          <w:szCs w:val="24"/>
        </w:rPr>
        <w:t xml:space="preserve"> itself</w:t>
      </w:r>
      <w:r w:rsidR="00A017A8">
        <w:rPr>
          <w:szCs w:val="24"/>
        </w:rPr>
        <w:t xml:space="preserve"> pursuant to its own order</w:t>
      </w:r>
      <w:r>
        <w:rPr>
          <w:szCs w:val="24"/>
        </w:rPr>
        <w:t>.  New r 63.07(3)</w:t>
      </w:r>
      <w:r w:rsidR="00AF6967">
        <w:rPr>
          <w:szCs w:val="24"/>
        </w:rPr>
        <w:t xml:space="preserve"> will provide:</w:t>
      </w:r>
    </w:p>
    <w:p w14:paraId="16170516" w14:textId="28C0964B" w:rsidR="00AF6967" w:rsidRPr="000B3A1C" w:rsidRDefault="00AF6967" w:rsidP="00E8765B">
      <w:pPr>
        <w:pStyle w:val="ListParagraph"/>
        <w:numPr>
          <w:ilvl w:val="0"/>
          <w:numId w:val="0"/>
        </w:numPr>
        <w:spacing w:before="0" w:after="0"/>
        <w:ind w:left="2160" w:hanging="720"/>
        <w:jc w:val="both"/>
        <w:rPr>
          <w:i/>
          <w:iCs/>
          <w:szCs w:val="24"/>
        </w:rPr>
      </w:pPr>
      <w:r w:rsidRPr="000B3A1C">
        <w:rPr>
          <w:i/>
          <w:iCs/>
          <w:szCs w:val="24"/>
        </w:rPr>
        <w:t>(3)</w:t>
      </w:r>
      <w:r w:rsidRPr="000B3A1C">
        <w:rPr>
          <w:i/>
          <w:iCs/>
          <w:szCs w:val="24"/>
        </w:rPr>
        <w:tab/>
        <w:t>Unless the Court otherwise orders, the Costs Court may order a gross sum</w:t>
      </w:r>
      <w:r w:rsidR="007E5459" w:rsidRPr="000B3A1C">
        <w:rPr>
          <w:i/>
          <w:iCs/>
          <w:szCs w:val="24"/>
        </w:rPr>
        <w:t xml:space="preserve"> in lieu of taxed costs:</w:t>
      </w:r>
    </w:p>
    <w:p w14:paraId="195196AA" w14:textId="1334DDC8" w:rsidR="007E5459" w:rsidRPr="000B3A1C" w:rsidRDefault="007E5459" w:rsidP="00E8765B">
      <w:pPr>
        <w:pStyle w:val="ListParagraph"/>
        <w:numPr>
          <w:ilvl w:val="0"/>
          <w:numId w:val="0"/>
        </w:numPr>
        <w:spacing w:before="0" w:after="0"/>
        <w:ind w:left="1440"/>
        <w:jc w:val="both"/>
        <w:rPr>
          <w:i/>
          <w:iCs/>
          <w:szCs w:val="24"/>
        </w:rPr>
      </w:pPr>
      <w:r w:rsidRPr="000B3A1C">
        <w:rPr>
          <w:i/>
          <w:iCs/>
          <w:szCs w:val="24"/>
        </w:rPr>
        <w:tab/>
        <w:t>(a)</w:t>
      </w:r>
      <w:r w:rsidRPr="000B3A1C">
        <w:rPr>
          <w:i/>
          <w:iCs/>
          <w:szCs w:val="24"/>
        </w:rPr>
        <w:tab/>
        <w:t>on application by any party; or</w:t>
      </w:r>
    </w:p>
    <w:p w14:paraId="58E9AB6B" w14:textId="697A6AF0" w:rsidR="007E5459" w:rsidRPr="000B3A1C" w:rsidRDefault="007E5459" w:rsidP="00E8765B">
      <w:pPr>
        <w:pStyle w:val="ListParagraph"/>
        <w:numPr>
          <w:ilvl w:val="0"/>
          <w:numId w:val="0"/>
        </w:numPr>
        <w:spacing w:before="0" w:after="0"/>
        <w:ind w:left="1440"/>
        <w:jc w:val="both"/>
        <w:rPr>
          <w:i/>
          <w:iCs/>
          <w:szCs w:val="24"/>
        </w:rPr>
      </w:pPr>
      <w:r w:rsidRPr="000B3A1C">
        <w:rPr>
          <w:i/>
          <w:iCs/>
          <w:szCs w:val="24"/>
        </w:rPr>
        <w:tab/>
        <w:t>(b)</w:t>
      </w:r>
      <w:r w:rsidRPr="000B3A1C">
        <w:rPr>
          <w:i/>
          <w:iCs/>
          <w:szCs w:val="24"/>
        </w:rPr>
        <w:tab/>
        <w:t>on its own motion.</w:t>
      </w:r>
    </w:p>
    <w:p w14:paraId="4A940095" w14:textId="77777777" w:rsidR="00895E58" w:rsidRDefault="000B3A1C" w:rsidP="00A11BC8">
      <w:pPr>
        <w:pStyle w:val="ListParagraph"/>
        <w:numPr>
          <w:ilvl w:val="0"/>
          <w:numId w:val="5"/>
        </w:numPr>
        <w:spacing w:after="120"/>
        <w:ind w:left="720"/>
        <w:jc w:val="both"/>
        <w:rPr>
          <w:szCs w:val="24"/>
        </w:rPr>
      </w:pPr>
      <w:r>
        <w:rPr>
          <w:szCs w:val="24"/>
        </w:rPr>
        <w:t>Thus</w:t>
      </w:r>
      <w:r w:rsidR="009F5F74">
        <w:rPr>
          <w:szCs w:val="24"/>
        </w:rPr>
        <w:t>,</w:t>
      </w:r>
      <w:r>
        <w:rPr>
          <w:szCs w:val="24"/>
        </w:rPr>
        <w:t xml:space="preserve"> under </w:t>
      </w:r>
      <w:r w:rsidR="00830474">
        <w:rPr>
          <w:szCs w:val="24"/>
        </w:rPr>
        <w:t>new r 63.07(3), a</w:t>
      </w:r>
      <w:r w:rsidR="00387E43">
        <w:rPr>
          <w:szCs w:val="24"/>
        </w:rPr>
        <w:t xml:space="preserve">ny party </w:t>
      </w:r>
      <w:r w:rsidR="00A017A8">
        <w:rPr>
          <w:szCs w:val="24"/>
        </w:rPr>
        <w:t>will be able to</w:t>
      </w:r>
      <w:r w:rsidR="00387E43">
        <w:rPr>
          <w:szCs w:val="24"/>
        </w:rPr>
        <w:t xml:space="preserve"> make an application to the Costs Court for an order for a gross sum</w:t>
      </w:r>
      <w:r w:rsidR="00FC3D9D">
        <w:rPr>
          <w:szCs w:val="24"/>
        </w:rPr>
        <w:t xml:space="preserve"> in lieu of taxed costs.  Alternatively, the Costs Court </w:t>
      </w:r>
      <w:r w:rsidR="00DF4926">
        <w:rPr>
          <w:szCs w:val="24"/>
        </w:rPr>
        <w:t>will be able to</w:t>
      </w:r>
      <w:r w:rsidR="00FC3D9D">
        <w:rPr>
          <w:szCs w:val="24"/>
        </w:rPr>
        <w:t xml:space="preserve"> make such an order of its own motion.  </w:t>
      </w:r>
    </w:p>
    <w:p w14:paraId="5CC9C00B" w14:textId="4C41014D" w:rsidR="00D75CF6" w:rsidRDefault="00334674" w:rsidP="00A11BC8">
      <w:pPr>
        <w:pStyle w:val="ListParagraph"/>
        <w:numPr>
          <w:ilvl w:val="0"/>
          <w:numId w:val="5"/>
        </w:numPr>
        <w:spacing w:after="120"/>
        <w:ind w:left="720"/>
        <w:jc w:val="both"/>
        <w:rPr>
          <w:szCs w:val="24"/>
        </w:rPr>
      </w:pPr>
      <w:r>
        <w:rPr>
          <w:szCs w:val="24"/>
        </w:rPr>
        <w:t xml:space="preserve">It is anticipated that most applications for gross sum costs orders will </w:t>
      </w:r>
      <w:r w:rsidR="00BC68FA">
        <w:rPr>
          <w:szCs w:val="24"/>
        </w:rPr>
        <w:t xml:space="preserve">be made by </w:t>
      </w:r>
      <w:r w:rsidR="00BC68FA" w:rsidRPr="00881FA8">
        <w:rPr>
          <w:szCs w:val="24"/>
        </w:rPr>
        <w:t>entitled parties</w:t>
      </w:r>
      <w:r w:rsidR="00BC68FA">
        <w:rPr>
          <w:szCs w:val="24"/>
        </w:rPr>
        <w:t xml:space="preserve"> rather than by </w:t>
      </w:r>
      <w:r w:rsidR="00BC68FA" w:rsidRPr="00881FA8">
        <w:rPr>
          <w:szCs w:val="24"/>
        </w:rPr>
        <w:t>liable parties;</w:t>
      </w:r>
      <w:r w:rsidR="00BC68FA">
        <w:rPr>
          <w:szCs w:val="24"/>
        </w:rPr>
        <w:t xml:space="preserve"> and that</w:t>
      </w:r>
      <w:r w:rsidR="00D75CF6">
        <w:rPr>
          <w:szCs w:val="24"/>
        </w:rPr>
        <w:t xml:space="preserve"> such applications will usually be made before the </w:t>
      </w:r>
      <w:r w:rsidR="00D75CF6" w:rsidRPr="00881FA8">
        <w:rPr>
          <w:szCs w:val="24"/>
        </w:rPr>
        <w:t>entitled party</w:t>
      </w:r>
      <w:r w:rsidR="00D75CF6">
        <w:rPr>
          <w:szCs w:val="24"/>
        </w:rPr>
        <w:t xml:space="preserve"> has filed any summons for taxation.  In that situation, the following procedure will apply:</w:t>
      </w:r>
    </w:p>
    <w:p w14:paraId="14C396B3" w14:textId="74DBB6FE" w:rsidR="007B17C7" w:rsidRDefault="006A7DA8" w:rsidP="00E00119">
      <w:pPr>
        <w:pStyle w:val="ListParagraph"/>
        <w:numPr>
          <w:ilvl w:val="0"/>
          <w:numId w:val="0"/>
        </w:numPr>
        <w:spacing w:after="120"/>
        <w:ind w:left="1440" w:hanging="720"/>
        <w:jc w:val="both"/>
        <w:rPr>
          <w:szCs w:val="24"/>
        </w:rPr>
      </w:pPr>
      <w:r>
        <w:rPr>
          <w:szCs w:val="24"/>
        </w:rPr>
        <w:t>(a)</w:t>
      </w:r>
      <w:r>
        <w:rPr>
          <w:szCs w:val="24"/>
        </w:rPr>
        <w:tab/>
        <w:t>Before filing the (appropriate)</w:t>
      </w:r>
      <w:r w:rsidR="00783848">
        <w:rPr>
          <w:szCs w:val="24"/>
        </w:rPr>
        <w:t xml:space="preserve"> summons, the entitled party will need to complete a Gross Sum Information Form (</w:t>
      </w:r>
      <w:r w:rsidR="00233CE9" w:rsidRPr="005735D6">
        <w:rPr>
          <w:szCs w:val="24"/>
        </w:rPr>
        <w:t>Annexure B)</w:t>
      </w:r>
      <w:r w:rsidR="00233CE9">
        <w:rPr>
          <w:szCs w:val="24"/>
        </w:rPr>
        <w:t xml:space="preserve"> and email it</w:t>
      </w:r>
      <w:r w:rsidR="00233CE9" w:rsidRPr="005735D6">
        <w:rPr>
          <w:szCs w:val="24"/>
        </w:rPr>
        <w:t xml:space="preserve"> to: </w:t>
      </w:r>
      <w:hyperlink r:id="rId19" w:history="1">
        <w:r w:rsidR="00233CE9" w:rsidRPr="005735D6">
          <w:rPr>
            <w:rStyle w:val="Hyperlink"/>
            <w:color w:val="auto"/>
            <w:szCs w:val="24"/>
          </w:rPr>
          <w:t>costs.court@supcourt.vic.gov.au</w:t>
        </w:r>
      </w:hyperlink>
      <w:r w:rsidR="003052BB">
        <w:rPr>
          <w:rStyle w:val="Hyperlink"/>
          <w:color w:val="auto"/>
          <w:szCs w:val="24"/>
        </w:rPr>
        <w:t>;</w:t>
      </w:r>
      <w:r w:rsidR="00233CE9">
        <w:rPr>
          <w:szCs w:val="24"/>
        </w:rPr>
        <w:t xml:space="preserve">  </w:t>
      </w:r>
    </w:p>
    <w:p w14:paraId="7D409EDD" w14:textId="5E8E6749" w:rsidR="003024BB" w:rsidRDefault="007B17C7" w:rsidP="007B17C7">
      <w:pPr>
        <w:pStyle w:val="ListParagraph"/>
        <w:numPr>
          <w:ilvl w:val="0"/>
          <w:numId w:val="0"/>
        </w:numPr>
        <w:spacing w:after="120"/>
        <w:ind w:left="1440" w:hanging="720"/>
        <w:jc w:val="both"/>
        <w:rPr>
          <w:szCs w:val="24"/>
        </w:rPr>
      </w:pPr>
      <w:r>
        <w:rPr>
          <w:szCs w:val="24"/>
        </w:rPr>
        <w:t>(b)</w:t>
      </w:r>
      <w:r>
        <w:rPr>
          <w:szCs w:val="24"/>
        </w:rPr>
        <w:tab/>
      </w:r>
      <w:r w:rsidR="00DD61EC">
        <w:rPr>
          <w:szCs w:val="24"/>
        </w:rPr>
        <w:t xml:space="preserve">Once again, this form largely speaks for itself.  However, </w:t>
      </w:r>
      <w:r>
        <w:rPr>
          <w:szCs w:val="24"/>
        </w:rPr>
        <w:t xml:space="preserve">the entitled party </w:t>
      </w:r>
      <w:r w:rsidR="00DD61EC">
        <w:rPr>
          <w:szCs w:val="24"/>
        </w:rPr>
        <w:t>should</w:t>
      </w:r>
      <w:r w:rsidR="00830474">
        <w:rPr>
          <w:szCs w:val="24"/>
        </w:rPr>
        <w:t xml:space="preserve"> also note</w:t>
      </w:r>
      <w:r w:rsidR="00A3774F">
        <w:rPr>
          <w:szCs w:val="24"/>
        </w:rPr>
        <w:t xml:space="preserve"> the corresponding </w:t>
      </w:r>
      <w:r w:rsidR="00F84CD0">
        <w:rPr>
          <w:szCs w:val="24"/>
        </w:rPr>
        <w:t>information</w:t>
      </w:r>
      <w:r w:rsidR="00DD61EC">
        <w:rPr>
          <w:szCs w:val="24"/>
        </w:rPr>
        <w:t xml:space="preserve"> set out above relating to the </w:t>
      </w:r>
      <w:r w:rsidR="00A3774F">
        <w:rPr>
          <w:szCs w:val="24"/>
        </w:rPr>
        <w:t>P</w:t>
      </w:r>
      <w:r w:rsidR="00DD61EC">
        <w:rPr>
          <w:szCs w:val="24"/>
        </w:rPr>
        <w:t>arty</w:t>
      </w:r>
      <w:r w:rsidR="001B5CAE">
        <w:rPr>
          <w:szCs w:val="24"/>
        </w:rPr>
        <w:t>-</w:t>
      </w:r>
      <w:r w:rsidR="00A3774F">
        <w:rPr>
          <w:szCs w:val="24"/>
        </w:rPr>
        <w:t>P</w:t>
      </w:r>
      <w:r w:rsidR="001B5CAE">
        <w:rPr>
          <w:szCs w:val="24"/>
        </w:rPr>
        <w:t xml:space="preserve">arty </w:t>
      </w:r>
      <w:r w:rsidR="00A3774F">
        <w:rPr>
          <w:szCs w:val="24"/>
        </w:rPr>
        <w:t>T</w:t>
      </w:r>
      <w:r w:rsidR="001B5CAE">
        <w:rPr>
          <w:szCs w:val="24"/>
        </w:rPr>
        <w:t xml:space="preserve">axation </w:t>
      </w:r>
      <w:r w:rsidR="00D51EB3">
        <w:rPr>
          <w:szCs w:val="24"/>
        </w:rPr>
        <w:t>I</w:t>
      </w:r>
      <w:r w:rsidR="001B5CAE">
        <w:rPr>
          <w:szCs w:val="24"/>
        </w:rPr>
        <w:t xml:space="preserve">nformation </w:t>
      </w:r>
      <w:r w:rsidR="00D51EB3">
        <w:rPr>
          <w:szCs w:val="24"/>
        </w:rPr>
        <w:t>F</w:t>
      </w:r>
      <w:r w:rsidR="001B5CAE">
        <w:rPr>
          <w:szCs w:val="24"/>
        </w:rPr>
        <w:t>orm (</w:t>
      </w:r>
      <w:r w:rsidR="00D51EB3">
        <w:rPr>
          <w:szCs w:val="24"/>
        </w:rPr>
        <w:t>so far as applicable)</w:t>
      </w:r>
      <w:r w:rsidR="003052BB">
        <w:rPr>
          <w:szCs w:val="24"/>
        </w:rPr>
        <w:t>;</w:t>
      </w:r>
      <w:r w:rsidR="00D51EB3">
        <w:rPr>
          <w:szCs w:val="24"/>
        </w:rPr>
        <w:t xml:space="preserve"> </w:t>
      </w:r>
    </w:p>
    <w:p w14:paraId="3690F857" w14:textId="2E3AB02A" w:rsidR="001B5CAE" w:rsidRDefault="00D73A97" w:rsidP="00D73A97">
      <w:pPr>
        <w:pStyle w:val="ListParagraph"/>
        <w:numPr>
          <w:ilvl w:val="0"/>
          <w:numId w:val="0"/>
        </w:numPr>
        <w:spacing w:after="120"/>
        <w:ind w:left="1440" w:hanging="720"/>
        <w:jc w:val="both"/>
        <w:rPr>
          <w:szCs w:val="24"/>
        </w:rPr>
      </w:pPr>
      <w:r>
        <w:rPr>
          <w:szCs w:val="24"/>
        </w:rPr>
        <w:t>(c)</w:t>
      </w:r>
      <w:r>
        <w:rPr>
          <w:szCs w:val="24"/>
        </w:rPr>
        <w:tab/>
      </w:r>
      <w:r w:rsidR="001B5CAE">
        <w:rPr>
          <w:szCs w:val="24"/>
        </w:rPr>
        <w:t xml:space="preserve">A return date for the summons for a gross sum costs </w:t>
      </w:r>
      <w:r>
        <w:rPr>
          <w:szCs w:val="24"/>
        </w:rPr>
        <w:t xml:space="preserve">order </w:t>
      </w:r>
      <w:r w:rsidR="001B5CAE">
        <w:rPr>
          <w:szCs w:val="24"/>
        </w:rPr>
        <w:t>will not be allocated without a completed Gross Sum Information Form</w:t>
      </w:r>
      <w:r w:rsidR="003052BB">
        <w:rPr>
          <w:szCs w:val="24"/>
        </w:rPr>
        <w:t>;</w:t>
      </w:r>
    </w:p>
    <w:p w14:paraId="3D40FAA1" w14:textId="342A3A08" w:rsidR="001B5CAE" w:rsidRDefault="0000491E" w:rsidP="0000491E">
      <w:pPr>
        <w:pStyle w:val="ListParagraph"/>
        <w:numPr>
          <w:ilvl w:val="0"/>
          <w:numId w:val="0"/>
        </w:numPr>
        <w:spacing w:after="120"/>
        <w:ind w:left="1440" w:hanging="720"/>
        <w:jc w:val="both"/>
        <w:rPr>
          <w:szCs w:val="24"/>
        </w:rPr>
      </w:pPr>
      <w:r>
        <w:rPr>
          <w:szCs w:val="24"/>
        </w:rPr>
        <w:t>(d)</w:t>
      </w:r>
      <w:r>
        <w:rPr>
          <w:szCs w:val="24"/>
        </w:rPr>
        <w:tab/>
      </w:r>
      <w:r w:rsidR="001B5CAE">
        <w:rPr>
          <w:szCs w:val="24"/>
        </w:rPr>
        <w:t>Once the Form</w:t>
      </w:r>
      <w:r w:rsidR="00B161EC">
        <w:rPr>
          <w:szCs w:val="24"/>
        </w:rPr>
        <w:t xml:space="preserve"> has been received and considered, the Registry will allocate a return date for the</w:t>
      </w:r>
      <w:r w:rsidR="003D5BA7">
        <w:rPr>
          <w:szCs w:val="24"/>
        </w:rPr>
        <w:t xml:space="preserve"> summons </w:t>
      </w:r>
      <w:r w:rsidR="00B161EC">
        <w:rPr>
          <w:szCs w:val="24"/>
        </w:rPr>
        <w:t xml:space="preserve">and will notify the </w:t>
      </w:r>
      <w:r w:rsidRPr="00881FA8">
        <w:rPr>
          <w:szCs w:val="24"/>
        </w:rPr>
        <w:t>entitled party</w:t>
      </w:r>
      <w:r>
        <w:rPr>
          <w:szCs w:val="24"/>
        </w:rPr>
        <w:t xml:space="preserve"> </w:t>
      </w:r>
      <w:r w:rsidR="00B161EC">
        <w:rPr>
          <w:szCs w:val="24"/>
        </w:rPr>
        <w:t>accordingly</w:t>
      </w:r>
      <w:r w:rsidR="003052BB">
        <w:rPr>
          <w:szCs w:val="24"/>
        </w:rPr>
        <w:t>;</w:t>
      </w:r>
    </w:p>
    <w:p w14:paraId="496EF25A" w14:textId="4C3F402A" w:rsidR="006C6375" w:rsidRDefault="003052BB" w:rsidP="003052BB">
      <w:pPr>
        <w:pStyle w:val="ListParagraph"/>
        <w:numPr>
          <w:ilvl w:val="0"/>
          <w:numId w:val="0"/>
        </w:numPr>
        <w:spacing w:after="120"/>
        <w:ind w:left="1440" w:hanging="720"/>
        <w:jc w:val="both"/>
        <w:rPr>
          <w:szCs w:val="24"/>
        </w:rPr>
      </w:pPr>
      <w:r>
        <w:rPr>
          <w:szCs w:val="24"/>
        </w:rPr>
        <w:t>(e)</w:t>
      </w:r>
      <w:r>
        <w:rPr>
          <w:szCs w:val="24"/>
        </w:rPr>
        <w:tab/>
      </w:r>
      <w:r w:rsidR="003C531A" w:rsidRPr="005735D6">
        <w:rPr>
          <w:szCs w:val="24"/>
        </w:rPr>
        <w:t xml:space="preserve">The </w:t>
      </w:r>
      <w:r w:rsidR="000A148D">
        <w:rPr>
          <w:szCs w:val="24"/>
        </w:rPr>
        <w:t>s</w:t>
      </w:r>
      <w:r w:rsidR="003C531A" w:rsidRPr="005735D6">
        <w:rPr>
          <w:szCs w:val="24"/>
        </w:rPr>
        <w:t xml:space="preserve">ummons </w:t>
      </w:r>
      <w:r w:rsidR="00F84CD0">
        <w:rPr>
          <w:szCs w:val="24"/>
        </w:rPr>
        <w:t>will need to</w:t>
      </w:r>
      <w:r w:rsidR="00215018" w:rsidRPr="005735D6">
        <w:rPr>
          <w:szCs w:val="24"/>
        </w:rPr>
        <w:t xml:space="preserve"> be </w:t>
      </w:r>
      <w:r w:rsidR="003C531A" w:rsidRPr="005735D6">
        <w:rPr>
          <w:szCs w:val="24"/>
        </w:rPr>
        <w:t>supported by an affidavit</w:t>
      </w:r>
      <w:r w:rsidR="006C6375" w:rsidRPr="005735D6">
        <w:rPr>
          <w:szCs w:val="24"/>
        </w:rPr>
        <w:t xml:space="preserve"> deposing to the matters </w:t>
      </w:r>
      <w:r w:rsidR="00156FEC" w:rsidRPr="005735D6">
        <w:rPr>
          <w:szCs w:val="24"/>
        </w:rPr>
        <w:t xml:space="preserve">being </w:t>
      </w:r>
      <w:r w:rsidR="006C6375" w:rsidRPr="005735D6">
        <w:rPr>
          <w:szCs w:val="24"/>
        </w:rPr>
        <w:t>relied upon</w:t>
      </w:r>
      <w:r>
        <w:rPr>
          <w:szCs w:val="24"/>
        </w:rPr>
        <w:t xml:space="preserve"> by the </w:t>
      </w:r>
      <w:r w:rsidRPr="00881FA8">
        <w:rPr>
          <w:szCs w:val="24"/>
        </w:rPr>
        <w:t>entitled party</w:t>
      </w:r>
      <w:r w:rsidR="006C6375" w:rsidRPr="005735D6">
        <w:rPr>
          <w:szCs w:val="24"/>
        </w:rPr>
        <w:t xml:space="preserve"> </w:t>
      </w:r>
      <w:r w:rsidR="00104A33">
        <w:rPr>
          <w:szCs w:val="24"/>
        </w:rPr>
        <w:t>to</w:t>
      </w:r>
      <w:r w:rsidR="00382292" w:rsidRPr="005735D6">
        <w:rPr>
          <w:szCs w:val="24"/>
        </w:rPr>
        <w:t xml:space="preserve"> </w:t>
      </w:r>
      <w:r w:rsidR="00657C6A" w:rsidRPr="005735D6">
        <w:rPr>
          <w:szCs w:val="24"/>
        </w:rPr>
        <w:t>justify</w:t>
      </w:r>
      <w:r w:rsidR="00382292" w:rsidRPr="005735D6">
        <w:rPr>
          <w:szCs w:val="24"/>
        </w:rPr>
        <w:t xml:space="preserve"> </w:t>
      </w:r>
      <w:r w:rsidR="002357C9">
        <w:rPr>
          <w:szCs w:val="24"/>
        </w:rPr>
        <w:t xml:space="preserve">proceeding by way of a </w:t>
      </w:r>
      <w:r w:rsidR="00382292" w:rsidRPr="005735D6">
        <w:rPr>
          <w:szCs w:val="24"/>
        </w:rPr>
        <w:t>gross sum</w:t>
      </w:r>
      <w:r w:rsidR="005D60A6">
        <w:rPr>
          <w:szCs w:val="24"/>
        </w:rPr>
        <w:t xml:space="preserve"> determination</w:t>
      </w:r>
      <w:r>
        <w:rPr>
          <w:szCs w:val="24"/>
        </w:rPr>
        <w:t>;</w:t>
      </w:r>
      <w:r w:rsidR="00FA28B6" w:rsidRPr="005735D6">
        <w:rPr>
          <w:szCs w:val="24"/>
        </w:rPr>
        <w:t xml:space="preserve"> </w:t>
      </w:r>
    </w:p>
    <w:p w14:paraId="45966A33" w14:textId="23AD8F46" w:rsidR="00456C78" w:rsidRDefault="003052BB" w:rsidP="009E4F08">
      <w:pPr>
        <w:pStyle w:val="ListParagraph"/>
        <w:numPr>
          <w:ilvl w:val="0"/>
          <w:numId w:val="0"/>
        </w:numPr>
        <w:spacing w:after="120"/>
        <w:ind w:left="1440" w:hanging="720"/>
        <w:jc w:val="both"/>
        <w:rPr>
          <w:szCs w:val="24"/>
        </w:rPr>
      </w:pPr>
      <w:r>
        <w:rPr>
          <w:szCs w:val="24"/>
        </w:rPr>
        <w:t>(f)</w:t>
      </w:r>
      <w:r w:rsidR="009E4F08">
        <w:rPr>
          <w:szCs w:val="24"/>
        </w:rPr>
        <w:tab/>
      </w:r>
      <w:r w:rsidR="003C531A" w:rsidRPr="005735D6">
        <w:rPr>
          <w:szCs w:val="24"/>
        </w:rPr>
        <w:t xml:space="preserve">A bill in taxable form </w:t>
      </w:r>
      <w:r w:rsidR="00102EC8">
        <w:rPr>
          <w:szCs w:val="24"/>
        </w:rPr>
        <w:t>will</w:t>
      </w:r>
      <w:r w:rsidR="003C531A" w:rsidRPr="005735D6">
        <w:rPr>
          <w:szCs w:val="24"/>
        </w:rPr>
        <w:t xml:space="preserve"> not </w:t>
      </w:r>
      <w:r w:rsidR="00102EC8">
        <w:rPr>
          <w:szCs w:val="24"/>
        </w:rPr>
        <w:t xml:space="preserve">be </w:t>
      </w:r>
      <w:r w:rsidR="003C531A" w:rsidRPr="005735D6">
        <w:rPr>
          <w:szCs w:val="24"/>
        </w:rPr>
        <w:t>required</w:t>
      </w:r>
      <w:r w:rsidR="00104A33">
        <w:rPr>
          <w:szCs w:val="24"/>
        </w:rPr>
        <w:t xml:space="preserve"> </w:t>
      </w:r>
      <w:r w:rsidR="003C531A" w:rsidRPr="005735D6">
        <w:rPr>
          <w:szCs w:val="24"/>
        </w:rPr>
        <w:t xml:space="preserve">when </w:t>
      </w:r>
      <w:r w:rsidR="009E4F08">
        <w:rPr>
          <w:szCs w:val="24"/>
        </w:rPr>
        <w:t xml:space="preserve">an </w:t>
      </w:r>
      <w:r w:rsidR="009E4F08" w:rsidRPr="00881FA8">
        <w:rPr>
          <w:szCs w:val="24"/>
        </w:rPr>
        <w:t>entitled party</w:t>
      </w:r>
      <w:r w:rsidR="009E4F08">
        <w:rPr>
          <w:szCs w:val="24"/>
        </w:rPr>
        <w:t xml:space="preserve"> </w:t>
      </w:r>
      <w:r w:rsidR="003C531A" w:rsidRPr="005735D6">
        <w:rPr>
          <w:szCs w:val="24"/>
        </w:rPr>
        <w:t>mak</w:t>
      </w:r>
      <w:r w:rsidR="009E4F08">
        <w:rPr>
          <w:szCs w:val="24"/>
        </w:rPr>
        <w:t>es</w:t>
      </w:r>
      <w:r w:rsidR="003C531A" w:rsidRPr="005735D6">
        <w:rPr>
          <w:szCs w:val="24"/>
        </w:rPr>
        <w:t xml:space="preserve"> an application </w:t>
      </w:r>
      <w:r w:rsidR="000E779A" w:rsidRPr="005735D6">
        <w:rPr>
          <w:szCs w:val="24"/>
        </w:rPr>
        <w:t>to the Costs Court</w:t>
      </w:r>
      <w:r w:rsidR="000E779A">
        <w:rPr>
          <w:szCs w:val="24"/>
        </w:rPr>
        <w:t xml:space="preserve"> for an order </w:t>
      </w:r>
      <w:r w:rsidR="003C531A" w:rsidRPr="005735D6">
        <w:rPr>
          <w:szCs w:val="24"/>
        </w:rPr>
        <w:t>for gross sum costs</w:t>
      </w:r>
      <w:r w:rsidR="00456C78">
        <w:rPr>
          <w:szCs w:val="24"/>
        </w:rPr>
        <w:t>;</w:t>
      </w:r>
    </w:p>
    <w:p w14:paraId="207997EA" w14:textId="1843A573" w:rsidR="00286B16" w:rsidRDefault="00857BBD" w:rsidP="00857BBD">
      <w:pPr>
        <w:pStyle w:val="ListParagraph"/>
        <w:numPr>
          <w:ilvl w:val="0"/>
          <w:numId w:val="0"/>
        </w:numPr>
        <w:spacing w:after="120"/>
        <w:ind w:left="1440" w:hanging="720"/>
        <w:jc w:val="both"/>
        <w:rPr>
          <w:szCs w:val="24"/>
        </w:rPr>
      </w:pPr>
      <w:r>
        <w:rPr>
          <w:szCs w:val="24"/>
        </w:rPr>
        <w:t>(</w:t>
      </w:r>
      <w:r w:rsidR="003944E4">
        <w:rPr>
          <w:szCs w:val="24"/>
        </w:rPr>
        <w:t>g</w:t>
      </w:r>
      <w:r>
        <w:rPr>
          <w:szCs w:val="24"/>
        </w:rPr>
        <w:t>)</w:t>
      </w:r>
      <w:r>
        <w:rPr>
          <w:szCs w:val="24"/>
        </w:rPr>
        <w:tab/>
      </w:r>
      <w:r w:rsidR="003944E4">
        <w:rPr>
          <w:szCs w:val="24"/>
        </w:rPr>
        <w:t xml:space="preserve">If the liable party proposes to oppose the application, they must </w:t>
      </w:r>
      <w:r w:rsidR="00D21024">
        <w:rPr>
          <w:szCs w:val="24"/>
        </w:rPr>
        <w:t xml:space="preserve">file </w:t>
      </w:r>
      <w:r w:rsidRPr="005735D6">
        <w:rPr>
          <w:szCs w:val="24"/>
        </w:rPr>
        <w:t xml:space="preserve">an affidavit responding to the matters raised in the </w:t>
      </w:r>
      <w:r w:rsidR="00134C26">
        <w:rPr>
          <w:szCs w:val="24"/>
        </w:rPr>
        <w:t>entitled party’s</w:t>
      </w:r>
      <w:r w:rsidRPr="005735D6">
        <w:rPr>
          <w:szCs w:val="24"/>
        </w:rPr>
        <w:t xml:space="preserve"> </w:t>
      </w:r>
      <w:r>
        <w:rPr>
          <w:szCs w:val="24"/>
        </w:rPr>
        <w:t xml:space="preserve">summons and </w:t>
      </w:r>
      <w:r w:rsidRPr="005735D6">
        <w:rPr>
          <w:szCs w:val="24"/>
        </w:rPr>
        <w:t>affidavit</w:t>
      </w:r>
      <w:r w:rsidR="003944E4">
        <w:rPr>
          <w:szCs w:val="24"/>
        </w:rPr>
        <w:t xml:space="preserve"> at least seven days before the</w:t>
      </w:r>
      <w:r w:rsidR="008F62BB">
        <w:rPr>
          <w:szCs w:val="24"/>
        </w:rPr>
        <w:t xml:space="preserve"> return date for the summons</w:t>
      </w:r>
      <w:r w:rsidR="0048473A">
        <w:rPr>
          <w:szCs w:val="24"/>
        </w:rPr>
        <w:t>.</w:t>
      </w:r>
    </w:p>
    <w:p w14:paraId="16E249BF" w14:textId="3EE2F499" w:rsidR="0053625F" w:rsidRDefault="00EF01CD" w:rsidP="00E00119">
      <w:pPr>
        <w:pStyle w:val="ListParagraph"/>
        <w:numPr>
          <w:ilvl w:val="0"/>
          <w:numId w:val="0"/>
        </w:numPr>
        <w:spacing w:after="120"/>
        <w:ind w:left="1440" w:hanging="720"/>
        <w:jc w:val="both"/>
        <w:rPr>
          <w:szCs w:val="24"/>
        </w:rPr>
      </w:pPr>
      <w:r>
        <w:rPr>
          <w:szCs w:val="24"/>
        </w:rPr>
        <w:t>(</w:t>
      </w:r>
      <w:r w:rsidR="003944E4">
        <w:rPr>
          <w:szCs w:val="24"/>
        </w:rPr>
        <w:t>h</w:t>
      </w:r>
      <w:r>
        <w:rPr>
          <w:szCs w:val="24"/>
        </w:rPr>
        <w:t>)</w:t>
      </w:r>
      <w:r>
        <w:rPr>
          <w:szCs w:val="24"/>
        </w:rPr>
        <w:tab/>
      </w:r>
      <w:r w:rsidR="00AD629B">
        <w:rPr>
          <w:szCs w:val="24"/>
        </w:rPr>
        <w:t>Unless</w:t>
      </w:r>
      <w:r w:rsidR="0053625F">
        <w:rPr>
          <w:szCs w:val="24"/>
        </w:rPr>
        <w:t xml:space="preserve"> the </w:t>
      </w:r>
      <w:r w:rsidR="003D5BA7">
        <w:rPr>
          <w:szCs w:val="24"/>
        </w:rPr>
        <w:t>C</w:t>
      </w:r>
      <w:r w:rsidR="0053625F">
        <w:rPr>
          <w:szCs w:val="24"/>
        </w:rPr>
        <w:t xml:space="preserve">osts Court otherwise orders, on the return of the summons the Costs Court will give directions in the matter, </w:t>
      </w:r>
      <w:r w:rsidR="00036C8D">
        <w:rPr>
          <w:szCs w:val="24"/>
        </w:rPr>
        <w:t xml:space="preserve">including </w:t>
      </w:r>
      <w:r w:rsidR="0053625F">
        <w:rPr>
          <w:szCs w:val="24"/>
        </w:rPr>
        <w:t>as to:</w:t>
      </w:r>
    </w:p>
    <w:p w14:paraId="3A8AB4AB" w14:textId="77777777" w:rsidR="008C2A7F" w:rsidRDefault="0053625F" w:rsidP="0053625F">
      <w:pPr>
        <w:pStyle w:val="ListParagraph"/>
        <w:numPr>
          <w:ilvl w:val="0"/>
          <w:numId w:val="0"/>
        </w:numPr>
        <w:spacing w:after="120"/>
        <w:ind w:left="1440"/>
        <w:jc w:val="both"/>
        <w:rPr>
          <w:szCs w:val="24"/>
        </w:rPr>
      </w:pPr>
      <w:r>
        <w:rPr>
          <w:szCs w:val="24"/>
        </w:rPr>
        <w:t>(i)</w:t>
      </w:r>
      <w:r>
        <w:rPr>
          <w:szCs w:val="24"/>
        </w:rPr>
        <w:tab/>
      </w:r>
      <w:r w:rsidR="008C2A7F">
        <w:rPr>
          <w:szCs w:val="24"/>
        </w:rPr>
        <w:t>further affidavits;</w:t>
      </w:r>
    </w:p>
    <w:p w14:paraId="2091F4DF" w14:textId="77777777" w:rsidR="008C2A7F" w:rsidRDefault="008C2A7F" w:rsidP="0053625F">
      <w:pPr>
        <w:pStyle w:val="ListParagraph"/>
        <w:numPr>
          <w:ilvl w:val="0"/>
          <w:numId w:val="0"/>
        </w:numPr>
        <w:spacing w:after="120"/>
        <w:ind w:left="1440"/>
        <w:jc w:val="both"/>
        <w:rPr>
          <w:szCs w:val="24"/>
        </w:rPr>
      </w:pPr>
      <w:r>
        <w:rPr>
          <w:szCs w:val="24"/>
        </w:rPr>
        <w:t>(ii)</w:t>
      </w:r>
      <w:r>
        <w:rPr>
          <w:szCs w:val="24"/>
        </w:rPr>
        <w:tab/>
        <w:t>written submissions;</w:t>
      </w:r>
    </w:p>
    <w:p w14:paraId="7E83880A" w14:textId="77777777" w:rsidR="00684911" w:rsidRDefault="008C2A7F" w:rsidP="0053625F">
      <w:pPr>
        <w:pStyle w:val="ListParagraph"/>
        <w:numPr>
          <w:ilvl w:val="0"/>
          <w:numId w:val="0"/>
        </w:numPr>
        <w:spacing w:after="120"/>
        <w:ind w:left="1440"/>
        <w:jc w:val="both"/>
        <w:rPr>
          <w:szCs w:val="24"/>
        </w:rPr>
      </w:pPr>
      <w:r>
        <w:rPr>
          <w:szCs w:val="24"/>
        </w:rPr>
        <w:t>(iii)</w:t>
      </w:r>
      <w:r>
        <w:rPr>
          <w:szCs w:val="24"/>
        </w:rPr>
        <w:tab/>
      </w:r>
      <w:r w:rsidR="00445E9F">
        <w:rPr>
          <w:szCs w:val="24"/>
        </w:rPr>
        <w:t>a date for the hearing of the application for the order; and</w:t>
      </w:r>
    </w:p>
    <w:p w14:paraId="39672C8B" w14:textId="3CEF36BB" w:rsidR="002C259E" w:rsidRDefault="00684911" w:rsidP="001376A9">
      <w:pPr>
        <w:pStyle w:val="ListParagraph"/>
        <w:numPr>
          <w:ilvl w:val="0"/>
          <w:numId w:val="0"/>
        </w:numPr>
        <w:spacing w:after="120"/>
        <w:ind w:left="2160" w:hanging="720"/>
        <w:jc w:val="both"/>
        <w:rPr>
          <w:szCs w:val="24"/>
        </w:rPr>
      </w:pPr>
      <w:r>
        <w:rPr>
          <w:szCs w:val="24"/>
        </w:rPr>
        <w:t>(iv)</w:t>
      </w:r>
      <w:r>
        <w:rPr>
          <w:szCs w:val="24"/>
        </w:rPr>
        <w:tab/>
        <w:t>whether, if the order is granted,</w:t>
      </w:r>
      <w:r w:rsidR="001376A9">
        <w:rPr>
          <w:szCs w:val="24"/>
        </w:rPr>
        <w:t xml:space="preserve"> the quantification of the gross sum will proceed on the same day</w:t>
      </w:r>
      <w:r w:rsidR="006C6375" w:rsidRPr="005735D6">
        <w:rPr>
          <w:szCs w:val="24"/>
        </w:rPr>
        <w:t xml:space="preserve">. </w:t>
      </w:r>
    </w:p>
    <w:p w14:paraId="2CF56C2D" w14:textId="3A9E56BF" w:rsidR="004A79EF" w:rsidRDefault="004A79EF" w:rsidP="00A11BC8">
      <w:pPr>
        <w:pStyle w:val="ListParagraph"/>
        <w:numPr>
          <w:ilvl w:val="0"/>
          <w:numId w:val="5"/>
        </w:numPr>
        <w:spacing w:after="120"/>
        <w:ind w:left="720"/>
        <w:jc w:val="both"/>
        <w:rPr>
          <w:szCs w:val="24"/>
        </w:rPr>
      </w:pPr>
      <w:r>
        <w:rPr>
          <w:szCs w:val="24"/>
        </w:rPr>
        <w:t xml:space="preserve">Where an </w:t>
      </w:r>
      <w:r w:rsidRPr="00881FA8">
        <w:rPr>
          <w:szCs w:val="24"/>
        </w:rPr>
        <w:t>entitled party</w:t>
      </w:r>
      <w:r w:rsidR="003D5BA7">
        <w:rPr>
          <w:szCs w:val="24"/>
        </w:rPr>
        <w:t xml:space="preserve"> proposes </w:t>
      </w:r>
      <w:r>
        <w:rPr>
          <w:szCs w:val="24"/>
        </w:rPr>
        <w:t xml:space="preserve">to make an application for a gross sum costs order </w:t>
      </w:r>
      <w:r>
        <w:rPr>
          <w:i/>
          <w:iCs/>
          <w:szCs w:val="24"/>
        </w:rPr>
        <w:t>after</w:t>
      </w:r>
      <w:r>
        <w:rPr>
          <w:szCs w:val="24"/>
        </w:rPr>
        <w:t xml:space="preserve"> </w:t>
      </w:r>
      <w:r w:rsidR="00C9793A">
        <w:rPr>
          <w:szCs w:val="24"/>
        </w:rPr>
        <w:t xml:space="preserve">having filed a summons for taxation, the </w:t>
      </w:r>
      <w:r w:rsidR="00C9793A" w:rsidRPr="00881FA8">
        <w:rPr>
          <w:szCs w:val="24"/>
        </w:rPr>
        <w:t>entitled party</w:t>
      </w:r>
      <w:r w:rsidR="00696245">
        <w:rPr>
          <w:szCs w:val="24"/>
        </w:rPr>
        <w:t xml:space="preserve"> must </w:t>
      </w:r>
      <w:r w:rsidR="00C9793A">
        <w:rPr>
          <w:szCs w:val="24"/>
        </w:rPr>
        <w:t>notify the Costs Court accordingly and apply for a directions hearing.</w:t>
      </w:r>
    </w:p>
    <w:p w14:paraId="57EC1312" w14:textId="4F9FA1D5" w:rsidR="001B613D" w:rsidRPr="004318D4" w:rsidRDefault="002B6451" w:rsidP="00A11BC8">
      <w:pPr>
        <w:pStyle w:val="ListParagraph"/>
        <w:numPr>
          <w:ilvl w:val="0"/>
          <w:numId w:val="5"/>
        </w:numPr>
        <w:spacing w:after="120"/>
        <w:ind w:left="720"/>
        <w:jc w:val="both"/>
        <w:rPr>
          <w:szCs w:val="24"/>
        </w:rPr>
      </w:pPr>
      <w:r w:rsidRPr="004318D4">
        <w:rPr>
          <w:szCs w:val="24"/>
        </w:rPr>
        <w:t>If</w:t>
      </w:r>
      <w:r w:rsidR="00C9793A" w:rsidRPr="004318D4">
        <w:rPr>
          <w:szCs w:val="24"/>
        </w:rPr>
        <w:t xml:space="preserve">, </w:t>
      </w:r>
      <w:r w:rsidRPr="004318D4">
        <w:rPr>
          <w:szCs w:val="24"/>
        </w:rPr>
        <w:t xml:space="preserve">before </w:t>
      </w:r>
      <w:r w:rsidR="00C9793A" w:rsidRPr="004318D4">
        <w:rPr>
          <w:szCs w:val="24"/>
        </w:rPr>
        <w:t xml:space="preserve"> any proceeding</w:t>
      </w:r>
      <w:r w:rsidR="003121D3" w:rsidRPr="004318D4">
        <w:rPr>
          <w:szCs w:val="24"/>
        </w:rPr>
        <w:t xml:space="preserve"> relating to the relevant costs</w:t>
      </w:r>
      <w:r w:rsidR="00A0636E" w:rsidRPr="004318D4">
        <w:rPr>
          <w:szCs w:val="24"/>
        </w:rPr>
        <w:t xml:space="preserve"> is </w:t>
      </w:r>
      <w:r w:rsidR="00C9793A" w:rsidRPr="004318D4">
        <w:rPr>
          <w:szCs w:val="24"/>
        </w:rPr>
        <w:t>on foot</w:t>
      </w:r>
      <w:r w:rsidR="00A0636E" w:rsidRPr="004318D4">
        <w:rPr>
          <w:szCs w:val="24"/>
        </w:rPr>
        <w:t xml:space="preserve"> in </w:t>
      </w:r>
      <w:r w:rsidR="00C9793A" w:rsidRPr="004318D4">
        <w:rPr>
          <w:szCs w:val="24"/>
        </w:rPr>
        <w:t>the Costs Court</w:t>
      </w:r>
      <w:r w:rsidR="001A6E11" w:rsidRPr="004318D4">
        <w:rPr>
          <w:szCs w:val="24"/>
        </w:rPr>
        <w:t>, a liable party proposes to apply for a gross sum costs order, the application will need to be made by filing and serving an appropriate summons, supported by</w:t>
      </w:r>
      <w:r w:rsidR="00382140" w:rsidRPr="004318D4">
        <w:rPr>
          <w:szCs w:val="24"/>
        </w:rPr>
        <w:t xml:space="preserve"> affidavit material containing relevant evidence.  The matter would then be listed for a directions hearing.</w:t>
      </w:r>
    </w:p>
    <w:p w14:paraId="3A4AD5E7" w14:textId="2FEB1260" w:rsidR="00C9793A" w:rsidRDefault="00461562" w:rsidP="00A11BC8">
      <w:pPr>
        <w:pStyle w:val="ListParagraph"/>
        <w:numPr>
          <w:ilvl w:val="0"/>
          <w:numId w:val="5"/>
        </w:numPr>
        <w:spacing w:after="120"/>
        <w:ind w:left="720"/>
        <w:jc w:val="both"/>
        <w:rPr>
          <w:szCs w:val="24"/>
        </w:rPr>
      </w:pPr>
      <w:r>
        <w:rPr>
          <w:szCs w:val="24"/>
        </w:rPr>
        <w:t>I</w:t>
      </w:r>
      <w:r w:rsidR="00382140">
        <w:rPr>
          <w:szCs w:val="24"/>
        </w:rPr>
        <w:t xml:space="preserve">f there is already a proceeding </w:t>
      </w:r>
      <w:r w:rsidR="00696245">
        <w:rPr>
          <w:szCs w:val="24"/>
        </w:rPr>
        <w:t xml:space="preserve">on foot in the Costs Court </w:t>
      </w:r>
      <w:r w:rsidR="00C65A76">
        <w:rPr>
          <w:szCs w:val="24"/>
        </w:rPr>
        <w:t>relating to the relevant costs</w:t>
      </w:r>
      <w:r>
        <w:rPr>
          <w:szCs w:val="24"/>
        </w:rPr>
        <w:t xml:space="preserve">, </w:t>
      </w:r>
      <w:r w:rsidR="0063166D">
        <w:rPr>
          <w:szCs w:val="24"/>
        </w:rPr>
        <w:t xml:space="preserve">and the </w:t>
      </w:r>
      <w:r w:rsidR="0063166D" w:rsidRPr="00881FA8">
        <w:rPr>
          <w:szCs w:val="24"/>
        </w:rPr>
        <w:t>liable party</w:t>
      </w:r>
      <w:r w:rsidR="0063166D">
        <w:rPr>
          <w:szCs w:val="24"/>
        </w:rPr>
        <w:t xml:space="preserve"> proposes to apply for a gross sum </w:t>
      </w:r>
      <w:r w:rsidR="00354A3E">
        <w:rPr>
          <w:szCs w:val="24"/>
        </w:rPr>
        <w:t xml:space="preserve">costs </w:t>
      </w:r>
      <w:r w:rsidR="0063166D">
        <w:rPr>
          <w:szCs w:val="24"/>
        </w:rPr>
        <w:t>order, the liable party will not be required to file a summons but</w:t>
      </w:r>
      <w:r w:rsidR="00354A3E">
        <w:rPr>
          <w:szCs w:val="24"/>
        </w:rPr>
        <w:t xml:space="preserve"> must </w:t>
      </w:r>
      <w:r w:rsidR="0063166D">
        <w:rPr>
          <w:szCs w:val="24"/>
        </w:rPr>
        <w:t xml:space="preserve">notify the Costs Court </w:t>
      </w:r>
      <w:r w:rsidR="0085050F">
        <w:rPr>
          <w:szCs w:val="24"/>
        </w:rPr>
        <w:t xml:space="preserve">and the </w:t>
      </w:r>
      <w:r w:rsidR="0085050F" w:rsidRPr="00881FA8">
        <w:rPr>
          <w:szCs w:val="24"/>
        </w:rPr>
        <w:t>entitled party</w:t>
      </w:r>
      <w:r w:rsidR="0085050F">
        <w:rPr>
          <w:szCs w:val="24"/>
        </w:rPr>
        <w:t xml:space="preserve"> of their proposal</w:t>
      </w:r>
      <w:r w:rsidR="0063166D">
        <w:rPr>
          <w:szCs w:val="24"/>
        </w:rPr>
        <w:t>, and apply for a directions hearing</w:t>
      </w:r>
      <w:r w:rsidR="00E937DF">
        <w:rPr>
          <w:szCs w:val="24"/>
        </w:rPr>
        <w:t xml:space="preserve">. </w:t>
      </w:r>
    </w:p>
    <w:p w14:paraId="59141CF6" w14:textId="13CCA57D" w:rsidR="006A1FA5" w:rsidRDefault="00F84CD0" w:rsidP="00A11BC8">
      <w:pPr>
        <w:pStyle w:val="ListParagraph"/>
        <w:numPr>
          <w:ilvl w:val="0"/>
          <w:numId w:val="5"/>
        </w:numPr>
        <w:spacing w:after="120"/>
        <w:ind w:left="720"/>
        <w:jc w:val="both"/>
        <w:rPr>
          <w:szCs w:val="24"/>
        </w:rPr>
      </w:pPr>
      <w:r>
        <w:rPr>
          <w:szCs w:val="24"/>
        </w:rPr>
        <w:t>G</w:t>
      </w:r>
      <w:r w:rsidR="00566B68">
        <w:rPr>
          <w:szCs w:val="24"/>
        </w:rPr>
        <w:t>ross sum costs</w:t>
      </w:r>
      <w:r w:rsidR="00597CFF">
        <w:rPr>
          <w:szCs w:val="24"/>
        </w:rPr>
        <w:t xml:space="preserve"> orders</w:t>
      </w:r>
      <w:r w:rsidR="00566B68">
        <w:rPr>
          <w:szCs w:val="24"/>
        </w:rPr>
        <w:t xml:space="preserve"> </w:t>
      </w:r>
      <w:r w:rsidR="00597CFF">
        <w:rPr>
          <w:szCs w:val="24"/>
        </w:rPr>
        <w:t>are</w:t>
      </w:r>
      <w:r w:rsidR="00566B68">
        <w:rPr>
          <w:szCs w:val="24"/>
        </w:rPr>
        <w:t xml:space="preserve"> </w:t>
      </w:r>
      <w:r w:rsidR="00597CFF">
        <w:rPr>
          <w:szCs w:val="24"/>
        </w:rPr>
        <w:t>designed</w:t>
      </w:r>
      <w:r w:rsidR="00566B68">
        <w:rPr>
          <w:szCs w:val="24"/>
        </w:rPr>
        <w:t xml:space="preserve"> to </w:t>
      </w:r>
      <w:r w:rsidR="00566B68" w:rsidRPr="0042766E">
        <w:rPr>
          <w:szCs w:val="24"/>
        </w:rPr>
        <w:t>avoid the expense, delay</w:t>
      </w:r>
      <w:r w:rsidR="00566B68" w:rsidRPr="00620D33">
        <w:rPr>
          <w:szCs w:val="24"/>
        </w:rPr>
        <w:t xml:space="preserve"> and aggravation</w:t>
      </w:r>
      <w:r w:rsidR="00566B68" w:rsidRPr="0042766E">
        <w:rPr>
          <w:szCs w:val="24"/>
        </w:rPr>
        <w:t xml:space="preserve"> that </w:t>
      </w:r>
      <w:r w:rsidR="00566B68" w:rsidRPr="00620D33">
        <w:rPr>
          <w:szCs w:val="24"/>
        </w:rPr>
        <w:t xml:space="preserve">can arise </w:t>
      </w:r>
      <w:r w:rsidR="00566B68" w:rsidRPr="001974BC">
        <w:rPr>
          <w:szCs w:val="24"/>
        </w:rPr>
        <w:t>in large scale taxation</w:t>
      </w:r>
      <w:r w:rsidR="00566B68" w:rsidRPr="00DB1826">
        <w:rPr>
          <w:szCs w:val="24"/>
        </w:rPr>
        <w:t xml:space="preserve">s </w:t>
      </w:r>
      <w:r w:rsidR="00566B68">
        <w:rPr>
          <w:szCs w:val="24"/>
        </w:rPr>
        <w:t>concerning</w:t>
      </w:r>
      <w:r w:rsidR="00566B68" w:rsidRPr="0042766E">
        <w:rPr>
          <w:szCs w:val="24"/>
        </w:rPr>
        <w:t xml:space="preserve"> </w:t>
      </w:r>
      <w:r w:rsidR="00566B68">
        <w:rPr>
          <w:szCs w:val="24"/>
        </w:rPr>
        <w:t>complex and sizeable</w:t>
      </w:r>
      <w:r w:rsidR="00566B68" w:rsidRPr="0042766E">
        <w:rPr>
          <w:szCs w:val="24"/>
        </w:rPr>
        <w:t xml:space="preserve"> claims</w:t>
      </w:r>
      <w:r w:rsidR="00566B68">
        <w:rPr>
          <w:szCs w:val="24"/>
        </w:rPr>
        <w:t>.</w:t>
      </w:r>
    </w:p>
    <w:p w14:paraId="5D802EF1" w14:textId="72EF23A2" w:rsidR="00231E07" w:rsidRPr="0056244A" w:rsidRDefault="00231E07" w:rsidP="00231E07">
      <w:pPr>
        <w:pStyle w:val="ListParagraph"/>
        <w:numPr>
          <w:ilvl w:val="0"/>
          <w:numId w:val="5"/>
        </w:numPr>
        <w:spacing w:after="120"/>
        <w:ind w:left="720"/>
        <w:jc w:val="both"/>
        <w:rPr>
          <w:szCs w:val="24"/>
        </w:rPr>
      </w:pPr>
      <w:r>
        <w:rPr>
          <w:szCs w:val="24"/>
        </w:rPr>
        <w:t>The onus will be on the</w:t>
      </w:r>
      <w:r w:rsidRPr="0056244A">
        <w:rPr>
          <w:szCs w:val="24"/>
        </w:rPr>
        <w:t xml:space="preserve"> party applying</w:t>
      </w:r>
      <w:r w:rsidR="00597CFF">
        <w:rPr>
          <w:szCs w:val="24"/>
        </w:rPr>
        <w:t xml:space="preserve"> to the Costs Court</w:t>
      </w:r>
      <w:r w:rsidRPr="0056244A">
        <w:rPr>
          <w:szCs w:val="24"/>
        </w:rPr>
        <w:t xml:space="preserve"> for</w:t>
      </w:r>
      <w:r>
        <w:rPr>
          <w:szCs w:val="24"/>
        </w:rPr>
        <w:t xml:space="preserve"> an order for</w:t>
      </w:r>
      <w:r w:rsidRPr="0056244A">
        <w:rPr>
          <w:szCs w:val="24"/>
        </w:rPr>
        <w:t xml:space="preserve"> gross sum costs to satisfy the Costs Court that a gross sum </w:t>
      </w:r>
      <w:r w:rsidR="00F12287">
        <w:rPr>
          <w:szCs w:val="24"/>
        </w:rPr>
        <w:t xml:space="preserve">determination </w:t>
      </w:r>
      <w:r w:rsidRPr="0056244A">
        <w:rPr>
          <w:szCs w:val="24"/>
        </w:rPr>
        <w:t>is more appropriate tha</w:t>
      </w:r>
      <w:r>
        <w:rPr>
          <w:szCs w:val="24"/>
        </w:rPr>
        <w:t>n</w:t>
      </w:r>
      <w:r w:rsidRPr="0056244A">
        <w:rPr>
          <w:szCs w:val="24"/>
        </w:rPr>
        <w:t xml:space="preserve"> taxed costs. Circumstances where gross sum costs orders </w:t>
      </w:r>
      <w:r>
        <w:rPr>
          <w:szCs w:val="24"/>
        </w:rPr>
        <w:t xml:space="preserve">may be appropriate </w:t>
      </w:r>
      <w:r w:rsidRPr="0056244A">
        <w:rPr>
          <w:szCs w:val="24"/>
        </w:rPr>
        <w:t>include where:</w:t>
      </w:r>
    </w:p>
    <w:p w14:paraId="1995B782" w14:textId="77777777" w:rsidR="00231E07" w:rsidRPr="002F39B1" w:rsidRDefault="00231E07" w:rsidP="00231E07">
      <w:pPr>
        <w:pStyle w:val="ListParagraph"/>
        <w:numPr>
          <w:ilvl w:val="2"/>
          <w:numId w:val="10"/>
        </w:numPr>
        <w:spacing w:after="160" w:line="259" w:lineRule="auto"/>
        <w:ind w:hanging="720"/>
        <w:jc w:val="both"/>
      </w:pPr>
      <w:r w:rsidRPr="002F39B1">
        <w:t>significant costs have been incurred in large scale litigation;</w:t>
      </w:r>
    </w:p>
    <w:p w14:paraId="1FADB58B" w14:textId="77777777" w:rsidR="00231E07" w:rsidRPr="002F39B1" w:rsidRDefault="00231E07" w:rsidP="00231E07">
      <w:pPr>
        <w:pStyle w:val="ListParagraph"/>
        <w:numPr>
          <w:ilvl w:val="2"/>
          <w:numId w:val="10"/>
        </w:numPr>
        <w:spacing w:after="160" w:line="259" w:lineRule="auto"/>
        <w:ind w:hanging="720"/>
        <w:jc w:val="both"/>
      </w:pPr>
      <w:r w:rsidRPr="002F39B1">
        <w:t xml:space="preserve">the volume of material in the matter is large and complex; </w:t>
      </w:r>
    </w:p>
    <w:p w14:paraId="661A5BA1" w14:textId="77777777" w:rsidR="00231E07" w:rsidRPr="002F39B1" w:rsidRDefault="00231E07" w:rsidP="00231E07">
      <w:pPr>
        <w:pStyle w:val="ListParagraph"/>
        <w:numPr>
          <w:ilvl w:val="2"/>
          <w:numId w:val="10"/>
        </w:numPr>
        <w:spacing w:after="160" w:line="259" w:lineRule="auto"/>
        <w:ind w:hanging="720"/>
        <w:jc w:val="both"/>
      </w:pPr>
      <w:r w:rsidRPr="002F39B1">
        <w:t>drawing a bill of costs in taxable form will cause significant expense;</w:t>
      </w:r>
    </w:p>
    <w:p w14:paraId="7ABAB363" w14:textId="77777777" w:rsidR="00CA1444" w:rsidRDefault="00231E07" w:rsidP="00231E07">
      <w:pPr>
        <w:pStyle w:val="ListParagraph"/>
        <w:numPr>
          <w:ilvl w:val="2"/>
          <w:numId w:val="10"/>
        </w:numPr>
        <w:spacing w:after="160" w:line="259" w:lineRule="auto"/>
        <w:ind w:hanging="720"/>
        <w:jc w:val="both"/>
      </w:pPr>
      <w:r w:rsidRPr="002F39B1">
        <w:t xml:space="preserve">the time to tax the bill will be significant, causing undue delay; and </w:t>
      </w:r>
    </w:p>
    <w:p w14:paraId="1C3A09EE" w14:textId="740563B9" w:rsidR="00231E07" w:rsidRPr="002F39B1" w:rsidRDefault="00CA1444" w:rsidP="00231E07">
      <w:pPr>
        <w:pStyle w:val="ListParagraph"/>
        <w:numPr>
          <w:ilvl w:val="2"/>
          <w:numId w:val="10"/>
        </w:numPr>
        <w:spacing w:after="160" w:line="259" w:lineRule="auto"/>
        <w:ind w:hanging="720"/>
        <w:jc w:val="both"/>
      </w:pPr>
      <w:r w:rsidRPr="002F39B1">
        <w:t>the complexity of the principal proceeding creates significant complexity</w:t>
      </w:r>
      <w:r>
        <w:t xml:space="preserve"> in relation</w:t>
      </w:r>
      <w:r w:rsidRPr="002F39B1">
        <w:t xml:space="preserve"> to the taxation of the </w:t>
      </w:r>
      <w:r>
        <w:t>costs</w:t>
      </w:r>
      <w:r w:rsidR="001F66A1">
        <w:t>.</w:t>
      </w:r>
      <w:r>
        <w:t xml:space="preserve">  </w:t>
      </w:r>
    </w:p>
    <w:p w14:paraId="6625F123" w14:textId="6438D954" w:rsidR="00054654" w:rsidRPr="00EA0D05" w:rsidRDefault="00054654" w:rsidP="006A1FA5">
      <w:pPr>
        <w:pStyle w:val="Heading3"/>
        <w:keepNext/>
        <w:spacing w:after="120"/>
      </w:pPr>
      <w:bookmarkStart w:id="19" w:name="_Toc178173286"/>
      <w:bookmarkEnd w:id="18"/>
      <w:r w:rsidRPr="00EA0D05">
        <w:t>Taxation</w:t>
      </w:r>
      <w:bookmarkEnd w:id="19"/>
      <w:r w:rsidRPr="00EA0D05">
        <w:t xml:space="preserve"> </w:t>
      </w:r>
    </w:p>
    <w:p w14:paraId="58A0B583" w14:textId="7FB6A68F" w:rsidR="00054654" w:rsidRDefault="00054654" w:rsidP="00A11BC8">
      <w:pPr>
        <w:pStyle w:val="ListParagraph"/>
        <w:numPr>
          <w:ilvl w:val="0"/>
          <w:numId w:val="5"/>
        </w:numPr>
        <w:spacing w:after="120"/>
        <w:ind w:left="720"/>
        <w:jc w:val="both"/>
        <w:rPr>
          <w:szCs w:val="24"/>
        </w:rPr>
      </w:pPr>
      <w:r w:rsidRPr="00E707E6">
        <w:rPr>
          <w:szCs w:val="24"/>
        </w:rPr>
        <w:t>Taxation</w:t>
      </w:r>
      <w:r>
        <w:rPr>
          <w:szCs w:val="24"/>
        </w:rPr>
        <w:t>s</w:t>
      </w:r>
      <w:r w:rsidRPr="00E707E6">
        <w:rPr>
          <w:szCs w:val="24"/>
        </w:rPr>
        <w:t xml:space="preserve"> now constitute a very small part of the Costs Court</w:t>
      </w:r>
      <w:r>
        <w:rPr>
          <w:szCs w:val="24"/>
        </w:rPr>
        <w:t>’s</w:t>
      </w:r>
      <w:r w:rsidRPr="00E707E6">
        <w:rPr>
          <w:szCs w:val="24"/>
        </w:rPr>
        <w:t xml:space="preserve"> work. Matters will be listed for taxation following an unsuccessful mediation or where </w:t>
      </w:r>
      <w:r w:rsidR="00114A91">
        <w:rPr>
          <w:szCs w:val="24"/>
        </w:rPr>
        <w:t>any</w:t>
      </w:r>
      <w:r w:rsidR="00114A91" w:rsidRPr="00E707E6">
        <w:rPr>
          <w:szCs w:val="24"/>
        </w:rPr>
        <w:t xml:space="preserve"> </w:t>
      </w:r>
      <w:r w:rsidRPr="00E707E6">
        <w:rPr>
          <w:szCs w:val="24"/>
        </w:rPr>
        <w:t xml:space="preserve">party objects to the estimate in </w:t>
      </w:r>
      <w:r w:rsidR="0042766E">
        <w:rPr>
          <w:szCs w:val="24"/>
        </w:rPr>
        <w:t xml:space="preserve">an </w:t>
      </w:r>
      <w:r w:rsidRPr="00E707E6">
        <w:rPr>
          <w:szCs w:val="24"/>
        </w:rPr>
        <w:t>assessment</w:t>
      </w:r>
      <w:r w:rsidR="0042766E">
        <w:rPr>
          <w:szCs w:val="24"/>
        </w:rPr>
        <w:t xml:space="preserve"> in chambers</w:t>
      </w:r>
      <w:r>
        <w:rPr>
          <w:szCs w:val="24"/>
        </w:rPr>
        <w:t xml:space="preserve">, </w:t>
      </w:r>
      <w:r w:rsidRPr="00E707E6">
        <w:rPr>
          <w:szCs w:val="24"/>
        </w:rPr>
        <w:t xml:space="preserve">or after both procedures have failed to yield a result. It will be rare </w:t>
      </w:r>
      <w:r>
        <w:rPr>
          <w:szCs w:val="24"/>
        </w:rPr>
        <w:t>that</w:t>
      </w:r>
      <w:r w:rsidRPr="00E707E6">
        <w:rPr>
          <w:szCs w:val="24"/>
        </w:rPr>
        <w:t xml:space="preserve"> a </w:t>
      </w:r>
      <w:r>
        <w:rPr>
          <w:szCs w:val="24"/>
        </w:rPr>
        <w:t xml:space="preserve">matter is listed for </w:t>
      </w:r>
      <w:r w:rsidRPr="00E707E6">
        <w:rPr>
          <w:szCs w:val="24"/>
        </w:rPr>
        <w:t xml:space="preserve">taxation at first instance. </w:t>
      </w:r>
    </w:p>
    <w:p w14:paraId="28604EB7" w14:textId="77777777" w:rsidR="00054654" w:rsidRDefault="00054654" w:rsidP="00A11BC8">
      <w:pPr>
        <w:pStyle w:val="ListParagraph"/>
        <w:numPr>
          <w:ilvl w:val="0"/>
          <w:numId w:val="5"/>
        </w:numPr>
        <w:spacing w:after="120"/>
        <w:ind w:left="720"/>
        <w:jc w:val="both"/>
        <w:rPr>
          <w:szCs w:val="24"/>
        </w:rPr>
      </w:pPr>
      <w:r w:rsidRPr="00E707E6">
        <w:rPr>
          <w:szCs w:val="24"/>
        </w:rPr>
        <w:t xml:space="preserve">In preparation for the taxation, parties should therefore use their best endeavours to narrow the scope of the </w:t>
      </w:r>
      <w:r>
        <w:rPr>
          <w:szCs w:val="24"/>
        </w:rPr>
        <w:t xml:space="preserve">items in </w:t>
      </w:r>
      <w:r w:rsidRPr="00E707E6">
        <w:rPr>
          <w:szCs w:val="24"/>
        </w:rPr>
        <w:t xml:space="preserve">dispute in order to shorten the time required to tax the bill of costs. </w:t>
      </w:r>
    </w:p>
    <w:p w14:paraId="56017698" w14:textId="70AFF0CD" w:rsidR="00054654" w:rsidRPr="00472B67" w:rsidRDefault="003B152A" w:rsidP="00A11BC8">
      <w:pPr>
        <w:pStyle w:val="ListParagraph"/>
        <w:numPr>
          <w:ilvl w:val="0"/>
          <w:numId w:val="5"/>
        </w:numPr>
        <w:spacing w:after="120"/>
        <w:ind w:left="720"/>
        <w:jc w:val="both"/>
      </w:pPr>
      <w:r>
        <w:rPr>
          <w:szCs w:val="24"/>
        </w:rPr>
        <w:t>Where a</w:t>
      </w:r>
      <w:r w:rsidR="00612208">
        <w:rPr>
          <w:szCs w:val="24"/>
        </w:rPr>
        <w:t xml:space="preserve"> party proposes t</w:t>
      </w:r>
      <w:r w:rsidR="00BD37DC">
        <w:rPr>
          <w:szCs w:val="24"/>
        </w:rPr>
        <w:t>o rely upon an authority</w:t>
      </w:r>
      <w:r w:rsidR="00405646">
        <w:rPr>
          <w:szCs w:val="24"/>
        </w:rPr>
        <w:t xml:space="preserve"> which </w:t>
      </w:r>
      <w:r w:rsidR="00746F22">
        <w:rPr>
          <w:szCs w:val="24"/>
        </w:rPr>
        <w:t>ha</w:t>
      </w:r>
      <w:r w:rsidR="00405646">
        <w:rPr>
          <w:szCs w:val="24"/>
        </w:rPr>
        <w:t>s</w:t>
      </w:r>
      <w:r w:rsidR="00BD37DC">
        <w:rPr>
          <w:szCs w:val="24"/>
        </w:rPr>
        <w:t xml:space="preserve"> </w:t>
      </w:r>
      <w:r w:rsidR="00405646" w:rsidRPr="006F0D68">
        <w:rPr>
          <w:szCs w:val="24"/>
        </w:rPr>
        <w:t xml:space="preserve">not </w:t>
      </w:r>
      <w:r w:rsidR="00746F22">
        <w:rPr>
          <w:szCs w:val="24"/>
        </w:rPr>
        <w:t>been published</w:t>
      </w:r>
      <w:r w:rsidR="00B434F5">
        <w:rPr>
          <w:szCs w:val="24"/>
        </w:rPr>
        <w:t xml:space="preserve">, the party </w:t>
      </w:r>
      <w:r w:rsidR="00BD37DC">
        <w:rPr>
          <w:szCs w:val="24"/>
        </w:rPr>
        <w:t xml:space="preserve">is required to </w:t>
      </w:r>
      <w:r w:rsidR="00054654" w:rsidRPr="006F0D68">
        <w:rPr>
          <w:szCs w:val="24"/>
        </w:rPr>
        <w:t xml:space="preserve">provide </w:t>
      </w:r>
      <w:r w:rsidR="00B434F5">
        <w:rPr>
          <w:szCs w:val="24"/>
        </w:rPr>
        <w:t>a copy to the</w:t>
      </w:r>
      <w:r w:rsidR="00054654" w:rsidRPr="006F0D68">
        <w:rPr>
          <w:szCs w:val="24"/>
        </w:rPr>
        <w:t xml:space="preserve"> Costs Court </w:t>
      </w:r>
      <w:r w:rsidR="00B434F5">
        <w:rPr>
          <w:szCs w:val="24"/>
        </w:rPr>
        <w:t xml:space="preserve">and the other party. </w:t>
      </w:r>
      <w:r w:rsidR="00054654" w:rsidRPr="006F0D68">
        <w:rPr>
          <w:szCs w:val="24"/>
        </w:rPr>
        <w:t xml:space="preserve"> </w:t>
      </w:r>
    </w:p>
    <w:p w14:paraId="7A4BEB4E" w14:textId="77777777" w:rsidR="0072168A" w:rsidRPr="00472B67" w:rsidRDefault="0072168A" w:rsidP="00620D33">
      <w:pPr>
        <w:pStyle w:val="Heading1"/>
        <w:rPr>
          <w:sz w:val="20"/>
          <w:szCs w:val="20"/>
        </w:rPr>
      </w:pPr>
      <w:bookmarkStart w:id="20" w:name="_Toc175840716"/>
    </w:p>
    <w:p w14:paraId="7073C81E" w14:textId="37CAEF66" w:rsidR="001F0DE9" w:rsidRPr="003E55F6" w:rsidRDefault="001F0DE9" w:rsidP="00620D33">
      <w:pPr>
        <w:pStyle w:val="Heading1"/>
      </w:pPr>
      <w:bookmarkStart w:id="21" w:name="_Toc178173287"/>
      <w:bookmarkEnd w:id="20"/>
      <w:r w:rsidRPr="003E55F6">
        <w:t xml:space="preserve">SOLICITOR/CLIENT </w:t>
      </w:r>
      <w:r w:rsidR="00597CFF">
        <w:t xml:space="preserve">APPLICATIONS </w:t>
      </w:r>
      <w:r w:rsidRPr="003E55F6">
        <w:t>– LEGAL PROFESSION LEGISLATION MATTERS</w:t>
      </w:r>
      <w:bookmarkEnd w:id="21"/>
      <w:r w:rsidRPr="003E55F6">
        <w:t xml:space="preserve"> </w:t>
      </w:r>
    </w:p>
    <w:p w14:paraId="2048D026" w14:textId="5706A429" w:rsidR="00B814C1" w:rsidRDefault="00BD166A" w:rsidP="00A11BC8">
      <w:pPr>
        <w:pStyle w:val="ListParagraph"/>
        <w:numPr>
          <w:ilvl w:val="0"/>
          <w:numId w:val="5"/>
        </w:numPr>
        <w:spacing w:after="120"/>
        <w:ind w:left="720"/>
        <w:jc w:val="both"/>
        <w:rPr>
          <w:szCs w:val="24"/>
        </w:rPr>
      </w:pPr>
      <w:r>
        <w:rPr>
          <w:szCs w:val="24"/>
        </w:rPr>
        <w:t xml:space="preserve">Applications to the </w:t>
      </w:r>
      <w:r w:rsidR="003C78AA">
        <w:rPr>
          <w:szCs w:val="24"/>
        </w:rPr>
        <w:t>Costs Court as between law practices and their clients under the</w:t>
      </w:r>
      <w:r w:rsidR="003F0133">
        <w:rPr>
          <w:szCs w:val="24"/>
        </w:rPr>
        <w:t xml:space="preserve"> Legal</w:t>
      </w:r>
      <w:r w:rsidR="00EA5E00">
        <w:rPr>
          <w:szCs w:val="24"/>
        </w:rPr>
        <w:t xml:space="preserve"> Profession Legislation are to be commenced by summons for taxation filed with the Prothonotary</w:t>
      </w:r>
      <w:r w:rsidR="00486ECF">
        <w:rPr>
          <w:szCs w:val="24"/>
        </w:rPr>
        <w:t xml:space="preserve">: </w:t>
      </w:r>
      <w:proofErr w:type="spellStart"/>
      <w:r w:rsidR="00486ECF">
        <w:rPr>
          <w:szCs w:val="24"/>
        </w:rPr>
        <w:t>rr</w:t>
      </w:r>
      <w:proofErr w:type="spellEnd"/>
      <w:r w:rsidR="00486ECF">
        <w:rPr>
          <w:szCs w:val="24"/>
        </w:rPr>
        <w:t xml:space="preserve"> 63.38, 63.63.</w:t>
      </w:r>
    </w:p>
    <w:p w14:paraId="69BF1FC5" w14:textId="77777777" w:rsidR="00B814C1" w:rsidRPr="003E55F6" w:rsidRDefault="00B814C1" w:rsidP="00B814C1">
      <w:pPr>
        <w:pStyle w:val="Heading3"/>
        <w:spacing w:after="120"/>
      </w:pPr>
      <w:bookmarkStart w:id="22" w:name="_Toc178173288"/>
      <w:r w:rsidRPr="003E55F6">
        <w:t xml:space="preserve">The </w:t>
      </w:r>
      <w:r>
        <w:t>s</w:t>
      </w:r>
      <w:r w:rsidRPr="003E55F6">
        <w:t xml:space="preserve">ummons for </w:t>
      </w:r>
      <w:r>
        <w:t>t</w:t>
      </w:r>
      <w:r w:rsidRPr="003E55F6">
        <w:t>axation</w:t>
      </w:r>
      <w:bookmarkEnd w:id="22"/>
    </w:p>
    <w:p w14:paraId="06654FC1" w14:textId="1D20AF57" w:rsidR="007A4D64" w:rsidRDefault="007A4D64" w:rsidP="00BD166A">
      <w:pPr>
        <w:pStyle w:val="ListParagraph"/>
        <w:numPr>
          <w:ilvl w:val="0"/>
          <w:numId w:val="5"/>
        </w:numPr>
        <w:spacing w:after="120"/>
        <w:ind w:left="720"/>
        <w:jc w:val="both"/>
        <w:rPr>
          <w:szCs w:val="24"/>
        </w:rPr>
      </w:pPr>
      <w:r w:rsidRPr="003E55F6">
        <w:rPr>
          <w:szCs w:val="24"/>
        </w:rPr>
        <w:t xml:space="preserve">The </w:t>
      </w:r>
      <w:r>
        <w:rPr>
          <w:szCs w:val="24"/>
        </w:rPr>
        <w:t>s</w:t>
      </w:r>
      <w:r w:rsidRPr="003E55F6">
        <w:rPr>
          <w:szCs w:val="24"/>
        </w:rPr>
        <w:t xml:space="preserve">ummons for </w:t>
      </w:r>
      <w:r>
        <w:rPr>
          <w:szCs w:val="24"/>
        </w:rPr>
        <w:t>t</w:t>
      </w:r>
      <w:r w:rsidRPr="003E55F6">
        <w:rPr>
          <w:szCs w:val="24"/>
        </w:rPr>
        <w:t xml:space="preserve">axation should be headed </w:t>
      </w:r>
      <w:r w:rsidRPr="003E55F6">
        <w:rPr>
          <w:i/>
          <w:iCs/>
          <w:szCs w:val="24"/>
        </w:rPr>
        <w:t xml:space="preserve">‘IN THE MATTER of … section …’ </w:t>
      </w:r>
      <w:r w:rsidRPr="003E55F6">
        <w:rPr>
          <w:szCs w:val="24"/>
        </w:rPr>
        <w:t xml:space="preserve">and refer to the relevant section of the applicable Legal Profession Legislation and must clearly identify the costs that the applicant seeks to have </w:t>
      </w:r>
      <w:r w:rsidR="00114A91">
        <w:rPr>
          <w:szCs w:val="24"/>
        </w:rPr>
        <w:t>taxed</w:t>
      </w:r>
      <w:r w:rsidRPr="003E55F6">
        <w:rPr>
          <w:szCs w:val="24"/>
        </w:rPr>
        <w:t>.</w:t>
      </w:r>
    </w:p>
    <w:p w14:paraId="58E6E1CC" w14:textId="506FDEC5" w:rsidR="00BD166A" w:rsidRPr="00BD166A" w:rsidRDefault="004256E8" w:rsidP="00BD166A">
      <w:pPr>
        <w:pStyle w:val="ListParagraph"/>
        <w:numPr>
          <w:ilvl w:val="0"/>
          <w:numId w:val="5"/>
        </w:numPr>
        <w:spacing w:after="120"/>
        <w:ind w:left="720"/>
        <w:jc w:val="both"/>
        <w:rPr>
          <w:szCs w:val="24"/>
        </w:rPr>
      </w:pPr>
      <w:r>
        <w:rPr>
          <w:szCs w:val="24"/>
        </w:rPr>
        <w:t>Before filing or serving the summons for taxation,</w:t>
      </w:r>
      <w:r w:rsidR="00486ECF">
        <w:rPr>
          <w:szCs w:val="24"/>
        </w:rPr>
        <w:t xml:space="preserve"> </w:t>
      </w:r>
      <w:r>
        <w:rPr>
          <w:szCs w:val="24"/>
        </w:rPr>
        <w:t>t</w:t>
      </w:r>
      <w:r w:rsidR="00BD166A" w:rsidRPr="003E55F6">
        <w:rPr>
          <w:szCs w:val="24"/>
        </w:rPr>
        <w:t xml:space="preserve">he applicant must complete the Legal Profession Legislation Taxation Information Form (Annexure C) and email it to </w:t>
      </w:r>
      <w:hyperlink r:id="rId20" w:history="1">
        <w:r w:rsidR="00BD166A" w:rsidRPr="003E55F6">
          <w:rPr>
            <w:rStyle w:val="Hyperlink"/>
            <w:color w:val="auto"/>
            <w:szCs w:val="24"/>
          </w:rPr>
          <w:t>costs.court@supcourt.vic.gov.au</w:t>
        </w:r>
      </w:hyperlink>
      <w:r w:rsidR="00BD166A" w:rsidRPr="003E55F6">
        <w:rPr>
          <w:szCs w:val="24"/>
        </w:rPr>
        <w:t xml:space="preserve">.  </w:t>
      </w:r>
    </w:p>
    <w:p w14:paraId="7E10BAEE" w14:textId="5A815731" w:rsidR="001F0DE9" w:rsidRPr="003E55F6" w:rsidRDefault="001F0DE9" w:rsidP="00A11BC8">
      <w:pPr>
        <w:pStyle w:val="ListParagraph"/>
        <w:numPr>
          <w:ilvl w:val="0"/>
          <w:numId w:val="5"/>
        </w:numPr>
        <w:spacing w:after="120"/>
        <w:ind w:left="720"/>
        <w:jc w:val="both"/>
        <w:rPr>
          <w:szCs w:val="24"/>
        </w:rPr>
      </w:pPr>
      <w:r w:rsidRPr="003E55F6">
        <w:rPr>
          <w:szCs w:val="24"/>
        </w:rPr>
        <w:t xml:space="preserve">The Costs Court will </w:t>
      </w:r>
      <w:r w:rsidR="00C0610C">
        <w:rPr>
          <w:szCs w:val="24"/>
        </w:rPr>
        <w:t>send an email</w:t>
      </w:r>
      <w:r w:rsidR="00C82D88">
        <w:rPr>
          <w:szCs w:val="24"/>
        </w:rPr>
        <w:t xml:space="preserve"> to the applicant allocating a</w:t>
      </w:r>
      <w:r w:rsidR="00C0610C">
        <w:rPr>
          <w:szCs w:val="24"/>
        </w:rPr>
        <w:t xml:space="preserve"> </w:t>
      </w:r>
      <w:r w:rsidRPr="003E55F6">
        <w:rPr>
          <w:szCs w:val="24"/>
        </w:rPr>
        <w:t xml:space="preserve">directions hearing date. This date must be entered in the summons for taxation. </w:t>
      </w:r>
    </w:p>
    <w:p w14:paraId="62E03279" w14:textId="2EFACDB1" w:rsidR="001F0DE9" w:rsidRPr="003E55F6" w:rsidRDefault="00C82D88" w:rsidP="00A11BC8">
      <w:pPr>
        <w:pStyle w:val="ListParagraph"/>
        <w:numPr>
          <w:ilvl w:val="0"/>
          <w:numId w:val="5"/>
        </w:numPr>
        <w:spacing w:after="120"/>
        <w:ind w:left="720"/>
        <w:jc w:val="both"/>
        <w:rPr>
          <w:szCs w:val="24"/>
        </w:rPr>
      </w:pPr>
      <w:r>
        <w:rPr>
          <w:szCs w:val="24"/>
        </w:rPr>
        <w:t>The applicant must file</w:t>
      </w:r>
      <w:r w:rsidR="001F0DE9" w:rsidRPr="003E55F6">
        <w:rPr>
          <w:szCs w:val="24"/>
        </w:rPr>
        <w:t xml:space="preserve"> the </w:t>
      </w:r>
      <w:r w:rsidR="005B251B">
        <w:rPr>
          <w:szCs w:val="24"/>
        </w:rPr>
        <w:t xml:space="preserve">completed </w:t>
      </w:r>
      <w:r w:rsidR="001F0DE9" w:rsidRPr="003E55F6">
        <w:rPr>
          <w:szCs w:val="24"/>
        </w:rPr>
        <w:t>summons</w:t>
      </w:r>
      <w:r w:rsidR="005B251B">
        <w:rPr>
          <w:szCs w:val="24"/>
        </w:rPr>
        <w:t xml:space="preserve"> in </w:t>
      </w:r>
      <w:proofErr w:type="spellStart"/>
      <w:r w:rsidR="005B251B">
        <w:rPr>
          <w:szCs w:val="24"/>
        </w:rPr>
        <w:t>RedCrest</w:t>
      </w:r>
      <w:proofErr w:type="spellEnd"/>
      <w:r w:rsidR="001F0DE9" w:rsidRPr="003E55F6">
        <w:rPr>
          <w:szCs w:val="24"/>
        </w:rPr>
        <w:t>,</w:t>
      </w:r>
      <w:r w:rsidR="005B251B">
        <w:rPr>
          <w:szCs w:val="24"/>
        </w:rPr>
        <w:t xml:space="preserve"> together with copies of the completed</w:t>
      </w:r>
      <w:r w:rsidR="001F0DE9" w:rsidRPr="003E55F6">
        <w:rPr>
          <w:szCs w:val="24"/>
        </w:rPr>
        <w:t xml:space="preserve"> </w:t>
      </w:r>
      <w:r w:rsidR="005F02AF" w:rsidRPr="003E55F6">
        <w:rPr>
          <w:szCs w:val="24"/>
        </w:rPr>
        <w:t xml:space="preserve">Legal Profession Legislation </w:t>
      </w:r>
      <w:r w:rsidR="001F0DE9" w:rsidRPr="003E55F6">
        <w:rPr>
          <w:szCs w:val="24"/>
        </w:rPr>
        <w:t>Taxation Info</w:t>
      </w:r>
      <w:r w:rsidR="002B040D">
        <w:rPr>
          <w:szCs w:val="24"/>
        </w:rPr>
        <w:t>rmation</w:t>
      </w:r>
      <w:r w:rsidR="001F0DE9" w:rsidRPr="003E55F6">
        <w:rPr>
          <w:szCs w:val="24"/>
        </w:rPr>
        <w:t xml:space="preserve"> Form, </w:t>
      </w:r>
      <w:r w:rsidR="00E41404">
        <w:rPr>
          <w:szCs w:val="24"/>
        </w:rPr>
        <w:t xml:space="preserve">the </w:t>
      </w:r>
      <w:r w:rsidR="001F0DE9" w:rsidRPr="003E55F6">
        <w:rPr>
          <w:szCs w:val="24"/>
        </w:rPr>
        <w:t>email from the Costs Court and the law practice’s bills/invoices</w:t>
      </w:r>
      <w:r w:rsidR="00E41404">
        <w:rPr>
          <w:szCs w:val="24"/>
        </w:rPr>
        <w:t>.</w:t>
      </w:r>
      <w:r w:rsidR="001F0DE9" w:rsidRPr="003E55F6">
        <w:rPr>
          <w:szCs w:val="24"/>
        </w:rPr>
        <w:t xml:space="preserve"> Once th</w:t>
      </w:r>
      <w:r w:rsidR="00E41404">
        <w:rPr>
          <w:szCs w:val="24"/>
        </w:rPr>
        <w:t>ose</w:t>
      </w:r>
      <w:r w:rsidR="001F0DE9" w:rsidRPr="003E55F6">
        <w:rPr>
          <w:szCs w:val="24"/>
        </w:rPr>
        <w:t xml:space="preserve"> documents </w:t>
      </w:r>
      <w:r w:rsidR="00E41404">
        <w:rPr>
          <w:szCs w:val="24"/>
        </w:rPr>
        <w:t>have been</w:t>
      </w:r>
      <w:r w:rsidR="001F0DE9" w:rsidRPr="003E55F6">
        <w:rPr>
          <w:szCs w:val="24"/>
        </w:rPr>
        <w:t xml:space="preserve"> accepted, sealed copies of the documents will be available for download. </w:t>
      </w:r>
    </w:p>
    <w:p w14:paraId="69E82181" w14:textId="52E77311" w:rsidR="001F0DE9" w:rsidRPr="003E55F6" w:rsidRDefault="001F0DE9" w:rsidP="00E00119">
      <w:pPr>
        <w:pStyle w:val="Heading3"/>
        <w:keepNext/>
        <w:keepLines/>
        <w:spacing w:after="120"/>
      </w:pPr>
      <w:bookmarkStart w:id="23" w:name="_Toc178173289"/>
      <w:r w:rsidRPr="003E55F6">
        <w:t xml:space="preserve">Directions </w:t>
      </w:r>
      <w:r w:rsidR="00BF6941">
        <w:t>h</w:t>
      </w:r>
      <w:r w:rsidRPr="003E55F6">
        <w:t>earings</w:t>
      </w:r>
      <w:bookmarkEnd w:id="23"/>
    </w:p>
    <w:p w14:paraId="095A427C" w14:textId="260819D7" w:rsidR="001F0DE9" w:rsidRPr="003E55F6" w:rsidRDefault="007D65CD" w:rsidP="00A11BC8">
      <w:pPr>
        <w:pStyle w:val="ListParagraph"/>
        <w:numPr>
          <w:ilvl w:val="0"/>
          <w:numId w:val="5"/>
        </w:numPr>
        <w:spacing w:after="120"/>
        <w:ind w:left="720"/>
        <w:jc w:val="both"/>
        <w:rPr>
          <w:szCs w:val="24"/>
        </w:rPr>
      </w:pPr>
      <w:r w:rsidRPr="003E55F6">
        <w:rPr>
          <w:szCs w:val="24"/>
        </w:rPr>
        <w:t xml:space="preserve">All solicitor/client </w:t>
      </w:r>
      <w:r>
        <w:rPr>
          <w:szCs w:val="24"/>
        </w:rPr>
        <w:t>s</w:t>
      </w:r>
      <w:r w:rsidRPr="003E55F6">
        <w:rPr>
          <w:szCs w:val="24"/>
        </w:rPr>
        <w:t xml:space="preserve">ummonses are listed for directions hearings. </w:t>
      </w:r>
      <w:r w:rsidR="001F0DE9" w:rsidRPr="003E55F6">
        <w:rPr>
          <w:szCs w:val="24"/>
        </w:rPr>
        <w:t xml:space="preserve">Cost Court directions hearings are held on the first Tuesday of every month. </w:t>
      </w:r>
    </w:p>
    <w:p w14:paraId="66B542BF" w14:textId="49400471" w:rsidR="001F0DE9" w:rsidRPr="003E55F6" w:rsidRDefault="001F0DE9" w:rsidP="00A11BC8">
      <w:pPr>
        <w:pStyle w:val="ListParagraph"/>
        <w:numPr>
          <w:ilvl w:val="0"/>
          <w:numId w:val="5"/>
        </w:numPr>
        <w:spacing w:after="120"/>
        <w:ind w:left="720"/>
        <w:jc w:val="both"/>
        <w:rPr>
          <w:szCs w:val="24"/>
        </w:rPr>
      </w:pPr>
      <w:r w:rsidRPr="003E55F6">
        <w:rPr>
          <w:szCs w:val="24"/>
        </w:rPr>
        <w:t xml:space="preserve">Where possible, </w:t>
      </w:r>
      <w:r w:rsidR="007D65CD">
        <w:rPr>
          <w:szCs w:val="24"/>
        </w:rPr>
        <w:t xml:space="preserve">minutes of proposed </w:t>
      </w:r>
      <w:r w:rsidRPr="003E55F6">
        <w:rPr>
          <w:szCs w:val="24"/>
        </w:rPr>
        <w:t>consent orders</w:t>
      </w:r>
      <w:r w:rsidR="007D65CD">
        <w:rPr>
          <w:szCs w:val="24"/>
        </w:rPr>
        <w:t xml:space="preserve"> for directions</w:t>
      </w:r>
      <w:r w:rsidRPr="003E55F6">
        <w:rPr>
          <w:szCs w:val="24"/>
        </w:rPr>
        <w:t xml:space="preserve"> should be exchanged between the parties and, once signed by all parties, forwarded to the Costs Court email address: </w:t>
      </w:r>
      <w:hyperlink r:id="rId21" w:history="1">
        <w:r w:rsidRPr="003E55F6">
          <w:rPr>
            <w:rStyle w:val="Hyperlink"/>
            <w:color w:val="auto"/>
            <w:szCs w:val="24"/>
          </w:rPr>
          <w:t>costs.court@supcourt.vic.gov.au</w:t>
        </w:r>
      </w:hyperlink>
      <w:r w:rsidRPr="003E55F6">
        <w:rPr>
          <w:szCs w:val="24"/>
        </w:rPr>
        <w:t xml:space="preserve">. </w:t>
      </w:r>
    </w:p>
    <w:p w14:paraId="52CE7FF6" w14:textId="66278F7D" w:rsidR="001F0DE9" w:rsidRPr="003E55F6" w:rsidRDefault="001F0DE9" w:rsidP="00A11BC8">
      <w:pPr>
        <w:pStyle w:val="ListParagraph"/>
        <w:numPr>
          <w:ilvl w:val="0"/>
          <w:numId w:val="5"/>
        </w:numPr>
        <w:spacing w:after="120"/>
        <w:ind w:left="720"/>
        <w:jc w:val="both"/>
        <w:rPr>
          <w:szCs w:val="24"/>
        </w:rPr>
      </w:pPr>
      <w:r w:rsidRPr="003E55F6">
        <w:rPr>
          <w:szCs w:val="24"/>
        </w:rPr>
        <w:t>Parties must advise the Costs Court of contact details (phone number, email address and any other necessary details) of one person who is fully briefed and authorised to attend.</w:t>
      </w:r>
    </w:p>
    <w:p w14:paraId="570FF3C1" w14:textId="1A322CFF" w:rsidR="001F0DE9" w:rsidRPr="00E00119" w:rsidRDefault="001F0DE9" w:rsidP="00A11BC8">
      <w:pPr>
        <w:pStyle w:val="ListParagraph"/>
        <w:numPr>
          <w:ilvl w:val="0"/>
          <w:numId w:val="5"/>
        </w:numPr>
        <w:spacing w:after="120"/>
        <w:ind w:left="720"/>
        <w:jc w:val="both"/>
        <w:rPr>
          <w:rFonts w:ascii="Times New Roman" w:hAnsi="Times New Roman"/>
          <w:sz w:val="20"/>
        </w:rPr>
      </w:pPr>
      <w:r w:rsidRPr="003E55F6">
        <w:rPr>
          <w:szCs w:val="24"/>
        </w:rPr>
        <w:t xml:space="preserve">At the directions hearing, the </w:t>
      </w:r>
      <w:r w:rsidR="00492DBA">
        <w:rPr>
          <w:szCs w:val="24"/>
        </w:rPr>
        <w:t>costs assessor</w:t>
      </w:r>
      <w:r w:rsidRPr="003E55F6">
        <w:rPr>
          <w:szCs w:val="24"/>
        </w:rPr>
        <w:t xml:space="preserve"> will decide whether the matter should be set down for mediation, </w:t>
      </w:r>
      <w:r w:rsidR="004C574F">
        <w:rPr>
          <w:szCs w:val="24"/>
        </w:rPr>
        <w:t xml:space="preserve">for </w:t>
      </w:r>
      <w:r w:rsidRPr="003E55F6">
        <w:rPr>
          <w:szCs w:val="24"/>
        </w:rPr>
        <w:t xml:space="preserve">an assessment in chambers or for </w:t>
      </w:r>
      <w:r w:rsidR="007D1230">
        <w:rPr>
          <w:szCs w:val="24"/>
        </w:rPr>
        <w:t>taxation</w:t>
      </w:r>
      <w:r w:rsidRPr="003E55F6">
        <w:rPr>
          <w:szCs w:val="24"/>
        </w:rPr>
        <w:t>.</w:t>
      </w:r>
      <w:r w:rsidR="007B05BE">
        <w:rPr>
          <w:szCs w:val="24"/>
        </w:rPr>
        <w:t xml:space="preserve">  The costs assessor will ordinarily make orders requiring the law practice to file and serve</w:t>
      </w:r>
      <w:r w:rsidR="006614DA">
        <w:rPr>
          <w:szCs w:val="24"/>
        </w:rPr>
        <w:t>:</w:t>
      </w:r>
    </w:p>
    <w:p w14:paraId="6EC83F49" w14:textId="68F953BA" w:rsidR="00932ABF" w:rsidRDefault="006614DA" w:rsidP="00932ABF">
      <w:pPr>
        <w:pStyle w:val="ListParagraph"/>
        <w:numPr>
          <w:ilvl w:val="0"/>
          <w:numId w:val="0"/>
        </w:numPr>
        <w:spacing w:after="120"/>
        <w:ind w:left="1440" w:hanging="720"/>
        <w:jc w:val="both"/>
        <w:rPr>
          <w:szCs w:val="24"/>
        </w:rPr>
      </w:pPr>
      <w:r>
        <w:t>(a)</w:t>
      </w:r>
      <w:r>
        <w:tab/>
      </w:r>
      <w:r w:rsidR="00932ABF">
        <w:rPr>
          <w:szCs w:val="24"/>
        </w:rPr>
        <w:t>in cases where only lump sum bills have been filed, or where any invoices filed lack sufficient detail to be taxed – an itemised bill of costs or itemised invoices;</w:t>
      </w:r>
    </w:p>
    <w:p w14:paraId="1330D7EC" w14:textId="77777777" w:rsidR="00932ABF" w:rsidRDefault="00932ABF" w:rsidP="00932ABF">
      <w:pPr>
        <w:pStyle w:val="ListParagraph"/>
        <w:numPr>
          <w:ilvl w:val="0"/>
          <w:numId w:val="0"/>
        </w:numPr>
        <w:spacing w:after="120"/>
        <w:ind w:left="1440" w:hanging="720"/>
        <w:jc w:val="both"/>
        <w:rPr>
          <w:szCs w:val="24"/>
        </w:rPr>
      </w:pPr>
      <w:r>
        <w:rPr>
          <w:szCs w:val="24"/>
        </w:rPr>
        <w:t>(b)</w:t>
      </w:r>
      <w:r>
        <w:rPr>
          <w:szCs w:val="24"/>
        </w:rPr>
        <w:tab/>
        <w:t>all costs agreements and costs disclosure statements given to the client upon which the law practice seeks to rely; and</w:t>
      </w:r>
    </w:p>
    <w:p w14:paraId="0C0DB752" w14:textId="5E03345D" w:rsidR="00932ABF" w:rsidRPr="00785855" w:rsidRDefault="00932ABF" w:rsidP="00785855">
      <w:pPr>
        <w:pStyle w:val="ListParagraph"/>
        <w:numPr>
          <w:ilvl w:val="0"/>
          <w:numId w:val="0"/>
        </w:numPr>
        <w:spacing w:after="120"/>
        <w:ind w:left="1440" w:hanging="720"/>
        <w:jc w:val="both"/>
        <w:rPr>
          <w:szCs w:val="24"/>
        </w:rPr>
      </w:pPr>
      <w:r>
        <w:rPr>
          <w:szCs w:val="24"/>
        </w:rPr>
        <w:t>(c)</w:t>
      </w:r>
      <w:r>
        <w:rPr>
          <w:szCs w:val="24"/>
        </w:rPr>
        <w:tab/>
        <w:t>a copy of the cash account.</w:t>
      </w:r>
    </w:p>
    <w:p w14:paraId="1A0728D4" w14:textId="77777777" w:rsidR="001F0DE9" w:rsidRPr="003E55F6" w:rsidRDefault="001F0DE9" w:rsidP="0038551F">
      <w:pPr>
        <w:pStyle w:val="Heading3"/>
        <w:spacing w:after="120"/>
      </w:pPr>
      <w:bookmarkStart w:id="24" w:name="_Toc178173290"/>
      <w:r w:rsidRPr="003E55F6">
        <w:t>Mediation</w:t>
      </w:r>
      <w:bookmarkEnd w:id="24"/>
    </w:p>
    <w:p w14:paraId="1FB60E35" w14:textId="3BFE1AA8" w:rsidR="001F0DE9" w:rsidRPr="003E55F6" w:rsidRDefault="001F0DE9" w:rsidP="00A11BC8">
      <w:pPr>
        <w:pStyle w:val="ListParagraph"/>
        <w:numPr>
          <w:ilvl w:val="0"/>
          <w:numId w:val="5"/>
        </w:numPr>
        <w:spacing w:after="120"/>
        <w:ind w:left="720"/>
        <w:jc w:val="both"/>
        <w:rPr>
          <w:szCs w:val="24"/>
        </w:rPr>
      </w:pPr>
      <w:r w:rsidRPr="003E55F6">
        <w:rPr>
          <w:szCs w:val="24"/>
        </w:rPr>
        <w:t>The Costs Court can order a mediation</w:t>
      </w:r>
      <w:r w:rsidR="00492DBA">
        <w:rPr>
          <w:szCs w:val="24"/>
        </w:rPr>
        <w:t xml:space="preserve"> in a solicitor/client taxation</w:t>
      </w:r>
      <w:r w:rsidRPr="003E55F6">
        <w:rPr>
          <w:szCs w:val="24"/>
        </w:rPr>
        <w:t xml:space="preserve"> at any stage </w:t>
      </w:r>
      <w:r w:rsidR="00492DBA">
        <w:rPr>
          <w:szCs w:val="24"/>
        </w:rPr>
        <w:t>of</w:t>
      </w:r>
      <w:r w:rsidRPr="003E55F6">
        <w:rPr>
          <w:szCs w:val="24"/>
        </w:rPr>
        <w:t xml:space="preserve"> the proceeding. </w:t>
      </w:r>
      <w:r w:rsidR="00492DBA">
        <w:rPr>
          <w:szCs w:val="24"/>
        </w:rPr>
        <w:t>M</w:t>
      </w:r>
      <w:r w:rsidRPr="003E55F6">
        <w:rPr>
          <w:szCs w:val="24"/>
        </w:rPr>
        <w:t>ediation</w:t>
      </w:r>
      <w:r w:rsidR="00492DBA">
        <w:rPr>
          <w:szCs w:val="24"/>
        </w:rPr>
        <w:t>s</w:t>
      </w:r>
      <w:r w:rsidRPr="003E55F6">
        <w:rPr>
          <w:szCs w:val="24"/>
        </w:rPr>
        <w:t xml:space="preserve"> will ordinarily be scheduled to </w:t>
      </w:r>
      <w:r w:rsidR="00492DBA">
        <w:rPr>
          <w:szCs w:val="24"/>
        </w:rPr>
        <w:t>take place</w:t>
      </w:r>
      <w:r w:rsidRPr="003E55F6">
        <w:rPr>
          <w:szCs w:val="24"/>
        </w:rPr>
        <w:t xml:space="preserve"> via the Zoom platform. If either party wishes to have the mediation conducted other than online, they should inform the Costs Court of that fact by sending an email to </w:t>
      </w:r>
      <w:hyperlink r:id="rId22" w:history="1">
        <w:r w:rsidRPr="003E55F6">
          <w:rPr>
            <w:rStyle w:val="Hyperlink"/>
            <w:color w:val="auto"/>
            <w:szCs w:val="24"/>
          </w:rPr>
          <w:t>costs.court@supcourt.vic.gov.au</w:t>
        </w:r>
      </w:hyperlink>
      <w:r w:rsidRPr="003E55F6">
        <w:rPr>
          <w:szCs w:val="24"/>
        </w:rPr>
        <w:t xml:space="preserve">, stating reasons for the proposed change to the mode of mediation (see </w:t>
      </w:r>
      <w:r w:rsidRPr="003E55F6">
        <w:rPr>
          <w:i/>
          <w:iCs/>
          <w:szCs w:val="24"/>
        </w:rPr>
        <w:t>Notice to the Profession -  New SCV Mediation Centre 21 April 2023</w:t>
      </w:r>
      <w:r w:rsidRPr="003E55F6">
        <w:rPr>
          <w:szCs w:val="24"/>
        </w:rPr>
        <w:t>).</w:t>
      </w:r>
    </w:p>
    <w:p w14:paraId="264BBBC8" w14:textId="2CE0B2C8" w:rsidR="001F0DE9" w:rsidRPr="003E55F6" w:rsidRDefault="004604A5" w:rsidP="00A11BC8">
      <w:pPr>
        <w:pStyle w:val="ListParagraph"/>
        <w:numPr>
          <w:ilvl w:val="0"/>
          <w:numId w:val="5"/>
        </w:numPr>
        <w:spacing w:after="120"/>
        <w:ind w:left="720"/>
        <w:jc w:val="both"/>
        <w:rPr>
          <w:szCs w:val="24"/>
        </w:rPr>
      </w:pPr>
      <w:r>
        <w:rPr>
          <w:szCs w:val="24"/>
        </w:rPr>
        <w:t>No later than two business days before the mediation, the p</w:t>
      </w:r>
      <w:r w:rsidR="001F0DE9" w:rsidRPr="003E55F6">
        <w:rPr>
          <w:szCs w:val="24"/>
        </w:rPr>
        <w:t xml:space="preserve">arties must advise the costs assessor assigned to mediate the matter </w:t>
      </w:r>
      <w:r w:rsidR="001F0DE9" w:rsidRPr="003E55F6">
        <w:t xml:space="preserve">of the contact details (phone number, email address and any other necessary details) of all persons who will be attending </w:t>
      </w:r>
      <w:r>
        <w:t xml:space="preserve">– </w:t>
      </w:r>
      <w:r w:rsidR="001F0DE9" w:rsidRPr="003E55F6">
        <w:t xml:space="preserve">including solicitors, counsel, costs consultants, clients and all persons with instructions to settle the matter. This advice must be sent to the Costs Court email address: </w:t>
      </w:r>
      <w:hyperlink r:id="rId23" w:history="1">
        <w:r w:rsidR="001F0DE9" w:rsidRPr="003E55F6">
          <w:rPr>
            <w:rStyle w:val="Hyperlink"/>
            <w:color w:val="auto"/>
          </w:rPr>
          <w:t>costs.court@supcourt.vic.gov.au</w:t>
        </w:r>
      </w:hyperlink>
      <w:r w:rsidR="001F0DE9" w:rsidRPr="003E55F6">
        <w:t xml:space="preserve">. </w:t>
      </w:r>
    </w:p>
    <w:p w14:paraId="426FA7CC" w14:textId="0EA64424" w:rsidR="001F0DE9" w:rsidRPr="003E55F6" w:rsidRDefault="001F0DE9" w:rsidP="00A11BC8">
      <w:pPr>
        <w:pStyle w:val="ListParagraph"/>
        <w:numPr>
          <w:ilvl w:val="0"/>
          <w:numId w:val="5"/>
        </w:numPr>
        <w:spacing w:after="120"/>
        <w:ind w:left="720"/>
        <w:jc w:val="both"/>
        <w:rPr>
          <w:szCs w:val="24"/>
        </w:rPr>
      </w:pPr>
      <w:r w:rsidRPr="003E55F6">
        <w:t xml:space="preserve">If the matter resolves at mediation, </w:t>
      </w:r>
      <w:r w:rsidR="004604A5">
        <w:t xml:space="preserve">consent </w:t>
      </w:r>
      <w:r w:rsidRPr="003E55F6">
        <w:t>orders will be made</w:t>
      </w:r>
      <w:r w:rsidR="004604A5">
        <w:t xml:space="preserve"> accordingly.</w:t>
      </w:r>
      <w:r w:rsidRPr="003E55F6">
        <w:t xml:space="preserve"> If the mediation is unsuccessful, the matter will be set down for assessment in </w:t>
      </w:r>
      <w:r w:rsidR="004604A5">
        <w:t>c</w:t>
      </w:r>
      <w:r w:rsidRPr="003E55F6">
        <w:t>hambers or for a taxation hearing.</w:t>
      </w:r>
    </w:p>
    <w:p w14:paraId="5085032B" w14:textId="7FDF47CD" w:rsidR="001F0DE9" w:rsidRPr="003E55F6" w:rsidRDefault="001F0DE9" w:rsidP="004604A5">
      <w:pPr>
        <w:pStyle w:val="Heading3"/>
        <w:keepNext/>
        <w:spacing w:after="120"/>
      </w:pPr>
      <w:bookmarkStart w:id="25" w:name="_Toc178173291"/>
      <w:r w:rsidRPr="003E55F6">
        <w:t xml:space="preserve">Assessment in </w:t>
      </w:r>
      <w:r w:rsidR="00BF6941">
        <w:t>c</w:t>
      </w:r>
      <w:r w:rsidRPr="003E55F6">
        <w:t>hambers</w:t>
      </w:r>
      <w:bookmarkEnd w:id="25"/>
    </w:p>
    <w:p w14:paraId="377DD1C0" w14:textId="474B2639" w:rsidR="0072168A" w:rsidRDefault="006D2D73" w:rsidP="00A11BC8">
      <w:pPr>
        <w:pStyle w:val="ListParagraph"/>
        <w:numPr>
          <w:ilvl w:val="0"/>
          <w:numId w:val="5"/>
        </w:numPr>
        <w:spacing w:after="120"/>
        <w:ind w:left="720"/>
        <w:jc w:val="both"/>
      </w:pPr>
      <w:r>
        <w:rPr>
          <w:szCs w:val="24"/>
        </w:rPr>
        <w:t xml:space="preserve">In </w:t>
      </w:r>
      <w:r w:rsidR="00F56A90">
        <w:rPr>
          <w:szCs w:val="24"/>
        </w:rPr>
        <w:t>an assessment in chambers in a solicitor/client matter, t</w:t>
      </w:r>
      <w:r w:rsidR="001F0DE9" w:rsidRPr="003E55F6">
        <w:rPr>
          <w:szCs w:val="24"/>
        </w:rPr>
        <w:t xml:space="preserve">he costs assessor </w:t>
      </w:r>
      <w:r w:rsidR="00F56A90">
        <w:rPr>
          <w:szCs w:val="24"/>
        </w:rPr>
        <w:t>will estimate</w:t>
      </w:r>
      <w:r w:rsidR="001F0DE9" w:rsidRPr="003E55F6">
        <w:rPr>
          <w:szCs w:val="24"/>
        </w:rPr>
        <w:t xml:space="preserve"> the </w:t>
      </w:r>
      <w:r>
        <w:rPr>
          <w:szCs w:val="24"/>
        </w:rPr>
        <w:t>total amount payable</w:t>
      </w:r>
      <w:r w:rsidR="001B7F64">
        <w:rPr>
          <w:szCs w:val="24"/>
        </w:rPr>
        <w:t xml:space="preserve"> to the </w:t>
      </w:r>
      <w:r w:rsidR="001F0DE9" w:rsidRPr="003E55F6">
        <w:rPr>
          <w:szCs w:val="24"/>
        </w:rPr>
        <w:t xml:space="preserve">law practice ‘on the papers’ and provide a notice of estimate to the parties. The parties </w:t>
      </w:r>
      <w:r w:rsidR="00EE4906">
        <w:rPr>
          <w:szCs w:val="24"/>
        </w:rPr>
        <w:t>will be given</w:t>
      </w:r>
      <w:r w:rsidR="001F0DE9" w:rsidRPr="003E55F6">
        <w:rPr>
          <w:szCs w:val="24"/>
        </w:rPr>
        <w:t xml:space="preserve"> 21 days to consider the estimate. If no objection to the notice of estimate is filed within 21 days, the</w:t>
      </w:r>
      <w:r w:rsidR="00EE4906">
        <w:rPr>
          <w:szCs w:val="24"/>
        </w:rPr>
        <w:t>n, ordinarily, the</w:t>
      </w:r>
      <w:r w:rsidR="001F0DE9" w:rsidRPr="003E55F6">
        <w:rPr>
          <w:szCs w:val="24"/>
        </w:rPr>
        <w:t xml:space="preserve"> cash account will be confirmed</w:t>
      </w:r>
      <w:r w:rsidR="001B7F64">
        <w:rPr>
          <w:szCs w:val="24"/>
        </w:rPr>
        <w:t>, the costs of the proceeding in the Costs Court will be determined</w:t>
      </w:r>
      <w:r w:rsidR="001F0DE9" w:rsidRPr="003E55F6">
        <w:rPr>
          <w:szCs w:val="24"/>
        </w:rPr>
        <w:t xml:space="preserve"> and final orders will be made. If either party objects, the matter will be listed for taxation.</w:t>
      </w:r>
    </w:p>
    <w:p w14:paraId="75F4C587" w14:textId="25AFBF33" w:rsidR="001F0DE9" w:rsidRPr="003E55F6" w:rsidRDefault="001F0DE9" w:rsidP="0038551F">
      <w:pPr>
        <w:pStyle w:val="Heading3"/>
        <w:spacing w:after="120"/>
      </w:pPr>
      <w:bookmarkStart w:id="26" w:name="_Toc178173292"/>
      <w:r w:rsidRPr="003E55F6">
        <w:t xml:space="preserve">Taxation </w:t>
      </w:r>
      <w:r w:rsidR="00BF6941">
        <w:t>h</w:t>
      </w:r>
      <w:r w:rsidRPr="003E55F6">
        <w:t>earing</w:t>
      </w:r>
      <w:bookmarkEnd w:id="26"/>
    </w:p>
    <w:p w14:paraId="31D99732" w14:textId="2E880CBC" w:rsidR="00373D86" w:rsidRDefault="003D718D" w:rsidP="00A11BC8">
      <w:pPr>
        <w:pStyle w:val="ListParagraph"/>
        <w:numPr>
          <w:ilvl w:val="0"/>
          <w:numId w:val="5"/>
        </w:numPr>
        <w:spacing w:after="120"/>
        <w:ind w:left="720"/>
        <w:jc w:val="both"/>
        <w:rPr>
          <w:szCs w:val="24"/>
        </w:rPr>
      </w:pPr>
      <w:r>
        <w:rPr>
          <w:szCs w:val="24"/>
        </w:rPr>
        <w:t>Where a solicitor/client matter is set down for taxation, the costs assessor will ordinarily make timetabling orders and any further orders required to facilitate the taxation, for example an order for inspection of the law practice</w:t>
      </w:r>
      <w:r w:rsidR="00B702F9">
        <w:rPr>
          <w:szCs w:val="24"/>
        </w:rPr>
        <w:t>’s file.</w:t>
      </w:r>
    </w:p>
    <w:p w14:paraId="4A4AD0D1" w14:textId="7A3AE48A" w:rsidR="001F0DE9" w:rsidRPr="003E55F6" w:rsidRDefault="00156FDA" w:rsidP="00A11BC8">
      <w:pPr>
        <w:pStyle w:val="ListParagraph"/>
        <w:numPr>
          <w:ilvl w:val="0"/>
          <w:numId w:val="5"/>
        </w:numPr>
        <w:spacing w:after="120"/>
        <w:ind w:left="720"/>
        <w:jc w:val="both"/>
        <w:rPr>
          <w:szCs w:val="24"/>
        </w:rPr>
      </w:pPr>
      <w:r w:rsidRPr="003E55F6">
        <w:rPr>
          <w:szCs w:val="24"/>
        </w:rPr>
        <w:t xml:space="preserve">If the matter proceeds to taxation, the hearing will </w:t>
      </w:r>
      <w:r>
        <w:rPr>
          <w:szCs w:val="24"/>
        </w:rPr>
        <w:t>occur</w:t>
      </w:r>
      <w:r w:rsidRPr="003E55F6">
        <w:rPr>
          <w:szCs w:val="24"/>
        </w:rPr>
        <w:t xml:space="preserve"> in person</w:t>
      </w:r>
      <w:r w:rsidR="005C0205">
        <w:rPr>
          <w:szCs w:val="24"/>
        </w:rPr>
        <w:t xml:space="preserve">. </w:t>
      </w:r>
      <w:r w:rsidRPr="003E55F6">
        <w:rPr>
          <w:szCs w:val="24"/>
        </w:rPr>
        <w:t xml:space="preserve"> </w:t>
      </w:r>
      <w:r w:rsidR="001F0DE9" w:rsidRPr="003E55F6">
        <w:rPr>
          <w:szCs w:val="24"/>
        </w:rPr>
        <w:t xml:space="preserve">The costs assessor will go through each item in the law practice’s bill that the client disputes, hear oral argument and determine the amount payable. </w:t>
      </w:r>
    </w:p>
    <w:p w14:paraId="24AF2CE0" w14:textId="3115BC61" w:rsidR="001F0DE9" w:rsidRPr="003E55F6" w:rsidRDefault="001F0DE9" w:rsidP="0038551F">
      <w:pPr>
        <w:pStyle w:val="Heading3"/>
        <w:spacing w:after="120"/>
      </w:pPr>
      <w:bookmarkStart w:id="27" w:name="_Toc178173293"/>
      <w:r w:rsidRPr="003E55F6">
        <w:t>Self-</w:t>
      </w:r>
      <w:r w:rsidR="00620D33">
        <w:t>r</w:t>
      </w:r>
      <w:r w:rsidRPr="003E55F6">
        <w:t xml:space="preserve">epresented </w:t>
      </w:r>
      <w:r w:rsidR="00620D33">
        <w:t>l</w:t>
      </w:r>
      <w:r w:rsidRPr="003E55F6">
        <w:t>itigants</w:t>
      </w:r>
      <w:bookmarkEnd w:id="27"/>
    </w:p>
    <w:p w14:paraId="6F59414C" w14:textId="05333A43" w:rsidR="001F0DE9" w:rsidRPr="003E55F6" w:rsidRDefault="001F0DE9" w:rsidP="00A11BC8">
      <w:pPr>
        <w:pStyle w:val="ListParagraph"/>
        <w:numPr>
          <w:ilvl w:val="0"/>
          <w:numId w:val="5"/>
        </w:numPr>
        <w:spacing w:after="120"/>
        <w:ind w:left="720"/>
        <w:jc w:val="both"/>
        <w:rPr>
          <w:szCs w:val="24"/>
        </w:rPr>
      </w:pPr>
      <w:r w:rsidRPr="003E55F6">
        <w:rPr>
          <w:szCs w:val="24"/>
        </w:rPr>
        <w:t>Self-represented litigants should familiarise themselves with the procedures applicable in the Costs Court by reference to the online information brochure titled ‘</w:t>
      </w:r>
      <w:hyperlink r:id="rId24" w:history="1">
        <w:r w:rsidRPr="003E55F6">
          <w:rPr>
            <w:rStyle w:val="Hyperlink"/>
            <w:color w:val="auto"/>
            <w:szCs w:val="24"/>
          </w:rPr>
          <w:t>A Guide to Representing Yourself When Requesting an Assessment of Your Solicitor’s Bill in the Costs Court</w:t>
        </w:r>
      </w:hyperlink>
      <w:r w:rsidRPr="003E55F6">
        <w:rPr>
          <w:szCs w:val="24"/>
        </w:rPr>
        <w:t>’.</w:t>
      </w:r>
      <w:r w:rsidR="003944E4">
        <w:rPr>
          <w:szCs w:val="24"/>
        </w:rPr>
        <w:t xml:space="preserve"> Other resources and contact details are available on the Court’s website.</w:t>
      </w:r>
    </w:p>
    <w:p w14:paraId="0A183C80" w14:textId="77777777" w:rsidR="00472B67" w:rsidRDefault="00472B67" w:rsidP="00753317">
      <w:pPr>
        <w:pStyle w:val="Heading1"/>
        <w:keepNext w:val="0"/>
      </w:pPr>
    </w:p>
    <w:p w14:paraId="27349D51" w14:textId="5F66E97D" w:rsidR="00753317" w:rsidRDefault="005527FB" w:rsidP="00753317">
      <w:pPr>
        <w:pStyle w:val="Heading1"/>
        <w:keepNext w:val="0"/>
      </w:pPr>
      <w:bookmarkStart w:id="28" w:name="_Toc178173294"/>
      <w:r>
        <w:t>APPLICATIONS FOR REVIEW OR RECONSIDERATION OF COSTS DETERMINATIONS</w:t>
      </w:r>
      <w:bookmarkEnd w:id="28"/>
    </w:p>
    <w:p w14:paraId="4FBC5B0A" w14:textId="3D76799D" w:rsidR="005527FB" w:rsidRPr="005527FB" w:rsidRDefault="009B5D03" w:rsidP="00A11BC8">
      <w:pPr>
        <w:pStyle w:val="ListParagraph"/>
        <w:numPr>
          <w:ilvl w:val="0"/>
          <w:numId w:val="5"/>
        </w:numPr>
        <w:spacing w:before="240" w:after="120"/>
        <w:ind w:left="720"/>
        <w:jc w:val="both"/>
      </w:pPr>
      <w:r>
        <w:t>Applications (under s 17H</w:t>
      </w:r>
      <w:r w:rsidR="00C24EF5">
        <w:t xml:space="preserve"> of the </w:t>
      </w:r>
      <w:r w:rsidR="00C24EF5">
        <w:rPr>
          <w:i/>
          <w:iCs/>
        </w:rPr>
        <w:t>Supreme Court Act 1986</w:t>
      </w:r>
      <w:r w:rsidR="00C24EF5">
        <w:t xml:space="preserve"> and r 63.91 of the </w:t>
      </w:r>
      <w:r w:rsidR="00C24EF5">
        <w:rPr>
          <w:i/>
          <w:iCs/>
        </w:rPr>
        <w:t>Rules</w:t>
      </w:r>
      <w:r w:rsidR="00C24EF5">
        <w:t xml:space="preserve"> or under s 17HA of the </w:t>
      </w:r>
      <w:r w:rsidR="00CE5420">
        <w:rPr>
          <w:i/>
          <w:iCs/>
        </w:rPr>
        <w:t>Supreme Court Act 1986</w:t>
      </w:r>
      <w:r w:rsidR="00CE5420">
        <w:t xml:space="preserve"> and r 63.94 of the </w:t>
      </w:r>
      <w:r w:rsidR="00CE5420">
        <w:rPr>
          <w:i/>
          <w:iCs/>
        </w:rPr>
        <w:t>Rules</w:t>
      </w:r>
      <w:r w:rsidR="00CE5420">
        <w:t xml:space="preserve">) for </w:t>
      </w:r>
      <w:r w:rsidR="000F0F88">
        <w:t xml:space="preserve">the </w:t>
      </w:r>
      <w:r w:rsidR="00CE5420">
        <w:t>review of costs determinations</w:t>
      </w:r>
      <w:r w:rsidR="000F0F88">
        <w:t>,</w:t>
      </w:r>
      <w:r w:rsidR="00CE5420">
        <w:t xml:space="preserve"> and applications (under r 63.93 or r</w:t>
      </w:r>
      <w:r w:rsidR="00F15332">
        <w:t xml:space="preserve"> 63.95 of the </w:t>
      </w:r>
      <w:r w:rsidR="00F15332">
        <w:rPr>
          <w:i/>
          <w:iCs/>
        </w:rPr>
        <w:t>Rules</w:t>
      </w:r>
      <w:r w:rsidR="00F15332">
        <w:t xml:space="preserve">) </w:t>
      </w:r>
      <w:r w:rsidR="007C7DD4">
        <w:t>for reconsideration of costs determinations, will be listed for directions at 9.30am on the monthly directions day.</w:t>
      </w:r>
    </w:p>
    <w:p w14:paraId="10F90E09" w14:textId="77777777" w:rsidR="004429E9" w:rsidRPr="00753317" w:rsidRDefault="004429E9" w:rsidP="00753317"/>
    <w:p w14:paraId="35AC6518" w14:textId="77777777" w:rsidR="00423713" w:rsidRPr="003E55F6" w:rsidRDefault="00423713" w:rsidP="00423713">
      <w:pPr>
        <w:pStyle w:val="Heading1"/>
      </w:pPr>
      <w:bookmarkStart w:id="29" w:name="_Toc178173295"/>
      <w:r w:rsidRPr="003E55F6">
        <w:t xml:space="preserve">APPLICATIONS BY </w:t>
      </w:r>
      <w:r>
        <w:t>A LAW PRACTICE</w:t>
      </w:r>
      <w:r w:rsidRPr="003E55F6">
        <w:t xml:space="preserve"> FOR COSTS PURSUANT TO s 134AB(31) OF THE </w:t>
      </w:r>
      <w:r w:rsidRPr="003E55F6">
        <w:rPr>
          <w:i/>
        </w:rPr>
        <w:t>ACCIDENT COMPENSATION ACT 1985</w:t>
      </w:r>
      <w:r w:rsidRPr="003E55F6">
        <w:t xml:space="preserve"> OR s 344(7) OF THE </w:t>
      </w:r>
      <w:r w:rsidRPr="003E55F6">
        <w:rPr>
          <w:i/>
        </w:rPr>
        <w:t xml:space="preserve">WORKPLACE INJURY REHABILITATION AND COMPENSATION ACT 2013 </w:t>
      </w:r>
      <w:r w:rsidRPr="003E55F6">
        <w:t>FOLLOWING RESOLUTION OR JUDGMENT IN A DAMAGES PROCEEDING</w:t>
      </w:r>
      <w:bookmarkEnd w:id="29"/>
      <w:r w:rsidRPr="003E55F6">
        <w:t xml:space="preserve"> </w:t>
      </w:r>
    </w:p>
    <w:p w14:paraId="31AF0C2E" w14:textId="087ECCD1" w:rsidR="00423713" w:rsidRDefault="00423713" w:rsidP="00423713">
      <w:pPr>
        <w:pStyle w:val="ListParagraph"/>
        <w:numPr>
          <w:ilvl w:val="0"/>
          <w:numId w:val="5"/>
        </w:numPr>
        <w:spacing w:before="240" w:after="120"/>
        <w:ind w:left="720"/>
        <w:jc w:val="both"/>
      </w:pPr>
      <w:r>
        <w:t>Where a law practice is</w:t>
      </w:r>
      <w:r w:rsidRPr="003E55F6">
        <w:t xml:space="preserve"> seeking costs pursuant to s 134AB(31) of the </w:t>
      </w:r>
      <w:r w:rsidRPr="003E55F6">
        <w:rPr>
          <w:i/>
        </w:rPr>
        <w:t xml:space="preserve">Accident </w:t>
      </w:r>
      <w:r w:rsidRPr="00181EE7">
        <w:rPr>
          <w:i/>
          <w:iCs/>
        </w:rPr>
        <w:t>Compensation</w:t>
      </w:r>
      <w:r w:rsidRPr="003E55F6">
        <w:rPr>
          <w:i/>
        </w:rPr>
        <w:t xml:space="preserve"> Act </w:t>
      </w:r>
      <w:r w:rsidRPr="00AE7CB0">
        <w:rPr>
          <w:i/>
        </w:rPr>
        <w:t>1985</w:t>
      </w:r>
      <w:r w:rsidRPr="00AE7CB0">
        <w:t xml:space="preserve"> or</w:t>
      </w:r>
      <w:r w:rsidRPr="003E55F6">
        <w:t xml:space="preserve"> </w:t>
      </w:r>
      <w:r w:rsidR="007801D8">
        <w:t xml:space="preserve">s </w:t>
      </w:r>
      <w:r w:rsidRPr="003E55F6">
        <w:t xml:space="preserve">344(7) of the </w:t>
      </w:r>
      <w:r w:rsidRPr="003E55F6">
        <w:rPr>
          <w:i/>
        </w:rPr>
        <w:t xml:space="preserve">Workplace Injury Rehabilitation and Compensation Act 2013 </w:t>
      </w:r>
      <w:r>
        <w:rPr>
          <w:iCs/>
        </w:rPr>
        <w:t xml:space="preserve">and </w:t>
      </w:r>
      <w:r w:rsidRPr="003E55F6">
        <w:t xml:space="preserve">has complied with County Court Practice Note PNCLD 2-2016 or </w:t>
      </w:r>
      <w:r w:rsidRPr="0038551F">
        <w:t xml:space="preserve">paragraph [13] of the </w:t>
      </w:r>
      <w:r w:rsidRPr="007801D8">
        <w:rPr>
          <w:bCs/>
        </w:rPr>
        <w:t>Supreme Court Practice Note SC CL 3 (Personal Injuries List),</w:t>
      </w:r>
      <w:r w:rsidRPr="003E55F6">
        <w:t xml:space="preserve"> </w:t>
      </w:r>
      <w:r>
        <w:t xml:space="preserve">as the case may be, </w:t>
      </w:r>
      <w:r w:rsidRPr="003E55F6">
        <w:t>and</w:t>
      </w:r>
      <w:r w:rsidR="007801D8">
        <w:t xml:space="preserve"> where</w:t>
      </w:r>
      <w:r w:rsidRPr="003E55F6">
        <w:t xml:space="preserve"> the Judge of the relevant Court</w:t>
      </w:r>
      <w:r>
        <w:t xml:space="preserve"> decides</w:t>
      </w:r>
      <w:r w:rsidRPr="003E55F6">
        <w:t xml:space="preserve"> that the claim for costs is to be reviewed by the Costs Court, the following steps will apply: </w:t>
      </w:r>
    </w:p>
    <w:p w14:paraId="23731EF9" w14:textId="1F2ED9C3" w:rsidR="00423713" w:rsidRDefault="00423713" w:rsidP="00423713">
      <w:pPr>
        <w:pStyle w:val="ListParagraph"/>
        <w:numPr>
          <w:ilvl w:val="0"/>
          <w:numId w:val="0"/>
        </w:numPr>
        <w:spacing w:before="240" w:after="120"/>
        <w:ind w:left="1440"/>
        <w:jc w:val="both"/>
      </w:pPr>
      <w:r>
        <w:t>(a)</w:t>
      </w:r>
      <w:r>
        <w:tab/>
        <w:t>The</w:t>
      </w:r>
      <w:r w:rsidR="007801D8">
        <w:t xml:space="preserve"> Judge makes </w:t>
      </w:r>
      <w:r w:rsidR="00625B77">
        <w:t xml:space="preserve">an </w:t>
      </w:r>
      <w:r>
        <w:t>order:</w:t>
      </w:r>
    </w:p>
    <w:p w14:paraId="1277FD44" w14:textId="77777777" w:rsidR="00423713" w:rsidRDefault="00423713" w:rsidP="00423713">
      <w:pPr>
        <w:pStyle w:val="ListParagraph"/>
        <w:numPr>
          <w:ilvl w:val="0"/>
          <w:numId w:val="0"/>
        </w:numPr>
        <w:spacing w:before="240" w:after="120"/>
        <w:ind w:left="2880" w:hanging="720"/>
        <w:jc w:val="both"/>
      </w:pPr>
      <w:r>
        <w:t>(i)</w:t>
      </w:r>
      <w:r>
        <w:tab/>
      </w:r>
      <w:r w:rsidRPr="003E55F6">
        <w:t>referring the application for costs to the Costs Court for review; and</w:t>
      </w:r>
    </w:p>
    <w:p w14:paraId="203BE622" w14:textId="748954BC" w:rsidR="00423713" w:rsidRDefault="00423713" w:rsidP="00423713">
      <w:pPr>
        <w:pStyle w:val="ListParagraph"/>
        <w:numPr>
          <w:ilvl w:val="0"/>
          <w:numId w:val="0"/>
        </w:numPr>
        <w:spacing w:before="240" w:after="120"/>
        <w:ind w:left="2880" w:hanging="720"/>
        <w:jc w:val="both"/>
      </w:pPr>
      <w:r>
        <w:t>(ii)</w:t>
      </w:r>
      <w:r>
        <w:tab/>
        <w:t>requiring</w:t>
      </w:r>
      <w:r w:rsidRPr="003E55F6">
        <w:t xml:space="preserve"> the </w:t>
      </w:r>
      <w:r>
        <w:t>law practice to</w:t>
      </w:r>
      <w:r w:rsidRPr="003E55F6">
        <w:t xml:space="preserve"> file</w:t>
      </w:r>
      <w:r w:rsidR="00625B77">
        <w:t xml:space="preserve"> a summons for taxation seeking a review of the costs.</w:t>
      </w:r>
    </w:p>
    <w:p w14:paraId="34F86451" w14:textId="52A94711" w:rsidR="00423713" w:rsidRDefault="00423713" w:rsidP="00423713">
      <w:pPr>
        <w:spacing w:before="240" w:after="120"/>
        <w:ind w:left="1440"/>
        <w:jc w:val="both"/>
        <w:rPr>
          <w:rFonts w:ascii="Book Antiqua" w:hAnsi="Book Antiqua"/>
        </w:rPr>
      </w:pPr>
      <w:r>
        <w:rPr>
          <w:rFonts w:ascii="Book Antiqua" w:hAnsi="Book Antiqua"/>
        </w:rPr>
        <w:t>(b)</w:t>
      </w:r>
      <w:r>
        <w:rPr>
          <w:rFonts w:ascii="Book Antiqua" w:hAnsi="Book Antiqua"/>
        </w:rPr>
        <w:tab/>
        <w:t>The law practice files the</w:t>
      </w:r>
      <w:r w:rsidRPr="00FE72A6">
        <w:rPr>
          <w:rFonts w:ascii="Book Antiqua" w:hAnsi="Book Antiqua"/>
        </w:rPr>
        <w:t xml:space="preserve"> summons for taxation</w:t>
      </w:r>
      <w:r w:rsidR="001A021C">
        <w:rPr>
          <w:rFonts w:ascii="Book Antiqua" w:hAnsi="Book Antiqua"/>
        </w:rPr>
        <w:t>.</w:t>
      </w:r>
    </w:p>
    <w:p w14:paraId="382D5995" w14:textId="131A2CBF" w:rsidR="00423713" w:rsidRPr="00FE72A6" w:rsidRDefault="00423713" w:rsidP="00423713">
      <w:pPr>
        <w:spacing w:before="240" w:after="120"/>
        <w:ind w:left="1440"/>
        <w:jc w:val="both"/>
        <w:rPr>
          <w:rFonts w:ascii="Book Antiqua" w:hAnsi="Book Antiqua"/>
        </w:rPr>
      </w:pPr>
      <w:r>
        <w:rPr>
          <w:rFonts w:ascii="Book Antiqua" w:hAnsi="Book Antiqua"/>
        </w:rPr>
        <w:t>(c)</w:t>
      </w:r>
      <w:r>
        <w:rPr>
          <w:rFonts w:ascii="Book Antiqua" w:hAnsi="Book Antiqua"/>
        </w:rPr>
        <w:tab/>
        <w:t>A Costs Court file is created</w:t>
      </w:r>
      <w:r w:rsidRPr="00FE72A6">
        <w:rPr>
          <w:rFonts w:ascii="Book Antiqua" w:hAnsi="Book Antiqua"/>
        </w:rPr>
        <w:t>.</w:t>
      </w:r>
    </w:p>
    <w:p w14:paraId="3ED28105" w14:textId="649FD7B1" w:rsidR="00423713" w:rsidRPr="003E55F6" w:rsidRDefault="00423713" w:rsidP="00423713">
      <w:pPr>
        <w:pStyle w:val="ListParagraph"/>
        <w:numPr>
          <w:ilvl w:val="0"/>
          <w:numId w:val="5"/>
        </w:numPr>
        <w:spacing w:before="240" w:after="120"/>
        <w:ind w:left="720"/>
        <w:jc w:val="both"/>
        <w:rPr>
          <w:bCs/>
        </w:rPr>
      </w:pPr>
      <w:r>
        <w:t>T</w:t>
      </w:r>
      <w:r w:rsidRPr="003E55F6">
        <w:t xml:space="preserve">he </w:t>
      </w:r>
      <w:r>
        <w:t>law practice</w:t>
      </w:r>
      <w:r w:rsidRPr="003E55F6">
        <w:t xml:space="preserve"> must file</w:t>
      </w:r>
      <w:r>
        <w:t xml:space="preserve"> with the summons for taxation</w:t>
      </w:r>
      <w:r w:rsidRPr="003E55F6">
        <w:t xml:space="preserve"> a copy of the referral order and copies of any affidavits filed in the County Court or the Supreme Court in accordance with County Court Practice Note PNCLD 6-2016 or</w:t>
      </w:r>
      <w:r>
        <w:t xml:space="preserve"> paragraph [13] of the</w:t>
      </w:r>
      <w:r w:rsidRPr="003E55F6">
        <w:rPr>
          <w:bCs/>
        </w:rPr>
        <w:t xml:space="preserve"> Supreme Court Practice Note SC CL 3 (Personal Injuries List)</w:t>
      </w:r>
      <w:r w:rsidR="001A021C">
        <w:rPr>
          <w:bCs/>
        </w:rPr>
        <w:t>, as the case may be</w:t>
      </w:r>
      <w:r w:rsidRPr="003E55F6">
        <w:rPr>
          <w:bCs/>
        </w:rPr>
        <w:t>.</w:t>
      </w:r>
    </w:p>
    <w:p w14:paraId="2CAC7921" w14:textId="77777777" w:rsidR="00423713" w:rsidRPr="003E55F6" w:rsidRDefault="00423713" w:rsidP="00423713">
      <w:pPr>
        <w:pStyle w:val="ListParagraph"/>
        <w:numPr>
          <w:ilvl w:val="0"/>
          <w:numId w:val="5"/>
        </w:numPr>
        <w:spacing w:before="240" w:after="120"/>
        <w:ind w:left="720"/>
        <w:jc w:val="both"/>
      </w:pPr>
      <w:r>
        <w:t xml:space="preserve">In the first instance, the review will be dealt with by way of an assessment in chambers by a costs assessor.  </w:t>
      </w:r>
    </w:p>
    <w:p w14:paraId="6FAFB86F" w14:textId="77777777" w:rsidR="00423713" w:rsidRPr="003E55F6" w:rsidRDefault="00423713" w:rsidP="00423713">
      <w:pPr>
        <w:pStyle w:val="ListParagraph"/>
        <w:numPr>
          <w:ilvl w:val="0"/>
          <w:numId w:val="5"/>
        </w:numPr>
        <w:spacing w:before="240" w:after="120"/>
        <w:ind w:left="720"/>
        <w:jc w:val="both"/>
      </w:pPr>
      <w:r w:rsidRPr="003E55F6">
        <w:t xml:space="preserve">For the purpose of </w:t>
      </w:r>
      <w:r>
        <w:t>the</w:t>
      </w:r>
      <w:r w:rsidRPr="003E55F6">
        <w:t xml:space="preserve"> assessment, the following additional </w:t>
      </w:r>
      <w:r>
        <w:t>requirements</w:t>
      </w:r>
      <w:r w:rsidRPr="003E55F6">
        <w:t xml:space="preserve"> will </w:t>
      </w:r>
      <w:r>
        <w:t>apply.</w:t>
      </w:r>
    </w:p>
    <w:p w14:paraId="4343652C" w14:textId="77777777" w:rsidR="00423713" w:rsidRPr="003E55F6" w:rsidRDefault="00423713" w:rsidP="00423713">
      <w:pPr>
        <w:pStyle w:val="OtherMatters"/>
        <w:numPr>
          <w:ilvl w:val="0"/>
          <w:numId w:val="0"/>
        </w:numPr>
        <w:ind w:left="1440" w:hanging="720"/>
        <w:rPr>
          <w:b/>
          <w:bCs/>
        </w:rPr>
      </w:pPr>
      <w:r w:rsidRPr="003E55F6">
        <w:rPr>
          <w:b/>
          <w:bCs/>
        </w:rPr>
        <w:t>(</w:t>
      </w:r>
      <w:r>
        <w:rPr>
          <w:b/>
          <w:bCs/>
        </w:rPr>
        <w:t>a</w:t>
      </w:r>
      <w:r w:rsidRPr="003E55F6">
        <w:rPr>
          <w:b/>
          <w:bCs/>
        </w:rPr>
        <w:t>)</w:t>
      </w:r>
      <w:r w:rsidRPr="003E55F6">
        <w:rPr>
          <w:b/>
          <w:bCs/>
        </w:rPr>
        <w:tab/>
        <w:t>Professional fees</w:t>
      </w:r>
    </w:p>
    <w:p w14:paraId="0B8D23BA" w14:textId="24AC76E8" w:rsidR="00423713" w:rsidRPr="003E55F6" w:rsidRDefault="00423713" w:rsidP="00423713">
      <w:pPr>
        <w:pStyle w:val="OtherMatters"/>
        <w:numPr>
          <w:ilvl w:val="0"/>
          <w:numId w:val="0"/>
        </w:numPr>
        <w:tabs>
          <w:tab w:val="left" w:pos="720"/>
        </w:tabs>
        <w:ind w:left="1440"/>
      </w:pPr>
      <w:r w:rsidRPr="003E55F6">
        <w:t>The law practice must file a breakdown of the professional fees being charged, itemised with sufficient particularity to enable the costs assessor to properly assess the reasonableness of the claim.</w:t>
      </w:r>
      <w:r>
        <w:t xml:space="preserve"> To the extent that the Supreme Court scale as in force up to 31 December 2024 applies, t</w:t>
      </w:r>
      <w:r w:rsidRPr="003E55F6">
        <w:t xml:space="preserve">he items in </w:t>
      </w:r>
      <w:r>
        <w:t>that</w:t>
      </w:r>
      <w:r w:rsidRPr="003E55F6">
        <w:t xml:space="preserve"> </w:t>
      </w:r>
      <w:r>
        <w:t>s</w:t>
      </w:r>
      <w:r w:rsidRPr="003E55F6">
        <w:t xml:space="preserve">cale should be used as a guide for the breakdown of professional fees, including details of the documents claimed as perused, scanned, drawn and engrossed, skilled and non-skilled attendances, etc. The loading for care, skill and responsibility, the uplift fee (if claimed) and GST must be separately identified. </w:t>
      </w:r>
    </w:p>
    <w:p w14:paraId="40A048C6" w14:textId="77777777" w:rsidR="00423713" w:rsidRPr="003E55F6" w:rsidRDefault="00423713" w:rsidP="00423713">
      <w:pPr>
        <w:pStyle w:val="OtherMatters"/>
        <w:numPr>
          <w:ilvl w:val="0"/>
          <w:numId w:val="0"/>
        </w:numPr>
        <w:tabs>
          <w:tab w:val="left" w:pos="1440"/>
        </w:tabs>
        <w:ind w:left="1440"/>
      </w:pPr>
      <w:r w:rsidRPr="003E55F6">
        <w:t>To the extent possible, the law practice should file an estimate of the breakdown of professional fees and disbursements recovered as between parties, including a list of disbursements which were unrecoverable from the other party.</w:t>
      </w:r>
    </w:p>
    <w:p w14:paraId="6014A23A" w14:textId="77777777" w:rsidR="00423713" w:rsidRPr="003E55F6" w:rsidRDefault="00423713" w:rsidP="00423713">
      <w:pPr>
        <w:pStyle w:val="OtherMatters"/>
        <w:numPr>
          <w:ilvl w:val="0"/>
          <w:numId w:val="0"/>
        </w:numPr>
        <w:ind w:left="720"/>
        <w:rPr>
          <w:b/>
          <w:bCs/>
        </w:rPr>
      </w:pPr>
      <w:r w:rsidRPr="003E55F6">
        <w:rPr>
          <w:b/>
          <w:bCs/>
        </w:rPr>
        <w:t>(</w:t>
      </w:r>
      <w:r>
        <w:rPr>
          <w:b/>
          <w:bCs/>
        </w:rPr>
        <w:t>b</w:t>
      </w:r>
      <w:r w:rsidRPr="003E55F6">
        <w:rPr>
          <w:b/>
          <w:bCs/>
        </w:rPr>
        <w:t>)</w:t>
      </w:r>
      <w:r w:rsidRPr="003E55F6">
        <w:rPr>
          <w:b/>
          <w:bCs/>
        </w:rPr>
        <w:tab/>
        <w:t>Disbursements</w:t>
      </w:r>
    </w:p>
    <w:p w14:paraId="12A08428" w14:textId="77777777" w:rsidR="00423713" w:rsidRPr="003E55F6" w:rsidRDefault="00423713" w:rsidP="00423713">
      <w:pPr>
        <w:pStyle w:val="OtherMatters"/>
        <w:numPr>
          <w:ilvl w:val="0"/>
          <w:numId w:val="0"/>
        </w:numPr>
        <w:tabs>
          <w:tab w:val="left" w:pos="720"/>
        </w:tabs>
        <w:ind w:left="1440"/>
      </w:pPr>
      <w:r w:rsidRPr="003E55F6">
        <w:t>In addition to a list of disbursements (including</w:t>
      </w:r>
      <w:r>
        <w:t>,</w:t>
      </w:r>
      <w:r w:rsidRPr="003E55F6">
        <w:t xml:space="preserve"> where possible, recovered and unrecovered disbursements), the law practice must file:</w:t>
      </w:r>
    </w:p>
    <w:p w14:paraId="32FABA63" w14:textId="77777777" w:rsidR="00423713" w:rsidRPr="003E55F6" w:rsidRDefault="00423713" w:rsidP="00423713">
      <w:pPr>
        <w:pStyle w:val="OtherMatters"/>
        <w:numPr>
          <w:ilvl w:val="0"/>
          <w:numId w:val="3"/>
        </w:numPr>
        <w:ind w:hanging="720"/>
      </w:pPr>
      <w:r>
        <w:t>a</w:t>
      </w:r>
      <w:r w:rsidRPr="003E55F6">
        <w:t>ll of counsel’s invoices</w:t>
      </w:r>
      <w:r>
        <w:t>;</w:t>
      </w:r>
    </w:p>
    <w:p w14:paraId="57CD4938" w14:textId="77777777" w:rsidR="00423713" w:rsidRPr="003E55F6" w:rsidRDefault="00423713" w:rsidP="00423713">
      <w:pPr>
        <w:pStyle w:val="OtherMatters"/>
        <w:numPr>
          <w:ilvl w:val="0"/>
          <w:numId w:val="3"/>
        </w:numPr>
        <w:ind w:hanging="720"/>
      </w:pPr>
      <w:r>
        <w:t>t</w:t>
      </w:r>
      <w:r w:rsidRPr="003E55F6">
        <w:t>he invoices of any other law practice claimed as a disbursement (if applicable), including the charges of costs lawyers or costs consultants for preparing assessments or bills of costs for party/party and solicitor/client costs recovery.</w:t>
      </w:r>
    </w:p>
    <w:p w14:paraId="797EE0B4" w14:textId="77777777" w:rsidR="00423713" w:rsidRPr="003E55F6" w:rsidRDefault="00423713" w:rsidP="00423713">
      <w:pPr>
        <w:pStyle w:val="OtherMatters"/>
        <w:numPr>
          <w:ilvl w:val="0"/>
          <w:numId w:val="0"/>
        </w:numPr>
        <w:ind w:left="1440" w:hanging="720"/>
        <w:rPr>
          <w:b/>
          <w:bCs/>
        </w:rPr>
      </w:pPr>
      <w:r w:rsidRPr="003E55F6">
        <w:rPr>
          <w:b/>
          <w:bCs/>
        </w:rPr>
        <w:t>(</w:t>
      </w:r>
      <w:r>
        <w:rPr>
          <w:b/>
          <w:bCs/>
        </w:rPr>
        <w:t>c</w:t>
      </w:r>
      <w:r w:rsidRPr="003E55F6">
        <w:rPr>
          <w:b/>
          <w:bCs/>
        </w:rPr>
        <w:t>)</w:t>
      </w:r>
      <w:r w:rsidRPr="003E55F6">
        <w:rPr>
          <w:b/>
          <w:bCs/>
        </w:rPr>
        <w:tab/>
        <w:t xml:space="preserve">Compliance with ss 174(1)–(2) of </w:t>
      </w:r>
      <w:r w:rsidRPr="003E55F6">
        <w:rPr>
          <w:b/>
          <w:bCs/>
          <w:i/>
          <w:iCs/>
        </w:rPr>
        <w:t xml:space="preserve">Legal Profession Uniform Law </w:t>
      </w:r>
      <w:r w:rsidRPr="003E55F6">
        <w:rPr>
          <w:b/>
          <w:bCs/>
        </w:rPr>
        <w:t>(‘</w:t>
      </w:r>
      <w:r w:rsidRPr="003E55F6">
        <w:rPr>
          <w:b/>
          <w:bCs/>
          <w:i/>
          <w:iCs/>
        </w:rPr>
        <w:t>LPUL</w:t>
      </w:r>
      <w:r w:rsidRPr="003E55F6">
        <w:rPr>
          <w:b/>
          <w:bCs/>
        </w:rPr>
        <w:t>’)</w:t>
      </w:r>
    </w:p>
    <w:p w14:paraId="137F40CB" w14:textId="77777777" w:rsidR="00423713" w:rsidRPr="003E55F6" w:rsidRDefault="00423713" w:rsidP="00423713">
      <w:pPr>
        <w:pStyle w:val="OtherMatters"/>
        <w:numPr>
          <w:ilvl w:val="0"/>
          <w:numId w:val="0"/>
        </w:numPr>
        <w:tabs>
          <w:tab w:val="left" w:pos="720"/>
        </w:tabs>
        <w:ind w:left="1440"/>
      </w:pPr>
      <w:r>
        <w:t>The law practice must f</w:t>
      </w:r>
      <w:r w:rsidRPr="003E55F6">
        <w:t xml:space="preserve">ile a brief statement </w:t>
      </w:r>
      <w:r w:rsidRPr="003E55F6">
        <w:rPr>
          <w:b/>
          <w:bCs/>
        </w:rPr>
        <w:t>(self-assessment)</w:t>
      </w:r>
      <w:r w:rsidRPr="003E55F6">
        <w:t xml:space="preserve"> indicating whether the law practice has complied with </w:t>
      </w:r>
      <w:r w:rsidRPr="003E55F6">
        <w:rPr>
          <w:i/>
          <w:iCs/>
        </w:rPr>
        <w:t xml:space="preserve">LPUL </w:t>
      </w:r>
      <w:r w:rsidRPr="003E55F6">
        <w:t>ss 174(1)–(2).</w:t>
      </w:r>
      <w:r>
        <w:t xml:space="preserve">  </w:t>
      </w:r>
      <w:r w:rsidRPr="003E55F6">
        <w:t xml:space="preserve">If </w:t>
      </w:r>
      <w:r>
        <w:t xml:space="preserve">the law practice assesses itself </w:t>
      </w:r>
      <w:r w:rsidRPr="003E55F6">
        <w:t>as ‘compliant’,</w:t>
      </w:r>
      <w:r>
        <w:t xml:space="preserve"> it must</w:t>
      </w:r>
      <w:r w:rsidRPr="003E55F6">
        <w:t xml:space="preserve"> file the information </w:t>
      </w:r>
      <w:r>
        <w:t xml:space="preserve">or material </w:t>
      </w:r>
      <w:r w:rsidRPr="003E55F6">
        <w:t>referred to in (</w:t>
      </w:r>
      <w:r>
        <w:t>d</w:t>
      </w:r>
      <w:r w:rsidRPr="003E55F6">
        <w:t>), (</w:t>
      </w:r>
      <w:r>
        <w:t>e</w:t>
      </w:r>
      <w:r w:rsidRPr="003E55F6">
        <w:t>) and (</w:t>
      </w:r>
      <w:r>
        <w:t>f</w:t>
      </w:r>
      <w:r w:rsidRPr="003E55F6">
        <w:t>) below.</w:t>
      </w:r>
      <w:r>
        <w:t xml:space="preserve">  </w:t>
      </w:r>
      <w:r w:rsidRPr="003E55F6">
        <w:t xml:space="preserve">If </w:t>
      </w:r>
      <w:r>
        <w:t>the law practice assesses itself</w:t>
      </w:r>
      <w:r w:rsidRPr="003E55F6">
        <w:t xml:space="preserve"> as ‘non-compliant’,</w:t>
      </w:r>
      <w:r>
        <w:t xml:space="preserve"> it must</w:t>
      </w:r>
      <w:r w:rsidRPr="003E55F6">
        <w:t xml:space="preserve"> file a short statement on the appropriate basis of charge that should be applied </w:t>
      </w:r>
      <w:r>
        <w:t>as a result of</w:t>
      </w:r>
      <w:r w:rsidRPr="003E55F6">
        <w:t xml:space="preserve"> the absence of a valid costs agreement.</w:t>
      </w:r>
    </w:p>
    <w:p w14:paraId="13E578B3" w14:textId="77777777" w:rsidR="00423713" w:rsidRPr="003E55F6" w:rsidRDefault="00423713" w:rsidP="00423713">
      <w:pPr>
        <w:pStyle w:val="OtherMatters"/>
        <w:numPr>
          <w:ilvl w:val="0"/>
          <w:numId w:val="0"/>
        </w:numPr>
        <w:ind w:left="1440" w:hanging="720"/>
        <w:rPr>
          <w:b/>
          <w:bCs/>
        </w:rPr>
      </w:pPr>
      <w:r w:rsidRPr="003E55F6">
        <w:rPr>
          <w:b/>
          <w:bCs/>
        </w:rPr>
        <w:t>(</w:t>
      </w:r>
      <w:r>
        <w:rPr>
          <w:b/>
          <w:bCs/>
        </w:rPr>
        <w:t>d</w:t>
      </w:r>
      <w:r w:rsidRPr="003E55F6">
        <w:rPr>
          <w:b/>
          <w:bCs/>
        </w:rPr>
        <w:t>)</w:t>
      </w:r>
      <w:r w:rsidRPr="003E55F6">
        <w:rPr>
          <w:b/>
          <w:bCs/>
        </w:rPr>
        <w:tab/>
        <w:t xml:space="preserve">Disclosure pursuant to s 177 of </w:t>
      </w:r>
      <w:r w:rsidRPr="003E55F6">
        <w:rPr>
          <w:b/>
          <w:bCs/>
          <w:i/>
          <w:iCs/>
        </w:rPr>
        <w:t>LPUL</w:t>
      </w:r>
    </w:p>
    <w:p w14:paraId="65543368" w14:textId="77777777" w:rsidR="00423713" w:rsidRPr="003E55F6" w:rsidRDefault="00423713" w:rsidP="00423713">
      <w:pPr>
        <w:pStyle w:val="OtherMatters"/>
        <w:numPr>
          <w:ilvl w:val="0"/>
          <w:numId w:val="0"/>
        </w:numPr>
        <w:tabs>
          <w:tab w:val="left" w:pos="720"/>
        </w:tabs>
        <w:ind w:left="1440"/>
      </w:pPr>
      <w:r>
        <w:t>D</w:t>
      </w:r>
      <w:r w:rsidRPr="003E55F6">
        <w:t xml:space="preserve">etails of disclosures made to the client before settlement was executed in accordance with </w:t>
      </w:r>
      <w:r w:rsidRPr="003E55F6">
        <w:rPr>
          <w:i/>
          <w:iCs/>
        </w:rPr>
        <w:t xml:space="preserve">LPUL </w:t>
      </w:r>
      <w:r w:rsidRPr="003E55F6">
        <w:t>s 177.</w:t>
      </w:r>
    </w:p>
    <w:p w14:paraId="6A450873" w14:textId="77777777" w:rsidR="00423713" w:rsidRPr="003E55F6" w:rsidRDefault="00423713" w:rsidP="00423713">
      <w:pPr>
        <w:pStyle w:val="OtherMatters"/>
        <w:numPr>
          <w:ilvl w:val="0"/>
          <w:numId w:val="0"/>
        </w:numPr>
        <w:ind w:left="1440" w:hanging="720"/>
        <w:rPr>
          <w:b/>
          <w:bCs/>
        </w:rPr>
      </w:pPr>
      <w:r w:rsidRPr="003E55F6">
        <w:rPr>
          <w:b/>
          <w:bCs/>
        </w:rPr>
        <w:t>(</w:t>
      </w:r>
      <w:r>
        <w:rPr>
          <w:b/>
          <w:bCs/>
        </w:rPr>
        <w:t>e</w:t>
      </w:r>
      <w:r w:rsidRPr="003E55F6">
        <w:rPr>
          <w:b/>
          <w:bCs/>
        </w:rPr>
        <w:t>)</w:t>
      </w:r>
      <w:r w:rsidRPr="003E55F6">
        <w:rPr>
          <w:b/>
          <w:bCs/>
        </w:rPr>
        <w:tab/>
        <w:t xml:space="preserve">Compliance with s 174(3) of </w:t>
      </w:r>
      <w:r w:rsidRPr="003E55F6">
        <w:rPr>
          <w:b/>
          <w:bCs/>
          <w:i/>
          <w:iCs/>
        </w:rPr>
        <w:t>LPUL</w:t>
      </w:r>
    </w:p>
    <w:p w14:paraId="756224A7" w14:textId="77777777" w:rsidR="00423713" w:rsidRPr="003E55F6" w:rsidRDefault="00423713" w:rsidP="00423713">
      <w:pPr>
        <w:pStyle w:val="OtherMatters"/>
        <w:numPr>
          <w:ilvl w:val="0"/>
          <w:numId w:val="0"/>
        </w:numPr>
        <w:tabs>
          <w:tab w:val="left" w:pos="720"/>
        </w:tabs>
        <w:ind w:left="1440"/>
      </w:pPr>
      <w:r>
        <w:t>A</w:t>
      </w:r>
      <w:r w:rsidRPr="003E55F6">
        <w:t xml:space="preserve"> brief statement </w:t>
      </w:r>
      <w:r>
        <w:t>setting out the</w:t>
      </w:r>
      <w:r w:rsidRPr="003E55F6">
        <w:t xml:space="preserve"> steps the law practice took to satisfy itself that the </w:t>
      </w:r>
      <w:r>
        <w:t>client</w:t>
      </w:r>
      <w:r w:rsidRPr="003E55F6">
        <w:t xml:space="preserve"> understood and consented to the disclosures given under </w:t>
      </w:r>
      <w:r w:rsidRPr="003E55F6">
        <w:rPr>
          <w:i/>
          <w:iCs/>
        </w:rPr>
        <w:t xml:space="preserve">LPUL </w:t>
      </w:r>
      <w:r w:rsidRPr="003E55F6">
        <w:t>s 174(1).</w:t>
      </w:r>
    </w:p>
    <w:p w14:paraId="512504B1" w14:textId="77777777" w:rsidR="00423713" w:rsidRPr="003E55F6" w:rsidRDefault="00423713" w:rsidP="00423713">
      <w:pPr>
        <w:pStyle w:val="OtherMatters"/>
        <w:numPr>
          <w:ilvl w:val="0"/>
          <w:numId w:val="0"/>
        </w:numPr>
        <w:ind w:left="1440" w:hanging="720"/>
        <w:rPr>
          <w:b/>
          <w:bCs/>
        </w:rPr>
      </w:pPr>
      <w:r w:rsidRPr="003E55F6">
        <w:rPr>
          <w:b/>
          <w:bCs/>
        </w:rPr>
        <w:t>(</w:t>
      </w:r>
      <w:r>
        <w:rPr>
          <w:b/>
          <w:bCs/>
        </w:rPr>
        <w:t>f</w:t>
      </w:r>
      <w:r w:rsidRPr="003E55F6">
        <w:rPr>
          <w:b/>
          <w:bCs/>
        </w:rPr>
        <w:t>)</w:t>
      </w:r>
      <w:r w:rsidRPr="003E55F6">
        <w:rPr>
          <w:b/>
          <w:bCs/>
        </w:rPr>
        <w:tab/>
        <w:t>Compliance with s 175(1) of LPUL – Counsel’s Fees</w:t>
      </w:r>
    </w:p>
    <w:p w14:paraId="1431D50B" w14:textId="77777777" w:rsidR="00423713" w:rsidRPr="003E55F6" w:rsidRDefault="00423713" w:rsidP="00423713">
      <w:pPr>
        <w:pStyle w:val="OtherMatters"/>
        <w:numPr>
          <w:ilvl w:val="0"/>
          <w:numId w:val="0"/>
        </w:numPr>
        <w:tabs>
          <w:tab w:val="left" w:pos="720"/>
        </w:tabs>
        <w:ind w:left="1440"/>
      </w:pPr>
      <w:r>
        <w:t>E</w:t>
      </w:r>
      <w:r w:rsidRPr="003E55F6">
        <w:t xml:space="preserve">vidence that the relevant disclosures with respect to counsel’s fees were made to the </w:t>
      </w:r>
      <w:r>
        <w:t>client</w:t>
      </w:r>
      <w:r w:rsidRPr="003E55F6">
        <w:t xml:space="preserve"> in compliance with </w:t>
      </w:r>
      <w:r w:rsidRPr="003E55F6">
        <w:rPr>
          <w:i/>
          <w:iCs/>
        </w:rPr>
        <w:t xml:space="preserve">LPUL </w:t>
      </w:r>
      <w:r w:rsidRPr="003E55F6">
        <w:t>s 175(1).</w:t>
      </w:r>
    </w:p>
    <w:p w14:paraId="56C6B932" w14:textId="18D332E0" w:rsidR="00423713" w:rsidRPr="003E55F6" w:rsidRDefault="00423713" w:rsidP="00423713">
      <w:pPr>
        <w:pStyle w:val="ListParagraph"/>
        <w:numPr>
          <w:ilvl w:val="0"/>
          <w:numId w:val="5"/>
        </w:numPr>
        <w:spacing w:before="240" w:after="120"/>
        <w:ind w:left="720"/>
        <w:jc w:val="both"/>
      </w:pPr>
      <w:r w:rsidRPr="003E55F6">
        <w:t xml:space="preserve">Upon completion of the assessment, the Costs Court will forward a </w:t>
      </w:r>
      <w:r>
        <w:t>n</w:t>
      </w:r>
      <w:r w:rsidRPr="003E55F6">
        <w:t xml:space="preserve">otice of </w:t>
      </w:r>
      <w:r>
        <w:t>e</w:t>
      </w:r>
      <w:r w:rsidRPr="003E55F6">
        <w:t xml:space="preserve">stimate to the Court that made the referral and to the </w:t>
      </w:r>
      <w:r>
        <w:t>law practice and the client</w:t>
      </w:r>
      <w:r w:rsidRPr="003E55F6">
        <w:t xml:space="preserve">. If no objection to the estimate is filed, the </w:t>
      </w:r>
      <w:r>
        <w:t xml:space="preserve">referring Court </w:t>
      </w:r>
      <w:r w:rsidRPr="003E55F6">
        <w:t>will be so advised and will further consider the application and</w:t>
      </w:r>
      <w:r>
        <w:t xml:space="preserve"> whether to</w:t>
      </w:r>
      <w:r w:rsidRPr="003E55F6">
        <w:t xml:space="preserve"> make an order pursuant to s</w:t>
      </w:r>
      <w:r>
        <w:t xml:space="preserve"> 134AB</w:t>
      </w:r>
      <w:r w:rsidRPr="003E55F6">
        <w:t xml:space="preserve"> </w:t>
      </w:r>
      <w:r>
        <w:t>(</w:t>
      </w:r>
      <w:r w:rsidRPr="003E55F6">
        <w:t>31</w:t>
      </w:r>
      <w:r>
        <w:t>)</w:t>
      </w:r>
      <w:r w:rsidRPr="003E55F6">
        <w:t xml:space="preserve"> of the </w:t>
      </w:r>
      <w:r w:rsidRPr="003E55F6">
        <w:rPr>
          <w:i/>
        </w:rPr>
        <w:t>Accident Compensation Act 1985</w:t>
      </w:r>
      <w:r>
        <w:t xml:space="preserve"> or s 3</w:t>
      </w:r>
      <w:r w:rsidRPr="003E55F6">
        <w:t xml:space="preserve">44(7) of the </w:t>
      </w:r>
      <w:r w:rsidRPr="003E55F6">
        <w:rPr>
          <w:i/>
        </w:rPr>
        <w:t>Workplace Injury Rehabilitation and Compensation Act 2013</w:t>
      </w:r>
      <w:r w:rsidR="00CB15B2">
        <w:t>, as the case may be</w:t>
      </w:r>
      <w:r>
        <w:t>.</w:t>
      </w:r>
    </w:p>
    <w:p w14:paraId="20BBA7D4" w14:textId="5DEAEEAC" w:rsidR="00423713" w:rsidRDefault="00423713" w:rsidP="00423713">
      <w:pPr>
        <w:pStyle w:val="ListParagraph"/>
        <w:numPr>
          <w:ilvl w:val="0"/>
          <w:numId w:val="5"/>
        </w:numPr>
        <w:spacing w:before="240" w:after="120"/>
        <w:ind w:left="720"/>
        <w:jc w:val="both"/>
      </w:pPr>
      <w:r w:rsidRPr="003E55F6">
        <w:t xml:space="preserve">If </w:t>
      </w:r>
      <w:r>
        <w:t>there is an objection</w:t>
      </w:r>
      <w:r w:rsidRPr="003E55F6">
        <w:t xml:space="preserve"> to the estimate, the matter will be </w:t>
      </w:r>
      <w:r>
        <w:t>dealt with</w:t>
      </w:r>
      <w:r w:rsidRPr="003E55F6">
        <w:t xml:space="preserve"> pursuant to the Legal Profession Legislation.</w:t>
      </w:r>
    </w:p>
    <w:p w14:paraId="4BFC717B" w14:textId="77777777" w:rsidR="00775461" w:rsidRDefault="00775461" w:rsidP="00753317">
      <w:pPr>
        <w:pStyle w:val="Heading1"/>
        <w:keepNext w:val="0"/>
      </w:pPr>
    </w:p>
    <w:p w14:paraId="4370C4A5" w14:textId="309B2C3A" w:rsidR="00D13455" w:rsidRPr="003E55F6" w:rsidRDefault="00D13455" w:rsidP="00753317">
      <w:pPr>
        <w:pStyle w:val="Heading1"/>
        <w:keepNext w:val="0"/>
      </w:pPr>
      <w:bookmarkStart w:id="30" w:name="_Toc178173296"/>
      <w:r w:rsidRPr="003E55F6">
        <w:t>APPEARANCES BY PERSONS WITHOUT AN ENTITLEMENT TO APPEAR IN THE COSTS COURT</w:t>
      </w:r>
      <w:bookmarkEnd w:id="30"/>
    </w:p>
    <w:p w14:paraId="5834CE99" w14:textId="77777777" w:rsidR="00D13455" w:rsidRPr="003E55F6" w:rsidRDefault="00D13455" w:rsidP="00A11BC8">
      <w:pPr>
        <w:pStyle w:val="ListParagraph"/>
        <w:numPr>
          <w:ilvl w:val="0"/>
          <w:numId w:val="5"/>
        </w:numPr>
        <w:spacing w:before="240" w:after="120"/>
        <w:ind w:left="720"/>
        <w:jc w:val="both"/>
      </w:pPr>
      <w:r w:rsidRPr="003E55F6">
        <w:t>The right to appear on behalf of another in the Supreme Court is reserved to those admitted to legal practice. Those without a right to appear must obtain the leave of the Court.</w:t>
      </w:r>
    </w:p>
    <w:p w14:paraId="7CE6A98E" w14:textId="412FE7DB" w:rsidR="00D13455" w:rsidRPr="003E55F6" w:rsidRDefault="00D13455" w:rsidP="00A11BC8">
      <w:pPr>
        <w:pStyle w:val="ListParagraph"/>
        <w:numPr>
          <w:ilvl w:val="0"/>
          <w:numId w:val="5"/>
        </w:numPr>
        <w:spacing w:before="240" w:after="120"/>
        <w:ind w:left="720"/>
        <w:jc w:val="both"/>
      </w:pPr>
      <w:r w:rsidRPr="003E55F6">
        <w:t xml:space="preserve">All persons who do not have a right to appear before the </w:t>
      </w:r>
      <w:r w:rsidR="000A6011">
        <w:t xml:space="preserve">Costs </w:t>
      </w:r>
      <w:r w:rsidRPr="003E55F6">
        <w:t xml:space="preserve">Court </w:t>
      </w:r>
      <w:r w:rsidR="008E2D72">
        <w:t>must</w:t>
      </w:r>
      <w:r w:rsidR="008E2D72" w:rsidRPr="003E55F6">
        <w:t xml:space="preserve"> </w:t>
      </w:r>
      <w:r w:rsidRPr="003E55F6">
        <w:t>indicate their intention to apply for leave to appear not less than 48 hours before the commencement of any hearing in which they seek to appear.</w:t>
      </w:r>
    </w:p>
    <w:p w14:paraId="3803B4F5" w14:textId="1451AE2D" w:rsidR="00D13455" w:rsidRPr="003E55F6" w:rsidRDefault="00D13455" w:rsidP="00A11BC8">
      <w:pPr>
        <w:pStyle w:val="ListParagraph"/>
        <w:numPr>
          <w:ilvl w:val="0"/>
          <w:numId w:val="5"/>
        </w:numPr>
        <w:spacing w:before="240" w:after="120"/>
        <w:ind w:left="720"/>
        <w:jc w:val="both"/>
      </w:pPr>
      <w:r w:rsidRPr="003E55F6">
        <w:t>This should be done by letter addressed to the</w:t>
      </w:r>
      <w:r w:rsidR="00E83224">
        <w:t xml:space="preserve"> costs assessor before whom the matter is listed.</w:t>
      </w:r>
      <w:r w:rsidRPr="003E55F6">
        <w:t xml:space="preserve"> </w:t>
      </w:r>
      <w:r w:rsidR="004E35B6">
        <w:t>The letter</w:t>
      </w:r>
      <w:r w:rsidRPr="003E55F6">
        <w:t xml:space="preserve"> should contain an acknowledgement that the person seeking leave to appear has read and understands their obligations under the </w:t>
      </w:r>
      <w:r w:rsidRPr="003E55F6">
        <w:rPr>
          <w:i/>
          <w:iCs/>
        </w:rPr>
        <w:t xml:space="preserve">CPA </w:t>
      </w:r>
      <w:r w:rsidRPr="003E55F6">
        <w:t>and the potential sanctions for breach of those obligations. The letter must be filed with the Costs Court electronically and a copy of the letter sent to the other parties in the matter.</w:t>
      </w:r>
    </w:p>
    <w:p w14:paraId="0141E4F6" w14:textId="1C93AF52" w:rsidR="00D13455" w:rsidRPr="003E55F6" w:rsidRDefault="00D13455" w:rsidP="00A11BC8">
      <w:pPr>
        <w:pStyle w:val="ListParagraph"/>
        <w:numPr>
          <w:ilvl w:val="0"/>
          <w:numId w:val="5"/>
        </w:numPr>
        <w:spacing w:before="240" w:after="120"/>
        <w:ind w:left="720"/>
        <w:jc w:val="both"/>
      </w:pPr>
      <w:r w:rsidRPr="003E55F6">
        <w:t>Where a person seeks leave to appear before the Costs Court</w:t>
      </w:r>
      <w:r w:rsidR="001706A5">
        <w:t>,</w:t>
      </w:r>
      <w:r w:rsidRPr="003E55F6">
        <w:t xml:space="preserve"> </w:t>
      </w:r>
      <w:r w:rsidR="001706A5">
        <w:t>the person</w:t>
      </w:r>
      <w:r w:rsidRPr="003E55F6">
        <w:t xml:space="preserve"> </w:t>
      </w:r>
      <w:r w:rsidR="00192729">
        <w:t>must</w:t>
      </w:r>
      <w:r w:rsidR="00192729" w:rsidRPr="003E55F6">
        <w:t xml:space="preserve"> </w:t>
      </w:r>
      <w:r w:rsidRPr="003E55F6">
        <w:t>disclose:</w:t>
      </w:r>
    </w:p>
    <w:p w14:paraId="57F96F8E" w14:textId="15DB0D57" w:rsidR="00D13455" w:rsidRPr="003E55F6" w:rsidRDefault="00D13455" w:rsidP="00D13455">
      <w:pPr>
        <w:pStyle w:val="ListParagraph"/>
        <w:numPr>
          <w:ilvl w:val="0"/>
          <w:numId w:val="0"/>
        </w:numPr>
        <w:spacing w:after="120"/>
        <w:ind w:left="1440" w:hanging="720"/>
        <w:jc w:val="both"/>
      </w:pPr>
      <w:r w:rsidRPr="003E55F6">
        <w:t>(</w:t>
      </w:r>
      <w:r w:rsidR="004E35B6">
        <w:t>a</w:t>
      </w:r>
      <w:r w:rsidRPr="003E55F6">
        <w:t>)</w:t>
      </w:r>
      <w:r w:rsidRPr="003E55F6">
        <w:tab/>
      </w:r>
      <w:r w:rsidR="004218BA">
        <w:t>w</w:t>
      </w:r>
      <w:r w:rsidRPr="003E55F6">
        <w:t xml:space="preserve">hether </w:t>
      </w:r>
      <w:r w:rsidR="001706A5">
        <w:t>the person is</w:t>
      </w:r>
      <w:r w:rsidRPr="003E55F6">
        <w:t xml:space="preserve"> a disqualified person or ha</w:t>
      </w:r>
      <w:r w:rsidR="001706A5">
        <w:t>s</w:t>
      </w:r>
      <w:r w:rsidRPr="003E55F6">
        <w:t xml:space="preserve"> been found guilty of a relevant offence under the Legal Profession Legislation</w:t>
      </w:r>
      <w:r w:rsidR="004218BA">
        <w:t>; and</w:t>
      </w:r>
    </w:p>
    <w:p w14:paraId="173991A7" w14:textId="3198759C" w:rsidR="00D13455" w:rsidRPr="003E55F6" w:rsidRDefault="00D13455" w:rsidP="00D13455">
      <w:pPr>
        <w:pStyle w:val="ListParagraph"/>
        <w:numPr>
          <w:ilvl w:val="0"/>
          <w:numId w:val="0"/>
        </w:numPr>
        <w:spacing w:after="120"/>
        <w:ind w:left="1440" w:hanging="720"/>
        <w:jc w:val="both"/>
      </w:pPr>
      <w:r w:rsidRPr="003E55F6">
        <w:t>(</w:t>
      </w:r>
      <w:r w:rsidR="004E35B6">
        <w:t>b</w:t>
      </w:r>
      <w:r w:rsidRPr="003E55F6">
        <w:t>)</w:t>
      </w:r>
      <w:r w:rsidRPr="003E55F6">
        <w:tab/>
      </w:r>
      <w:r w:rsidR="004218BA">
        <w:t>i</w:t>
      </w:r>
      <w:r w:rsidRPr="003E55F6">
        <w:t>f so</w:t>
      </w:r>
      <w:r w:rsidR="004218BA">
        <w:t xml:space="preserve">, </w:t>
      </w:r>
      <w:r w:rsidR="00A4122D">
        <w:t xml:space="preserve">whether </w:t>
      </w:r>
      <w:r w:rsidR="001706A5">
        <w:t>the person has</w:t>
      </w:r>
      <w:r w:rsidR="000F5FE8">
        <w:t xml:space="preserve"> so</w:t>
      </w:r>
      <w:r w:rsidR="00A4122D">
        <w:t xml:space="preserve"> informed the </w:t>
      </w:r>
      <w:r w:rsidR="00192729">
        <w:t xml:space="preserve">client’s </w:t>
      </w:r>
      <w:r w:rsidR="00A4122D">
        <w:t>solicitor</w:t>
      </w:r>
      <w:r w:rsidR="000F5FE8">
        <w:t xml:space="preserve"> on the record (if any) </w:t>
      </w:r>
      <w:r w:rsidRPr="003E55F6">
        <w:t xml:space="preserve">and whether the Legal Services Board has given approval under the Legal Profession Legislation. </w:t>
      </w:r>
    </w:p>
    <w:p w14:paraId="1695644D" w14:textId="74F30B59" w:rsidR="00D13455" w:rsidRDefault="001D3993" w:rsidP="001C72CD">
      <w:pPr>
        <w:pStyle w:val="ListParagraph"/>
        <w:numPr>
          <w:ilvl w:val="0"/>
          <w:numId w:val="5"/>
        </w:numPr>
        <w:spacing w:before="240" w:after="120"/>
        <w:ind w:left="720"/>
        <w:jc w:val="both"/>
      </w:pPr>
      <w:r>
        <w:t>Where a</w:t>
      </w:r>
      <w:r w:rsidR="00D13455" w:rsidRPr="003E55F6">
        <w:t xml:space="preserve"> legal practitioner </w:t>
      </w:r>
      <w:r w:rsidR="005639B9">
        <w:t>proposes to</w:t>
      </w:r>
      <w:r w:rsidR="00D13455" w:rsidRPr="003E55F6">
        <w:t xml:space="preserve"> engage a person to appear before the Costs Court</w:t>
      </w:r>
      <w:r w:rsidR="00E90593">
        <w:t>,</w:t>
      </w:r>
      <w:r w:rsidR="005639B9">
        <w:t xml:space="preserve"> and</w:t>
      </w:r>
      <w:r w:rsidR="000A4EC6">
        <w:t xml:space="preserve"> </w:t>
      </w:r>
      <w:r w:rsidR="005639B9">
        <w:t>that</w:t>
      </w:r>
      <w:r w:rsidR="000A4EC6">
        <w:t xml:space="preserve"> person</w:t>
      </w:r>
      <w:r w:rsidR="00D13455" w:rsidRPr="003E55F6">
        <w:t xml:space="preserve"> requires the leave of the Court to appear</w:t>
      </w:r>
      <w:r w:rsidR="000A4EC6">
        <w:t>,</w:t>
      </w:r>
      <w:r w:rsidR="006D6FD0">
        <w:t xml:space="preserve"> the legal practitioner must first be appropriately satisf</w:t>
      </w:r>
      <w:r w:rsidR="00BD4C2A">
        <w:t>ied</w:t>
      </w:r>
      <w:r w:rsidR="006D6FD0">
        <w:t xml:space="preserve"> </w:t>
      </w:r>
      <w:r w:rsidR="00D13455" w:rsidRPr="003E55F6">
        <w:t xml:space="preserve">that the person is suitable to appear on behalf of </w:t>
      </w:r>
      <w:r w:rsidR="00BD4C2A">
        <w:t>the</w:t>
      </w:r>
      <w:r w:rsidR="00D13455" w:rsidRPr="003E55F6">
        <w:t xml:space="preserve"> client. </w:t>
      </w:r>
      <w:r w:rsidR="000A4EC6">
        <w:t xml:space="preserve"> W</w:t>
      </w:r>
      <w:r w:rsidR="00D13455" w:rsidRPr="003E55F6">
        <w:t xml:space="preserve">here the costs of that appearance </w:t>
      </w:r>
      <w:r w:rsidR="000A4EC6">
        <w:t>would</w:t>
      </w:r>
      <w:r w:rsidR="00D13455" w:rsidRPr="003E55F6">
        <w:t xml:space="preserve"> not be able to be claimed on taxation (see </w:t>
      </w:r>
      <w:proofErr w:type="spellStart"/>
      <w:r w:rsidR="00D13455" w:rsidRPr="003E55F6">
        <w:rPr>
          <w:i/>
          <w:iCs/>
        </w:rPr>
        <w:t>Mietto</w:t>
      </w:r>
      <w:proofErr w:type="spellEnd"/>
      <w:r w:rsidR="00D13455" w:rsidRPr="003E55F6">
        <w:rPr>
          <w:i/>
          <w:iCs/>
        </w:rPr>
        <w:t xml:space="preserve"> v G4S Custodial Services Pty Ltd</w:t>
      </w:r>
      <w:r w:rsidR="00D13455" w:rsidRPr="003E55F6">
        <w:t xml:space="preserve"> [2010] VSC 304)</w:t>
      </w:r>
      <w:r w:rsidR="00171276">
        <w:t>, the legal practitioner must inform the client of that fact before engaging the person.</w:t>
      </w:r>
    </w:p>
    <w:p w14:paraId="13203DF2" w14:textId="77777777" w:rsidR="006D6FD0" w:rsidRPr="00E90593" w:rsidRDefault="006D6FD0" w:rsidP="006D6FD0">
      <w:pPr>
        <w:pStyle w:val="ListParagraph"/>
        <w:numPr>
          <w:ilvl w:val="0"/>
          <w:numId w:val="0"/>
        </w:numPr>
        <w:spacing w:before="240" w:after="120"/>
        <w:ind w:left="720"/>
        <w:jc w:val="both"/>
        <w:rPr>
          <w:sz w:val="2"/>
          <w:szCs w:val="2"/>
        </w:rPr>
      </w:pPr>
    </w:p>
    <w:p w14:paraId="3E67E676" w14:textId="77777777" w:rsidR="001F0DE9" w:rsidRPr="003E55F6" w:rsidRDefault="001F0DE9" w:rsidP="00620D33">
      <w:pPr>
        <w:pStyle w:val="Heading1"/>
      </w:pPr>
      <w:bookmarkStart w:id="31" w:name="_Toc178173297"/>
      <w:r w:rsidRPr="003E55F6">
        <w:t>POINTS OF CONTACT</w:t>
      </w:r>
      <w:bookmarkEnd w:id="31"/>
    </w:p>
    <w:p w14:paraId="330100D4" w14:textId="2C393120" w:rsidR="001F0DE9" w:rsidRPr="003E55F6" w:rsidRDefault="001F0DE9" w:rsidP="00A11BC8">
      <w:pPr>
        <w:pStyle w:val="ListParagraph"/>
        <w:numPr>
          <w:ilvl w:val="0"/>
          <w:numId w:val="5"/>
        </w:numPr>
        <w:spacing w:before="240" w:after="120"/>
        <w:ind w:left="720"/>
        <w:jc w:val="both"/>
      </w:pPr>
      <w:r w:rsidRPr="003E55F6">
        <w:t>For assessment and mediation listing, contact the Principal Registry via:</w:t>
      </w:r>
    </w:p>
    <w:p w14:paraId="48899530" w14:textId="77777777" w:rsidR="001F0DE9" w:rsidRPr="003E55F6" w:rsidRDefault="001F0DE9" w:rsidP="001F0DE9">
      <w:pPr>
        <w:spacing w:after="120"/>
        <w:ind w:left="720"/>
        <w:jc w:val="both"/>
        <w:rPr>
          <w:rFonts w:ascii="Book Antiqua" w:hAnsi="Book Antiqua"/>
        </w:rPr>
      </w:pPr>
      <w:r w:rsidRPr="003E55F6">
        <w:rPr>
          <w:rFonts w:ascii="Book Antiqua" w:hAnsi="Book Antiqua"/>
          <w:b/>
          <w:bCs/>
        </w:rPr>
        <w:t>Email:</w:t>
      </w:r>
      <w:r w:rsidRPr="003E55F6">
        <w:rPr>
          <w:rFonts w:ascii="Book Antiqua" w:hAnsi="Book Antiqua"/>
        </w:rPr>
        <w:t xml:space="preserve"> </w:t>
      </w:r>
      <w:r w:rsidRPr="003E55F6">
        <w:rPr>
          <w:rFonts w:ascii="Book Antiqua" w:hAnsi="Book Antiqua"/>
        </w:rPr>
        <w:tab/>
      </w:r>
      <w:hyperlink r:id="rId25" w:history="1">
        <w:r w:rsidRPr="003E55F6">
          <w:rPr>
            <w:rStyle w:val="Hyperlink"/>
            <w:rFonts w:ascii="Book Antiqua" w:hAnsi="Book Antiqua"/>
            <w:color w:val="auto"/>
          </w:rPr>
          <w:t>costs.court@supcourt.vic.gov.au</w:t>
        </w:r>
      </w:hyperlink>
    </w:p>
    <w:p w14:paraId="612D39E9" w14:textId="77777777" w:rsidR="001F0DE9" w:rsidRPr="003E55F6" w:rsidRDefault="001F0DE9" w:rsidP="001F0DE9">
      <w:pPr>
        <w:spacing w:after="120"/>
        <w:ind w:left="720"/>
        <w:jc w:val="both"/>
        <w:rPr>
          <w:rFonts w:ascii="Book Antiqua" w:hAnsi="Book Antiqua"/>
        </w:rPr>
      </w:pPr>
      <w:r w:rsidRPr="003E55F6">
        <w:rPr>
          <w:rFonts w:ascii="Book Antiqua" w:hAnsi="Book Antiqua"/>
          <w:b/>
          <w:bCs/>
        </w:rPr>
        <w:t>Phone:</w:t>
      </w:r>
      <w:r w:rsidRPr="003E55F6">
        <w:rPr>
          <w:rFonts w:ascii="Book Antiqua" w:hAnsi="Book Antiqua"/>
        </w:rPr>
        <w:t xml:space="preserve"> </w:t>
      </w:r>
      <w:r w:rsidRPr="003E55F6">
        <w:rPr>
          <w:rFonts w:ascii="Book Antiqua" w:hAnsi="Book Antiqua"/>
        </w:rPr>
        <w:tab/>
        <w:t>+61 (03) 9603 9393</w:t>
      </w:r>
    </w:p>
    <w:p w14:paraId="1F1399EE" w14:textId="77777777" w:rsidR="001F0DE9" w:rsidRPr="003E55F6" w:rsidRDefault="001F0DE9" w:rsidP="00A11BC8">
      <w:pPr>
        <w:pStyle w:val="ListParagraph"/>
        <w:numPr>
          <w:ilvl w:val="0"/>
          <w:numId w:val="5"/>
        </w:numPr>
        <w:spacing w:before="240" w:after="120"/>
        <w:ind w:left="720"/>
        <w:jc w:val="both"/>
      </w:pPr>
      <w:r w:rsidRPr="003E55F6">
        <w:t>Where a matter settles or the mediation is no longer required, the solicitor for the applicant must notify the Court immediately, via:</w:t>
      </w:r>
    </w:p>
    <w:p w14:paraId="4E0503B8" w14:textId="77777777" w:rsidR="001F0DE9" w:rsidRPr="003E55F6" w:rsidRDefault="001F0DE9" w:rsidP="001F0DE9">
      <w:pPr>
        <w:ind w:left="720"/>
        <w:jc w:val="both"/>
        <w:rPr>
          <w:rFonts w:ascii="Book Antiqua" w:hAnsi="Book Antiqua"/>
        </w:rPr>
      </w:pPr>
      <w:r w:rsidRPr="003E55F6">
        <w:rPr>
          <w:rFonts w:ascii="Book Antiqua" w:hAnsi="Book Antiqua"/>
          <w:b/>
          <w:bCs/>
        </w:rPr>
        <w:t>Email:</w:t>
      </w:r>
      <w:r w:rsidRPr="003E55F6">
        <w:rPr>
          <w:rFonts w:ascii="Book Antiqua" w:hAnsi="Book Antiqua"/>
        </w:rPr>
        <w:t xml:space="preserve"> </w:t>
      </w:r>
      <w:r w:rsidRPr="003E55F6">
        <w:rPr>
          <w:rFonts w:ascii="Book Antiqua" w:hAnsi="Book Antiqua"/>
        </w:rPr>
        <w:tab/>
      </w:r>
      <w:hyperlink r:id="rId26" w:history="1">
        <w:r w:rsidRPr="003E55F6">
          <w:rPr>
            <w:rStyle w:val="Hyperlink"/>
            <w:rFonts w:ascii="Book Antiqua" w:hAnsi="Book Antiqua"/>
            <w:color w:val="auto"/>
          </w:rPr>
          <w:t>costs.court@supcourt.vic.gov.au</w:t>
        </w:r>
      </w:hyperlink>
    </w:p>
    <w:p w14:paraId="316C95E4" w14:textId="77777777" w:rsidR="001F0DE9" w:rsidRPr="003E55F6" w:rsidRDefault="001F0DE9" w:rsidP="001F0DE9">
      <w:pPr>
        <w:spacing w:before="120" w:after="120"/>
        <w:ind w:left="720"/>
        <w:jc w:val="both"/>
        <w:rPr>
          <w:rFonts w:ascii="Book Antiqua" w:hAnsi="Book Antiqua"/>
        </w:rPr>
      </w:pPr>
      <w:r w:rsidRPr="003E55F6">
        <w:rPr>
          <w:rFonts w:ascii="Book Antiqua" w:hAnsi="Book Antiqua"/>
          <w:b/>
          <w:bCs/>
        </w:rPr>
        <w:t>Phone:</w:t>
      </w:r>
      <w:r w:rsidRPr="003E55F6">
        <w:rPr>
          <w:rFonts w:ascii="Book Antiqua" w:hAnsi="Book Antiqua"/>
        </w:rPr>
        <w:t xml:space="preserve"> </w:t>
      </w:r>
      <w:r w:rsidRPr="003E55F6">
        <w:rPr>
          <w:rFonts w:ascii="Book Antiqua" w:hAnsi="Book Antiqua"/>
        </w:rPr>
        <w:tab/>
        <w:t>+61 (03) 9603 9324</w:t>
      </w:r>
    </w:p>
    <w:p w14:paraId="2DBF22D2" w14:textId="77777777" w:rsidR="001F0DE9" w:rsidRPr="003E55F6" w:rsidRDefault="001F0DE9" w:rsidP="001F0DE9">
      <w:pPr>
        <w:spacing w:after="120"/>
        <w:ind w:left="720"/>
        <w:jc w:val="both"/>
        <w:rPr>
          <w:rFonts w:ascii="Book Antiqua" w:hAnsi="Book Antiqua"/>
        </w:rPr>
      </w:pPr>
      <w:r w:rsidRPr="003E55F6">
        <w:rPr>
          <w:rFonts w:ascii="Book Antiqua" w:hAnsi="Book Antiqua"/>
          <w:b/>
          <w:bCs/>
        </w:rPr>
        <w:t>Facsimile:</w:t>
      </w:r>
      <w:r w:rsidRPr="003E55F6">
        <w:rPr>
          <w:rFonts w:ascii="Book Antiqua" w:hAnsi="Book Antiqua"/>
        </w:rPr>
        <w:t xml:space="preserve"> </w:t>
      </w:r>
      <w:r w:rsidRPr="003E55F6">
        <w:rPr>
          <w:rFonts w:ascii="Book Antiqua" w:hAnsi="Book Antiqua"/>
        </w:rPr>
        <w:tab/>
        <w:t>+61 (03) 9603 9320</w:t>
      </w:r>
    </w:p>
    <w:p w14:paraId="18A7A7B6" w14:textId="77777777" w:rsidR="001F0DE9" w:rsidRPr="003E55F6" w:rsidRDefault="001F0DE9" w:rsidP="00A11BC8">
      <w:pPr>
        <w:pStyle w:val="ListParagraph"/>
        <w:numPr>
          <w:ilvl w:val="0"/>
          <w:numId w:val="5"/>
        </w:numPr>
        <w:spacing w:before="240" w:after="120"/>
        <w:ind w:left="720"/>
        <w:jc w:val="both"/>
      </w:pPr>
      <w:r w:rsidRPr="003E55F6">
        <w:t xml:space="preserve">Minutes of proposed consent orders must be sent in an editable Word document to </w:t>
      </w:r>
      <w:hyperlink r:id="rId27" w:history="1">
        <w:r w:rsidRPr="003E55F6">
          <w:rPr>
            <w:rStyle w:val="Hyperlink"/>
            <w:color w:val="auto"/>
          </w:rPr>
          <w:t>costs.court@suopcourt.vic.gov.au</w:t>
        </w:r>
      </w:hyperlink>
      <w:r w:rsidRPr="003E55F6">
        <w:t xml:space="preserve"> as soon as practicable prior to the hearing and preferably no later than 4pm the day before the hearing.</w:t>
      </w:r>
    </w:p>
    <w:p w14:paraId="72D9A74A" w14:textId="77777777" w:rsidR="001F0DE9" w:rsidRPr="003E55F6" w:rsidRDefault="001F0DE9" w:rsidP="00A11BC8">
      <w:pPr>
        <w:pStyle w:val="ListParagraph"/>
        <w:numPr>
          <w:ilvl w:val="0"/>
          <w:numId w:val="5"/>
        </w:numPr>
        <w:spacing w:before="240" w:after="120"/>
        <w:ind w:left="720"/>
        <w:jc w:val="both"/>
      </w:pPr>
      <w:r w:rsidRPr="003E55F6">
        <w:t>Following the issue of proceedings, the point of contact for all Legal Profession Legislation matters is the Associate to Judicial Registrar Conidi, via:</w:t>
      </w:r>
    </w:p>
    <w:p w14:paraId="22F3A83D" w14:textId="7E4F9725" w:rsidR="001F0DE9" w:rsidRPr="003E55F6" w:rsidRDefault="001F0DE9" w:rsidP="001F0DE9">
      <w:pPr>
        <w:spacing w:after="120"/>
        <w:ind w:left="720"/>
        <w:jc w:val="both"/>
        <w:rPr>
          <w:rFonts w:ascii="Book Antiqua" w:hAnsi="Book Antiqua"/>
        </w:rPr>
      </w:pPr>
      <w:r w:rsidRPr="003E55F6">
        <w:rPr>
          <w:rFonts w:ascii="Book Antiqua" w:hAnsi="Book Antiqua"/>
        </w:rPr>
        <w:t xml:space="preserve">Email: </w:t>
      </w:r>
      <w:r w:rsidRPr="003E55F6">
        <w:rPr>
          <w:rFonts w:ascii="Book Antiqua" w:hAnsi="Book Antiqua"/>
        </w:rPr>
        <w:tab/>
      </w:r>
      <w:hyperlink r:id="rId28" w:history="1">
        <w:r w:rsidR="003944E4" w:rsidRPr="003E55F6">
          <w:rPr>
            <w:rStyle w:val="Hyperlink"/>
            <w:rFonts w:ascii="Book Antiqua" w:hAnsi="Book Antiqua"/>
            <w:color w:val="auto"/>
          </w:rPr>
          <w:t>costs.court@supcourt.vic.gov.au</w:t>
        </w:r>
      </w:hyperlink>
      <w:r w:rsidRPr="003E55F6">
        <w:rPr>
          <w:rFonts w:ascii="Book Antiqua" w:hAnsi="Book Antiqua"/>
        </w:rPr>
        <w:t xml:space="preserve"> </w:t>
      </w:r>
    </w:p>
    <w:p w14:paraId="7889E46E" w14:textId="77777777" w:rsidR="001F0DE9" w:rsidRPr="003E55F6" w:rsidRDefault="001F0DE9" w:rsidP="001F0DE9">
      <w:pPr>
        <w:spacing w:after="120"/>
        <w:ind w:left="720"/>
        <w:jc w:val="both"/>
        <w:rPr>
          <w:rFonts w:ascii="Book Antiqua" w:hAnsi="Book Antiqua"/>
        </w:rPr>
      </w:pPr>
      <w:r w:rsidRPr="003E55F6">
        <w:rPr>
          <w:rFonts w:ascii="Book Antiqua" w:hAnsi="Book Antiqua"/>
        </w:rPr>
        <w:t xml:space="preserve">Phone: </w:t>
      </w:r>
      <w:r w:rsidRPr="003E55F6">
        <w:rPr>
          <w:rFonts w:ascii="Book Antiqua" w:hAnsi="Book Antiqua"/>
        </w:rPr>
        <w:tab/>
        <w:t xml:space="preserve">+61 (03) 8600 2469  </w:t>
      </w:r>
    </w:p>
    <w:p w14:paraId="5D0D399C" w14:textId="77777777" w:rsidR="001F0DE9" w:rsidRPr="003E55F6" w:rsidRDefault="001F0DE9" w:rsidP="00A11BC8">
      <w:pPr>
        <w:pStyle w:val="ListParagraph"/>
        <w:numPr>
          <w:ilvl w:val="0"/>
          <w:numId w:val="5"/>
        </w:numPr>
        <w:spacing w:before="240" w:after="120"/>
        <w:ind w:left="720"/>
        <w:jc w:val="both"/>
      </w:pPr>
      <w:r w:rsidRPr="003E55F6">
        <w:t>No party should communicate either by email or by telephone directly with the Costs Registrars, unless otherwise advised. These communications must be to the Court, via:</w:t>
      </w:r>
    </w:p>
    <w:p w14:paraId="5F67F401" w14:textId="77777777" w:rsidR="001F0DE9" w:rsidRPr="003E55F6" w:rsidRDefault="001F0DE9" w:rsidP="001F0DE9">
      <w:pPr>
        <w:spacing w:after="120"/>
        <w:ind w:left="1080" w:hanging="360"/>
        <w:jc w:val="both"/>
        <w:rPr>
          <w:rFonts w:ascii="Book Antiqua" w:hAnsi="Book Antiqua"/>
        </w:rPr>
      </w:pPr>
      <w:r w:rsidRPr="003E55F6">
        <w:rPr>
          <w:rFonts w:ascii="Book Antiqua" w:hAnsi="Book Antiqua"/>
        </w:rPr>
        <w:t>Email:</w:t>
      </w:r>
      <w:r w:rsidRPr="003E55F6">
        <w:rPr>
          <w:rFonts w:ascii="Book Antiqua" w:hAnsi="Book Antiqua"/>
        </w:rPr>
        <w:tab/>
      </w:r>
      <w:r w:rsidRPr="003E55F6">
        <w:rPr>
          <w:rFonts w:ascii="Book Antiqua" w:hAnsi="Book Antiqua"/>
        </w:rPr>
        <w:tab/>
      </w:r>
      <w:hyperlink r:id="rId29" w:history="1">
        <w:r w:rsidRPr="003E55F6">
          <w:rPr>
            <w:rStyle w:val="Hyperlink"/>
            <w:rFonts w:ascii="Book Antiqua" w:hAnsi="Book Antiqua"/>
            <w:color w:val="auto"/>
          </w:rPr>
          <w:t>costs.court@supcourt.vic.gov.au</w:t>
        </w:r>
      </w:hyperlink>
    </w:p>
    <w:p w14:paraId="3208BE81" w14:textId="77777777" w:rsidR="001F0DE9" w:rsidRPr="003E55F6" w:rsidRDefault="001F0DE9" w:rsidP="001F0DE9">
      <w:pPr>
        <w:spacing w:after="120"/>
        <w:ind w:left="1080" w:hanging="360"/>
        <w:jc w:val="both"/>
        <w:rPr>
          <w:rFonts w:ascii="Book Antiqua" w:hAnsi="Book Antiqua"/>
        </w:rPr>
      </w:pPr>
      <w:r w:rsidRPr="003E55F6">
        <w:rPr>
          <w:rFonts w:ascii="Book Antiqua" w:hAnsi="Book Antiqua"/>
        </w:rPr>
        <w:t xml:space="preserve">Phone: </w:t>
      </w:r>
      <w:r w:rsidRPr="003E55F6">
        <w:rPr>
          <w:rFonts w:ascii="Book Antiqua" w:hAnsi="Book Antiqua"/>
        </w:rPr>
        <w:tab/>
        <w:t>+61 (03) 9603 9393</w:t>
      </w:r>
    </w:p>
    <w:p w14:paraId="1481232C" w14:textId="77777777" w:rsidR="001F0DE9" w:rsidRPr="003E55F6" w:rsidRDefault="001F0DE9" w:rsidP="001F0DE9">
      <w:pPr>
        <w:spacing w:after="120"/>
        <w:ind w:left="1080" w:hanging="360"/>
        <w:jc w:val="both"/>
        <w:rPr>
          <w:rFonts w:ascii="Book Antiqua" w:hAnsi="Book Antiqua"/>
        </w:rPr>
      </w:pPr>
      <w:r w:rsidRPr="003E55F6">
        <w:rPr>
          <w:rFonts w:ascii="Book Antiqua" w:hAnsi="Book Antiqua"/>
        </w:rPr>
        <w:t xml:space="preserve">Facsimile: </w:t>
      </w:r>
      <w:r w:rsidRPr="003E55F6">
        <w:rPr>
          <w:rFonts w:ascii="Book Antiqua" w:hAnsi="Book Antiqua"/>
        </w:rPr>
        <w:tab/>
        <w:t>+61 (03) 9603 9320</w:t>
      </w:r>
    </w:p>
    <w:p w14:paraId="5D1F07C9" w14:textId="77777777" w:rsidR="001F0DE9" w:rsidRPr="003E55F6" w:rsidRDefault="001F0DE9" w:rsidP="00620D33">
      <w:pPr>
        <w:pStyle w:val="Heading1"/>
      </w:pPr>
    </w:p>
    <w:p w14:paraId="0058C924" w14:textId="60D72333" w:rsidR="001F0DE9" w:rsidRPr="003E55F6" w:rsidRDefault="001F0DE9" w:rsidP="001F0DE9">
      <w:pPr>
        <w:spacing w:before="120" w:after="120"/>
        <w:ind w:left="720" w:hanging="720"/>
        <w:jc w:val="right"/>
        <w:rPr>
          <w:rFonts w:ascii="Book Antiqua" w:hAnsi="Book Antiqua"/>
        </w:rPr>
      </w:pPr>
      <w:r w:rsidRPr="003E55F6">
        <w:rPr>
          <w:rFonts w:ascii="Book Antiqua" w:hAnsi="Book Antiqua"/>
        </w:rPr>
        <w:t>Vivienne Mahy</w:t>
      </w:r>
    </w:p>
    <w:p w14:paraId="69291CE1" w14:textId="76E56A1C" w:rsidR="001F0DE9" w:rsidRPr="003E55F6" w:rsidRDefault="001F0DE9" w:rsidP="001F0DE9">
      <w:pPr>
        <w:spacing w:before="120" w:after="120"/>
        <w:ind w:left="720" w:hanging="720"/>
        <w:jc w:val="right"/>
        <w:rPr>
          <w:rFonts w:ascii="Book Antiqua" w:hAnsi="Book Antiqua"/>
        </w:rPr>
      </w:pPr>
      <w:r w:rsidRPr="003E55F6">
        <w:rPr>
          <w:rFonts w:ascii="Book Antiqua" w:hAnsi="Book Antiqua"/>
        </w:rPr>
        <w:t>Executive Associate to the Chief Justice</w:t>
      </w:r>
    </w:p>
    <w:p w14:paraId="6945C36C" w14:textId="52A89472" w:rsidR="001F0DE9" w:rsidRPr="003E55F6" w:rsidRDefault="00A32AA8" w:rsidP="001F0DE9">
      <w:pPr>
        <w:spacing w:before="120" w:after="120"/>
        <w:ind w:left="720" w:hanging="720"/>
        <w:jc w:val="right"/>
        <w:rPr>
          <w:rFonts w:ascii="Book Antiqua" w:hAnsi="Book Antiqua"/>
        </w:rPr>
      </w:pPr>
      <w:r>
        <w:rPr>
          <w:rFonts w:ascii="Book Antiqua" w:hAnsi="Book Antiqua"/>
        </w:rPr>
        <w:t>25 September 2024</w:t>
      </w:r>
    </w:p>
    <w:p w14:paraId="68CE5F22" w14:textId="502490B0" w:rsidR="00135C16" w:rsidRPr="00EA0D05" w:rsidRDefault="00135C16" w:rsidP="00F85F84">
      <w:pPr>
        <w:jc w:val="both"/>
        <w:rPr>
          <w:rFonts w:ascii="Book Antiqua" w:hAnsi="Book Antiqua"/>
        </w:rPr>
      </w:pPr>
      <w:r w:rsidRPr="00EA0D05">
        <w:rPr>
          <w:rFonts w:ascii="Book Antiqua" w:hAnsi="Book Antiqua"/>
        </w:rPr>
        <w:br w:type="page"/>
      </w:r>
    </w:p>
    <w:p w14:paraId="6EF046F9" w14:textId="77777777" w:rsidR="004E1A94" w:rsidRPr="00E20C32" w:rsidRDefault="004E1A94" w:rsidP="00620D33">
      <w:pPr>
        <w:pStyle w:val="Heading1"/>
      </w:pPr>
      <w:bookmarkStart w:id="32" w:name="_Toc178173298"/>
      <w:r w:rsidRPr="00E20C32">
        <w:t>Annexure A</w:t>
      </w:r>
      <w:bookmarkEnd w:id="32"/>
    </w:p>
    <w:p w14:paraId="12DF9EE5" w14:textId="77777777" w:rsidR="004E1A94" w:rsidRDefault="004E1A94" w:rsidP="004E1A94">
      <w:pPr>
        <w:rPr>
          <w:b/>
          <w:u w:val="single"/>
        </w:rPr>
      </w:pPr>
    </w:p>
    <w:p w14:paraId="27DF61FA" w14:textId="77777777" w:rsidR="004E1A94" w:rsidRDefault="004E1A94" w:rsidP="004E1A94">
      <w:pPr>
        <w:rPr>
          <w:b/>
          <w:u w:val="single"/>
        </w:rPr>
      </w:pPr>
    </w:p>
    <w:tbl>
      <w:tblPr>
        <w:tblW w:w="108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6"/>
        <w:gridCol w:w="1715"/>
        <w:gridCol w:w="1703"/>
        <w:gridCol w:w="1527"/>
      </w:tblGrid>
      <w:tr w:rsidR="004E1A94" w:rsidRPr="00CB324B" w14:paraId="193C916C" w14:textId="77777777" w:rsidTr="00E72C11">
        <w:trPr>
          <w:trHeight w:val="371"/>
        </w:trPr>
        <w:tc>
          <w:tcPr>
            <w:tcW w:w="5896" w:type="dxa"/>
          </w:tcPr>
          <w:p w14:paraId="3FBE82CC" w14:textId="77777777" w:rsidR="004E1A94" w:rsidRPr="00CB324B" w:rsidRDefault="004E1A94" w:rsidP="00E72C11">
            <w:pPr>
              <w:pStyle w:val="Default"/>
              <w:spacing w:before="120" w:after="120" w:line="276" w:lineRule="auto"/>
              <w:rPr>
                <w:color w:val="auto"/>
                <w:sz w:val="20"/>
                <w:szCs w:val="20"/>
              </w:rPr>
            </w:pPr>
            <w:r w:rsidRPr="00CB324B">
              <w:rPr>
                <w:noProof/>
                <w:sz w:val="20"/>
                <w:szCs w:val="20"/>
              </w:rPr>
              <mc:AlternateContent>
                <mc:Choice Requires="wps">
                  <w:drawing>
                    <wp:anchor distT="0" distB="0" distL="114300" distR="114300" simplePos="0" relativeHeight="251658242" behindDoc="0" locked="1" layoutInCell="1" allowOverlap="0" wp14:anchorId="2CBB8FAF" wp14:editId="5384445A">
                      <wp:simplePos x="0" y="0"/>
                      <wp:positionH relativeFrom="page">
                        <wp:posOffset>15240</wp:posOffset>
                      </wp:positionH>
                      <wp:positionV relativeFrom="page">
                        <wp:posOffset>-414020</wp:posOffset>
                      </wp:positionV>
                      <wp:extent cx="6250940" cy="3975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397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C31CF" w14:textId="6575127E" w:rsidR="00BF6941" w:rsidRPr="00E859F1" w:rsidRDefault="00BF6941" w:rsidP="004E1A94">
                                  <w:pPr>
                                    <w:pStyle w:val="FactsheetTitle"/>
                                    <w:rPr>
                                      <w:sz w:val="32"/>
                                      <w:szCs w:val="32"/>
                                    </w:rPr>
                                  </w:pPr>
                                  <w:bookmarkStart w:id="33" w:name="_Toc175833591"/>
                                  <w:bookmarkStart w:id="34" w:name="_Toc175840729"/>
                                  <w:bookmarkStart w:id="35" w:name="_Toc178173299"/>
                                  <w:r w:rsidRPr="00E859F1">
                                    <w:rPr>
                                      <w:sz w:val="32"/>
                                      <w:szCs w:val="32"/>
                                    </w:rPr>
                                    <w:t>COSTS COURT</w:t>
                                  </w:r>
                                  <w:r w:rsidR="00E91984">
                                    <w:rPr>
                                      <w:sz w:val="32"/>
                                      <w:szCs w:val="32"/>
                                    </w:rPr>
                                    <w:t xml:space="preserve"> </w:t>
                                  </w:r>
                                  <w:r w:rsidRPr="00E859F1">
                                    <w:rPr>
                                      <w:sz w:val="32"/>
                                      <w:szCs w:val="32"/>
                                    </w:rPr>
                                    <w:t>– Party Party Taxation Information Form</w:t>
                                  </w:r>
                                  <w:bookmarkEnd w:id="33"/>
                                  <w:bookmarkEnd w:id="34"/>
                                  <w:bookmarkEnd w:id="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B8FAF" id="_x0000_t202" coordsize="21600,21600" o:spt="202" path="m,l,21600r21600,l21600,xe">
                      <v:stroke joinstyle="miter"/>
                      <v:path gradientshapeok="t" o:connecttype="rect"/>
                    </v:shapetype>
                    <v:shape id="Text Box 2" o:spid="_x0000_s1026" type="#_x0000_t202" style="position:absolute;margin-left:1.2pt;margin-top:-32.6pt;width:492.2pt;height:31.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" o:allowoverlap="f" stroked="f">
                      <v:fill opacity="0"/>
                      <v:textbox>
                        <w:txbxContent>
                          <w:p w14:paraId="653C31CF" w14:textId="6575127E" w:rsidR="00BF6941" w:rsidRPr="00E859F1" w:rsidRDefault="00BF6941" w:rsidP="004E1A94">
                            <w:pPr>
                              <w:pStyle w:val="FactsheetTitle"/>
                              <w:rPr>
                                <w:sz w:val="32"/>
                                <w:szCs w:val="32"/>
                              </w:rPr>
                            </w:pPr>
                            <w:bookmarkStart w:id="36" w:name="_Toc175833591"/>
                            <w:bookmarkStart w:id="37" w:name="_Toc175840729"/>
                            <w:bookmarkStart w:id="38" w:name="_Toc178173299"/>
                            <w:r w:rsidRPr="00E859F1">
                              <w:rPr>
                                <w:sz w:val="32"/>
                                <w:szCs w:val="32"/>
                              </w:rPr>
                              <w:t>COSTS COURT</w:t>
                            </w:r>
                            <w:r w:rsidR="00E91984">
                              <w:rPr>
                                <w:sz w:val="32"/>
                                <w:szCs w:val="32"/>
                              </w:rPr>
                              <w:t xml:space="preserve"> </w:t>
                            </w:r>
                            <w:r w:rsidRPr="00E859F1">
                              <w:rPr>
                                <w:sz w:val="32"/>
                                <w:szCs w:val="32"/>
                              </w:rPr>
                              <w:t>– Party Party Taxation Information Form</w:t>
                            </w:r>
                            <w:bookmarkEnd w:id="36"/>
                            <w:bookmarkEnd w:id="37"/>
                            <w:bookmarkEnd w:id="38"/>
                          </w:p>
                        </w:txbxContent>
                      </v:textbox>
                      <w10:wrap anchorx="page" anchory="page"/>
                      <w10:anchorlock/>
                    </v:shape>
                  </w:pict>
                </mc:Fallback>
              </mc:AlternateContent>
            </w:r>
            <w:r w:rsidRPr="00CB324B">
              <w:rPr>
                <w:rFonts w:ascii="Arial" w:hAnsi="Arial" w:cs="Arial"/>
                <w:b/>
                <w:bCs/>
                <w:color w:val="auto"/>
                <w:sz w:val="20"/>
                <w:szCs w:val="20"/>
              </w:rPr>
              <w:t xml:space="preserve">Hearing Return Date </w:t>
            </w:r>
            <w:r w:rsidRPr="00CB324B">
              <w:rPr>
                <w:rFonts w:ascii="Arial" w:hAnsi="Arial" w:cs="Arial"/>
                <w:color w:val="auto"/>
                <w:sz w:val="20"/>
                <w:szCs w:val="20"/>
              </w:rPr>
              <w:t xml:space="preserve">(Court Use Only) </w:t>
            </w:r>
          </w:p>
        </w:tc>
        <w:tc>
          <w:tcPr>
            <w:tcW w:w="4945" w:type="dxa"/>
            <w:gridSpan w:val="3"/>
          </w:tcPr>
          <w:p w14:paraId="0AAC90D2" w14:textId="77777777" w:rsidR="004E1A94" w:rsidRPr="00CB324B" w:rsidRDefault="004E1A94" w:rsidP="00E72C11">
            <w:pPr>
              <w:pStyle w:val="Default"/>
              <w:ind w:left="720"/>
              <w:rPr>
                <w:rFonts w:ascii="Arial" w:hAnsi="Arial" w:cs="Arial"/>
                <w:color w:val="auto"/>
                <w:sz w:val="20"/>
                <w:szCs w:val="20"/>
              </w:rPr>
            </w:pPr>
          </w:p>
        </w:tc>
      </w:tr>
      <w:tr w:rsidR="004E1A94" w:rsidRPr="00CB324B" w14:paraId="00BF5108" w14:textId="77777777" w:rsidTr="00E72C11">
        <w:trPr>
          <w:trHeight w:val="84"/>
        </w:trPr>
        <w:tc>
          <w:tcPr>
            <w:tcW w:w="5896" w:type="dxa"/>
          </w:tcPr>
          <w:p w14:paraId="43A39A80" w14:textId="77777777" w:rsidR="004E1A94" w:rsidRPr="00CB324B" w:rsidRDefault="004E1A94" w:rsidP="00E72C11">
            <w:pPr>
              <w:pStyle w:val="Default"/>
              <w:spacing w:before="120" w:after="120" w:line="276" w:lineRule="auto"/>
              <w:rPr>
                <w:rFonts w:ascii="Arial" w:hAnsi="Arial" w:cs="Arial"/>
                <w:color w:val="auto"/>
                <w:sz w:val="20"/>
                <w:szCs w:val="20"/>
              </w:rPr>
            </w:pPr>
            <w:r w:rsidRPr="00CB324B">
              <w:rPr>
                <w:rFonts w:ascii="Arial" w:hAnsi="Arial" w:cs="Arial"/>
                <w:b/>
                <w:bCs/>
                <w:color w:val="auto"/>
                <w:sz w:val="20"/>
                <w:szCs w:val="20"/>
              </w:rPr>
              <w:t xml:space="preserve">Proceeding number: </w:t>
            </w:r>
          </w:p>
        </w:tc>
        <w:tc>
          <w:tcPr>
            <w:tcW w:w="4945" w:type="dxa"/>
            <w:gridSpan w:val="3"/>
          </w:tcPr>
          <w:p w14:paraId="766AF82A" w14:textId="77777777" w:rsidR="004E1A94" w:rsidRPr="00CB324B" w:rsidRDefault="004E1A94" w:rsidP="00E72C11">
            <w:pPr>
              <w:pStyle w:val="Default"/>
              <w:rPr>
                <w:rFonts w:ascii="Arial" w:hAnsi="Arial" w:cs="Arial"/>
                <w:b/>
                <w:bCs/>
                <w:color w:val="auto"/>
                <w:sz w:val="20"/>
                <w:szCs w:val="20"/>
              </w:rPr>
            </w:pPr>
          </w:p>
        </w:tc>
      </w:tr>
      <w:tr w:rsidR="004E1A94" w:rsidRPr="00CB324B" w14:paraId="24D1C062" w14:textId="77777777" w:rsidTr="00E72C11">
        <w:trPr>
          <w:trHeight w:val="485"/>
        </w:trPr>
        <w:tc>
          <w:tcPr>
            <w:tcW w:w="5896" w:type="dxa"/>
          </w:tcPr>
          <w:p w14:paraId="4694576E" w14:textId="77777777" w:rsidR="004E1A94" w:rsidRPr="00CB324B" w:rsidRDefault="004E1A94" w:rsidP="00E72C11">
            <w:pPr>
              <w:pStyle w:val="Default"/>
              <w:spacing w:before="120" w:after="120" w:line="276" w:lineRule="auto"/>
              <w:rPr>
                <w:rFonts w:ascii="Arial" w:hAnsi="Arial" w:cs="Arial"/>
                <w:color w:val="auto"/>
                <w:sz w:val="20"/>
                <w:szCs w:val="20"/>
              </w:rPr>
            </w:pPr>
            <w:r w:rsidRPr="00CB324B">
              <w:rPr>
                <w:rFonts w:ascii="Arial" w:hAnsi="Arial" w:cs="Arial"/>
                <w:b/>
                <w:bCs/>
                <w:color w:val="auto"/>
                <w:sz w:val="20"/>
                <w:szCs w:val="20"/>
              </w:rPr>
              <w:t xml:space="preserve">Estimated time required for taxation hearing: </w:t>
            </w:r>
          </w:p>
        </w:tc>
        <w:tc>
          <w:tcPr>
            <w:tcW w:w="4945" w:type="dxa"/>
            <w:gridSpan w:val="3"/>
          </w:tcPr>
          <w:p w14:paraId="43EAE14B" w14:textId="77777777" w:rsidR="004E1A94" w:rsidRPr="00CB324B" w:rsidRDefault="004E1A94" w:rsidP="00E72C11">
            <w:pPr>
              <w:pStyle w:val="Default"/>
              <w:rPr>
                <w:rFonts w:ascii="Arial" w:hAnsi="Arial" w:cs="Arial"/>
                <w:b/>
                <w:bCs/>
                <w:color w:val="auto"/>
                <w:sz w:val="20"/>
                <w:szCs w:val="20"/>
              </w:rPr>
            </w:pPr>
          </w:p>
        </w:tc>
      </w:tr>
      <w:tr w:rsidR="004E1A94" w:rsidRPr="00CB324B" w14:paraId="6A7A0C9C" w14:textId="77777777" w:rsidTr="00E72C11">
        <w:trPr>
          <w:trHeight w:val="323"/>
        </w:trPr>
        <w:tc>
          <w:tcPr>
            <w:tcW w:w="5896" w:type="dxa"/>
          </w:tcPr>
          <w:p w14:paraId="1DCE23AE" w14:textId="74616E40" w:rsidR="004E1A94" w:rsidRPr="00CB324B" w:rsidRDefault="00C32C48" w:rsidP="00E72C11">
            <w:pPr>
              <w:pStyle w:val="Default"/>
              <w:spacing w:before="120" w:after="60" w:line="276" w:lineRule="auto"/>
              <w:rPr>
                <w:rFonts w:ascii="Arial" w:hAnsi="Arial" w:cs="Arial"/>
                <w:color w:val="auto"/>
                <w:sz w:val="20"/>
                <w:szCs w:val="20"/>
              </w:rPr>
            </w:pPr>
            <w:r w:rsidRPr="00CB324B">
              <w:rPr>
                <w:rFonts w:ascii="Arial" w:hAnsi="Arial" w:cs="Arial"/>
                <w:b/>
                <w:bCs/>
                <w:color w:val="auto"/>
                <w:sz w:val="20"/>
                <w:szCs w:val="20"/>
              </w:rPr>
              <w:t xml:space="preserve">Relevant </w:t>
            </w:r>
            <w:r w:rsidR="006D4727" w:rsidRPr="00CB324B">
              <w:rPr>
                <w:rFonts w:ascii="Arial" w:hAnsi="Arial" w:cs="Arial"/>
                <w:b/>
                <w:bCs/>
                <w:color w:val="auto"/>
                <w:sz w:val="20"/>
                <w:szCs w:val="20"/>
              </w:rPr>
              <w:t>o</w:t>
            </w:r>
            <w:r w:rsidRPr="00CB324B">
              <w:rPr>
                <w:rFonts w:ascii="Arial" w:hAnsi="Arial" w:cs="Arial"/>
                <w:b/>
                <w:bCs/>
                <w:color w:val="auto"/>
                <w:sz w:val="20"/>
                <w:szCs w:val="20"/>
              </w:rPr>
              <w:t xml:space="preserve">rder, </w:t>
            </w:r>
            <w:r w:rsidR="004E1A94" w:rsidRPr="00CB324B">
              <w:rPr>
                <w:rFonts w:ascii="Arial" w:hAnsi="Arial" w:cs="Arial"/>
                <w:b/>
                <w:bCs/>
                <w:color w:val="auto"/>
                <w:sz w:val="20"/>
                <w:szCs w:val="20"/>
              </w:rPr>
              <w:t xml:space="preserve">agreement </w:t>
            </w:r>
            <w:r w:rsidR="00CB4666" w:rsidRPr="00CB324B">
              <w:rPr>
                <w:rFonts w:ascii="Arial" w:hAnsi="Arial" w:cs="Arial"/>
                <w:b/>
                <w:bCs/>
                <w:color w:val="auto"/>
                <w:sz w:val="20"/>
                <w:szCs w:val="20"/>
              </w:rPr>
              <w:t xml:space="preserve">or </w:t>
            </w:r>
            <w:r w:rsidR="00EB3998" w:rsidRPr="00CB324B">
              <w:rPr>
                <w:rFonts w:ascii="Arial" w:hAnsi="Arial" w:cs="Arial"/>
                <w:b/>
                <w:bCs/>
                <w:color w:val="auto"/>
                <w:sz w:val="20"/>
                <w:szCs w:val="20"/>
              </w:rPr>
              <w:t>Rule</w:t>
            </w:r>
          </w:p>
          <w:p w14:paraId="083B86E8" w14:textId="1042ECFC" w:rsidR="004E1A94" w:rsidRPr="00CB324B" w:rsidRDefault="000527A6" w:rsidP="00E72C11">
            <w:pPr>
              <w:pStyle w:val="Default"/>
              <w:spacing w:before="60" w:after="120" w:line="276" w:lineRule="auto"/>
              <w:rPr>
                <w:rFonts w:ascii="Arial" w:hAnsi="Arial" w:cs="Arial"/>
                <w:color w:val="auto"/>
                <w:sz w:val="20"/>
                <w:szCs w:val="20"/>
              </w:rPr>
            </w:pPr>
            <w:r w:rsidRPr="00CB324B">
              <w:rPr>
                <w:rFonts w:ascii="Arial" w:hAnsi="Arial" w:cs="Arial"/>
                <w:color w:val="auto"/>
                <w:sz w:val="20"/>
                <w:szCs w:val="20"/>
              </w:rPr>
              <w:t xml:space="preserve">Identify and summarise the court order, the agreement or the Rule that establishes </w:t>
            </w:r>
            <w:r w:rsidR="004E1A94" w:rsidRPr="00CB324B">
              <w:rPr>
                <w:rFonts w:ascii="Arial" w:hAnsi="Arial" w:cs="Arial"/>
                <w:color w:val="auto"/>
                <w:sz w:val="20"/>
                <w:szCs w:val="20"/>
              </w:rPr>
              <w:t xml:space="preserve">the entitlement </w:t>
            </w:r>
            <w:r w:rsidRPr="00CB324B">
              <w:rPr>
                <w:rFonts w:ascii="Arial" w:hAnsi="Arial" w:cs="Arial"/>
                <w:color w:val="auto"/>
                <w:sz w:val="20"/>
                <w:szCs w:val="20"/>
              </w:rPr>
              <w:t>to</w:t>
            </w:r>
            <w:r w:rsidR="004E1A94" w:rsidRPr="00CB324B">
              <w:rPr>
                <w:rFonts w:ascii="Arial" w:hAnsi="Arial" w:cs="Arial"/>
                <w:color w:val="auto"/>
                <w:sz w:val="20"/>
                <w:szCs w:val="20"/>
              </w:rPr>
              <w:t xml:space="preserve"> costs. </w:t>
            </w:r>
          </w:p>
        </w:tc>
        <w:tc>
          <w:tcPr>
            <w:tcW w:w="4945" w:type="dxa"/>
            <w:gridSpan w:val="3"/>
          </w:tcPr>
          <w:p w14:paraId="6EB32AB3" w14:textId="77777777" w:rsidR="004E1A94" w:rsidRPr="00CB324B" w:rsidRDefault="004E1A94" w:rsidP="00E72C11">
            <w:pPr>
              <w:pStyle w:val="Default"/>
              <w:rPr>
                <w:rFonts w:ascii="Arial" w:hAnsi="Arial" w:cs="Arial"/>
                <w:b/>
                <w:bCs/>
                <w:color w:val="auto"/>
                <w:sz w:val="20"/>
                <w:szCs w:val="20"/>
              </w:rPr>
            </w:pPr>
          </w:p>
        </w:tc>
      </w:tr>
      <w:tr w:rsidR="004E1A94" w:rsidRPr="00CB324B" w14:paraId="137EB670" w14:textId="77777777" w:rsidTr="00E72C11">
        <w:trPr>
          <w:trHeight w:val="323"/>
        </w:trPr>
        <w:tc>
          <w:tcPr>
            <w:tcW w:w="5896" w:type="dxa"/>
          </w:tcPr>
          <w:p w14:paraId="6742B8FA" w14:textId="0DE5568C" w:rsidR="004E1A94" w:rsidRPr="00CB324B" w:rsidRDefault="000527A6" w:rsidP="00E72C11">
            <w:pPr>
              <w:pStyle w:val="Default"/>
              <w:spacing w:before="120" w:after="120" w:line="276" w:lineRule="auto"/>
              <w:rPr>
                <w:rFonts w:ascii="Arial" w:hAnsi="Arial" w:cs="Arial"/>
                <w:color w:val="auto"/>
                <w:sz w:val="20"/>
                <w:szCs w:val="20"/>
              </w:rPr>
            </w:pPr>
            <w:r w:rsidRPr="00CB324B">
              <w:rPr>
                <w:rFonts w:ascii="Arial" w:hAnsi="Arial" w:cs="Arial"/>
                <w:b/>
                <w:bCs/>
                <w:color w:val="auto"/>
                <w:sz w:val="20"/>
                <w:szCs w:val="20"/>
              </w:rPr>
              <w:t>Media</w:t>
            </w:r>
            <w:r w:rsidR="00747633" w:rsidRPr="00CB324B">
              <w:rPr>
                <w:rFonts w:ascii="Arial" w:hAnsi="Arial" w:cs="Arial"/>
                <w:b/>
                <w:bCs/>
                <w:color w:val="auto"/>
                <w:sz w:val="20"/>
                <w:szCs w:val="20"/>
              </w:rPr>
              <w:t xml:space="preserve"> neutral citation of relevant judgment or copy thereof or </w:t>
            </w:r>
            <w:r w:rsidR="00CB4666" w:rsidRPr="00CB324B">
              <w:rPr>
                <w:rFonts w:ascii="Arial" w:hAnsi="Arial" w:cs="Arial"/>
                <w:b/>
                <w:bCs/>
                <w:color w:val="auto"/>
                <w:sz w:val="20"/>
                <w:szCs w:val="20"/>
              </w:rPr>
              <w:t>s</w:t>
            </w:r>
            <w:r w:rsidR="004E1A94" w:rsidRPr="00CB324B">
              <w:rPr>
                <w:rFonts w:ascii="Arial" w:hAnsi="Arial" w:cs="Arial"/>
                <w:b/>
                <w:bCs/>
                <w:color w:val="auto"/>
                <w:sz w:val="20"/>
                <w:szCs w:val="20"/>
              </w:rPr>
              <w:t xml:space="preserve">hort </w:t>
            </w:r>
            <w:r w:rsidR="00CB4666" w:rsidRPr="00CB324B">
              <w:rPr>
                <w:rFonts w:ascii="Arial" w:hAnsi="Arial" w:cs="Arial"/>
                <w:b/>
                <w:bCs/>
                <w:color w:val="auto"/>
                <w:sz w:val="20"/>
                <w:szCs w:val="20"/>
              </w:rPr>
              <w:t>s</w:t>
            </w:r>
            <w:r w:rsidR="004E1A94" w:rsidRPr="00CB324B">
              <w:rPr>
                <w:rFonts w:ascii="Arial" w:hAnsi="Arial" w:cs="Arial"/>
                <w:b/>
                <w:bCs/>
                <w:color w:val="auto"/>
                <w:sz w:val="20"/>
                <w:szCs w:val="20"/>
              </w:rPr>
              <w:t xml:space="preserve">ummary of principal litigation </w:t>
            </w:r>
          </w:p>
        </w:tc>
        <w:tc>
          <w:tcPr>
            <w:tcW w:w="4945" w:type="dxa"/>
            <w:gridSpan w:val="3"/>
          </w:tcPr>
          <w:p w14:paraId="05BF35C7" w14:textId="77777777" w:rsidR="004E1A94" w:rsidRPr="00CB324B" w:rsidRDefault="004E1A94" w:rsidP="00E72C11">
            <w:pPr>
              <w:pStyle w:val="Default"/>
              <w:rPr>
                <w:rFonts w:ascii="Arial" w:hAnsi="Arial" w:cs="Arial"/>
                <w:b/>
                <w:bCs/>
                <w:color w:val="auto"/>
                <w:sz w:val="20"/>
                <w:szCs w:val="20"/>
              </w:rPr>
            </w:pPr>
          </w:p>
        </w:tc>
      </w:tr>
      <w:tr w:rsidR="004E1A94" w:rsidRPr="00CB324B" w14:paraId="1AF95209" w14:textId="77777777" w:rsidTr="00E72C11">
        <w:trPr>
          <w:trHeight w:val="220"/>
        </w:trPr>
        <w:tc>
          <w:tcPr>
            <w:tcW w:w="5896" w:type="dxa"/>
          </w:tcPr>
          <w:p w14:paraId="7F29A16E" w14:textId="77777777" w:rsidR="004E1A94" w:rsidRPr="00CB324B" w:rsidRDefault="004E1A94" w:rsidP="00E72C11">
            <w:pPr>
              <w:pStyle w:val="Default"/>
              <w:spacing w:before="120" w:after="60" w:line="276" w:lineRule="auto"/>
              <w:rPr>
                <w:rFonts w:ascii="Arial" w:hAnsi="Arial" w:cs="Arial"/>
                <w:color w:val="auto"/>
                <w:sz w:val="20"/>
                <w:szCs w:val="20"/>
              </w:rPr>
            </w:pPr>
            <w:r w:rsidRPr="00CB324B">
              <w:rPr>
                <w:rFonts w:ascii="Arial" w:hAnsi="Arial" w:cs="Arial"/>
                <w:b/>
                <w:bCs/>
                <w:color w:val="auto"/>
                <w:sz w:val="20"/>
                <w:szCs w:val="20"/>
              </w:rPr>
              <w:t xml:space="preserve">Who is bringing the application? </w:t>
            </w:r>
          </w:p>
          <w:p w14:paraId="7B22E262" w14:textId="77777777" w:rsidR="004E1A94" w:rsidRPr="00CB324B" w:rsidRDefault="004E1A94" w:rsidP="00E72C11">
            <w:pPr>
              <w:pStyle w:val="Default"/>
              <w:spacing w:before="60" w:after="120" w:line="276" w:lineRule="auto"/>
              <w:rPr>
                <w:rFonts w:ascii="Arial" w:hAnsi="Arial" w:cs="Arial"/>
                <w:color w:val="auto"/>
                <w:sz w:val="20"/>
                <w:szCs w:val="20"/>
              </w:rPr>
            </w:pPr>
            <w:r w:rsidRPr="00CB324B">
              <w:rPr>
                <w:rFonts w:ascii="Arial" w:hAnsi="Arial" w:cs="Arial"/>
                <w:color w:val="auto"/>
                <w:sz w:val="20"/>
                <w:szCs w:val="20"/>
              </w:rPr>
              <w:t xml:space="preserve">Party type and name of party. </w:t>
            </w:r>
          </w:p>
        </w:tc>
        <w:tc>
          <w:tcPr>
            <w:tcW w:w="4945" w:type="dxa"/>
            <w:gridSpan w:val="3"/>
            <w:tcBorders>
              <w:bottom w:val="single" w:sz="4" w:space="0" w:color="auto"/>
            </w:tcBorders>
          </w:tcPr>
          <w:p w14:paraId="0453B953" w14:textId="77777777" w:rsidR="004E1A94" w:rsidRPr="00CB324B" w:rsidRDefault="004E1A94" w:rsidP="00E72C11">
            <w:pPr>
              <w:pStyle w:val="Default"/>
              <w:rPr>
                <w:rFonts w:ascii="Arial" w:hAnsi="Arial" w:cs="Arial"/>
                <w:b/>
                <w:bCs/>
                <w:color w:val="auto"/>
                <w:sz w:val="20"/>
                <w:szCs w:val="20"/>
              </w:rPr>
            </w:pPr>
          </w:p>
        </w:tc>
      </w:tr>
      <w:tr w:rsidR="004E1A94" w:rsidRPr="00CB324B" w14:paraId="20C12CE7" w14:textId="77777777" w:rsidTr="00E72C11">
        <w:trPr>
          <w:trHeight w:val="220"/>
        </w:trPr>
        <w:tc>
          <w:tcPr>
            <w:tcW w:w="5896" w:type="dxa"/>
          </w:tcPr>
          <w:p w14:paraId="138EDD54" w14:textId="3499CDC0" w:rsidR="00D62099" w:rsidRPr="00CB324B" w:rsidRDefault="00CB4666" w:rsidP="00E72C11">
            <w:pPr>
              <w:pStyle w:val="Default"/>
              <w:spacing w:before="120" w:after="60" w:line="276" w:lineRule="auto"/>
              <w:rPr>
                <w:rFonts w:ascii="Arial" w:hAnsi="Arial" w:cs="Arial"/>
                <w:b/>
                <w:bCs/>
                <w:color w:val="auto"/>
                <w:sz w:val="20"/>
                <w:szCs w:val="20"/>
              </w:rPr>
            </w:pPr>
            <w:r w:rsidRPr="00CB324B">
              <w:rPr>
                <w:rFonts w:ascii="Arial" w:hAnsi="Arial" w:cs="Arial"/>
                <w:b/>
                <w:bCs/>
                <w:color w:val="auto"/>
                <w:sz w:val="20"/>
                <w:szCs w:val="20"/>
              </w:rPr>
              <w:t>Do</w:t>
            </w:r>
            <w:r w:rsidR="004E1A94" w:rsidRPr="00CB324B">
              <w:rPr>
                <w:rFonts w:ascii="Arial" w:hAnsi="Arial" w:cs="Arial"/>
                <w:b/>
                <w:bCs/>
                <w:color w:val="auto"/>
                <w:sz w:val="20"/>
                <w:szCs w:val="20"/>
              </w:rPr>
              <w:t xml:space="preserve"> the </w:t>
            </w:r>
            <w:r w:rsidR="00D62099" w:rsidRPr="00CB324B">
              <w:rPr>
                <w:rFonts w:ascii="Arial" w:hAnsi="Arial" w:cs="Arial"/>
                <w:b/>
                <w:bCs/>
                <w:color w:val="auto"/>
                <w:sz w:val="20"/>
                <w:szCs w:val="20"/>
              </w:rPr>
              <w:t xml:space="preserve">claims under Appendix </w:t>
            </w:r>
            <w:r w:rsidRPr="00CB324B">
              <w:rPr>
                <w:rFonts w:ascii="Arial" w:hAnsi="Arial" w:cs="Arial"/>
                <w:b/>
                <w:bCs/>
                <w:color w:val="auto"/>
                <w:sz w:val="20"/>
                <w:szCs w:val="20"/>
              </w:rPr>
              <w:t xml:space="preserve">A arise mainly </w:t>
            </w:r>
            <w:r w:rsidR="00D62099" w:rsidRPr="00CB324B">
              <w:rPr>
                <w:rFonts w:ascii="Arial" w:hAnsi="Arial" w:cs="Arial"/>
                <w:b/>
                <w:bCs/>
                <w:color w:val="auto"/>
                <w:sz w:val="20"/>
                <w:szCs w:val="20"/>
              </w:rPr>
              <w:t>under:</w:t>
            </w:r>
          </w:p>
          <w:p w14:paraId="1F1C8A45" w14:textId="21388953" w:rsidR="00D62099" w:rsidRPr="00CB324B" w:rsidRDefault="00D62099" w:rsidP="00E72C11">
            <w:pPr>
              <w:pStyle w:val="Default"/>
              <w:spacing w:before="120" w:after="60" w:line="276" w:lineRule="auto"/>
              <w:rPr>
                <w:rFonts w:ascii="Arial" w:hAnsi="Arial" w:cs="Arial"/>
                <w:b/>
                <w:bCs/>
                <w:color w:val="auto"/>
                <w:sz w:val="20"/>
                <w:szCs w:val="20"/>
              </w:rPr>
            </w:pPr>
            <w:r w:rsidRPr="00CB324B">
              <w:rPr>
                <w:rFonts w:ascii="Arial" w:hAnsi="Arial" w:cs="Arial"/>
                <w:b/>
                <w:bCs/>
                <w:color w:val="auto"/>
                <w:sz w:val="20"/>
                <w:szCs w:val="20"/>
              </w:rPr>
              <w:t xml:space="preserve">(a) Section 1; </w:t>
            </w:r>
          </w:p>
          <w:p w14:paraId="386A53B6" w14:textId="480049AA" w:rsidR="004C268D" w:rsidRPr="00CB324B" w:rsidRDefault="00D62099" w:rsidP="00E72C11">
            <w:pPr>
              <w:pStyle w:val="Default"/>
              <w:spacing w:before="120" w:after="60" w:line="276" w:lineRule="auto"/>
              <w:rPr>
                <w:rFonts w:ascii="Arial" w:hAnsi="Arial" w:cs="Arial"/>
                <w:b/>
                <w:bCs/>
                <w:color w:val="auto"/>
                <w:sz w:val="20"/>
                <w:szCs w:val="20"/>
              </w:rPr>
            </w:pPr>
            <w:r w:rsidRPr="00CB324B">
              <w:rPr>
                <w:rFonts w:ascii="Arial" w:hAnsi="Arial" w:cs="Arial"/>
                <w:b/>
                <w:bCs/>
                <w:color w:val="auto"/>
                <w:sz w:val="20"/>
                <w:szCs w:val="20"/>
              </w:rPr>
              <w:t>(b) Section 3</w:t>
            </w:r>
            <w:r w:rsidR="00642E0C" w:rsidRPr="00CB324B">
              <w:rPr>
                <w:rFonts w:ascii="Arial" w:hAnsi="Arial" w:cs="Arial"/>
                <w:b/>
                <w:bCs/>
                <w:color w:val="auto"/>
                <w:sz w:val="20"/>
                <w:szCs w:val="20"/>
              </w:rPr>
              <w:t>;</w:t>
            </w:r>
            <w:r w:rsidR="004C268D" w:rsidRPr="00CB324B">
              <w:rPr>
                <w:rFonts w:ascii="Arial" w:hAnsi="Arial" w:cs="Arial"/>
                <w:b/>
                <w:bCs/>
                <w:color w:val="auto"/>
                <w:sz w:val="20"/>
                <w:szCs w:val="20"/>
              </w:rPr>
              <w:t xml:space="preserve"> or</w:t>
            </w:r>
          </w:p>
          <w:p w14:paraId="69CCF58A" w14:textId="71CB2D70" w:rsidR="004E1A94" w:rsidRPr="00CB324B" w:rsidRDefault="004C268D" w:rsidP="00E72C11">
            <w:pPr>
              <w:pStyle w:val="Default"/>
              <w:spacing w:before="120" w:after="60" w:line="276" w:lineRule="auto"/>
              <w:rPr>
                <w:rFonts w:ascii="Arial" w:hAnsi="Arial" w:cs="Arial"/>
                <w:b/>
                <w:bCs/>
                <w:color w:val="auto"/>
                <w:sz w:val="20"/>
                <w:szCs w:val="20"/>
              </w:rPr>
            </w:pPr>
            <w:r w:rsidRPr="00CB324B">
              <w:rPr>
                <w:rFonts w:ascii="Arial" w:hAnsi="Arial" w:cs="Arial"/>
                <w:b/>
                <w:bCs/>
                <w:color w:val="auto"/>
                <w:sz w:val="20"/>
                <w:szCs w:val="20"/>
              </w:rPr>
              <w:t xml:space="preserve">(c) </w:t>
            </w:r>
            <w:r w:rsidR="00EF16F9" w:rsidRPr="00CB324B">
              <w:rPr>
                <w:rFonts w:ascii="Arial" w:hAnsi="Arial" w:cs="Arial"/>
                <w:b/>
                <w:bCs/>
                <w:color w:val="auto"/>
                <w:sz w:val="20"/>
                <w:szCs w:val="20"/>
              </w:rPr>
              <w:t>s</w:t>
            </w:r>
            <w:r w:rsidRPr="00CB324B">
              <w:rPr>
                <w:rFonts w:ascii="Arial" w:hAnsi="Arial" w:cs="Arial"/>
                <w:b/>
                <w:bCs/>
                <w:color w:val="auto"/>
                <w:sz w:val="20"/>
                <w:szCs w:val="20"/>
              </w:rPr>
              <w:t>ome other (and what) Section</w:t>
            </w:r>
            <w:r w:rsidR="00EF16F9" w:rsidRPr="00CB324B">
              <w:rPr>
                <w:rFonts w:ascii="Arial" w:hAnsi="Arial" w:cs="Arial"/>
                <w:b/>
                <w:bCs/>
                <w:color w:val="auto"/>
                <w:sz w:val="20"/>
                <w:szCs w:val="20"/>
              </w:rPr>
              <w:t xml:space="preserve"> of Appendix A</w:t>
            </w:r>
            <w:r w:rsidR="00D62099" w:rsidRPr="00CB324B">
              <w:rPr>
                <w:rFonts w:ascii="Arial" w:hAnsi="Arial" w:cs="Arial"/>
                <w:b/>
                <w:bCs/>
                <w:color w:val="auto"/>
                <w:sz w:val="20"/>
                <w:szCs w:val="20"/>
              </w:rPr>
              <w:t xml:space="preserve">? </w:t>
            </w:r>
          </w:p>
        </w:tc>
        <w:tc>
          <w:tcPr>
            <w:tcW w:w="4945" w:type="dxa"/>
            <w:gridSpan w:val="3"/>
            <w:tcBorders>
              <w:bottom w:val="single" w:sz="4" w:space="0" w:color="auto"/>
            </w:tcBorders>
          </w:tcPr>
          <w:p w14:paraId="76F499E7" w14:textId="77777777" w:rsidR="004E1A94" w:rsidRPr="00CB324B" w:rsidRDefault="004E1A94" w:rsidP="00E72C11">
            <w:pPr>
              <w:pStyle w:val="Default"/>
              <w:rPr>
                <w:rFonts w:ascii="Arial" w:hAnsi="Arial" w:cs="Arial"/>
                <w:b/>
                <w:bCs/>
                <w:color w:val="auto"/>
                <w:sz w:val="20"/>
                <w:szCs w:val="20"/>
              </w:rPr>
            </w:pPr>
          </w:p>
        </w:tc>
      </w:tr>
      <w:tr w:rsidR="004E1A94" w:rsidRPr="00CB324B" w14:paraId="36AD5B78" w14:textId="77777777" w:rsidTr="00E72C11">
        <w:trPr>
          <w:trHeight w:val="220"/>
        </w:trPr>
        <w:tc>
          <w:tcPr>
            <w:tcW w:w="5896" w:type="dxa"/>
          </w:tcPr>
          <w:p w14:paraId="2DE468AB" w14:textId="77777777" w:rsidR="004E1A94" w:rsidRPr="00CB324B" w:rsidRDefault="004E1A94" w:rsidP="00E72C11">
            <w:pPr>
              <w:pStyle w:val="Default"/>
              <w:spacing w:before="120" w:after="60" w:line="276" w:lineRule="auto"/>
              <w:rPr>
                <w:rFonts w:ascii="Arial" w:hAnsi="Arial" w:cs="Arial"/>
                <w:b/>
                <w:bCs/>
                <w:color w:val="auto"/>
                <w:sz w:val="20"/>
                <w:szCs w:val="20"/>
              </w:rPr>
            </w:pPr>
            <w:r w:rsidRPr="00CB324B">
              <w:rPr>
                <w:rFonts w:ascii="Arial" w:hAnsi="Arial" w:cs="Arial"/>
                <w:b/>
                <w:bCs/>
                <w:color w:val="auto"/>
                <w:sz w:val="20"/>
                <w:szCs w:val="20"/>
              </w:rPr>
              <w:t>Will an application claiming rates above the maximums in the scale be made?</w:t>
            </w:r>
          </w:p>
          <w:p w14:paraId="2E903E4A" w14:textId="091E1897" w:rsidR="004E1A94" w:rsidRPr="00CB324B" w:rsidRDefault="004E1A94" w:rsidP="00E72C11">
            <w:pPr>
              <w:pStyle w:val="Default"/>
              <w:spacing w:before="120" w:after="60" w:line="276" w:lineRule="auto"/>
              <w:rPr>
                <w:rFonts w:ascii="Arial" w:hAnsi="Arial" w:cs="Arial"/>
                <w:b/>
                <w:bCs/>
                <w:color w:val="auto"/>
                <w:sz w:val="20"/>
                <w:szCs w:val="20"/>
              </w:rPr>
            </w:pPr>
            <w:r w:rsidRPr="00CB324B">
              <w:rPr>
                <w:rFonts w:ascii="Arial" w:hAnsi="Arial" w:cs="Arial"/>
                <w:b/>
                <w:bCs/>
                <w:color w:val="auto"/>
                <w:sz w:val="20"/>
                <w:szCs w:val="20"/>
              </w:rPr>
              <w:t>For the amounts in Section</w:t>
            </w:r>
            <w:r w:rsidR="004C268D" w:rsidRPr="00CB324B">
              <w:rPr>
                <w:rFonts w:ascii="Arial" w:hAnsi="Arial" w:cs="Arial"/>
                <w:b/>
                <w:bCs/>
                <w:color w:val="auto"/>
                <w:sz w:val="20"/>
                <w:szCs w:val="20"/>
              </w:rPr>
              <w:t xml:space="preserve"> </w:t>
            </w:r>
            <w:r w:rsidRPr="00CB324B">
              <w:rPr>
                <w:rFonts w:ascii="Arial" w:hAnsi="Arial" w:cs="Arial"/>
                <w:b/>
                <w:bCs/>
                <w:color w:val="auto"/>
                <w:sz w:val="20"/>
                <w:szCs w:val="20"/>
              </w:rPr>
              <w:t>1 of the Scale    YES          NO</w:t>
            </w:r>
          </w:p>
          <w:p w14:paraId="6EB27260" w14:textId="77777777" w:rsidR="004E1A94" w:rsidRPr="00CB324B" w:rsidRDefault="004E1A94" w:rsidP="00E72C11">
            <w:pPr>
              <w:pStyle w:val="Default"/>
              <w:spacing w:before="120" w:after="60" w:line="276" w:lineRule="auto"/>
              <w:rPr>
                <w:rFonts w:ascii="Arial" w:hAnsi="Arial" w:cs="Arial"/>
                <w:b/>
                <w:bCs/>
                <w:color w:val="auto"/>
                <w:sz w:val="20"/>
                <w:szCs w:val="20"/>
              </w:rPr>
            </w:pPr>
            <w:r w:rsidRPr="00CB324B">
              <w:rPr>
                <w:rFonts w:ascii="Arial" w:hAnsi="Arial" w:cs="Arial"/>
                <w:b/>
                <w:bCs/>
                <w:color w:val="auto"/>
                <w:sz w:val="20"/>
                <w:szCs w:val="20"/>
              </w:rPr>
              <w:t>For the amounts in Section 4 of the Scale    YES          NO</w:t>
            </w:r>
          </w:p>
        </w:tc>
        <w:tc>
          <w:tcPr>
            <w:tcW w:w="4945" w:type="dxa"/>
            <w:gridSpan w:val="3"/>
            <w:tcBorders>
              <w:bottom w:val="single" w:sz="4" w:space="0" w:color="auto"/>
            </w:tcBorders>
          </w:tcPr>
          <w:p w14:paraId="4EDAB061" w14:textId="77777777" w:rsidR="004E1A94" w:rsidRPr="00CB324B" w:rsidRDefault="004E1A94" w:rsidP="00E72C11">
            <w:pPr>
              <w:pStyle w:val="Default"/>
              <w:spacing w:line="276" w:lineRule="auto"/>
              <w:rPr>
                <w:rFonts w:ascii="Arial" w:hAnsi="Arial" w:cs="Arial"/>
                <w:b/>
                <w:bCs/>
                <w:color w:val="auto"/>
                <w:sz w:val="20"/>
                <w:szCs w:val="20"/>
              </w:rPr>
            </w:pPr>
            <w:r w:rsidRPr="00CB324B">
              <w:rPr>
                <w:rFonts w:ascii="Arial" w:hAnsi="Arial" w:cs="Arial"/>
                <w:b/>
                <w:bCs/>
                <w:color w:val="auto"/>
                <w:sz w:val="20"/>
                <w:szCs w:val="20"/>
              </w:rPr>
              <w:t xml:space="preserve">Details </w:t>
            </w:r>
          </w:p>
        </w:tc>
      </w:tr>
      <w:tr w:rsidR="004E1A94" w:rsidRPr="00CB324B" w14:paraId="51F97C25" w14:textId="77777777" w:rsidTr="00E72C11">
        <w:trPr>
          <w:trHeight w:val="457"/>
        </w:trPr>
        <w:tc>
          <w:tcPr>
            <w:tcW w:w="5896" w:type="dxa"/>
          </w:tcPr>
          <w:p w14:paraId="339AE974" w14:textId="77777777" w:rsidR="004E1A94" w:rsidRPr="00CB324B" w:rsidRDefault="004E1A94" w:rsidP="00E72C11">
            <w:pPr>
              <w:pStyle w:val="Default"/>
              <w:spacing w:before="120" w:after="120" w:line="276" w:lineRule="auto"/>
              <w:rPr>
                <w:rFonts w:ascii="Arial" w:hAnsi="Arial" w:cs="Arial"/>
                <w:b/>
                <w:bCs/>
                <w:color w:val="auto"/>
                <w:sz w:val="20"/>
                <w:szCs w:val="20"/>
              </w:rPr>
            </w:pPr>
            <w:r w:rsidRPr="00CB324B">
              <w:rPr>
                <w:rFonts w:ascii="Arial" w:hAnsi="Arial" w:cs="Arial"/>
                <w:b/>
                <w:bCs/>
                <w:color w:val="auto"/>
                <w:sz w:val="20"/>
                <w:szCs w:val="20"/>
              </w:rPr>
              <w:t>Amount of costs claimed</w:t>
            </w:r>
          </w:p>
          <w:p w14:paraId="58FADF54" w14:textId="77777777" w:rsidR="004E1A94" w:rsidRPr="00CB324B" w:rsidRDefault="004E1A94" w:rsidP="00E72C11">
            <w:pPr>
              <w:pStyle w:val="Default"/>
              <w:spacing w:before="120" w:after="120" w:line="276" w:lineRule="auto"/>
              <w:rPr>
                <w:rFonts w:ascii="Arial" w:hAnsi="Arial" w:cs="Arial"/>
                <w:bCs/>
                <w:color w:val="auto"/>
                <w:sz w:val="20"/>
                <w:szCs w:val="20"/>
              </w:rPr>
            </w:pPr>
            <w:r w:rsidRPr="00CB324B">
              <w:rPr>
                <w:rFonts w:ascii="Arial" w:hAnsi="Arial" w:cs="Arial"/>
                <w:bCs/>
                <w:color w:val="auto"/>
                <w:sz w:val="20"/>
                <w:szCs w:val="20"/>
              </w:rPr>
              <w:t xml:space="preserve">The amount of professional charges and disbursements claimed in the bill of costs </w:t>
            </w:r>
          </w:p>
        </w:tc>
        <w:tc>
          <w:tcPr>
            <w:tcW w:w="1715" w:type="dxa"/>
            <w:tcBorders>
              <w:right w:val="single" w:sz="4" w:space="0" w:color="auto"/>
            </w:tcBorders>
          </w:tcPr>
          <w:p w14:paraId="2B5691B4" w14:textId="77777777" w:rsidR="004E1A94" w:rsidRPr="00CB324B" w:rsidRDefault="004E1A94" w:rsidP="00E72C11">
            <w:pPr>
              <w:pStyle w:val="Default"/>
              <w:spacing w:before="60" w:after="60"/>
              <w:rPr>
                <w:rFonts w:ascii="Arial" w:hAnsi="Arial" w:cs="Arial"/>
                <w:b/>
                <w:bCs/>
                <w:color w:val="auto"/>
                <w:sz w:val="20"/>
                <w:szCs w:val="20"/>
              </w:rPr>
            </w:pPr>
            <w:r w:rsidRPr="00CB324B">
              <w:rPr>
                <w:rFonts w:ascii="Arial" w:hAnsi="Arial" w:cs="Arial"/>
                <w:b/>
                <w:bCs/>
                <w:color w:val="auto"/>
                <w:sz w:val="20"/>
                <w:szCs w:val="20"/>
              </w:rPr>
              <w:t>Professional charges</w:t>
            </w:r>
          </w:p>
          <w:p w14:paraId="3320675B" w14:textId="77777777" w:rsidR="004E1A94" w:rsidRPr="00CB324B" w:rsidRDefault="004E1A94" w:rsidP="00E72C11">
            <w:pPr>
              <w:pStyle w:val="Default"/>
              <w:spacing w:before="60"/>
              <w:rPr>
                <w:rFonts w:ascii="Arial" w:hAnsi="Arial" w:cs="Arial"/>
                <w:b/>
                <w:bCs/>
                <w:color w:val="auto"/>
                <w:sz w:val="20"/>
                <w:szCs w:val="20"/>
              </w:rPr>
            </w:pPr>
            <w:r w:rsidRPr="00CB324B">
              <w:rPr>
                <w:rFonts w:ascii="Arial" w:hAnsi="Arial" w:cs="Arial"/>
                <w:b/>
                <w:bCs/>
                <w:color w:val="auto"/>
                <w:sz w:val="20"/>
                <w:szCs w:val="20"/>
              </w:rPr>
              <w:t>$</w:t>
            </w:r>
          </w:p>
        </w:tc>
        <w:tc>
          <w:tcPr>
            <w:tcW w:w="1703" w:type="dxa"/>
            <w:tcBorders>
              <w:left w:val="single" w:sz="4" w:space="0" w:color="auto"/>
              <w:right w:val="single" w:sz="4" w:space="0" w:color="auto"/>
            </w:tcBorders>
          </w:tcPr>
          <w:p w14:paraId="7D29D40A" w14:textId="77777777" w:rsidR="004E1A94" w:rsidRPr="00CB324B" w:rsidRDefault="004E1A94" w:rsidP="00E72C11">
            <w:pPr>
              <w:pStyle w:val="Default"/>
              <w:spacing w:before="60"/>
              <w:rPr>
                <w:rFonts w:ascii="Arial" w:hAnsi="Arial" w:cs="Arial"/>
                <w:b/>
                <w:bCs/>
                <w:color w:val="auto"/>
                <w:sz w:val="20"/>
                <w:szCs w:val="20"/>
              </w:rPr>
            </w:pPr>
            <w:r w:rsidRPr="00CB324B">
              <w:rPr>
                <w:rFonts w:ascii="Arial" w:hAnsi="Arial" w:cs="Arial"/>
                <w:b/>
                <w:bCs/>
                <w:color w:val="auto"/>
                <w:sz w:val="20"/>
                <w:szCs w:val="20"/>
              </w:rPr>
              <w:t xml:space="preserve">Disbursements </w:t>
            </w:r>
          </w:p>
          <w:p w14:paraId="48B8767F" w14:textId="77777777" w:rsidR="004E1A94" w:rsidRPr="00CB324B" w:rsidRDefault="004E1A94" w:rsidP="00E72C11">
            <w:pPr>
              <w:pStyle w:val="Default"/>
              <w:spacing w:before="60"/>
              <w:rPr>
                <w:rFonts w:ascii="Arial" w:hAnsi="Arial" w:cs="Arial"/>
                <w:b/>
                <w:bCs/>
                <w:color w:val="auto"/>
                <w:sz w:val="20"/>
                <w:szCs w:val="20"/>
              </w:rPr>
            </w:pPr>
          </w:p>
          <w:p w14:paraId="67A6D182" w14:textId="77777777" w:rsidR="004E1A94" w:rsidRPr="00CB324B" w:rsidRDefault="004E1A94" w:rsidP="00E72C11">
            <w:pPr>
              <w:pStyle w:val="Default"/>
              <w:spacing w:before="60" w:after="60"/>
              <w:rPr>
                <w:rFonts w:ascii="Arial" w:hAnsi="Arial" w:cs="Arial"/>
                <w:b/>
                <w:bCs/>
                <w:color w:val="auto"/>
                <w:sz w:val="20"/>
                <w:szCs w:val="20"/>
              </w:rPr>
            </w:pPr>
            <w:r w:rsidRPr="00CB324B">
              <w:rPr>
                <w:rFonts w:ascii="Arial" w:hAnsi="Arial" w:cs="Arial"/>
                <w:b/>
                <w:bCs/>
                <w:color w:val="auto"/>
                <w:sz w:val="20"/>
                <w:szCs w:val="20"/>
              </w:rPr>
              <w:t>$</w:t>
            </w:r>
          </w:p>
        </w:tc>
        <w:tc>
          <w:tcPr>
            <w:tcW w:w="1527" w:type="dxa"/>
            <w:tcBorders>
              <w:left w:val="single" w:sz="4" w:space="0" w:color="auto"/>
            </w:tcBorders>
          </w:tcPr>
          <w:p w14:paraId="05C04D3C" w14:textId="77777777" w:rsidR="004E1A94" w:rsidRPr="00CB324B" w:rsidRDefault="004E1A94" w:rsidP="00E72C11">
            <w:pPr>
              <w:pStyle w:val="Default"/>
              <w:spacing w:before="60"/>
              <w:rPr>
                <w:rFonts w:ascii="Arial" w:hAnsi="Arial" w:cs="Arial"/>
                <w:b/>
                <w:bCs/>
                <w:color w:val="auto"/>
                <w:sz w:val="20"/>
                <w:szCs w:val="20"/>
              </w:rPr>
            </w:pPr>
            <w:r w:rsidRPr="00CB324B">
              <w:rPr>
                <w:rFonts w:ascii="Arial" w:hAnsi="Arial" w:cs="Arial"/>
                <w:b/>
                <w:bCs/>
                <w:color w:val="auto"/>
                <w:sz w:val="20"/>
                <w:szCs w:val="20"/>
              </w:rPr>
              <w:t>Total</w:t>
            </w:r>
          </w:p>
          <w:p w14:paraId="3D5FA494" w14:textId="77777777" w:rsidR="004E1A94" w:rsidRPr="00CB324B" w:rsidRDefault="004E1A94" w:rsidP="00E72C11">
            <w:pPr>
              <w:pStyle w:val="Default"/>
              <w:spacing w:before="60"/>
              <w:rPr>
                <w:rFonts w:ascii="Arial" w:hAnsi="Arial" w:cs="Arial"/>
                <w:b/>
                <w:bCs/>
                <w:color w:val="auto"/>
                <w:sz w:val="20"/>
                <w:szCs w:val="20"/>
              </w:rPr>
            </w:pPr>
          </w:p>
          <w:p w14:paraId="19399AEF" w14:textId="77777777" w:rsidR="004E1A94" w:rsidRPr="00CB324B" w:rsidRDefault="004E1A94" w:rsidP="00E72C11">
            <w:pPr>
              <w:pStyle w:val="Default"/>
              <w:spacing w:before="60"/>
              <w:rPr>
                <w:rFonts w:ascii="Arial" w:hAnsi="Arial" w:cs="Arial"/>
                <w:b/>
                <w:bCs/>
                <w:color w:val="auto"/>
                <w:sz w:val="20"/>
                <w:szCs w:val="20"/>
              </w:rPr>
            </w:pPr>
            <w:r w:rsidRPr="00CB324B">
              <w:rPr>
                <w:rFonts w:ascii="Arial" w:hAnsi="Arial" w:cs="Arial"/>
                <w:b/>
                <w:bCs/>
                <w:color w:val="auto"/>
                <w:sz w:val="20"/>
                <w:szCs w:val="20"/>
              </w:rPr>
              <w:t>$</w:t>
            </w:r>
          </w:p>
        </w:tc>
      </w:tr>
      <w:tr w:rsidR="004E1A94" w:rsidRPr="00CB324B" w14:paraId="18BB5D37" w14:textId="77777777" w:rsidTr="00E72C11">
        <w:trPr>
          <w:trHeight w:val="634"/>
        </w:trPr>
        <w:tc>
          <w:tcPr>
            <w:tcW w:w="5896" w:type="dxa"/>
          </w:tcPr>
          <w:p w14:paraId="3CF08BCE" w14:textId="42A4BB5B" w:rsidR="004E1A94" w:rsidRPr="00CB324B" w:rsidRDefault="004E1A94" w:rsidP="00B57797">
            <w:pPr>
              <w:spacing w:before="60" w:after="60"/>
              <w:rPr>
                <w:rFonts w:ascii="Arial" w:hAnsi="Arial" w:cs="Arial"/>
                <w:b/>
                <w:sz w:val="20"/>
                <w:szCs w:val="20"/>
              </w:rPr>
            </w:pPr>
            <w:r w:rsidRPr="00CB324B">
              <w:rPr>
                <w:rFonts w:ascii="Arial" w:hAnsi="Arial" w:cs="Arial"/>
                <w:b/>
                <w:sz w:val="20"/>
                <w:szCs w:val="20"/>
              </w:rPr>
              <w:t xml:space="preserve">Any reason why the matter should be referred to a </w:t>
            </w:r>
            <w:r w:rsidR="00D62099" w:rsidRPr="00CB324B">
              <w:rPr>
                <w:rFonts w:ascii="Arial" w:hAnsi="Arial" w:cs="Arial"/>
                <w:b/>
                <w:sz w:val="20"/>
                <w:szCs w:val="20"/>
              </w:rPr>
              <w:t>directions hearing</w:t>
            </w:r>
            <w:r w:rsidRPr="00CB324B">
              <w:rPr>
                <w:rFonts w:ascii="Arial" w:hAnsi="Arial" w:cs="Arial"/>
                <w:b/>
                <w:sz w:val="20"/>
                <w:szCs w:val="20"/>
              </w:rPr>
              <w:t xml:space="preserve"> – </w:t>
            </w:r>
            <w:r w:rsidR="00B57797" w:rsidRPr="00CB324B">
              <w:rPr>
                <w:rFonts w:ascii="Arial" w:hAnsi="Arial" w:cs="Arial"/>
                <w:b/>
                <w:sz w:val="20"/>
                <w:szCs w:val="20"/>
              </w:rPr>
              <w:t>e.g.</w:t>
            </w:r>
            <w:r w:rsidRPr="00CB324B">
              <w:rPr>
                <w:rFonts w:ascii="Arial" w:hAnsi="Arial" w:cs="Arial"/>
                <w:b/>
                <w:sz w:val="20"/>
                <w:szCs w:val="20"/>
              </w:rPr>
              <w:t xml:space="preserve"> </w:t>
            </w:r>
            <w:r w:rsidR="00B57797" w:rsidRPr="00CB324B">
              <w:rPr>
                <w:rFonts w:ascii="Arial" w:hAnsi="Arial" w:cs="Arial"/>
                <w:b/>
                <w:sz w:val="20"/>
                <w:szCs w:val="20"/>
              </w:rPr>
              <w:t>s</w:t>
            </w:r>
            <w:r w:rsidRPr="00CB324B">
              <w:rPr>
                <w:rFonts w:ascii="Arial" w:hAnsi="Arial" w:cs="Arial"/>
                <w:b/>
                <w:sz w:val="20"/>
                <w:szCs w:val="20"/>
              </w:rPr>
              <w:t xml:space="preserve">elf-represented </w:t>
            </w:r>
            <w:r w:rsidR="00B57797" w:rsidRPr="00CB324B">
              <w:rPr>
                <w:rFonts w:ascii="Arial" w:hAnsi="Arial" w:cs="Arial"/>
                <w:b/>
                <w:sz w:val="20"/>
                <w:szCs w:val="20"/>
              </w:rPr>
              <w:t>l</w:t>
            </w:r>
            <w:r w:rsidRPr="00CB324B">
              <w:rPr>
                <w:rFonts w:ascii="Arial" w:hAnsi="Arial" w:cs="Arial"/>
                <w:b/>
                <w:sz w:val="20"/>
                <w:szCs w:val="20"/>
              </w:rPr>
              <w:t xml:space="preserve">itigant as applicant or respondent.   </w:t>
            </w:r>
          </w:p>
        </w:tc>
        <w:tc>
          <w:tcPr>
            <w:tcW w:w="4945" w:type="dxa"/>
            <w:gridSpan w:val="3"/>
          </w:tcPr>
          <w:p w14:paraId="733022FE" w14:textId="77777777" w:rsidR="004E1A94" w:rsidRPr="00CB324B" w:rsidRDefault="004E1A94" w:rsidP="00E72C11">
            <w:pPr>
              <w:pStyle w:val="Default"/>
              <w:rPr>
                <w:rFonts w:ascii="Arial" w:hAnsi="Arial" w:cs="Arial"/>
                <w:b/>
                <w:bCs/>
                <w:color w:val="auto"/>
                <w:sz w:val="20"/>
                <w:szCs w:val="20"/>
              </w:rPr>
            </w:pPr>
          </w:p>
        </w:tc>
      </w:tr>
      <w:tr w:rsidR="004E1A94" w:rsidRPr="00CB324B" w14:paraId="4C5CFFE0" w14:textId="77777777" w:rsidTr="00E72C11">
        <w:trPr>
          <w:trHeight w:val="187"/>
        </w:trPr>
        <w:tc>
          <w:tcPr>
            <w:tcW w:w="5896" w:type="dxa"/>
          </w:tcPr>
          <w:p w14:paraId="531F9F75" w14:textId="49406135" w:rsidR="00EE0DDA" w:rsidRPr="00CB324B" w:rsidRDefault="00B57797" w:rsidP="00E72C11">
            <w:pPr>
              <w:pStyle w:val="Default"/>
              <w:spacing w:before="120" w:after="120" w:line="276" w:lineRule="auto"/>
              <w:rPr>
                <w:rFonts w:ascii="Arial" w:hAnsi="Arial" w:cs="Arial"/>
                <w:b/>
                <w:bCs/>
                <w:color w:val="auto"/>
                <w:sz w:val="20"/>
                <w:szCs w:val="20"/>
              </w:rPr>
            </w:pPr>
            <w:r w:rsidRPr="00CB324B">
              <w:rPr>
                <w:rFonts w:ascii="Arial" w:hAnsi="Arial" w:cs="Arial"/>
                <w:b/>
                <w:bCs/>
                <w:color w:val="auto"/>
                <w:sz w:val="20"/>
                <w:szCs w:val="20"/>
              </w:rPr>
              <w:t>Is</w:t>
            </w:r>
            <w:r w:rsidR="004E1A94" w:rsidRPr="00CB324B">
              <w:rPr>
                <w:rFonts w:ascii="Arial" w:hAnsi="Arial" w:cs="Arial"/>
                <w:b/>
                <w:bCs/>
                <w:color w:val="auto"/>
                <w:sz w:val="20"/>
                <w:szCs w:val="20"/>
              </w:rPr>
              <w:t xml:space="preserve"> the matter likely to be </w:t>
            </w:r>
            <w:r w:rsidRPr="00CB324B">
              <w:rPr>
                <w:rFonts w:ascii="Arial" w:hAnsi="Arial" w:cs="Arial"/>
                <w:b/>
                <w:bCs/>
                <w:color w:val="auto"/>
                <w:sz w:val="20"/>
                <w:szCs w:val="20"/>
              </w:rPr>
              <w:t>op</w:t>
            </w:r>
            <w:r w:rsidR="004E1A94" w:rsidRPr="00CB324B">
              <w:rPr>
                <w:rFonts w:ascii="Arial" w:hAnsi="Arial" w:cs="Arial"/>
                <w:b/>
                <w:bCs/>
                <w:color w:val="auto"/>
                <w:sz w:val="20"/>
                <w:szCs w:val="20"/>
              </w:rPr>
              <w:t>posed/</w:t>
            </w:r>
            <w:r w:rsidRPr="00CB324B">
              <w:rPr>
                <w:rFonts w:ascii="Arial" w:hAnsi="Arial" w:cs="Arial"/>
                <w:b/>
                <w:bCs/>
                <w:color w:val="auto"/>
                <w:sz w:val="20"/>
                <w:szCs w:val="20"/>
              </w:rPr>
              <w:t>u</w:t>
            </w:r>
            <w:r w:rsidR="004E1A94" w:rsidRPr="00CB324B">
              <w:rPr>
                <w:rFonts w:ascii="Arial" w:hAnsi="Arial" w:cs="Arial"/>
                <w:b/>
                <w:bCs/>
                <w:color w:val="auto"/>
                <w:sz w:val="20"/>
                <w:szCs w:val="20"/>
              </w:rPr>
              <w:t>nopposed/</w:t>
            </w:r>
            <w:r w:rsidRPr="00CB324B">
              <w:rPr>
                <w:rFonts w:ascii="Arial" w:hAnsi="Arial" w:cs="Arial"/>
                <w:b/>
                <w:bCs/>
                <w:i/>
                <w:iCs/>
                <w:color w:val="auto"/>
                <w:sz w:val="20"/>
                <w:szCs w:val="20"/>
              </w:rPr>
              <w:t>e</w:t>
            </w:r>
            <w:r w:rsidR="004E1A94" w:rsidRPr="00CB324B">
              <w:rPr>
                <w:rFonts w:ascii="Arial" w:hAnsi="Arial" w:cs="Arial"/>
                <w:b/>
                <w:bCs/>
                <w:i/>
                <w:iCs/>
                <w:color w:val="auto"/>
                <w:sz w:val="20"/>
                <w:szCs w:val="20"/>
              </w:rPr>
              <w:t>x</w:t>
            </w:r>
            <w:r w:rsidR="00C849AD" w:rsidRPr="00CB324B">
              <w:rPr>
                <w:rFonts w:ascii="Arial" w:hAnsi="Arial" w:cs="Arial"/>
                <w:b/>
                <w:bCs/>
                <w:i/>
                <w:iCs/>
                <w:color w:val="auto"/>
                <w:sz w:val="20"/>
                <w:szCs w:val="20"/>
              </w:rPr>
              <w:t xml:space="preserve"> </w:t>
            </w:r>
            <w:r w:rsidRPr="00CB324B">
              <w:rPr>
                <w:rFonts w:ascii="Arial" w:hAnsi="Arial" w:cs="Arial"/>
                <w:b/>
                <w:bCs/>
                <w:i/>
                <w:iCs/>
                <w:color w:val="auto"/>
                <w:sz w:val="20"/>
                <w:szCs w:val="20"/>
              </w:rPr>
              <w:t>p</w:t>
            </w:r>
            <w:r w:rsidR="004E1A94" w:rsidRPr="00CB324B">
              <w:rPr>
                <w:rFonts w:ascii="Arial" w:hAnsi="Arial" w:cs="Arial"/>
                <w:b/>
                <w:bCs/>
                <w:i/>
                <w:iCs/>
                <w:color w:val="auto"/>
                <w:sz w:val="20"/>
                <w:szCs w:val="20"/>
              </w:rPr>
              <w:t>arte</w:t>
            </w:r>
            <w:r w:rsidR="001A34B7" w:rsidRPr="00CB324B">
              <w:rPr>
                <w:rFonts w:ascii="Arial" w:hAnsi="Arial" w:cs="Arial"/>
                <w:b/>
                <w:bCs/>
                <w:color w:val="auto"/>
                <w:sz w:val="20"/>
                <w:szCs w:val="20"/>
              </w:rPr>
              <w:t>/</w:t>
            </w:r>
            <w:r w:rsidR="004E1A94" w:rsidRPr="00CB324B">
              <w:rPr>
                <w:rFonts w:ascii="Arial" w:hAnsi="Arial" w:cs="Arial"/>
                <w:b/>
                <w:bCs/>
                <w:color w:val="auto"/>
                <w:sz w:val="20"/>
                <w:szCs w:val="20"/>
              </w:rPr>
              <w:t xml:space="preserve">by </w:t>
            </w:r>
            <w:r w:rsidRPr="00CB324B">
              <w:rPr>
                <w:rFonts w:ascii="Arial" w:hAnsi="Arial" w:cs="Arial"/>
                <w:b/>
                <w:bCs/>
                <w:color w:val="auto"/>
                <w:sz w:val="20"/>
                <w:szCs w:val="20"/>
              </w:rPr>
              <w:t>c</w:t>
            </w:r>
            <w:r w:rsidR="004E1A94" w:rsidRPr="00CB324B">
              <w:rPr>
                <w:rFonts w:ascii="Arial" w:hAnsi="Arial" w:cs="Arial"/>
                <w:b/>
                <w:bCs/>
                <w:color w:val="auto"/>
                <w:sz w:val="20"/>
                <w:szCs w:val="20"/>
              </w:rPr>
              <w:t>onsent?</w:t>
            </w:r>
          </w:p>
          <w:p w14:paraId="66F3D308" w14:textId="17971D7B" w:rsidR="004E1A94" w:rsidRPr="00CB324B" w:rsidRDefault="00EE0DDA" w:rsidP="00E72C11">
            <w:pPr>
              <w:pStyle w:val="Default"/>
              <w:spacing w:before="120" w:after="120" w:line="276" w:lineRule="auto"/>
              <w:rPr>
                <w:rFonts w:ascii="Arial" w:hAnsi="Arial" w:cs="Arial"/>
                <w:b/>
                <w:bCs/>
                <w:color w:val="auto"/>
                <w:sz w:val="20"/>
                <w:szCs w:val="20"/>
              </w:rPr>
            </w:pPr>
            <w:r w:rsidRPr="00CB324B">
              <w:rPr>
                <w:rFonts w:ascii="Arial" w:hAnsi="Arial" w:cs="Arial"/>
                <w:b/>
                <w:bCs/>
                <w:color w:val="auto"/>
                <w:sz w:val="20"/>
                <w:szCs w:val="20"/>
              </w:rPr>
              <w:t>If by consent, attached signed minutes of consent order.</w:t>
            </w:r>
            <w:r w:rsidR="004E1A94" w:rsidRPr="00CB324B">
              <w:rPr>
                <w:rFonts w:ascii="Arial" w:hAnsi="Arial" w:cs="Arial"/>
                <w:b/>
                <w:bCs/>
                <w:color w:val="auto"/>
                <w:sz w:val="20"/>
                <w:szCs w:val="20"/>
              </w:rPr>
              <w:t xml:space="preserve"> </w:t>
            </w:r>
          </w:p>
        </w:tc>
        <w:tc>
          <w:tcPr>
            <w:tcW w:w="4945" w:type="dxa"/>
            <w:gridSpan w:val="3"/>
          </w:tcPr>
          <w:p w14:paraId="32F3C1C2" w14:textId="77777777" w:rsidR="004E1A94" w:rsidRPr="00CB324B" w:rsidRDefault="004E1A94" w:rsidP="00E72C11">
            <w:pPr>
              <w:pStyle w:val="Default"/>
              <w:rPr>
                <w:rFonts w:ascii="Arial" w:hAnsi="Arial" w:cs="Arial"/>
                <w:b/>
                <w:bCs/>
                <w:color w:val="auto"/>
                <w:sz w:val="20"/>
                <w:szCs w:val="20"/>
              </w:rPr>
            </w:pPr>
          </w:p>
        </w:tc>
      </w:tr>
      <w:tr w:rsidR="004E1A94" w:rsidRPr="00CB324B" w14:paraId="5D7938A2" w14:textId="77777777" w:rsidTr="00E72C11">
        <w:trPr>
          <w:trHeight w:val="187"/>
        </w:trPr>
        <w:tc>
          <w:tcPr>
            <w:tcW w:w="5896" w:type="dxa"/>
          </w:tcPr>
          <w:p w14:paraId="26D10A65" w14:textId="014F7F75" w:rsidR="004E1A94" w:rsidRPr="00CB324B" w:rsidRDefault="004E1A94" w:rsidP="00E72C11">
            <w:pPr>
              <w:pStyle w:val="Default"/>
              <w:spacing w:before="120" w:after="120" w:line="276" w:lineRule="auto"/>
              <w:rPr>
                <w:rFonts w:ascii="Arial" w:hAnsi="Arial" w:cs="Arial"/>
                <w:b/>
                <w:bCs/>
                <w:color w:val="auto"/>
                <w:sz w:val="20"/>
                <w:szCs w:val="20"/>
              </w:rPr>
            </w:pPr>
            <w:r w:rsidRPr="00CB324B">
              <w:rPr>
                <w:rFonts w:ascii="Arial" w:hAnsi="Arial" w:cs="Arial"/>
                <w:b/>
                <w:bCs/>
                <w:color w:val="auto"/>
                <w:sz w:val="20"/>
                <w:szCs w:val="20"/>
              </w:rPr>
              <w:t xml:space="preserve">Details of </w:t>
            </w:r>
            <w:r w:rsidR="00EE0DDA" w:rsidRPr="00CB324B">
              <w:rPr>
                <w:rFonts w:ascii="Arial" w:hAnsi="Arial" w:cs="Arial"/>
                <w:b/>
                <w:bCs/>
                <w:color w:val="auto"/>
                <w:sz w:val="20"/>
                <w:szCs w:val="20"/>
              </w:rPr>
              <w:t>r</w:t>
            </w:r>
            <w:r w:rsidRPr="00CB324B">
              <w:rPr>
                <w:rFonts w:ascii="Arial" w:hAnsi="Arial" w:cs="Arial"/>
                <w:b/>
                <w:bCs/>
                <w:color w:val="auto"/>
                <w:sz w:val="20"/>
                <w:szCs w:val="20"/>
              </w:rPr>
              <w:t xml:space="preserve">espondent’s legal practitioner if known </w:t>
            </w:r>
          </w:p>
        </w:tc>
        <w:tc>
          <w:tcPr>
            <w:tcW w:w="4945" w:type="dxa"/>
            <w:gridSpan w:val="3"/>
          </w:tcPr>
          <w:p w14:paraId="3C888C40" w14:textId="77777777" w:rsidR="004E1A94" w:rsidRPr="00CB324B" w:rsidRDefault="004E1A94" w:rsidP="00E72C11">
            <w:pPr>
              <w:pStyle w:val="Default"/>
              <w:rPr>
                <w:rFonts w:ascii="Arial" w:hAnsi="Arial" w:cs="Arial"/>
                <w:b/>
                <w:bCs/>
                <w:color w:val="auto"/>
                <w:sz w:val="20"/>
                <w:szCs w:val="20"/>
              </w:rPr>
            </w:pPr>
          </w:p>
        </w:tc>
      </w:tr>
      <w:tr w:rsidR="004E1A94" w:rsidRPr="00CB324B" w14:paraId="07592DB3" w14:textId="77777777" w:rsidTr="00E72C11">
        <w:trPr>
          <w:trHeight w:val="84"/>
        </w:trPr>
        <w:tc>
          <w:tcPr>
            <w:tcW w:w="5896" w:type="dxa"/>
          </w:tcPr>
          <w:p w14:paraId="0E7E8056" w14:textId="77655556" w:rsidR="004E1A94" w:rsidRPr="00CB324B" w:rsidRDefault="004E1A94" w:rsidP="00E72C11">
            <w:pPr>
              <w:pStyle w:val="Default"/>
              <w:spacing w:before="120" w:after="120" w:line="276" w:lineRule="auto"/>
              <w:rPr>
                <w:rFonts w:ascii="Arial" w:hAnsi="Arial" w:cs="Arial"/>
                <w:b/>
                <w:bCs/>
                <w:color w:val="auto"/>
                <w:sz w:val="20"/>
                <w:szCs w:val="20"/>
              </w:rPr>
            </w:pPr>
            <w:r w:rsidRPr="00CB324B">
              <w:rPr>
                <w:rFonts w:ascii="Arial" w:hAnsi="Arial" w:cs="Arial"/>
                <w:b/>
                <w:bCs/>
                <w:color w:val="auto"/>
                <w:sz w:val="20"/>
                <w:szCs w:val="20"/>
              </w:rPr>
              <w:t xml:space="preserve">Applicant’s </w:t>
            </w:r>
            <w:r w:rsidR="001A34B7" w:rsidRPr="00CB324B">
              <w:rPr>
                <w:rFonts w:ascii="Arial" w:hAnsi="Arial" w:cs="Arial"/>
                <w:b/>
                <w:bCs/>
                <w:color w:val="auto"/>
                <w:sz w:val="20"/>
                <w:szCs w:val="20"/>
              </w:rPr>
              <w:t>f</w:t>
            </w:r>
            <w:r w:rsidRPr="00CB324B">
              <w:rPr>
                <w:rFonts w:ascii="Arial" w:hAnsi="Arial" w:cs="Arial"/>
                <w:b/>
                <w:bCs/>
                <w:color w:val="auto"/>
                <w:sz w:val="20"/>
                <w:szCs w:val="20"/>
              </w:rPr>
              <w:t xml:space="preserve">irm name: </w:t>
            </w:r>
          </w:p>
        </w:tc>
        <w:tc>
          <w:tcPr>
            <w:tcW w:w="4945" w:type="dxa"/>
            <w:gridSpan w:val="3"/>
          </w:tcPr>
          <w:p w14:paraId="260E22C9" w14:textId="77777777" w:rsidR="004E1A94" w:rsidRPr="00CB324B" w:rsidRDefault="004E1A94" w:rsidP="00E72C11">
            <w:pPr>
              <w:pStyle w:val="Default"/>
              <w:rPr>
                <w:rFonts w:ascii="Arial" w:hAnsi="Arial" w:cs="Arial"/>
                <w:b/>
                <w:bCs/>
                <w:color w:val="auto"/>
                <w:sz w:val="20"/>
                <w:szCs w:val="20"/>
              </w:rPr>
            </w:pPr>
          </w:p>
        </w:tc>
      </w:tr>
      <w:tr w:rsidR="004E1A94" w:rsidRPr="00CB324B" w14:paraId="7B205553" w14:textId="77777777" w:rsidTr="00E72C11">
        <w:trPr>
          <w:trHeight w:val="84"/>
        </w:trPr>
        <w:tc>
          <w:tcPr>
            <w:tcW w:w="5896" w:type="dxa"/>
          </w:tcPr>
          <w:p w14:paraId="033AD3BE" w14:textId="77777777" w:rsidR="004E1A94" w:rsidRPr="00CB324B" w:rsidRDefault="004E1A94" w:rsidP="00E72C11">
            <w:pPr>
              <w:pStyle w:val="Default"/>
              <w:spacing w:before="120" w:after="120" w:line="276" w:lineRule="auto"/>
              <w:rPr>
                <w:rFonts w:ascii="Arial" w:hAnsi="Arial" w:cs="Arial"/>
                <w:b/>
                <w:bCs/>
                <w:color w:val="auto"/>
                <w:sz w:val="20"/>
                <w:szCs w:val="20"/>
              </w:rPr>
            </w:pPr>
            <w:r w:rsidRPr="00CB324B">
              <w:rPr>
                <w:rFonts w:ascii="Arial" w:hAnsi="Arial" w:cs="Arial"/>
                <w:b/>
                <w:bCs/>
                <w:color w:val="auto"/>
                <w:sz w:val="20"/>
                <w:szCs w:val="20"/>
              </w:rPr>
              <w:t xml:space="preserve">Practitioner with conduct: </w:t>
            </w:r>
          </w:p>
        </w:tc>
        <w:tc>
          <w:tcPr>
            <w:tcW w:w="4945" w:type="dxa"/>
            <w:gridSpan w:val="3"/>
          </w:tcPr>
          <w:p w14:paraId="02D9DDD8" w14:textId="77777777" w:rsidR="004E1A94" w:rsidRPr="00CB324B" w:rsidRDefault="004E1A94" w:rsidP="00E72C11">
            <w:pPr>
              <w:pStyle w:val="Default"/>
              <w:rPr>
                <w:rFonts w:ascii="Arial" w:hAnsi="Arial" w:cs="Arial"/>
                <w:b/>
                <w:bCs/>
                <w:color w:val="auto"/>
                <w:sz w:val="20"/>
                <w:szCs w:val="20"/>
              </w:rPr>
            </w:pPr>
          </w:p>
        </w:tc>
      </w:tr>
      <w:tr w:rsidR="004E1A94" w:rsidRPr="00CB324B" w14:paraId="12885EB4" w14:textId="77777777" w:rsidTr="00E72C11">
        <w:trPr>
          <w:trHeight w:val="84"/>
        </w:trPr>
        <w:tc>
          <w:tcPr>
            <w:tcW w:w="5896" w:type="dxa"/>
          </w:tcPr>
          <w:p w14:paraId="22764849" w14:textId="7FDE10AB" w:rsidR="004E1A94" w:rsidRPr="00CB324B" w:rsidRDefault="004E1A94" w:rsidP="00E72C11">
            <w:pPr>
              <w:pStyle w:val="Default"/>
              <w:spacing w:before="120" w:after="120" w:line="276" w:lineRule="auto"/>
              <w:rPr>
                <w:rFonts w:ascii="Arial" w:hAnsi="Arial" w:cs="Arial"/>
                <w:b/>
                <w:bCs/>
                <w:color w:val="auto"/>
                <w:sz w:val="20"/>
                <w:szCs w:val="20"/>
              </w:rPr>
            </w:pPr>
            <w:r w:rsidRPr="00CB324B">
              <w:rPr>
                <w:rFonts w:ascii="Arial" w:hAnsi="Arial" w:cs="Arial"/>
                <w:b/>
                <w:bCs/>
                <w:color w:val="auto"/>
                <w:sz w:val="20"/>
                <w:szCs w:val="20"/>
              </w:rPr>
              <w:t xml:space="preserve">Costs </w:t>
            </w:r>
            <w:r w:rsidR="00EE0DDA" w:rsidRPr="00CB324B">
              <w:rPr>
                <w:rFonts w:ascii="Arial" w:hAnsi="Arial" w:cs="Arial"/>
                <w:b/>
                <w:bCs/>
                <w:color w:val="auto"/>
                <w:sz w:val="20"/>
                <w:szCs w:val="20"/>
              </w:rPr>
              <w:t>l</w:t>
            </w:r>
            <w:r w:rsidRPr="00CB324B">
              <w:rPr>
                <w:rFonts w:ascii="Arial" w:hAnsi="Arial" w:cs="Arial"/>
                <w:b/>
                <w:bCs/>
                <w:color w:val="auto"/>
                <w:sz w:val="20"/>
                <w:szCs w:val="20"/>
              </w:rPr>
              <w:t xml:space="preserve">awyer or </w:t>
            </w:r>
            <w:r w:rsidR="00EE0DDA" w:rsidRPr="00CB324B">
              <w:rPr>
                <w:rFonts w:ascii="Arial" w:hAnsi="Arial" w:cs="Arial"/>
                <w:b/>
                <w:bCs/>
                <w:color w:val="auto"/>
                <w:sz w:val="20"/>
                <w:szCs w:val="20"/>
              </w:rPr>
              <w:t>c</w:t>
            </w:r>
            <w:r w:rsidRPr="00CB324B">
              <w:rPr>
                <w:rFonts w:ascii="Arial" w:hAnsi="Arial" w:cs="Arial"/>
                <w:b/>
                <w:bCs/>
                <w:color w:val="auto"/>
                <w:sz w:val="20"/>
                <w:szCs w:val="20"/>
              </w:rPr>
              <w:t xml:space="preserve">onsultant who drew the bill </w:t>
            </w:r>
          </w:p>
        </w:tc>
        <w:tc>
          <w:tcPr>
            <w:tcW w:w="4945" w:type="dxa"/>
            <w:gridSpan w:val="3"/>
          </w:tcPr>
          <w:p w14:paraId="2EBFE386" w14:textId="77777777" w:rsidR="004E1A94" w:rsidRPr="00CB324B" w:rsidRDefault="004E1A94" w:rsidP="00E72C11">
            <w:pPr>
              <w:pStyle w:val="Default"/>
              <w:rPr>
                <w:rFonts w:ascii="Arial" w:hAnsi="Arial" w:cs="Arial"/>
                <w:b/>
                <w:bCs/>
                <w:color w:val="auto"/>
                <w:sz w:val="20"/>
                <w:szCs w:val="20"/>
              </w:rPr>
            </w:pPr>
          </w:p>
        </w:tc>
      </w:tr>
      <w:tr w:rsidR="004E1A94" w:rsidRPr="00CB324B" w14:paraId="7EA59CBE" w14:textId="77777777" w:rsidTr="00E72C11">
        <w:trPr>
          <w:trHeight w:val="84"/>
        </w:trPr>
        <w:tc>
          <w:tcPr>
            <w:tcW w:w="5896" w:type="dxa"/>
          </w:tcPr>
          <w:p w14:paraId="14A5DCC3" w14:textId="77777777" w:rsidR="004E1A94" w:rsidRPr="00CB324B" w:rsidRDefault="004E1A94" w:rsidP="00E72C11">
            <w:pPr>
              <w:pStyle w:val="Default"/>
              <w:spacing w:before="120" w:after="120" w:line="276" w:lineRule="auto"/>
              <w:rPr>
                <w:rFonts w:ascii="Arial" w:hAnsi="Arial" w:cs="Arial"/>
                <w:b/>
                <w:bCs/>
                <w:color w:val="auto"/>
                <w:sz w:val="20"/>
                <w:szCs w:val="20"/>
              </w:rPr>
            </w:pPr>
            <w:r w:rsidRPr="00CB324B">
              <w:rPr>
                <w:rFonts w:ascii="Arial" w:hAnsi="Arial" w:cs="Arial"/>
                <w:b/>
                <w:bCs/>
                <w:color w:val="auto"/>
                <w:sz w:val="20"/>
                <w:szCs w:val="20"/>
              </w:rPr>
              <w:t xml:space="preserve">Direct telephone number: </w:t>
            </w:r>
          </w:p>
        </w:tc>
        <w:tc>
          <w:tcPr>
            <w:tcW w:w="4945" w:type="dxa"/>
            <w:gridSpan w:val="3"/>
          </w:tcPr>
          <w:p w14:paraId="3A12CF40" w14:textId="77777777" w:rsidR="004E1A94" w:rsidRPr="00CB324B" w:rsidRDefault="004E1A94" w:rsidP="00E72C11">
            <w:pPr>
              <w:pStyle w:val="Default"/>
              <w:rPr>
                <w:rFonts w:ascii="Arial" w:hAnsi="Arial" w:cs="Arial"/>
                <w:b/>
                <w:bCs/>
                <w:color w:val="auto"/>
                <w:sz w:val="20"/>
                <w:szCs w:val="20"/>
              </w:rPr>
            </w:pPr>
          </w:p>
        </w:tc>
      </w:tr>
      <w:tr w:rsidR="004E1A94" w:rsidRPr="00CB324B" w14:paraId="4759B42E" w14:textId="77777777" w:rsidTr="00E72C11">
        <w:trPr>
          <w:trHeight w:val="84"/>
        </w:trPr>
        <w:tc>
          <w:tcPr>
            <w:tcW w:w="5896" w:type="dxa"/>
          </w:tcPr>
          <w:p w14:paraId="327B24B4" w14:textId="77777777" w:rsidR="004E1A94" w:rsidRPr="00CB324B" w:rsidRDefault="004E1A94" w:rsidP="00E72C11">
            <w:pPr>
              <w:pStyle w:val="Default"/>
              <w:spacing w:before="120" w:after="120" w:line="276" w:lineRule="auto"/>
              <w:rPr>
                <w:rFonts w:ascii="Arial" w:hAnsi="Arial" w:cs="Arial"/>
                <w:b/>
                <w:bCs/>
                <w:color w:val="auto"/>
                <w:sz w:val="20"/>
                <w:szCs w:val="20"/>
              </w:rPr>
            </w:pPr>
            <w:r w:rsidRPr="00CB324B">
              <w:rPr>
                <w:rFonts w:ascii="Arial" w:hAnsi="Arial" w:cs="Arial"/>
                <w:b/>
                <w:bCs/>
                <w:color w:val="auto"/>
                <w:sz w:val="20"/>
                <w:szCs w:val="20"/>
              </w:rPr>
              <w:t xml:space="preserve">Email address: </w:t>
            </w:r>
          </w:p>
        </w:tc>
        <w:tc>
          <w:tcPr>
            <w:tcW w:w="4945" w:type="dxa"/>
            <w:gridSpan w:val="3"/>
          </w:tcPr>
          <w:p w14:paraId="393BD4A6" w14:textId="77777777" w:rsidR="004E1A94" w:rsidRPr="00CB324B" w:rsidRDefault="004E1A94" w:rsidP="00E72C11">
            <w:pPr>
              <w:pStyle w:val="Default"/>
              <w:rPr>
                <w:rFonts w:ascii="Arial" w:hAnsi="Arial" w:cs="Arial"/>
                <w:b/>
                <w:bCs/>
                <w:color w:val="auto"/>
                <w:sz w:val="20"/>
                <w:szCs w:val="20"/>
              </w:rPr>
            </w:pPr>
          </w:p>
        </w:tc>
      </w:tr>
      <w:tr w:rsidR="004E1A94" w:rsidRPr="00CB324B" w14:paraId="59A989D4" w14:textId="77777777" w:rsidTr="00E72C11">
        <w:trPr>
          <w:trHeight w:val="84"/>
        </w:trPr>
        <w:tc>
          <w:tcPr>
            <w:tcW w:w="5896" w:type="dxa"/>
          </w:tcPr>
          <w:p w14:paraId="57621450" w14:textId="77777777" w:rsidR="004E1A94" w:rsidRPr="00CB324B" w:rsidRDefault="004E1A94" w:rsidP="00E72C11">
            <w:pPr>
              <w:pStyle w:val="Default"/>
              <w:spacing w:before="120" w:after="60" w:line="276" w:lineRule="auto"/>
              <w:rPr>
                <w:rFonts w:ascii="Arial" w:hAnsi="Arial" w:cs="Arial"/>
                <w:b/>
                <w:bCs/>
                <w:color w:val="auto"/>
                <w:sz w:val="20"/>
                <w:szCs w:val="20"/>
              </w:rPr>
            </w:pPr>
            <w:r w:rsidRPr="00CB324B">
              <w:rPr>
                <w:rFonts w:ascii="Arial" w:hAnsi="Arial" w:cs="Arial"/>
                <w:b/>
                <w:bCs/>
                <w:color w:val="auto"/>
                <w:sz w:val="20"/>
                <w:szCs w:val="20"/>
              </w:rPr>
              <w:t xml:space="preserve">Unavailable hearing date/s (if any): </w:t>
            </w:r>
          </w:p>
          <w:p w14:paraId="68B22577" w14:textId="77777777" w:rsidR="004E1A94" w:rsidRPr="00CB324B" w:rsidRDefault="004E1A94" w:rsidP="00E72C11">
            <w:pPr>
              <w:pStyle w:val="Default"/>
              <w:spacing w:before="60" w:after="120" w:line="276" w:lineRule="auto"/>
              <w:rPr>
                <w:rFonts w:ascii="Arial" w:hAnsi="Arial" w:cs="Arial"/>
                <w:color w:val="auto"/>
                <w:sz w:val="20"/>
                <w:szCs w:val="20"/>
              </w:rPr>
            </w:pPr>
            <w:r w:rsidRPr="00CB324B">
              <w:rPr>
                <w:rFonts w:ascii="Arial" w:hAnsi="Arial" w:cs="Arial"/>
                <w:color w:val="auto"/>
                <w:sz w:val="20"/>
                <w:szCs w:val="20"/>
              </w:rPr>
              <w:t xml:space="preserve">List any dates within two months of the filing date that the filing party is </w:t>
            </w:r>
            <w:r w:rsidRPr="00CB324B">
              <w:rPr>
                <w:rFonts w:ascii="Arial" w:hAnsi="Arial" w:cs="Arial"/>
                <w:b/>
                <w:color w:val="auto"/>
                <w:sz w:val="20"/>
                <w:szCs w:val="20"/>
                <w:u w:val="single"/>
              </w:rPr>
              <w:t xml:space="preserve">not </w:t>
            </w:r>
            <w:r w:rsidRPr="00CB324B">
              <w:rPr>
                <w:rFonts w:ascii="Arial" w:hAnsi="Arial" w:cs="Arial"/>
                <w:color w:val="auto"/>
                <w:sz w:val="20"/>
                <w:szCs w:val="20"/>
              </w:rPr>
              <w:t xml:space="preserve">available </w:t>
            </w:r>
          </w:p>
        </w:tc>
        <w:tc>
          <w:tcPr>
            <w:tcW w:w="4945" w:type="dxa"/>
            <w:gridSpan w:val="3"/>
          </w:tcPr>
          <w:p w14:paraId="15542F5C" w14:textId="77777777" w:rsidR="004E1A94" w:rsidRPr="00CB324B" w:rsidRDefault="004E1A94" w:rsidP="00E72C11">
            <w:pPr>
              <w:pStyle w:val="Default"/>
              <w:rPr>
                <w:rFonts w:ascii="Arial" w:hAnsi="Arial" w:cs="Arial"/>
                <w:b/>
                <w:bCs/>
                <w:color w:val="auto"/>
                <w:sz w:val="20"/>
                <w:szCs w:val="20"/>
              </w:rPr>
            </w:pPr>
          </w:p>
        </w:tc>
      </w:tr>
      <w:tr w:rsidR="004E1A94" w:rsidRPr="00CB324B" w14:paraId="66555AAB" w14:textId="77777777" w:rsidTr="00E72C11">
        <w:trPr>
          <w:trHeight w:val="619"/>
        </w:trPr>
        <w:tc>
          <w:tcPr>
            <w:tcW w:w="5896" w:type="dxa"/>
          </w:tcPr>
          <w:p w14:paraId="581966B3" w14:textId="77777777" w:rsidR="004E1A94" w:rsidRPr="00CB324B" w:rsidRDefault="004E1A94" w:rsidP="00E72C11">
            <w:pPr>
              <w:pStyle w:val="Default"/>
              <w:spacing w:before="120" w:after="120" w:line="276" w:lineRule="auto"/>
              <w:rPr>
                <w:rFonts w:ascii="Arial" w:hAnsi="Arial" w:cs="Arial"/>
                <w:b/>
                <w:bCs/>
                <w:color w:val="auto"/>
                <w:sz w:val="20"/>
                <w:szCs w:val="20"/>
              </w:rPr>
            </w:pPr>
            <w:r w:rsidRPr="00CB324B">
              <w:rPr>
                <w:rFonts w:ascii="Arial" w:hAnsi="Arial" w:cs="Arial"/>
                <w:b/>
                <w:bCs/>
                <w:color w:val="auto"/>
                <w:sz w:val="20"/>
                <w:szCs w:val="20"/>
              </w:rPr>
              <w:t xml:space="preserve">Date and signature </w:t>
            </w:r>
          </w:p>
        </w:tc>
        <w:tc>
          <w:tcPr>
            <w:tcW w:w="4945" w:type="dxa"/>
            <w:gridSpan w:val="3"/>
          </w:tcPr>
          <w:p w14:paraId="6185D550" w14:textId="77777777" w:rsidR="004E1A94" w:rsidRPr="00CB324B" w:rsidRDefault="004E1A94" w:rsidP="00E72C11">
            <w:pPr>
              <w:pStyle w:val="Default"/>
              <w:rPr>
                <w:rFonts w:ascii="Arial" w:hAnsi="Arial" w:cs="Arial"/>
                <w:b/>
                <w:bCs/>
                <w:color w:val="auto"/>
                <w:sz w:val="20"/>
                <w:szCs w:val="20"/>
              </w:rPr>
            </w:pPr>
          </w:p>
        </w:tc>
      </w:tr>
    </w:tbl>
    <w:p w14:paraId="3F31D317" w14:textId="77777777" w:rsidR="00C8341E" w:rsidRDefault="00C8341E" w:rsidP="00620D33">
      <w:pPr>
        <w:pStyle w:val="Heading1"/>
      </w:pPr>
    </w:p>
    <w:p w14:paraId="2FBD505F" w14:textId="77777777" w:rsidR="00C8341E" w:rsidRDefault="00C8341E">
      <w:pPr>
        <w:rPr>
          <w:rFonts w:ascii="Book Antiqua" w:hAnsi="Book Antiqua"/>
          <w:b/>
          <w:bCs/>
          <w:kern w:val="32"/>
        </w:rPr>
      </w:pPr>
      <w:r>
        <w:br w:type="page"/>
      </w:r>
    </w:p>
    <w:p w14:paraId="73842E94" w14:textId="757BF6F0" w:rsidR="004E1A94" w:rsidRPr="00122423" w:rsidRDefault="004E1A94" w:rsidP="00620D33">
      <w:pPr>
        <w:pStyle w:val="Heading1"/>
      </w:pPr>
      <w:bookmarkStart w:id="39" w:name="_Toc178173300"/>
      <w:r w:rsidRPr="00122423">
        <w:t>Annexure B</w:t>
      </w:r>
      <w:bookmarkEnd w:id="39"/>
    </w:p>
    <w:p w14:paraId="30FBE984" w14:textId="77777777" w:rsidR="004E1A94" w:rsidRDefault="004E1A94" w:rsidP="004E1A94"/>
    <w:p w14:paraId="4B3A2945" w14:textId="77777777" w:rsidR="004E1A94" w:rsidRPr="00EA0D05" w:rsidRDefault="004E1A94" w:rsidP="004E1A94">
      <w:r w:rsidRPr="00EA0D05">
        <w:rPr>
          <w:noProof/>
        </w:rPr>
        <mc:AlternateContent>
          <mc:Choice Requires="wps">
            <w:drawing>
              <wp:anchor distT="0" distB="0" distL="114300" distR="114300" simplePos="0" relativeHeight="251658241" behindDoc="0" locked="1" layoutInCell="1" allowOverlap="0" wp14:anchorId="09CC722A" wp14:editId="42204BB9">
                <wp:simplePos x="0" y="0"/>
                <wp:positionH relativeFrom="page">
                  <wp:posOffset>444500</wp:posOffset>
                </wp:positionH>
                <wp:positionV relativeFrom="page">
                  <wp:posOffset>1250950</wp:posOffset>
                </wp:positionV>
                <wp:extent cx="6843395" cy="685800"/>
                <wp:effectExtent l="0" t="0" r="0" b="0"/>
                <wp:wrapNone/>
                <wp:docPr id="741670779" name="Text Box 741670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3395" cy="685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FBB96" w14:textId="632033EE" w:rsidR="00BF6941" w:rsidRPr="00814A5D" w:rsidRDefault="00BF6941" w:rsidP="004E1A94">
                            <w:pPr>
                              <w:pStyle w:val="FactsheetTitle"/>
                              <w:rPr>
                                <w:sz w:val="32"/>
                                <w:szCs w:val="32"/>
                              </w:rPr>
                            </w:pPr>
                            <w:bookmarkStart w:id="40" w:name="_Toc175833593"/>
                            <w:bookmarkStart w:id="41" w:name="_Toc175840731"/>
                            <w:bookmarkStart w:id="42" w:name="_Toc178173301"/>
                            <w:r w:rsidRPr="00814A5D">
                              <w:rPr>
                                <w:sz w:val="32"/>
                                <w:szCs w:val="32"/>
                              </w:rPr>
                              <w:t>COSTS COURT</w:t>
                            </w:r>
                            <w:r w:rsidR="00E91984">
                              <w:rPr>
                                <w:sz w:val="32"/>
                                <w:szCs w:val="32"/>
                              </w:rPr>
                              <w:t xml:space="preserve"> </w:t>
                            </w:r>
                            <w:r w:rsidRPr="00814A5D">
                              <w:rPr>
                                <w:sz w:val="32"/>
                                <w:szCs w:val="32"/>
                              </w:rPr>
                              <w:t>– Gross Sum Information Form</w:t>
                            </w:r>
                            <w:bookmarkEnd w:id="40"/>
                            <w:bookmarkEnd w:id="41"/>
                            <w:bookmarkEnd w:id="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C722A" id="Text Box 741670779" o:spid="_x0000_s1027" type="#_x0000_t202" style="position:absolute;margin-left:35pt;margin-top:98.5pt;width:538.85pt;height:5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" o:allowoverlap="f" stroked="f">
                <v:fill opacity="0"/>
                <v:textbox>
                  <w:txbxContent>
                    <w:p w14:paraId="514FBB96" w14:textId="632033EE" w:rsidR="00BF6941" w:rsidRPr="00814A5D" w:rsidRDefault="00BF6941" w:rsidP="004E1A94">
                      <w:pPr>
                        <w:pStyle w:val="FactsheetTitle"/>
                        <w:rPr>
                          <w:sz w:val="32"/>
                          <w:szCs w:val="32"/>
                        </w:rPr>
                      </w:pPr>
                      <w:bookmarkStart w:id="43" w:name="_Toc175833593"/>
                      <w:bookmarkStart w:id="44" w:name="_Toc175840731"/>
                      <w:bookmarkStart w:id="45" w:name="_Toc178173301"/>
                      <w:r w:rsidRPr="00814A5D">
                        <w:rPr>
                          <w:sz w:val="32"/>
                          <w:szCs w:val="32"/>
                        </w:rPr>
                        <w:t>COSTS COURT</w:t>
                      </w:r>
                      <w:r w:rsidR="00E91984">
                        <w:rPr>
                          <w:sz w:val="32"/>
                          <w:szCs w:val="32"/>
                        </w:rPr>
                        <w:t xml:space="preserve"> </w:t>
                      </w:r>
                      <w:r w:rsidRPr="00814A5D">
                        <w:rPr>
                          <w:sz w:val="32"/>
                          <w:szCs w:val="32"/>
                        </w:rPr>
                        <w:t>– Gross Sum Information Form</w:t>
                      </w:r>
                      <w:bookmarkEnd w:id="43"/>
                      <w:bookmarkEnd w:id="44"/>
                      <w:bookmarkEnd w:id="45"/>
                    </w:p>
                  </w:txbxContent>
                </v:textbox>
                <w10:wrap anchorx="page" anchory="page"/>
                <w10:anchorlock/>
              </v:shape>
            </w:pict>
          </mc:Fallback>
        </mc:AlternateContent>
      </w:r>
    </w:p>
    <w:p w14:paraId="114E1E60" w14:textId="77777777" w:rsidR="004E1A94" w:rsidRPr="00EA0D05" w:rsidRDefault="004E1A94" w:rsidP="004E1A94">
      <w:pPr>
        <w:rPr>
          <w:b/>
          <w:u w:val="single"/>
        </w:rPr>
      </w:pPr>
    </w:p>
    <w:tbl>
      <w:tblPr>
        <w:tblW w:w="108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6"/>
        <w:gridCol w:w="1715"/>
        <w:gridCol w:w="1703"/>
        <w:gridCol w:w="1527"/>
      </w:tblGrid>
      <w:tr w:rsidR="004E1A94" w:rsidRPr="00EA0D05" w14:paraId="10B85032" w14:textId="77777777" w:rsidTr="00E72C11">
        <w:trPr>
          <w:trHeight w:val="371"/>
        </w:trPr>
        <w:tc>
          <w:tcPr>
            <w:tcW w:w="5896" w:type="dxa"/>
          </w:tcPr>
          <w:p w14:paraId="7CF00856" w14:textId="77777777" w:rsidR="004E1A94" w:rsidRPr="00EA0D05" w:rsidRDefault="004E1A94" w:rsidP="00E72C11">
            <w:pPr>
              <w:pStyle w:val="Default"/>
              <w:spacing w:before="120" w:after="120" w:line="276" w:lineRule="auto"/>
              <w:rPr>
                <w:color w:val="auto"/>
                <w:sz w:val="18"/>
                <w:szCs w:val="18"/>
              </w:rPr>
            </w:pPr>
            <w:r w:rsidRPr="00EA0D05">
              <w:rPr>
                <w:rFonts w:ascii="Arial" w:hAnsi="Arial" w:cs="Arial"/>
                <w:b/>
                <w:bCs/>
                <w:color w:val="auto"/>
                <w:sz w:val="18"/>
                <w:szCs w:val="18"/>
              </w:rPr>
              <w:t xml:space="preserve">Directions Hearing Return Date </w:t>
            </w:r>
            <w:r w:rsidRPr="00EA0D05">
              <w:rPr>
                <w:rFonts w:ascii="Arial" w:hAnsi="Arial" w:cs="Arial"/>
                <w:color w:val="auto"/>
                <w:sz w:val="18"/>
                <w:szCs w:val="18"/>
              </w:rPr>
              <w:t xml:space="preserve">(Court Use Only) </w:t>
            </w:r>
          </w:p>
        </w:tc>
        <w:tc>
          <w:tcPr>
            <w:tcW w:w="4945" w:type="dxa"/>
            <w:gridSpan w:val="3"/>
          </w:tcPr>
          <w:p w14:paraId="1F7CC5AD" w14:textId="77777777" w:rsidR="004E1A94" w:rsidRPr="00EA0D05" w:rsidRDefault="004E1A94" w:rsidP="00E72C11">
            <w:pPr>
              <w:pStyle w:val="Default"/>
              <w:ind w:left="720"/>
              <w:rPr>
                <w:rFonts w:ascii="Arial" w:hAnsi="Arial" w:cs="Arial"/>
                <w:color w:val="auto"/>
                <w:sz w:val="40"/>
                <w:szCs w:val="40"/>
              </w:rPr>
            </w:pPr>
          </w:p>
        </w:tc>
      </w:tr>
      <w:tr w:rsidR="004E1A94" w:rsidRPr="00EA0D05" w14:paraId="6A891DC2" w14:textId="77777777" w:rsidTr="00E72C11">
        <w:trPr>
          <w:trHeight w:val="84"/>
        </w:trPr>
        <w:tc>
          <w:tcPr>
            <w:tcW w:w="5896" w:type="dxa"/>
          </w:tcPr>
          <w:p w14:paraId="09E9598C" w14:textId="77777777" w:rsidR="004E1A94" w:rsidRPr="00EA0D05" w:rsidRDefault="004E1A94" w:rsidP="00E72C11">
            <w:pPr>
              <w:pStyle w:val="Default"/>
              <w:spacing w:before="120" w:after="120" w:line="276" w:lineRule="auto"/>
              <w:rPr>
                <w:rFonts w:ascii="Arial" w:hAnsi="Arial" w:cs="Arial"/>
                <w:color w:val="auto"/>
                <w:sz w:val="18"/>
                <w:szCs w:val="18"/>
              </w:rPr>
            </w:pPr>
            <w:r w:rsidRPr="00EA0D05">
              <w:rPr>
                <w:rFonts w:ascii="Arial" w:hAnsi="Arial" w:cs="Arial"/>
                <w:b/>
                <w:bCs/>
                <w:color w:val="auto"/>
                <w:sz w:val="18"/>
                <w:szCs w:val="18"/>
              </w:rPr>
              <w:t xml:space="preserve">Proceeding number: </w:t>
            </w:r>
          </w:p>
        </w:tc>
        <w:tc>
          <w:tcPr>
            <w:tcW w:w="4945" w:type="dxa"/>
            <w:gridSpan w:val="3"/>
          </w:tcPr>
          <w:p w14:paraId="581CF8FE" w14:textId="77777777" w:rsidR="004E1A94" w:rsidRPr="00EA0D05" w:rsidRDefault="004E1A94" w:rsidP="00E72C11">
            <w:pPr>
              <w:pStyle w:val="Default"/>
              <w:rPr>
                <w:rFonts w:ascii="Arial" w:hAnsi="Arial" w:cs="Arial"/>
                <w:b/>
                <w:bCs/>
                <w:color w:val="auto"/>
                <w:sz w:val="18"/>
                <w:szCs w:val="18"/>
              </w:rPr>
            </w:pPr>
          </w:p>
        </w:tc>
      </w:tr>
      <w:tr w:rsidR="004E1A94" w:rsidRPr="00EA0D05" w14:paraId="4F6788FD" w14:textId="77777777" w:rsidTr="00E72C11">
        <w:trPr>
          <w:trHeight w:val="485"/>
        </w:trPr>
        <w:tc>
          <w:tcPr>
            <w:tcW w:w="5896" w:type="dxa"/>
          </w:tcPr>
          <w:p w14:paraId="2947947D" w14:textId="368B2854" w:rsidR="004E1A94" w:rsidRPr="00043FFC" w:rsidRDefault="004E1A94" w:rsidP="00E72C11">
            <w:pPr>
              <w:pStyle w:val="Default"/>
              <w:spacing w:before="120" w:after="120" w:line="276" w:lineRule="auto"/>
              <w:rPr>
                <w:rFonts w:ascii="Arial" w:hAnsi="Arial" w:cs="Arial"/>
                <w:color w:val="auto"/>
                <w:sz w:val="18"/>
                <w:szCs w:val="18"/>
              </w:rPr>
            </w:pPr>
            <w:r w:rsidRPr="00043FFC">
              <w:rPr>
                <w:rFonts w:ascii="Arial" w:hAnsi="Arial" w:cs="Arial"/>
                <w:b/>
                <w:bCs/>
                <w:color w:val="auto"/>
                <w:sz w:val="18"/>
                <w:szCs w:val="18"/>
              </w:rPr>
              <w:t xml:space="preserve">Estimated time required for application for gross sum costs </w:t>
            </w:r>
            <w:r w:rsidR="00E91F83">
              <w:rPr>
                <w:rFonts w:ascii="Arial" w:hAnsi="Arial" w:cs="Arial"/>
                <w:b/>
                <w:bCs/>
                <w:color w:val="auto"/>
                <w:sz w:val="18"/>
                <w:szCs w:val="18"/>
              </w:rPr>
              <w:t>order</w:t>
            </w:r>
            <w:r w:rsidRPr="00043FFC">
              <w:rPr>
                <w:rFonts w:ascii="Arial" w:hAnsi="Arial" w:cs="Arial"/>
                <w:b/>
                <w:bCs/>
                <w:color w:val="auto"/>
                <w:sz w:val="18"/>
                <w:szCs w:val="18"/>
              </w:rPr>
              <w:t xml:space="preserve">: </w:t>
            </w:r>
          </w:p>
        </w:tc>
        <w:tc>
          <w:tcPr>
            <w:tcW w:w="4945" w:type="dxa"/>
            <w:gridSpan w:val="3"/>
          </w:tcPr>
          <w:p w14:paraId="3A18404C" w14:textId="77777777" w:rsidR="004E1A94" w:rsidRPr="00EA0D05" w:rsidRDefault="004E1A94" w:rsidP="00E72C11">
            <w:pPr>
              <w:pStyle w:val="Default"/>
              <w:rPr>
                <w:rFonts w:ascii="Arial" w:hAnsi="Arial" w:cs="Arial"/>
                <w:b/>
                <w:bCs/>
                <w:color w:val="auto"/>
                <w:sz w:val="18"/>
                <w:szCs w:val="18"/>
              </w:rPr>
            </w:pPr>
          </w:p>
        </w:tc>
      </w:tr>
      <w:tr w:rsidR="004E1A94" w:rsidRPr="00EA0D05" w14:paraId="02E5C614" w14:textId="77777777" w:rsidTr="00E72C11">
        <w:trPr>
          <w:trHeight w:val="323"/>
        </w:trPr>
        <w:tc>
          <w:tcPr>
            <w:tcW w:w="5896" w:type="dxa"/>
          </w:tcPr>
          <w:p w14:paraId="0431375C" w14:textId="67ED4A0D" w:rsidR="00AA15CF" w:rsidRPr="00C044A7" w:rsidRDefault="00AA15CF" w:rsidP="00AA15CF">
            <w:pPr>
              <w:pStyle w:val="Default"/>
              <w:spacing w:before="120" w:after="60" w:line="276" w:lineRule="auto"/>
              <w:rPr>
                <w:rFonts w:ascii="Arial" w:hAnsi="Arial" w:cs="Arial"/>
                <w:color w:val="auto"/>
                <w:sz w:val="17"/>
                <w:szCs w:val="17"/>
              </w:rPr>
            </w:pPr>
            <w:r>
              <w:rPr>
                <w:rFonts w:ascii="Arial" w:hAnsi="Arial" w:cs="Arial"/>
                <w:b/>
                <w:bCs/>
                <w:color w:val="auto"/>
                <w:sz w:val="17"/>
                <w:szCs w:val="17"/>
              </w:rPr>
              <w:t xml:space="preserve">Relevant </w:t>
            </w:r>
            <w:r w:rsidR="009A5DC0">
              <w:rPr>
                <w:rFonts w:ascii="Arial" w:hAnsi="Arial" w:cs="Arial"/>
                <w:b/>
                <w:bCs/>
                <w:color w:val="auto"/>
                <w:sz w:val="17"/>
                <w:szCs w:val="17"/>
              </w:rPr>
              <w:t>o</w:t>
            </w:r>
            <w:r>
              <w:rPr>
                <w:rFonts w:ascii="Arial" w:hAnsi="Arial" w:cs="Arial"/>
                <w:b/>
                <w:bCs/>
                <w:color w:val="auto"/>
                <w:sz w:val="17"/>
                <w:szCs w:val="17"/>
              </w:rPr>
              <w:t>rder,</w:t>
            </w:r>
            <w:r w:rsidRPr="00C044A7">
              <w:rPr>
                <w:rFonts w:ascii="Arial" w:hAnsi="Arial" w:cs="Arial"/>
                <w:b/>
                <w:bCs/>
                <w:color w:val="auto"/>
                <w:sz w:val="17"/>
                <w:szCs w:val="17"/>
              </w:rPr>
              <w:t xml:space="preserve"> agreement </w:t>
            </w:r>
            <w:r w:rsidR="009A5DC0">
              <w:rPr>
                <w:rFonts w:ascii="Arial" w:hAnsi="Arial" w:cs="Arial"/>
                <w:b/>
                <w:bCs/>
                <w:color w:val="auto"/>
                <w:sz w:val="17"/>
                <w:szCs w:val="17"/>
              </w:rPr>
              <w:t xml:space="preserve">or </w:t>
            </w:r>
            <w:r>
              <w:rPr>
                <w:rFonts w:ascii="Arial" w:hAnsi="Arial" w:cs="Arial"/>
                <w:b/>
                <w:bCs/>
                <w:color w:val="auto"/>
                <w:sz w:val="17"/>
                <w:szCs w:val="17"/>
              </w:rPr>
              <w:t>Rule</w:t>
            </w:r>
          </w:p>
          <w:p w14:paraId="51FF2288" w14:textId="1408F16A" w:rsidR="004E1A94" w:rsidRPr="00043FFC" w:rsidRDefault="00AA15CF" w:rsidP="00AA15CF">
            <w:pPr>
              <w:pStyle w:val="Default"/>
              <w:spacing w:before="120" w:after="60" w:line="276" w:lineRule="auto"/>
              <w:rPr>
                <w:rFonts w:ascii="Arial" w:hAnsi="Arial" w:cs="Arial"/>
                <w:b/>
                <w:bCs/>
                <w:color w:val="auto"/>
                <w:sz w:val="18"/>
                <w:szCs w:val="18"/>
              </w:rPr>
            </w:pPr>
            <w:r>
              <w:rPr>
                <w:rFonts w:ascii="Arial" w:hAnsi="Arial" w:cs="Arial"/>
                <w:color w:val="auto"/>
                <w:sz w:val="17"/>
                <w:szCs w:val="17"/>
              </w:rPr>
              <w:t xml:space="preserve">Identify and summarise the court order, the agreement or the Rule that establishes </w:t>
            </w:r>
            <w:r w:rsidRPr="00C044A7">
              <w:rPr>
                <w:rFonts w:ascii="Arial" w:hAnsi="Arial" w:cs="Arial"/>
                <w:color w:val="auto"/>
                <w:sz w:val="17"/>
                <w:szCs w:val="17"/>
              </w:rPr>
              <w:t xml:space="preserve">the entitlement </w:t>
            </w:r>
            <w:r>
              <w:rPr>
                <w:rFonts w:ascii="Arial" w:hAnsi="Arial" w:cs="Arial"/>
                <w:color w:val="auto"/>
                <w:sz w:val="17"/>
                <w:szCs w:val="17"/>
              </w:rPr>
              <w:t>to</w:t>
            </w:r>
            <w:r w:rsidRPr="00C044A7">
              <w:rPr>
                <w:rFonts w:ascii="Arial" w:hAnsi="Arial" w:cs="Arial"/>
                <w:color w:val="auto"/>
                <w:sz w:val="17"/>
                <w:szCs w:val="17"/>
              </w:rPr>
              <w:t xml:space="preserve"> costs. </w:t>
            </w:r>
          </w:p>
        </w:tc>
        <w:tc>
          <w:tcPr>
            <w:tcW w:w="4945" w:type="dxa"/>
            <w:gridSpan w:val="3"/>
          </w:tcPr>
          <w:p w14:paraId="43DCA654" w14:textId="77777777" w:rsidR="004E1A94" w:rsidRPr="00EA0D05" w:rsidRDefault="004E1A94" w:rsidP="00E72C11">
            <w:pPr>
              <w:pStyle w:val="Default"/>
              <w:rPr>
                <w:rFonts w:ascii="Arial" w:hAnsi="Arial" w:cs="Arial"/>
                <w:b/>
                <w:bCs/>
                <w:color w:val="auto"/>
                <w:sz w:val="18"/>
                <w:szCs w:val="18"/>
              </w:rPr>
            </w:pPr>
          </w:p>
        </w:tc>
      </w:tr>
      <w:tr w:rsidR="004E1A94" w:rsidRPr="00EA0D05" w14:paraId="5E166744" w14:textId="77777777" w:rsidTr="00E72C11">
        <w:trPr>
          <w:trHeight w:val="323"/>
        </w:trPr>
        <w:tc>
          <w:tcPr>
            <w:tcW w:w="5896" w:type="dxa"/>
          </w:tcPr>
          <w:p w14:paraId="43EC8D69" w14:textId="4D5B1AC1" w:rsidR="004E1A94" w:rsidRPr="00043FFC" w:rsidRDefault="00D70E8F" w:rsidP="00E72C11">
            <w:pPr>
              <w:pStyle w:val="Default"/>
              <w:spacing w:before="120" w:after="120" w:line="276" w:lineRule="auto"/>
              <w:rPr>
                <w:rFonts w:ascii="Arial" w:hAnsi="Arial" w:cs="Arial"/>
                <w:color w:val="auto"/>
                <w:sz w:val="18"/>
                <w:szCs w:val="18"/>
              </w:rPr>
            </w:pPr>
            <w:r>
              <w:rPr>
                <w:rFonts w:ascii="Arial" w:hAnsi="Arial" w:cs="Arial"/>
                <w:b/>
                <w:bCs/>
                <w:color w:val="auto"/>
                <w:sz w:val="17"/>
                <w:szCs w:val="17"/>
              </w:rPr>
              <w:t xml:space="preserve">Media neutral citation of relevant judgment or copy thereof or </w:t>
            </w:r>
            <w:r w:rsidR="009A5DC0">
              <w:rPr>
                <w:rFonts w:ascii="Arial" w:hAnsi="Arial" w:cs="Arial"/>
                <w:b/>
                <w:bCs/>
                <w:color w:val="auto"/>
                <w:sz w:val="17"/>
                <w:szCs w:val="17"/>
              </w:rPr>
              <w:t>s</w:t>
            </w:r>
            <w:r w:rsidRPr="00C044A7">
              <w:rPr>
                <w:rFonts w:ascii="Arial" w:hAnsi="Arial" w:cs="Arial"/>
                <w:b/>
                <w:bCs/>
                <w:color w:val="auto"/>
                <w:sz w:val="17"/>
                <w:szCs w:val="17"/>
              </w:rPr>
              <w:t xml:space="preserve">hort </w:t>
            </w:r>
            <w:r w:rsidR="009A5DC0">
              <w:rPr>
                <w:rFonts w:ascii="Arial" w:hAnsi="Arial" w:cs="Arial"/>
                <w:b/>
                <w:bCs/>
                <w:color w:val="auto"/>
                <w:sz w:val="17"/>
                <w:szCs w:val="17"/>
              </w:rPr>
              <w:t>s</w:t>
            </w:r>
            <w:r w:rsidRPr="00C044A7">
              <w:rPr>
                <w:rFonts w:ascii="Arial" w:hAnsi="Arial" w:cs="Arial"/>
                <w:b/>
                <w:bCs/>
                <w:color w:val="auto"/>
                <w:sz w:val="17"/>
                <w:szCs w:val="17"/>
              </w:rPr>
              <w:t>ummary of principal litigation</w:t>
            </w:r>
          </w:p>
        </w:tc>
        <w:tc>
          <w:tcPr>
            <w:tcW w:w="4945" w:type="dxa"/>
            <w:gridSpan w:val="3"/>
          </w:tcPr>
          <w:p w14:paraId="64F9CC10" w14:textId="77777777" w:rsidR="004E1A94" w:rsidRPr="00EA0D05" w:rsidRDefault="004E1A94" w:rsidP="00E72C11">
            <w:pPr>
              <w:pStyle w:val="Default"/>
              <w:rPr>
                <w:rFonts w:ascii="Arial" w:hAnsi="Arial" w:cs="Arial"/>
                <w:b/>
                <w:bCs/>
                <w:color w:val="auto"/>
                <w:sz w:val="18"/>
                <w:szCs w:val="18"/>
              </w:rPr>
            </w:pPr>
          </w:p>
        </w:tc>
      </w:tr>
      <w:tr w:rsidR="004E1A94" w:rsidRPr="00EA0D05" w14:paraId="6337B93B" w14:textId="77777777" w:rsidTr="00E72C11">
        <w:trPr>
          <w:trHeight w:val="220"/>
        </w:trPr>
        <w:tc>
          <w:tcPr>
            <w:tcW w:w="5896" w:type="dxa"/>
          </w:tcPr>
          <w:p w14:paraId="1C84734C" w14:textId="77777777" w:rsidR="004E1A94" w:rsidRPr="00043FFC" w:rsidRDefault="004E1A94" w:rsidP="00E72C11">
            <w:pPr>
              <w:pStyle w:val="Default"/>
              <w:spacing w:before="120" w:after="60" w:line="276" w:lineRule="auto"/>
              <w:rPr>
                <w:rFonts w:ascii="Arial" w:hAnsi="Arial" w:cs="Arial"/>
                <w:color w:val="auto"/>
                <w:sz w:val="18"/>
                <w:szCs w:val="18"/>
              </w:rPr>
            </w:pPr>
            <w:r w:rsidRPr="00043FFC">
              <w:rPr>
                <w:rFonts w:ascii="Arial" w:hAnsi="Arial" w:cs="Arial"/>
                <w:b/>
                <w:bCs/>
                <w:color w:val="auto"/>
                <w:sz w:val="18"/>
                <w:szCs w:val="18"/>
              </w:rPr>
              <w:t xml:space="preserve">Who is bringing the application? </w:t>
            </w:r>
          </w:p>
          <w:p w14:paraId="2047EB0D" w14:textId="77777777" w:rsidR="004E1A94" w:rsidRPr="00043FFC" w:rsidRDefault="004E1A94" w:rsidP="00E72C11">
            <w:pPr>
              <w:pStyle w:val="Default"/>
              <w:spacing w:before="60" w:after="120" w:line="276" w:lineRule="auto"/>
              <w:rPr>
                <w:rFonts w:ascii="Arial" w:hAnsi="Arial" w:cs="Arial"/>
                <w:color w:val="auto"/>
                <w:sz w:val="18"/>
                <w:szCs w:val="18"/>
              </w:rPr>
            </w:pPr>
            <w:r w:rsidRPr="00043FFC">
              <w:rPr>
                <w:rFonts w:ascii="Arial" w:hAnsi="Arial" w:cs="Arial"/>
                <w:color w:val="auto"/>
                <w:sz w:val="18"/>
                <w:szCs w:val="18"/>
              </w:rPr>
              <w:t xml:space="preserve">Party type and name of party. </w:t>
            </w:r>
          </w:p>
        </w:tc>
        <w:tc>
          <w:tcPr>
            <w:tcW w:w="4945" w:type="dxa"/>
            <w:gridSpan w:val="3"/>
            <w:tcBorders>
              <w:bottom w:val="single" w:sz="4" w:space="0" w:color="auto"/>
            </w:tcBorders>
          </w:tcPr>
          <w:p w14:paraId="02110D4B" w14:textId="77777777" w:rsidR="004E1A94" w:rsidRPr="00EA0D05" w:rsidRDefault="004E1A94" w:rsidP="00E72C11">
            <w:pPr>
              <w:pStyle w:val="Default"/>
              <w:rPr>
                <w:rFonts w:ascii="Arial" w:hAnsi="Arial" w:cs="Arial"/>
                <w:b/>
                <w:bCs/>
                <w:color w:val="auto"/>
                <w:sz w:val="18"/>
                <w:szCs w:val="18"/>
              </w:rPr>
            </w:pPr>
          </w:p>
        </w:tc>
      </w:tr>
      <w:tr w:rsidR="004E1A94" w:rsidRPr="00EA0D05" w14:paraId="4C41D50B" w14:textId="77777777" w:rsidTr="00E72C11">
        <w:trPr>
          <w:trHeight w:val="457"/>
        </w:trPr>
        <w:tc>
          <w:tcPr>
            <w:tcW w:w="5896" w:type="dxa"/>
          </w:tcPr>
          <w:p w14:paraId="6BC9F51C" w14:textId="77777777" w:rsidR="004E1A94" w:rsidRPr="00043FFC" w:rsidRDefault="004E1A94" w:rsidP="00E72C11">
            <w:pPr>
              <w:pStyle w:val="Default"/>
              <w:spacing w:before="120" w:after="120" w:line="276" w:lineRule="auto"/>
              <w:rPr>
                <w:rFonts w:ascii="Arial" w:hAnsi="Arial" w:cs="Arial"/>
                <w:b/>
                <w:bCs/>
                <w:color w:val="auto"/>
                <w:sz w:val="18"/>
                <w:szCs w:val="18"/>
              </w:rPr>
            </w:pPr>
            <w:r w:rsidRPr="00043FFC">
              <w:rPr>
                <w:rFonts w:ascii="Arial" w:hAnsi="Arial" w:cs="Arial"/>
                <w:b/>
                <w:bCs/>
                <w:color w:val="auto"/>
                <w:sz w:val="18"/>
                <w:szCs w:val="18"/>
              </w:rPr>
              <w:t>Amount of costs claimed</w:t>
            </w:r>
          </w:p>
          <w:p w14:paraId="3DCD1A80" w14:textId="77777777" w:rsidR="004E1A94" w:rsidRPr="00043FFC" w:rsidRDefault="004E1A94" w:rsidP="00E72C11">
            <w:pPr>
              <w:pStyle w:val="Default"/>
              <w:spacing w:before="120" w:after="120" w:line="276" w:lineRule="auto"/>
              <w:rPr>
                <w:rFonts w:ascii="Arial" w:hAnsi="Arial" w:cs="Arial"/>
                <w:bCs/>
                <w:color w:val="auto"/>
                <w:sz w:val="18"/>
                <w:szCs w:val="18"/>
              </w:rPr>
            </w:pPr>
            <w:r w:rsidRPr="00043FFC">
              <w:rPr>
                <w:rFonts w:ascii="Arial" w:hAnsi="Arial" w:cs="Arial"/>
                <w:bCs/>
                <w:color w:val="auto"/>
                <w:sz w:val="18"/>
                <w:szCs w:val="18"/>
              </w:rPr>
              <w:t xml:space="preserve">The amount of professional charges and disbursements claimed as a gross sum </w:t>
            </w:r>
          </w:p>
        </w:tc>
        <w:tc>
          <w:tcPr>
            <w:tcW w:w="1715" w:type="dxa"/>
            <w:tcBorders>
              <w:right w:val="single" w:sz="4" w:space="0" w:color="auto"/>
            </w:tcBorders>
          </w:tcPr>
          <w:p w14:paraId="007E6690" w14:textId="77777777" w:rsidR="004E1A94" w:rsidRPr="00EA0D05" w:rsidRDefault="004E1A94" w:rsidP="00E72C11">
            <w:pPr>
              <w:pStyle w:val="Default"/>
              <w:spacing w:before="60" w:after="60"/>
              <w:rPr>
                <w:rFonts w:ascii="Arial" w:hAnsi="Arial" w:cs="Arial"/>
                <w:b/>
                <w:bCs/>
                <w:color w:val="auto"/>
                <w:sz w:val="18"/>
                <w:szCs w:val="18"/>
              </w:rPr>
            </w:pPr>
            <w:r w:rsidRPr="00EA0D05">
              <w:rPr>
                <w:rFonts w:ascii="Arial" w:hAnsi="Arial" w:cs="Arial"/>
                <w:b/>
                <w:bCs/>
                <w:color w:val="auto"/>
                <w:sz w:val="18"/>
                <w:szCs w:val="18"/>
              </w:rPr>
              <w:t>Professional charges</w:t>
            </w:r>
          </w:p>
          <w:p w14:paraId="0C314F6C" w14:textId="77777777" w:rsidR="004E1A94" w:rsidRPr="00EA0D05" w:rsidRDefault="004E1A94" w:rsidP="00E72C11">
            <w:pPr>
              <w:pStyle w:val="Default"/>
              <w:spacing w:before="60"/>
              <w:rPr>
                <w:rFonts w:ascii="Arial" w:hAnsi="Arial" w:cs="Arial"/>
                <w:b/>
                <w:bCs/>
                <w:color w:val="auto"/>
                <w:sz w:val="18"/>
                <w:szCs w:val="18"/>
              </w:rPr>
            </w:pPr>
            <w:r w:rsidRPr="00EA0D05">
              <w:rPr>
                <w:rFonts w:ascii="Arial" w:hAnsi="Arial" w:cs="Arial"/>
                <w:b/>
                <w:bCs/>
                <w:color w:val="auto"/>
                <w:sz w:val="18"/>
                <w:szCs w:val="18"/>
              </w:rPr>
              <w:t>$</w:t>
            </w:r>
          </w:p>
        </w:tc>
        <w:tc>
          <w:tcPr>
            <w:tcW w:w="1703" w:type="dxa"/>
            <w:tcBorders>
              <w:left w:val="single" w:sz="4" w:space="0" w:color="auto"/>
              <w:right w:val="single" w:sz="4" w:space="0" w:color="auto"/>
            </w:tcBorders>
          </w:tcPr>
          <w:p w14:paraId="5AC0A30C" w14:textId="77777777" w:rsidR="004E1A94" w:rsidRPr="00EA0D05" w:rsidRDefault="004E1A94" w:rsidP="00E72C11">
            <w:pPr>
              <w:pStyle w:val="Default"/>
              <w:spacing w:before="60"/>
              <w:rPr>
                <w:rFonts w:ascii="Arial" w:hAnsi="Arial" w:cs="Arial"/>
                <w:b/>
                <w:bCs/>
                <w:color w:val="auto"/>
                <w:sz w:val="18"/>
                <w:szCs w:val="18"/>
              </w:rPr>
            </w:pPr>
            <w:r w:rsidRPr="00EA0D05">
              <w:rPr>
                <w:rFonts w:ascii="Arial" w:hAnsi="Arial" w:cs="Arial"/>
                <w:b/>
                <w:bCs/>
                <w:color w:val="auto"/>
                <w:sz w:val="18"/>
                <w:szCs w:val="18"/>
              </w:rPr>
              <w:t xml:space="preserve">Disbursements </w:t>
            </w:r>
          </w:p>
          <w:p w14:paraId="2B3BED46" w14:textId="77777777" w:rsidR="004E1A94" w:rsidRPr="00EA0D05" w:rsidRDefault="004E1A94" w:rsidP="00E72C11">
            <w:pPr>
              <w:pStyle w:val="Default"/>
              <w:spacing w:before="60"/>
              <w:rPr>
                <w:rFonts w:ascii="Arial" w:hAnsi="Arial" w:cs="Arial"/>
                <w:b/>
                <w:bCs/>
                <w:color w:val="auto"/>
                <w:sz w:val="18"/>
                <w:szCs w:val="18"/>
              </w:rPr>
            </w:pPr>
          </w:p>
          <w:p w14:paraId="350A536C" w14:textId="77777777" w:rsidR="004E1A94" w:rsidRPr="00EA0D05" w:rsidRDefault="004E1A94" w:rsidP="00E72C11">
            <w:pPr>
              <w:pStyle w:val="Default"/>
              <w:spacing w:before="60" w:after="60"/>
              <w:rPr>
                <w:rFonts w:ascii="Arial" w:hAnsi="Arial" w:cs="Arial"/>
                <w:b/>
                <w:bCs/>
                <w:color w:val="auto"/>
                <w:sz w:val="18"/>
                <w:szCs w:val="18"/>
              </w:rPr>
            </w:pPr>
            <w:r w:rsidRPr="00EA0D05">
              <w:rPr>
                <w:rFonts w:ascii="Arial" w:hAnsi="Arial" w:cs="Arial"/>
                <w:b/>
                <w:bCs/>
                <w:color w:val="auto"/>
                <w:sz w:val="18"/>
                <w:szCs w:val="18"/>
              </w:rPr>
              <w:t>$</w:t>
            </w:r>
          </w:p>
        </w:tc>
        <w:tc>
          <w:tcPr>
            <w:tcW w:w="1527" w:type="dxa"/>
            <w:tcBorders>
              <w:left w:val="single" w:sz="4" w:space="0" w:color="auto"/>
            </w:tcBorders>
          </w:tcPr>
          <w:p w14:paraId="682F2A87" w14:textId="77777777" w:rsidR="004E1A94" w:rsidRPr="00EA0D05" w:rsidRDefault="004E1A94" w:rsidP="00E72C11">
            <w:pPr>
              <w:pStyle w:val="Default"/>
              <w:spacing w:before="60"/>
              <w:rPr>
                <w:rFonts w:ascii="Arial" w:hAnsi="Arial" w:cs="Arial"/>
                <w:b/>
                <w:bCs/>
                <w:color w:val="auto"/>
                <w:sz w:val="18"/>
                <w:szCs w:val="18"/>
              </w:rPr>
            </w:pPr>
            <w:r w:rsidRPr="00EA0D05">
              <w:rPr>
                <w:rFonts w:ascii="Arial" w:hAnsi="Arial" w:cs="Arial"/>
                <w:b/>
                <w:bCs/>
                <w:color w:val="auto"/>
                <w:sz w:val="18"/>
                <w:szCs w:val="18"/>
              </w:rPr>
              <w:t>Total</w:t>
            </w:r>
          </w:p>
          <w:p w14:paraId="747F6424" w14:textId="77777777" w:rsidR="004E1A94" w:rsidRPr="00EA0D05" w:rsidRDefault="004E1A94" w:rsidP="00E72C11">
            <w:pPr>
              <w:pStyle w:val="Default"/>
              <w:spacing w:before="60"/>
              <w:rPr>
                <w:rFonts w:ascii="Arial" w:hAnsi="Arial" w:cs="Arial"/>
                <w:b/>
                <w:bCs/>
                <w:color w:val="auto"/>
                <w:sz w:val="18"/>
                <w:szCs w:val="18"/>
              </w:rPr>
            </w:pPr>
          </w:p>
          <w:p w14:paraId="5631B6E2" w14:textId="77777777" w:rsidR="004E1A94" w:rsidRPr="00EA0D05" w:rsidRDefault="004E1A94" w:rsidP="00E72C11">
            <w:pPr>
              <w:pStyle w:val="Default"/>
              <w:spacing w:before="60"/>
              <w:rPr>
                <w:rFonts w:ascii="Arial" w:hAnsi="Arial" w:cs="Arial"/>
                <w:b/>
                <w:bCs/>
                <w:color w:val="auto"/>
                <w:sz w:val="18"/>
                <w:szCs w:val="18"/>
              </w:rPr>
            </w:pPr>
            <w:r w:rsidRPr="00EA0D05">
              <w:rPr>
                <w:rFonts w:ascii="Arial" w:hAnsi="Arial" w:cs="Arial"/>
                <w:b/>
                <w:bCs/>
                <w:color w:val="auto"/>
                <w:sz w:val="18"/>
                <w:szCs w:val="18"/>
              </w:rPr>
              <w:t>$</w:t>
            </w:r>
          </w:p>
        </w:tc>
      </w:tr>
      <w:tr w:rsidR="004E1A94" w:rsidRPr="00EA0D05" w14:paraId="3CA9EEE0" w14:textId="77777777" w:rsidTr="00E72C11">
        <w:trPr>
          <w:trHeight w:val="187"/>
        </w:trPr>
        <w:tc>
          <w:tcPr>
            <w:tcW w:w="5896" w:type="dxa"/>
          </w:tcPr>
          <w:p w14:paraId="20E431A5" w14:textId="45DE1475" w:rsidR="004E1A94" w:rsidRDefault="009A5DC0" w:rsidP="00E72C11">
            <w:pPr>
              <w:pStyle w:val="Default"/>
              <w:spacing w:before="120" w:after="120" w:line="276" w:lineRule="auto"/>
              <w:rPr>
                <w:rFonts w:ascii="Arial" w:hAnsi="Arial" w:cs="Arial"/>
                <w:b/>
                <w:bCs/>
                <w:color w:val="auto"/>
                <w:sz w:val="18"/>
                <w:szCs w:val="18"/>
              </w:rPr>
            </w:pPr>
            <w:r>
              <w:rPr>
                <w:rFonts w:ascii="Arial" w:hAnsi="Arial" w:cs="Arial"/>
                <w:b/>
                <w:bCs/>
                <w:color w:val="auto"/>
                <w:sz w:val="18"/>
                <w:szCs w:val="18"/>
              </w:rPr>
              <w:t>Is</w:t>
            </w:r>
            <w:r w:rsidR="004E1A94" w:rsidRPr="00EA0D05">
              <w:rPr>
                <w:rFonts w:ascii="Arial" w:hAnsi="Arial" w:cs="Arial"/>
                <w:b/>
                <w:bCs/>
                <w:color w:val="auto"/>
                <w:sz w:val="18"/>
                <w:szCs w:val="18"/>
              </w:rPr>
              <w:t xml:space="preserve"> the application for gross sum costs likely to be</w:t>
            </w:r>
            <w:r w:rsidR="001B184A">
              <w:rPr>
                <w:rFonts w:ascii="Arial" w:hAnsi="Arial" w:cs="Arial"/>
                <w:b/>
                <w:bCs/>
                <w:color w:val="auto"/>
                <w:sz w:val="18"/>
                <w:szCs w:val="18"/>
              </w:rPr>
              <w:t xml:space="preserve"> o</w:t>
            </w:r>
            <w:r w:rsidR="004E1A94" w:rsidRPr="00EA0D05">
              <w:rPr>
                <w:rFonts w:ascii="Arial" w:hAnsi="Arial" w:cs="Arial"/>
                <w:b/>
                <w:bCs/>
                <w:color w:val="auto"/>
                <w:sz w:val="18"/>
                <w:szCs w:val="18"/>
              </w:rPr>
              <w:t>pposed/</w:t>
            </w:r>
            <w:r w:rsidR="00387282">
              <w:rPr>
                <w:rFonts w:ascii="Arial" w:hAnsi="Arial" w:cs="Arial"/>
                <w:b/>
                <w:bCs/>
                <w:color w:val="auto"/>
                <w:sz w:val="18"/>
                <w:szCs w:val="18"/>
              </w:rPr>
              <w:t>u</w:t>
            </w:r>
            <w:r w:rsidR="004E1A94" w:rsidRPr="00EA0D05">
              <w:rPr>
                <w:rFonts w:ascii="Arial" w:hAnsi="Arial" w:cs="Arial"/>
                <w:b/>
                <w:bCs/>
                <w:color w:val="auto"/>
                <w:sz w:val="18"/>
                <w:szCs w:val="18"/>
              </w:rPr>
              <w:t>nopposed/</w:t>
            </w:r>
            <w:r w:rsidR="00387282" w:rsidRPr="00387282">
              <w:rPr>
                <w:rFonts w:ascii="Arial" w:hAnsi="Arial" w:cs="Arial"/>
                <w:b/>
                <w:bCs/>
                <w:i/>
                <w:iCs/>
                <w:color w:val="auto"/>
                <w:sz w:val="18"/>
                <w:szCs w:val="18"/>
              </w:rPr>
              <w:t>e</w:t>
            </w:r>
            <w:r w:rsidR="004E1A94" w:rsidRPr="00387282">
              <w:rPr>
                <w:rFonts w:ascii="Arial" w:hAnsi="Arial" w:cs="Arial"/>
                <w:b/>
                <w:bCs/>
                <w:i/>
                <w:iCs/>
                <w:color w:val="auto"/>
                <w:sz w:val="18"/>
                <w:szCs w:val="18"/>
              </w:rPr>
              <w:t>x</w:t>
            </w:r>
            <w:r w:rsidR="00C849AD">
              <w:rPr>
                <w:rFonts w:ascii="Arial" w:hAnsi="Arial" w:cs="Arial"/>
                <w:b/>
                <w:bCs/>
                <w:i/>
                <w:iCs/>
                <w:color w:val="auto"/>
                <w:sz w:val="18"/>
                <w:szCs w:val="18"/>
              </w:rPr>
              <w:t xml:space="preserve"> </w:t>
            </w:r>
            <w:r w:rsidR="00387282" w:rsidRPr="00387282">
              <w:rPr>
                <w:rFonts w:ascii="Arial" w:hAnsi="Arial" w:cs="Arial"/>
                <w:b/>
                <w:bCs/>
                <w:i/>
                <w:iCs/>
                <w:color w:val="auto"/>
                <w:sz w:val="18"/>
                <w:szCs w:val="18"/>
              </w:rPr>
              <w:t>p</w:t>
            </w:r>
            <w:r w:rsidR="004E1A94" w:rsidRPr="00387282">
              <w:rPr>
                <w:rFonts w:ascii="Arial" w:hAnsi="Arial" w:cs="Arial"/>
                <w:b/>
                <w:bCs/>
                <w:i/>
                <w:iCs/>
                <w:color w:val="auto"/>
                <w:sz w:val="18"/>
                <w:szCs w:val="18"/>
              </w:rPr>
              <w:t>arte</w:t>
            </w:r>
            <w:r w:rsidR="004E1A94" w:rsidRPr="00EA0D05">
              <w:rPr>
                <w:rFonts w:ascii="Arial" w:hAnsi="Arial" w:cs="Arial"/>
                <w:b/>
                <w:bCs/>
                <w:color w:val="auto"/>
                <w:sz w:val="18"/>
                <w:szCs w:val="18"/>
              </w:rPr>
              <w:t xml:space="preserve">/by </w:t>
            </w:r>
            <w:r w:rsidR="00387282">
              <w:rPr>
                <w:rFonts w:ascii="Arial" w:hAnsi="Arial" w:cs="Arial"/>
                <w:b/>
                <w:bCs/>
                <w:color w:val="auto"/>
                <w:sz w:val="18"/>
                <w:szCs w:val="18"/>
              </w:rPr>
              <w:t>c</w:t>
            </w:r>
            <w:r w:rsidR="004E1A94" w:rsidRPr="00EA0D05">
              <w:rPr>
                <w:rFonts w:ascii="Arial" w:hAnsi="Arial" w:cs="Arial"/>
                <w:b/>
                <w:bCs/>
                <w:color w:val="auto"/>
                <w:sz w:val="18"/>
                <w:szCs w:val="18"/>
              </w:rPr>
              <w:t xml:space="preserve">onsent? </w:t>
            </w:r>
          </w:p>
          <w:p w14:paraId="1496D1C7" w14:textId="235CEF96" w:rsidR="009A5DC0" w:rsidRPr="009A5DC0" w:rsidRDefault="009A5DC0" w:rsidP="00E72C11">
            <w:pPr>
              <w:pStyle w:val="Default"/>
              <w:spacing w:before="120" w:after="120" w:line="276" w:lineRule="auto"/>
              <w:rPr>
                <w:rFonts w:ascii="Arial" w:hAnsi="Arial" w:cs="Arial"/>
                <w:color w:val="auto"/>
                <w:sz w:val="18"/>
                <w:szCs w:val="18"/>
              </w:rPr>
            </w:pPr>
            <w:r w:rsidRPr="009A5DC0">
              <w:rPr>
                <w:rFonts w:ascii="Arial" w:hAnsi="Arial" w:cs="Arial"/>
                <w:color w:val="auto"/>
                <w:sz w:val="18"/>
                <w:szCs w:val="18"/>
              </w:rPr>
              <w:t>If by</w:t>
            </w:r>
            <w:r>
              <w:rPr>
                <w:rFonts w:ascii="Arial" w:hAnsi="Arial" w:cs="Arial"/>
                <w:color w:val="auto"/>
                <w:sz w:val="18"/>
                <w:szCs w:val="18"/>
              </w:rPr>
              <w:t xml:space="preserve"> consent</w:t>
            </w:r>
            <w:r w:rsidR="004F0458">
              <w:rPr>
                <w:rFonts w:ascii="Arial" w:hAnsi="Arial" w:cs="Arial"/>
                <w:color w:val="auto"/>
                <w:sz w:val="18"/>
                <w:szCs w:val="18"/>
              </w:rPr>
              <w:t>, attached signed minutes of consent order</w:t>
            </w:r>
          </w:p>
        </w:tc>
        <w:tc>
          <w:tcPr>
            <w:tcW w:w="4945" w:type="dxa"/>
            <w:gridSpan w:val="3"/>
          </w:tcPr>
          <w:p w14:paraId="78FA7D68" w14:textId="77777777" w:rsidR="004E1A94" w:rsidRPr="00EA0D05" w:rsidRDefault="004E1A94" w:rsidP="00E72C11">
            <w:pPr>
              <w:pStyle w:val="Default"/>
              <w:rPr>
                <w:rFonts w:ascii="Arial" w:hAnsi="Arial" w:cs="Arial"/>
                <w:b/>
                <w:bCs/>
                <w:color w:val="auto"/>
                <w:sz w:val="18"/>
                <w:szCs w:val="18"/>
              </w:rPr>
            </w:pPr>
          </w:p>
        </w:tc>
      </w:tr>
      <w:tr w:rsidR="004E1A94" w:rsidRPr="00EA0D05" w14:paraId="0950BAEE" w14:textId="77777777" w:rsidTr="00E72C11">
        <w:trPr>
          <w:trHeight w:val="187"/>
        </w:trPr>
        <w:tc>
          <w:tcPr>
            <w:tcW w:w="5896" w:type="dxa"/>
          </w:tcPr>
          <w:p w14:paraId="5E3DD706" w14:textId="497421B5" w:rsidR="004E1A94" w:rsidRPr="00EA0D05" w:rsidRDefault="00C12B4D" w:rsidP="00E72C11">
            <w:pPr>
              <w:pStyle w:val="Default"/>
              <w:spacing w:before="120" w:after="120" w:line="276" w:lineRule="auto"/>
              <w:rPr>
                <w:rFonts w:ascii="Arial" w:hAnsi="Arial" w:cs="Arial"/>
                <w:b/>
                <w:bCs/>
                <w:color w:val="auto"/>
                <w:sz w:val="18"/>
                <w:szCs w:val="18"/>
              </w:rPr>
            </w:pPr>
            <w:r w:rsidRPr="00C044A7">
              <w:rPr>
                <w:rFonts w:ascii="Arial" w:hAnsi="Arial" w:cs="Arial"/>
                <w:b/>
                <w:bCs/>
                <w:color w:val="auto"/>
                <w:sz w:val="17"/>
                <w:szCs w:val="17"/>
              </w:rPr>
              <w:t xml:space="preserve">Details of </w:t>
            </w:r>
            <w:r>
              <w:rPr>
                <w:rFonts w:ascii="Arial" w:hAnsi="Arial" w:cs="Arial"/>
                <w:b/>
                <w:bCs/>
                <w:color w:val="auto"/>
                <w:sz w:val="17"/>
                <w:szCs w:val="17"/>
              </w:rPr>
              <w:t>r</w:t>
            </w:r>
            <w:r w:rsidRPr="00C044A7">
              <w:rPr>
                <w:rFonts w:ascii="Arial" w:hAnsi="Arial" w:cs="Arial"/>
                <w:b/>
                <w:bCs/>
                <w:color w:val="auto"/>
                <w:sz w:val="17"/>
                <w:szCs w:val="17"/>
              </w:rPr>
              <w:t>espondent’s legal practitioner if known</w:t>
            </w:r>
          </w:p>
        </w:tc>
        <w:tc>
          <w:tcPr>
            <w:tcW w:w="4945" w:type="dxa"/>
            <w:gridSpan w:val="3"/>
          </w:tcPr>
          <w:p w14:paraId="056EDE3F" w14:textId="77777777" w:rsidR="004E1A94" w:rsidRPr="00EA0D05" w:rsidRDefault="004E1A94" w:rsidP="00E72C11">
            <w:pPr>
              <w:pStyle w:val="Default"/>
              <w:rPr>
                <w:rFonts w:ascii="Arial" w:hAnsi="Arial" w:cs="Arial"/>
                <w:b/>
                <w:bCs/>
                <w:color w:val="auto"/>
                <w:sz w:val="18"/>
                <w:szCs w:val="18"/>
              </w:rPr>
            </w:pPr>
          </w:p>
        </w:tc>
      </w:tr>
      <w:tr w:rsidR="004E1A94" w:rsidRPr="00EA0D05" w14:paraId="22184DB9" w14:textId="77777777" w:rsidTr="00E72C11">
        <w:trPr>
          <w:trHeight w:val="84"/>
        </w:trPr>
        <w:tc>
          <w:tcPr>
            <w:tcW w:w="5896" w:type="dxa"/>
          </w:tcPr>
          <w:p w14:paraId="791FFE18" w14:textId="6675BDB0" w:rsidR="004E1A94" w:rsidRPr="00EA0D05" w:rsidRDefault="004E1A94" w:rsidP="00E72C11">
            <w:pPr>
              <w:pStyle w:val="Default"/>
              <w:spacing w:before="120" w:after="120" w:line="276" w:lineRule="auto"/>
              <w:rPr>
                <w:rFonts w:ascii="Arial" w:hAnsi="Arial" w:cs="Arial"/>
                <w:b/>
                <w:bCs/>
                <w:color w:val="auto"/>
                <w:sz w:val="18"/>
                <w:szCs w:val="18"/>
              </w:rPr>
            </w:pPr>
            <w:r w:rsidRPr="00EA0D05">
              <w:rPr>
                <w:rFonts w:ascii="Arial" w:hAnsi="Arial" w:cs="Arial"/>
                <w:b/>
                <w:bCs/>
                <w:color w:val="auto"/>
                <w:sz w:val="18"/>
                <w:szCs w:val="18"/>
              </w:rPr>
              <w:t xml:space="preserve">Applicant’s </w:t>
            </w:r>
            <w:r w:rsidR="004F0458">
              <w:rPr>
                <w:rFonts w:ascii="Arial" w:hAnsi="Arial" w:cs="Arial"/>
                <w:b/>
                <w:bCs/>
                <w:color w:val="auto"/>
                <w:sz w:val="18"/>
                <w:szCs w:val="18"/>
              </w:rPr>
              <w:t>f</w:t>
            </w:r>
            <w:r w:rsidRPr="00EA0D05">
              <w:rPr>
                <w:rFonts w:ascii="Arial" w:hAnsi="Arial" w:cs="Arial"/>
                <w:b/>
                <w:bCs/>
                <w:color w:val="auto"/>
                <w:sz w:val="18"/>
                <w:szCs w:val="18"/>
              </w:rPr>
              <w:t xml:space="preserve">irm name: </w:t>
            </w:r>
          </w:p>
        </w:tc>
        <w:tc>
          <w:tcPr>
            <w:tcW w:w="4945" w:type="dxa"/>
            <w:gridSpan w:val="3"/>
          </w:tcPr>
          <w:p w14:paraId="5B63E36A" w14:textId="77777777" w:rsidR="004E1A94" w:rsidRPr="00EA0D05" w:rsidRDefault="004E1A94" w:rsidP="00E72C11">
            <w:pPr>
              <w:pStyle w:val="Default"/>
              <w:rPr>
                <w:rFonts w:ascii="Arial" w:hAnsi="Arial" w:cs="Arial"/>
                <w:b/>
                <w:bCs/>
                <w:color w:val="auto"/>
                <w:sz w:val="18"/>
                <w:szCs w:val="18"/>
              </w:rPr>
            </w:pPr>
          </w:p>
        </w:tc>
      </w:tr>
      <w:tr w:rsidR="004E1A94" w:rsidRPr="00EA0D05" w14:paraId="700D0BB6" w14:textId="77777777" w:rsidTr="00E72C11">
        <w:trPr>
          <w:trHeight w:val="84"/>
        </w:trPr>
        <w:tc>
          <w:tcPr>
            <w:tcW w:w="5896" w:type="dxa"/>
          </w:tcPr>
          <w:p w14:paraId="196A817C" w14:textId="77777777" w:rsidR="004E1A94" w:rsidRPr="00EA0D05" w:rsidRDefault="004E1A94" w:rsidP="00E72C11">
            <w:pPr>
              <w:pStyle w:val="Default"/>
              <w:spacing w:before="120" w:after="120" w:line="276" w:lineRule="auto"/>
              <w:rPr>
                <w:rFonts w:ascii="Arial" w:hAnsi="Arial" w:cs="Arial"/>
                <w:b/>
                <w:bCs/>
                <w:color w:val="auto"/>
                <w:sz w:val="18"/>
                <w:szCs w:val="18"/>
              </w:rPr>
            </w:pPr>
            <w:r w:rsidRPr="00EA0D05">
              <w:rPr>
                <w:rFonts w:ascii="Arial" w:hAnsi="Arial" w:cs="Arial"/>
                <w:b/>
                <w:bCs/>
                <w:color w:val="auto"/>
                <w:sz w:val="18"/>
                <w:szCs w:val="18"/>
              </w:rPr>
              <w:t xml:space="preserve">Practitioner with conduct: </w:t>
            </w:r>
          </w:p>
        </w:tc>
        <w:tc>
          <w:tcPr>
            <w:tcW w:w="4945" w:type="dxa"/>
            <w:gridSpan w:val="3"/>
          </w:tcPr>
          <w:p w14:paraId="25F62C45" w14:textId="77777777" w:rsidR="004E1A94" w:rsidRPr="00EA0D05" w:rsidRDefault="004E1A94" w:rsidP="00E72C11">
            <w:pPr>
              <w:pStyle w:val="Default"/>
              <w:rPr>
                <w:rFonts w:ascii="Arial" w:hAnsi="Arial" w:cs="Arial"/>
                <w:b/>
                <w:bCs/>
                <w:color w:val="auto"/>
                <w:sz w:val="18"/>
                <w:szCs w:val="18"/>
              </w:rPr>
            </w:pPr>
          </w:p>
        </w:tc>
      </w:tr>
      <w:tr w:rsidR="004E1A94" w:rsidRPr="00EA0D05" w14:paraId="7FB0722C" w14:textId="77777777" w:rsidTr="00E72C11">
        <w:trPr>
          <w:trHeight w:val="84"/>
        </w:trPr>
        <w:tc>
          <w:tcPr>
            <w:tcW w:w="5896" w:type="dxa"/>
          </w:tcPr>
          <w:p w14:paraId="3F872B3F" w14:textId="55F07532" w:rsidR="004E1A94" w:rsidRPr="00EA0D05" w:rsidRDefault="004E1A94" w:rsidP="00E72C11">
            <w:pPr>
              <w:pStyle w:val="Default"/>
              <w:spacing w:before="120" w:after="120" w:line="276" w:lineRule="auto"/>
              <w:rPr>
                <w:rFonts w:ascii="Arial" w:hAnsi="Arial" w:cs="Arial"/>
                <w:b/>
                <w:bCs/>
                <w:color w:val="auto"/>
                <w:sz w:val="18"/>
                <w:szCs w:val="18"/>
              </w:rPr>
            </w:pPr>
            <w:r w:rsidRPr="00EA0D05">
              <w:rPr>
                <w:rFonts w:ascii="Arial" w:hAnsi="Arial" w:cs="Arial"/>
                <w:b/>
                <w:bCs/>
                <w:color w:val="auto"/>
                <w:sz w:val="18"/>
                <w:szCs w:val="18"/>
              </w:rPr>
              <w:t xml:space="preserve">Costs </w:t>
            </w:r>
            <w:r w:rsidR="00C12B4D">
              <w:rPr>
                <w:rFonts w:ascii="Arial" w:hAnsi="Arial" w:cs="Arial"/>
                <w:b/>
                <w:bCs/>
                <w:color w:val="auto"/>
                <w:sz w:val="18"/>
                <w:szCs w:val="18"/>
              </w:rPr>
              <w:t>l</w:t>
            </w:r>
            <w:r w:rsidRPr="00EA0D05">
              <w:rPr>
                <w:rFonts w:ascii="Arial" w:hAnsi="Arial" w:cs="Arial"/>
                <w:b/>
                <w:bCs/>
                <w:color w:val="auto"/>
                <w:sz w:val="18"/>
                <w:szCs w:val="18"/>
              </w:rPr>
              <w:t xml:space="preserve">awyer or </w:t>
            </w:r>
            <w:r w:rsidR="00C12B4D">
              <w:rPr>
                <w:rFonts w:ascii="Arial" w:hAnsi="Arial" w:cs="Arial"/>
                <w:b/>
                <w:bCs/>
                <w:color w:val="auto"/>
                <w:sz w:val="18"/>
                <w:szCs w:val="18"/>
              </w:rPr>
              <w:t>c</w:t>
            </w:r>
            <w:r w:rsidRPr="00043FFC">
              <w:rPr>
                <w:rFonts w:ascii="Arial" w:hAnsi="Arial" w:cs="Arial"/>
                <w:b/>
                <w:bCs/>
                <w:color w:val="auto"/>
                <w:sz w:val="18"/>
                <w:szCs w:val="18"/>
              </w:rPr>
              <w:t xml:space="preserve">onsultant engaged in the matter </w:t>
            </w:r>
          </w:p>
        </w:tc>
        <w:tc>
          <w:tcPr>
            <w:tcW w:w="4945" w:type="dxa"/>
            <w:gridSpan w:val="3"/>
          </w:tcPr>
          <w:p w14:paraId="3F92D98B" w14:textId="77777777" w:rsidR="004E1A94" w:rsidRPr="00EA0D05" w:rsidRDefault="004E1A94" w:rsidP="00E72C11">
            <w:pPr>
              <w:pStyle w:val="Default"/>
              <w:rPr>
                <w:rFonts w:ascii="Arial" w:hAnsi="Arial" w:cs="Arial"/>
                <w:b/>
                <w:bCs/>
                <w:color w:val="auto"/>
                <w:sz w:val="18"/>
                <w:szCs w:val="18"/>
              </w:rPr>
            </w:pPr>
          </w:p>
        </w:tc>
      </w:tr>
      <w:tr w:rsidR="004E1A94" w:rsidRPr="00EA0D05" w14:paraId="0FDC1DB8" w14:textId="77777777" w:rsidTr="00E72C11">
        <w:trPr>
          <w:trHeight w:val="84"/>
        </w:trPr>
        <w:tc>
          <w:tcPr>
            <w:tcW w:w="5896" w:type="dxa"/>
          </w:tcPr>
          <w:p w14:paraId="2F190988" w14:textId="77777777" w:rsidR="004E1A94" w:rsidRPr="00EA0D05" w:rsidRDefault="004E1A94" w:rsidP="00E72C11">
            <w:pPr>
              <w:pStyle w:val="Default"/>
              <w:spacing w:before="120" w:after="120" w:line="276" w:lineRule="auto"/>
              <w:rPr>
                <w:rFonts w:ascii="Arial" w:hAnsi="Arial" w:cs="Arial"/>
                <w:b/>
                <w:bCs/>
                <w:color w:val="auto"/>
                <w:sz w:val="18"/>
                <w:szCs w:val="18"/>
              </w:rPr>
            </w:pPr>
            <w:r w:rsidRPr="00EA0D05">
              <w:rPr>
                <w:rFonts w:ascii="Arial" w:hAnsi="Arial" w:cs="Arial"/>
                <w:b/>
                <w:bCs/>
                <w:color w:val="auto"/>
                <w:sz w:val="18"/>
                <w:szCs w:val="18"/>
              </w:rPr>
              <w:t xml:space="preserve">Direct telephone number: </w:t>
            </w:r>
          </w:p>
        </w:tc>
        <w:tc>
          <w:tcPr>
            <w:tcW w:w="4945" w:type="dxa"/>
            <w:gridSpan w:val="3"/>
          </w:tcPr>
          <w:p w14:paraId="6E8F7082" w14:textId="77777777" w:rsidR="004E1A94" w:rsidRPr="00EA0D05" w:rsidRDefault="004E1A94" w:rsidP="00E72C11">
            <w:pPr>
              <w:pStyle w:val="Default"/>
              <w:rPr>
                <w:rFonts w:ascii="Arial" w:hAnsi="Arial" w:cs="Arial"/>
                <w:b/>
                <w:bCs/>
                <w:color w:val="auto"/>
                <w:sz w:val="18"/>
                <w:szCs w:val="18"/>
              </w:rPr>
            </w:pPr>
          </w:p>
        </w:tc>
      </w:tr>
      <w:tr w:rsidR="004E1A94" w:rsidRPr="00EA0D05" w14:paraId="3F84AFA5" w14:textId="77777777" w:rsidTr="00E72C11">
        <w:trPr>
          <w:trHeight w:val="84"/>
        </w:trPr>
        <w:tc>
          <w:tcPr>
            <w:tcW w:w="5896" w:type="dxa"/>
          </w:tcPr>
          <w:p w14:paraId="0A6CE44E" w14:textId="77777777" w:rsidR="004E1A94" w:rsidRPr="00EA0D05" w:rsidRDefault="004E1A94" w:rsidP="00E72C11">
            <w:pPr>
              <w:pStyle w:val="Default"/>
              <w:spacing w:before="120" w:after="120" w:line="276" w:lineRule="auto"/>
              <w:rPr>
                <w:rFonts w:ascii="Arial" w:hAnsi="Arial" w:cs="Arial"/>
                <w:b/>
                <w:bCs/>
                <w:color w:val="auto"/>
                <w:sz w:val="18"/>
                <w:szCs w:val="18"/>
              </w:rPr>
            </w:pPr>
            <w:r w:rsidRPr="00EA0D05">
              <w:rPr>
                <w:rFonts w:ascii="Arial" w:hAnsi="Arial" w:cs="Arial"/>
                <w:b/>
                <w:bCs/>
                <w:color w:val="auto"/>
                <w:sz w:val="18"/>
                <w:szCs w:val="18"/>
              </w:rPr>
              <w:t xml:space="preserve">Email address: </w:t>
            </w:r>
          </w:p>
        </w:tc>
        <w:tc>
          <w:tcPr>
            <w:tcW w:w="4945" w:type="dxa"/>
            <w:gridSpan w:val="3"/>
          </w:tcPr>
          <w:p w14:paraId="0E7F2A41" w14:textId="77777777" w:rsidR="004E1A94" w:rsidRPr="00EA0D05" w:rsidRDefault="004E1A94" w:rsidP="00E72C11">
            <w:pPr>
              <w:pStyle w:val="Default"/>
              <w:rPr>
                <w:rFonts w:ascii="Arial" w:hAnsi="Arial" w:cs="Arial"/>
                <w:b/>
                <w:bCs/>
                <w:color w:val="auto"/>
                <w:sz w:val="18"/>
                <w:szCs w:val="18"/>
              </w:rPr>
            </w:pPr>
          </w:p>
        </w:tc>
      </w:tr>
      <w:tr w:rsidR="004E1A94" w:rsidRPr="00EA0D05" w14:paraId="453212A7" w14:textId="77777777" w:rsidTr="00E72C11">
        <w:trPr>
          <w:trHeight w:val="84"/>
        </w:trPr>
        <w:tc>
          <w:tcPr>
            <w:tcW w:w="5896" w:type="dxa"/>
          </w:tcPr>
          <w:p w14:paraId="605310FA" w14:textId="77777777" w:rsidR="004E1A94" w:rsidRPr="00EA0D05" w:rsidRDefault="004E1A94" w:rsidP="00E72C11">
            <w:pPr>
              <w:pStyle w:val="Default"/>
              <w:spacing w:before="120" w:after="60" w:line="276" w:lineRule="auto"/>
              <w:rPr>
                <w:rFonts w:ascii="Arial" w:hAnsi="Arial" w:cs="Arial"/>
                <w:b/>
                <w:bCs/>
                <w:color w:val="auto"/>
                <w:sz w:val="18"/>
                <w:szCs w:val="18"/>
              </w:rPr>
            </w:pPr>
            <w:r w:rsidRPr="00EA0D05">
              <w:rPr>
                <w:rFonts w:ascii="Arial" w:hAnsi="Arial" w:cs="Arial"/>
                <w:b/>
                <w:bCs/>
                <w:color w:val="auto"/>
                <w:sz w:val="18"/>
                <w:szCs w:val="18"/>
              </w:rPr>
              <w:t xml:space="preserve">Unavailable directions hearing date/s (if any): </w:t>
            </w:r>
          </w:p>
          <w:p w14:paraId="6DBF1DF6" w14:textId="77777777" w:rsidR="004E1A94" w:rsidRPr="00EA0D05" w:rsidRDefault="004E1A94" w:rsidP="00E72C11">
            <w:pPr>
              <w:pStyle w:val="Default"/>
              <w:spacing w:before="60" w:after="120" w:line="276" w:lineRule="auto"/>
              <w:rPr>
                <w:rFonts w:ascii="Arial" w:hAnsi="Arial" w:cs="Arial"/>
                <w:color w:val="auto"/>
                <w:sz w:val="18"/>
                <w:szCs w:val="18"/>
              </w:rPr>
            </w:pPr>
            <w:r w:rsidRPr="00EA0D05">
              <w:rPr>
                <w:rFonts w:ascii="Arial" w:hAnsi="Arial" w:cs="Arial"/>
                <w:color w:val="auto"/>
                <w:sz w:val="18"/>
                <w:szCs w:val="18"/>
              </w:rPr>
              <w:t xml:space="preserve">List any dates within two months of the filing date that the filing party is </w:t>
            </w:r>
            <w:r w:rsidRPr="00EA0D05">
              <w:rPr>
                <w:rFonts w:ascii="Arial" w:hAnsi="Arial" w:cs="Arial"/>
                <w:b/>
                <w:color w:val="auto"/>
                <w:sz w:val="18"/>
                <w:szCs w:val="18"/>
                <w:u w:val="single"/>
              </w:rPr>
              <w:t xml:space="preserve">not </w:t>
            </w:r>
            <w:r w:rsidRPr="00EA0D05">
              <w:rPr>
                <w:rFonts w:ascii="Arial" w:hAnsi="Arial" w:cs="Arial"/>
                <w:color w:val="auto"/>
                <w:sz w:val="18"/>
                <w:szCs w:val="18"/>
              </w:rPr>
              <w:t xml:space="preserve">available </w:t>
            </w:r>
          </w:p>
        </w:tc>
        <w:tc>
          <w:tcPr>
            <w:tcW w:w="4945" w:type="dxa"/>
            <w:gridSpan w:val="3"/>
          </w:tcPr>
          <w:p w14:paraId="57ED49B9" w14:textId="77777777" w:rsidR="004E1A94" w:rsidRPr="00EA0D05" w:rsidRDefault="004E1A94" w:rsidP="00E72C11">
            <w:pPr>
              <w:pStyle w:val="Default"/>
              <w:rPr>
                <w:rFonts w:ascii="Arial" w:hAnsi="Arial" w:cs="Arial"/>
                <w:b/>
                <w:bCs/>
                <w:color w:val="auto"/>
                <w:sz w:val="18"/>
                <w:szCs w:val="18"/>
              </w:rPr>
            </w:pPr>
          </w:p>
        </w:tc>
      </w:tr>
      <w:tr w:rsidR="004E1A94" w:rsidRPr="00EA0D05" w14:paraId="475E853C" w14:textId="77777777" w:rsidTr="00E72C11">
        <w:trPr>
          <w:trHeight w:val="619"/>
        </w:trPr>
        <w:tc>
          <w:tcPr>
            <w:tcW w:w="5896" w:type="dxa"/>
          </w:tcPr>
          <w:p w14:paraId="2D025F58" w14:textId="77777777" w:rsidR="004E1A94" w:rsidRPr="00EA0D05" w:rsidRDefault="004E1A94" w:rsidP="00E72C11">
            <w:pPr>
              <w:pStyle w:val="Default"/>
              <w:spacing w:before="120" w:after="120" w:line="276" w:lineRule="auto"/>
              <w:rPr>
                <w:rFonts w:ascii="Arial" w:hAnsi="Arial" w:cs="Arial"/>
                <w:b/>
                <w:bCs/>
                <w:color w:val="auto"/>
                <w:sz w:val="18"/>
                <w:szCs w:val="18"/>
              </w:rPr>
            </w:pPr>
            <w:r w:rsidRPr="00EA0D05">
              <w:rPr>
                <w:rFonts w:ascii="Arial" w:hAnsi="Arial" w:cs="Arial"/>
                <w:b/>
                <w:bCs/>
                <w:color w:val="auto"/>
                <w:sz w:val="18"/>
                <w:szCs w:val="18"/>
              </w:rPr>
              <w:t xml:space="preserve">Date and signature </w:t>
            </w:r>
          </w:p>
        </w:tc>
        <w:tc>
          <w:tcPr>
            <w:tcW w:w="4945" w:type="dxa"/>
            <w:gridSpan w:val="3"/>
          </w:tcPr>
          <w:p w14:paraId="4F10822B" w14:textId="77777777" w:rsidR="004E1A94" w:rsidRPr="00EA0D05" w:rsidRDefault="004E1A94" w:rsidP="00E72C11">
            <w:pPr>
              <w:pStyle w:val="Default"/>
              <w:rPr>
                <w:rFonts w:ascii="Arial" w:hAnsi="Arial" w:cs="Arial"/>
                <w:b/>
                <w:bCs/>
                <w:color w:val="auto"/>
                <w:sz w:val="18"/>
                <w:szCs w:val="18"/>
              </w:rPr>
            </w:pPr>
          </w:p>
        </w:tc>
      </w:tr>
    </w:tbl>
    <w:p w14:paraId="520F37ED" w14:textId="77777777" w:rsidR="004E1A94" w:rsidRPr="00EA0D05" w:rsidRDefault="004E1A94" w:rsidP="004E1A94">
      <w:pPr>
        <w:rPr>
          <w:rFonts w:ascii="Book Antiqua" w:hAnsi="Book Antiqua"/>
        </w:rPr>
      </w:pPr>
      <w:r w:rsidRPr="00EA0D05">
        <w:rPr>
          <w:rFonts w:ascii="Book Antiqua" w:hAnsi="Book Antiqua"/>
        </w:rPr>
        <w:br w:type="page"/>
      </w:r>
    </w:p>
    <w:p w14:paraId="2CE16287" w14:textId="4CB76E02" w:rsidR="004E1A94" w:rsidRDefault="004E1A94" w:rsidP="00620D33">
      <w:pPr>
        <w:pStyle w:val="Heading1"/>
      </w:pPr>
      <w:bookmarkStart w:id="46" w:name="_Toc178173302"/>
      <w:r w:rsidRPr="00355ED4">
        <w:t>Annexure</w:t>
      </w:r>
      <w:r w:rsidRPr="00B63F3B">
        <w:t xml:space="preserve"> C</w:t>
      </w:r>
      <w:bookmarkEnd w:id="46"/>
    </w:p>
    <w:p w14:paraId="5D8DB04E" w14:textId="77777777" w:rsidR="004E1A94" w:rsidRPr="00B63F3B" w:rsidRDefault="004E1A94" w:rsidP="004E1A94">
      <w:pPr>
        <w:jc w:val="center"/>
        <w:rPr>
          <w:rFonts w:ascii="Arial" w:hAnsi="Arial" w:cs="Arial"/>
          <w:b/>
          <w:bCs/>
          <w:color w:val="C00000"/>
        </w:rPr>
      </w:pPr>
    </w:p>
    <w:p w14:paraId="1FB18352" w14:textId="6DAA2D23" w:rsidR="004E1A94" w:rsidRPr="00E91984" w:rsidRDefault="004E1A94" w:rsidP="00E91984">
      <w:pPr>
        <w:ind w:left="-720" w:right="-244"/>
        <w:rPr>
          <w:rFonts w:ascii="Arial" w:hAnsi="Arial" w:cs="Arial"/>
          <w:b/>
          <w:bCs/>
          <w:color w:val="981E32"/>
          <w:sz w:val="30"/>
          <w:szCs w:val="30"/>
        </w:rPr>
      </w:pPr>
      <w:r w:rsidRPr="00E91984">
        <w:rPr>
          <w:rFonts w:ascii="Arial" w:hAnsi="Arial" w:cs="Arial"/>
          <w:color w:val="981E32"/>
          <w:sz w:val="30"/>
          <w:szCs w:val="30"/>
        </w:rPr>
        <w:t xml:space="preserve">COSTS COURT </w:t>
      </w:r>
      <w:r w:rsidR="00E91984" w:rsidRPr="00E91984">
        <w:rPr>
          <w:rFonts w:ascii="Arial" w:hAnsi="Arial" w:cs="Arial"/>
          <w:color w:val="981E32"/>
          <w:sz w:val="30"/>
          <w:szCs w:val="30"/>
        </w:rPr>
        <w:t>–</w:t>
      </w:r>
      <w:r w:rsidRPr="00E91984">
        <w:rPr>
          <w:rFonts w:ascii="Arial" w:hAnsi="Arial" w:cs="Arial"/>
          <w:color w:val="981E32"/>
          <w:sz w:val="30"/>
          <w:szCs w:val="30"/>
        </w:rPr>
        <w:t xml:space="preserve"> Legal Profession Legislation Taxation Information Form</w:t>
      </w:r>
    </w:p>
    <w:p w14:paraId="7807923D" w14:textId="77777777" w:rsidR="004E1A94" w:rsidRPr="00EA0D05" w:rsidRDefault="004E1A94" w:rsidP="004E1A94"/>
    <w:tbl>
      <w:tblPr>
        <w:tblW w:w="108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6"/>
        <w:gridCol w:w="1715"/>
        <w:gridCol w:w="1703"/>
        <w:gridCol w:w="1527"/>
      </w:tblGrid>
      <w:tr w:rsidR="004E1A94" w:rsidRPr="00A273FC" w14:paraId="252AAB54" w14:textId="77777777" w:rsidTr="00E72C11">
        <w:trPr>
          <w:trHeight w:val="371"/>
        </w:trPr>
        <w:tc>
          <w:tcPr>
            <w:tcW w:w="5896" w:type="dxa"/>
          </w:tcPr>
          <w:p w14:paraId="558229DE" w14:textId="77777777" w:rsidR="004E1A94" w:rsidRPr="00A273FC" w:rsidRDefault="004E1A94" w:rsidP="00E72C11">
            <w:pPr>
              <w:pStyle w:val="Default"/>
              <w:spacing w:before="120" w:after="120" w:line="276" w:lineRule="auto"/>
              <w:rPr>
                <w:color w:val="auto"/>
                <w:sz w:val="20"/>
                <w:szCs w:val="20"/>
              </w:rPr>
            </w:pPr>
            <w:r w:rsidRPr="00A273FC">
              <w:rPr>
                <w:rFonts w:ascii="Arial" w:hAnsi="Arial" w:cs="Arial"/>
                <w:b/>
                <w:bCs/>
                <w:color w:val="auto"/>
                <w:sz w:val="20"/>
                <w:szCs w:val="20"/>
              </w:rPr>
              <w:t xml:space="preserve">Hearing Return Date </w:t>
            </w:r>
            <w:r w:rsidRPr="00A273FC">
              <w:rPr>
                <w:rFonts w:ascii="Arial" w:hAnsi="Arial" w:cs="Arial"/>
                <w:color w:val="auto"/>
                <w:sz w:val="20"/>
                <w:szCs w:val="20"/>
              </w:rPr>
              <w:t xml:space="preserve">(Court Use Only) </w:t>
            </w:r>
          </w:p>
        </w:tc>
        <w:tc>
          <w:tcPr>
            <w:tcW w:w="4945" w:type="dxa"/>
            <w:gridSpan w:val="3"/>
          </w:tcPr>
          <w:p w14:paraId="7D8CFF4A" w14:textId="77777777" w:rsidR="004E1A94" w:rsidRPr="00A273FC" w:rsidRDefault="004E1A94" w:rsidP="00E72C11">
            <w:pPr>
              <w:pStyle w:val="Default"/>
              <w:ind w:left="720"/>
              <w:rPr>
                <w:rFonts w:ascii="Arial" w:hAnsi="Arial" w:cs="Arial"/>
                <w:color w:val="auto"/>
                <w:sz w:val="20"/>
                <w:szCs w:val="20"/>
              </w:rPr>
            </w:pPr>
          </w:p>
        </w:tc>
      </w:tr>
      <w:tr w:rsidR="004E1A94" w:rsidRPr="00A273FC" w14:paraId="2C592A04" w14:textId="77777777" w:rsidTr="00E72C11">
        <w:trPr>
          <w:trHeight w:val="84"/>
        </w:trPr>
        <w:tc>
          <w:tcPr>
            <w:tcW w:w="5896" w:type="dxa"/>
          </w:tcPr>
          <w:p w14:paraId="70FB694A" w14:textId="77777777" w:rsidR="004E1A94" w:rsidRPr="00A273FC" w:rsidRDefault="004E1A94" w:rsidP="00E72C11">
            <w:pPr>
              <w:pStyle w:val="Default"/>
              <w:spacing w:before="120" w:after="120" w:line="276" w:lineRule="auto"/>
              <w:rPr>
                <w:rFonts w:ascii="Arial" w:hAnsi="Arial" w:cs="Arial"/>
                <w:color w:val="auto"/>
                <w:sz w:val="20"/>
                <w:szCs w:val="20"/>
              </w:rPr>
            </w:pPr>
            <w:r w:rsidRPr="00A273FC">
              <w:rPr>
                <w:rFonts w:ascii="Arial" w:hAnsi="Arial" w:cs="Arial"/>
                <w:b/>
                <w:bCs/>
                <w:color w:val="auto"/>
                <w:sz w:val="20"/>
                <w:szCs w:val="20"/>
              </w:rPr>
              <w:t xml:space="preserve">Proceeding number: </w:t>
            </w:r>
          </w:p>
        </w:tc>
        <w:tc>
          <w:tcPr>
            <w:tcW w:w="4945" w:type="dxa"/>
            <w:gridSpan w:val="3"/>
          </w:tcPr>
          <w:p w14:paraId="7803296D" w14:textId="77777777" w:rsidR="004E1A94" w:rsidRPr="00A273FC" w:rsidRDefault="004E1A94" w:rsidP="00E72C11">
            <w:pPr>
              <w:pStyle w:val="Default"/>
              <w:rPr>
                <w:rFonts w:ascii="Arial" w:hAnsi="Arial" w:cs="Arial"/>
                <w:b/>
                <w:bCs/>
                <w:color w:val="auto"/>
                <w:sz w:val="20"/>
                <w:szCs w:val="20"/>
              </w:rPr>
            </w:pPr>
          </w:p>
        </w:tc>
      </w:tr>
      <w:tr w:rsidR="004E1A94" w:rsidRPr="00A273FC" w14:paraId="0852C63B" w14:textId="77777777" w:rsidTr="00E72C11">
        <w:trPr>
          <w:trHeight w:val="485"/>
        </w:trPr>
        <w:tc>
          <w:tcPr>
            <w:tcW w:w="5896" w:type="dxa"/>
          </w:tcPr>
          <w:p w14:paraId="73ADB930" w14:textId="77777777" w:rsidR="004E1A94" w:rsidRPr="00A273FC" w:rsidRDefault="004E1A94" w:rsidP="00E72C11">
            <w:pPr>
              <w:pStyle w:val="Default"/>
              <w:spacing w:before="120" w:after="120" w:line="276" w:lineRule="auto"/>
              <w:rPr>
                <w:rFonts w:ascii="Arial" w:hAnsi="Arial" w:cs="Arial"/>
                <w:color w:val="auto"/>
                <w:sz w:val="20"/>
                <w:szCs w:val="20"/>
              </w:rPr>
            </w:pPr>
            <w:r w:rsidRPr="00A273FC">
              <w:rPr>
                <w:rFonts w:ascii="Arial" w:hAnsi="Arial" w:cs="Arial"/>
                <w:b/>
                <w:bCs/>
                <w:color w:val="auto"/>
                <w:sz w:val="20"/>
                <w:szCs w:val="20"/>
              </w:rPr>
              <w:t xml:space="preserve">Estimated time required for taxation hearing: </w:t>
            </w:r>
          </w:p>
        </w:tc>
        <w:tc>
          <w:tcPr>
            <w:tcW w:w="4945" w:type="dxa"/>
            <w:gridSpan w:val="3"/>
          </w:tcPr>
          <w:p w14:paraId="6AA64931" w14:textId="77777777" w:rsidR="004E1A94" w:rsidRPr="00A273FC" w:rsidRDefault="004E1A94" w:rsidP="00E72C11">
            <w:pPr>
              <w:pStyle w:val="Default"/>
              <w:rPr>
                <w:rFonts w:ascii="Arial" w:hAnsi="Arial" w:cs="Arial"/>
                <w:b/>
                <w:bCs/>
                <w:color w:val="auto"/>
                <w:sz w:val="20"/>
                <w:szCs w:val="20"/>
              </w:rPr>
            </w:pPr>
          </w:p>
        </w:tc>
      </w:tr>
      <w:tr w:rsidR="004E1A94" w:rsidRPr="00A273FC" w14:paraId="05A816FC" w14:textId="77777777" w:rsidTr="00E72C11">
        <w:trPr>
          <w:trHeight w:val="323"/>
        </w:trPr>
        <w:tc>
          <w:tcPr>
            <w:tcW w:w="5896" w:type="dxa"/>
          </w:tcPr>
          <w:p w14:paraId="6A8B6859" w14:textId="77777777" w:rsidR="004E1A94" w:rsidRPr="00A273FC" w:rsidRDefault="004E1A94" w:rsidP="00E72C11">
            <w:pPr>
              <w:pStyle w:val="Default"/>
              <w:spacing w:before="120" w:after="60" w:line="276" w:lineRule="auto"/>
              <w:rPr>
                <w:rFonts w:ascii="Arial" w:hAnsi="Arial" w:cs="Arial"/>
                <w:color w:val="auto"/>
                <w:sz w:val="20"/>
                <w:szCs w:val="20"/>
              </w:rPr>
            </w:pPr>
            <w:r w:rsidRPr="00A273FC">
              <w:rPr>
                <w:rFonts w:ascii="Arial" w:hAnsi="Arial" w:cs="Arial"/>
                <w:b/>
                <w:bCs/>
                <w:color w:val="auto"/>
                <w:sz w:val="20"/>
                <w:szCs w:val="20"/>
              </w:rPr>
              <w:t xml:space="preserve">Summary of application including details of retainer </w:t>
            </w:r>
            <w:r w:rsidRPr="00A273FC">
              <w:rPr>
                <w:rFonts w:ascii="Arial" w:hAnsi="Arial" w:cs="Arial"/>
                <w:color w:val="auto"/>
                <w:sz w:val="20"/>
                <w:szCs w:val="20"/>
              </w:rPr>
              <w:t xml:space="preserve"> </w:t>
            </w:r>
          </w:p>
        </w:tc>
        <w:tc>
          <w:tcPr>
            <w:tcW w:w="4945" w:type="dxa"/>
            <w:gridSpan w:val="3"/>
          </w:tcPr>
          <w:p w14:paraId="012F10E7" w14:textId="77777777" w:rsidR="004E1A94" w:rsidRPr="00A273FC" w:rsidRDefault="004E1A94" w:rsidP="00E72C11">
            <w:pPr>
              <w:pStyle w:val="Default"/>
              <w:rPr>
                <w:rFonts w:ascii="Arial" w:hAnsi="Arial" w:cs="Arial"/>
                <w:b/>
                <w:bCs/>
                <w:color w:val="auto"/>
                <w:sz w:val="20"/>
                <w:szCs w:val="20"/>
              </w:rPr>
            </w:pPr>
          </w:p>
        </w:tc>
      </w:tr>
      <w:tr w:rsidR="004E1A94" w:rsidRPr="00A273FC" w14:paraId="46154C88" w14:textId="77777777" w:rsidTr="00E72C11">
        <w:trPr>
          <w:trHeight w:val="323"/>
        </w:trPr>
        <w:tc>
          <w:tcPr>
            <w:tcW w:w="5896" w:type="dxa"/>
          </w:tcPr>
          <w:p w14:paraId="1C866358" w14:textId="70BBBFC0" w:rsidR="004E1A94" w:rsidRPr="00A273FC" w:rsidRDefault="0049425B" w:rsidP="00E810D5">
            <w:pPr>
              <w:pStyle w:val="Default"/>
              <w:spacing w:before="120" w:after="120" w:line="276" w:lineRule="auto"/>
              <w:rPr>
                <w:rFonts w:ascii="Arial" w:hAnsi="Arial" w:cs="Arial"/>
                <w:color w:val="auto"/>
                <w:sz w:val="20"/>
                <w:szCs w:val="20"/>
              </w:rPr>
            </w:pPr>
            <w:r w:rsidRPr="00A273FC">
              <w:rPr>
                <w:rFonts w:ascii="Arial" w:hAnsi="Arial" w:cs="Arial"/>
                <w:b/>
                <w:bCs/>
                <w:color w:val="auto"/>
                <w:sz w:val="20"/>
                <w:szCs w:val="20"/>
              </w:rPr>
              <w:t>Media neutral citation of relevant judgment or copy thereof or short summary of principal litigation</w:t>
            </w:r>
            <w:r w:rsidR="00E810D5" w:rsidRPr="00A273FC">
              <w:rPr>
                <w:rFonts w:ascii="Arial" w:hAnsi="Arial" w:cs="Arial"/>
                <w:color w:val="auto"/>
                <w:sz w:val="20"/>
                <w:szCs w:val="20"/>
              </w:rPr>
              <w:t xml:space="preserve"> </w:t>
            </w:r>
          </w:p>
        </w:tc>
        <w:tc>
          <w:tcPr>
            <w:tcW w:w="4945" w:type="dxa"/>
            <w:gridSpan w:val="3"/>
          </w:tcPr>
          <w:p w14:paraId="6A9DE2DE" w14:textId="77777777" w:rsidR="004E1A94" w:rsidRPr="00A273FC" w:rsidRDefault="004E1A94" w:rsidP="00E72C11">
            <w:pPr>
              <w:pStyle w:val="Default"/>
              <w:rPr>
                <w:rFonts w:ascii="Arial" w:hAnsi="Arial" w:cs="Arial"/>
                <w:b/>
                <w:bCs/>
                <w:color w:val="auto"/>
                <w:sz w:val="20"/>
                <w:szCs w:val="20"/>
              </w:rPr>
            </w:pPr>
          </w:p>
        </w:tc>
      </w:tr>
      <w:tr w:rsidR="004E1A94" w:rsidRPr="00A273FC" w14:paraId="1638EB0F" w14:textId="77777777" w:rsidTr="00E72C11">
        <w:trPr>
          <w:trHeight w:val="220"/>
        </w:trPr>
        <w:tc>
          <w:tcPr>
            <w:tcW w:w="5896" w:type="dxa"/>
          </w:tcPr>
          <w:p w14:paraId="3A25D287" w14:textId="77777777" w:rsidR="004E1A94" w:rsidRPr="00A273FC" w:rsidRDefault="004E1A94" w:rsidP="00E72C11">
            <w:pPr>
              <w:pStyle w:val="Default"/>
              <w:spacing w:before="120" w:after="60" w:line="276" w:lineRule="auto"/>
              <w:rPr>
                <w:rFonts w:ascii="Arial" w:hAnsi="Arial" w:cs="Arial"/>
                <w:color w:val="auto"/>
                <w:sz w:val="20"/>
                <w:szCs w:val="20"/>
              </w:rPr>
            </w:pPr>
            <w:r w:rsidRPr="00A273FC">
              <w:rPr>
                <w:rFonts w:ascii="Arial" w:hAnsi="Arial" w:cs="Arial"/>
                <w:b/>
                <w:bCs/>
                <w:color w:val="auto"/>
                <w:sz w:val="20"/>
                <w:szCs w:val="20"/>
              </w:rPr>
              <w:t xml:space="preserve">Who is bringing the application? </w:t>
            </w:r>
          </w:p>
          <w:p w14:paraId="580A45B4" w14:textId="77777777" w:rsidR="004E1A94" w:rsidRPr="00A273FC" w:rsidRDefault="004E1A94" w:rsidP="00E72C11">
            <w:pPr>
              <w:pStyle w:val="Default"/>
              <w:spacing w:before="60" w:after="120" w:line="276" w:lineRule="auto"/>
              <w:rPr>
                <w:rFonts w:ascii="Arial" w:hAnsi="Arial" w:cs="Arial"/>
                <w:color w:val="auto"/>
                <w:sz w:val="20"/>
                <w:szCs w:val="20"/>
              </w:rPr>
            </w:pPr>
            <w:r w:rsidRPr="00A273FC">
              <w:rPr>
                <w:rFonts w:ascii="Arial" w:hAnsi="Arial" w:cs="Arial"/>
                <w:color w:val="auto"/>
                <w:sz w:val="20"/>
                <w:szCs w:val="20"/>
              </w:rPr>
              <w:t xml:space="preserve">Party type and name of party. </w:t>
            </w:r>
          </w:p>
        </w:tc>
        <w:tc>
          <w:tcPr>
            <w:tcW w:w="4945" w:type="dxa"/>
            <w:gridSpan w:val="3"/>
            <w:tcBorders>
              <w:bottom w:val="single" w:sz="4" w:space="0" w:color="auto"/>
            </w:tcBorders>
          </w:tcPr>
          <w:p w14:paraId="1D21013B" w14:textId="77777777" w:rsidR="004E1A94" w:rsidRPr="00A273FC" w:rsidRDefault="004E1A94" w:rsidP="00E72C11">
            <w:pPr>
              <w:pStyle w:val="Default"/>
              <w:rPr>
                <w:rFonts w:ascii="Arial" w:hAnsi="Arial" w:cs="Arial"/>
                <w:b/>
                <w:bCs/>
                <w:color w:val="auto"/>
                <w:sz w:val="20"/>
                <w:szCs w:val="20"/>
              </w:rPr>
            </w:pPr>
          </w:p>
        </w:tc>
      </w:tr>
      <w:tr w:rsidR="004E1A94" w:rsidRPr="00A273FC" w14:paraId="48E74433" w14:textId="77777777" w:rsidTr="00E72C11">
        <w:trPr>
          <w:trHeight w:val="457"/>
        </w:trPr>
        <w:tc>
          <w:tcPr>
            <w:tcW w:w="5896" w:type="dxa"/>
          </w:tcPr>
          <w:p w14:paraId="209E61E3" w14:textId="77777777" w:rsidR="004E1A94" w:rsidRPr="00A273FC" w:rsidRDefault="004E1A94" w:rsidP="00E72C11">
            <w:pPr>
              <w:pStyle w:val="Default"/>
              <w:spacing w:before="120" w:after="120" w:line="276" w:lineRule="auto"/>
              <w:rPr>
                <w:rFonts w:ascii="Arial" w:hAnsi="Arial" w:cs="Arial"/>
                <w:b/>
                <w:bCs/>
                <w:color w:val="auto"/>
                <w:sz w:val="20"/>
                <w:szCs w:val="20"/>
              </w:rPr>
            </w:pPr>
            <w:r w:rsidRPr="00A273FC">
              <w:rPr>
                <w:rFonts w:ascii="Arial" w:hAnsi="Arial" w:cs="Arial"/>
                <w:b/>
                <w:bCs/>
                <w:color w:val="auto"/>
                <w:sz w:val="20"/>
                <w:szCs w:val="20"/>
              </w:rPr>
              <w:t>Amount of costs charged</w:t>
            </w:r>
          </w:p>
          <w:p w14:paraId="771E0738" w14:textId="77777777" w:rsidR="004E1A94" w:rsidRPr="00A273FC" w:rsidRDefault="004E1A94" w:rsidP="00E72C11">
            <w:pPr>
              <w:pStyle w:val="Default"/>
              <w:spacing w:before="120" w:after="120" w:line="276" w:lineRule="auto"/>
              <w:rPr>
                <w:rFonts w:ascii="Arial" w:hAnsi="Arial" w:cs="Arial"/>
                <w:bCs/>
                <w:color w:val="auto"/>
                <w:sz w:val="20"/>
                <w:szCs w:val="20"/>
              </w:rPr>
            </w:pPr>
            <w:r w:rsidRPr="00A273FC">
              <w:rPr>
                <w:rFonts w:ascii="Arial" w:hAnsi="Arial" w:cs="Arial"/>
                <w:bCs/>
                <w:color w:val="auto"/>
                <w:sz w:val="20"/>
                <w:szCs w:val="20"/>
              </w:rPr>
              <w:t xml:space="preserve">The amount of professional charges and disbursements charged in the bill of costs </w:t>
            </w:r>
          </w:p>
        </w:tc>
        <w:tc>
          <w:tcPr>
            <w:tcW w:w="1715" w:type="dxa"/>
            <w:tcBorders>
              <w:right w:val="single" w:sz="4" w:space="0" w:color="auto"/>
            </w:tcBorders>
          </w:tcPr>
          <w:p w14:paraId="5607F3AB" w14:textId="77777777" w:rsidR="004E1A94" w:rsidRPr="00A273FC" w:rsidRDefault="004E1A94" w:rsidP="00E72C11">
            <w:pPr>
              <w:pStyle w:val="Default"/>
              <w:spacing w:before="60" w:after="60"/>
              <w:rPr>
                <w:rFonts w:ascii="Arial" w:hAnsi="Arial" w:cs="Arial"/>
                <w:b/>
                <w:bCs/>
                <w:color w:val="auto"/>
                <w:sz w:val="20"/>
                <w:szCs w:val="20"/>
              </w:rPr>
            </w:pPr>
            <w:r w:rsidRPr="00A273FC">
              <w:rPr>
                <w:rFonts w:ascii="Arial" w:hAnsi="Arial" w:cs="Arial"/>
                <w:b/>
                <w:bCs/>
                <w:color w:val="auto"/>
                <w:sz w:val="20"/>
                <w:szCs w:val="20"/>
              </w:rPr>
              <w:t>Professional charges</w:t>
            </w:r>
          </w:p>
          <w:p w14:paraId="0A1BB892" w14:textId="77777777" w:rsidR="004E1A94" w:rsidRPr="00A273FC" w:rsidRDefault="004E1A94" w:rsidP="00E72C11">
            <w:pPr>
              <w:pStyle w:val="Default"/>
              <w:spacing w:before="60"/>
              <w:rPr>
                <w:rFonts w:ascii="Arial" w:hAnsi="Arial" w:cs="Arial"/>
                <w:b/>
                <w:bCs/>
                <w:color w:val="auto"/>
                <w:sz w:val="20"/>
                <w:szCs w:val="20"/>
              </w:rPr>
            </w:pPr>
            <w:r w:rsidRPr="00A273FC">
              <w:rPr>
                <w:rFonts w:ascii="Arial" w:hAnsi="Arial" w:cs="Arial"/>
                <w:b/>
                <w:bCs/>
                <w:color w:val="auto"/>
                <w:sz w:val="20"/>
                <w:szCs w:val="20"/>
              </w:rPr>
              <w:t>$</w:t>
            </w:r>
          </w:p>
        </w:tc>
        <w:tc>
          <w:tcPr>
            <w:tcW w:w="1703" w:type="dxa"/>
            <w:tcBorders>
              <w:left w:val="single" w:sz="4" w:space="0" w:color="auto"/>
              <w:right w:val="single" w:sz="4" w:space="0" w:color="auto"/>
            </w:tcBorders>
          </w:tcPr>
          <w:p w14:paraId="64847D86" w14:textId="77777777" w:rsidR="004E1A94" w:rsidRPr="00A273FC" w:rsidRDefault="004E1A94" w:rsidP="00E72C11">
            <w:pPr>
              <w:pStyle w:val="Default"/>
              <w:spacing w:before="60"/>
              <w:rPr>
                <w:rFonts w:ascii="Arial" w:hAnsi="Arial" w:cs="Arial"/>
                <w:b/>
                <w:bCs/>
                <w:color w:val="auto"/>
                <w:sz w:val="20"/>
                <w:szCs w:val="20"/>
              </w:rPr>
            </w:pPr>
            <w:r w:rsidRPr="00A273FC">
              <w:rPr>
                <w:rFonts w:ascii="Arial" w:hAnsi="Arial" w:cs="Arial"/>
                <w:b/>
                <w:bCs/>
                <w:color w:val="auto"/>
                <w:sz w:val="20"/>
                <w:szCs w:val="20"/>
              </w:rPr>
              <w:t xml:space="preserve">Disbursements </w:t>
            </w:r>
          </w:p>
          <w:p w14:paraId="49D05845" w14:textId="77777777" w:rsidR="004E1A94" w:rsidRPr="00A273FC" w:rsidRDefault="004E1A94" w:rsidP="00E72C11">
            <w:pPr>
              <w:pStyle w:val="Default"/>
              <w:spacing w:before="60"/>
              <w:rPr>
                <w:rFonts w:ascii="Arial" w:hAnsi="Arial" w:cs="Arial"/>
                <w:b/>
                <w:bCs/>
                <w:color w:val="auto"/>
                <w:sz w:val="20"/>
                <w:szCs w:val="20"/>
              </w:rPr>
            </w:pPr>
          </w:p>
          <w:p w14:paraId="58D719B2" w14:textId="77777777" w:rsidR="004E1A94" w:rsidRPr="00A273FC" w:rsidRDefault="004E1A94" w:rsidP="00E72C11">
            <w:pPr>
              <w:pStyle w:val="Default"/>
              <w:spacing w:before="60" w:after="60"/>
              <w:rPr>
                <w:rFonts w:ascii="Arial" w:hAnsi="Arial" w:cs="Arial"/>
                <w:b/>
                <w:bCs/>
                <w:color w:val="auto"/>
                <w:sz w:val="20"/>
                <w:szCs w:val="20"/>
              </w:rPr>
            </w:pPr>
            <w:r w:rsidRPr="00A273FC">
              <w:rPr>
                <w:rFonts w:ascii="Arial" w:hAnsi="Arial" w:cs="Arial"/>
                <w:b/>
                <w:bCs/>
                <w:color w:val="auto"/>
                <w:sz w:val="20"/>
                <w:szCs w:val="20"/>
              </w:rPr>
              <w:t>$</w:t>
            </w:r>
          </w:p>
        </w:tc>
        <w:tc>
          <w:tcPr>
            <w:tcW w:w="1527" w:type="dxa"/>
            <w:tcBorders>
              <w:left w:val="single" w:sz="4" w:space="0" w:color="auto"/>
            </w:tcBorders>
          </w:tcPr>
          <w:p w14:paraId="4F019835" w14:textId="77777777" w:rsidR="004E1A94" w:rsidRPr="00A273FC" w:rsidRDefault="004E1A94" w:rsidP="00E72C11">
            <w:pPr>
              <w:pStyle w:val="Default"/>
              <w:spacing w:before="60"/>
              <w:rPr>
                <w:rFonts w:ascii="Arial" w:hAnsi="Arial" w:cs="Arial"/>
                <w:b/>
                <w:bCs/>
                <w:color w:val="auto"/>
                <w:sz w:val="20"/>
                <w:szCs w:val="20"/>
              </w:rPr>
            </w:pPr>
            <w:r w:rsidRPr="00A273FC">
              <w:rPr>
                <w:rFonts w:ascii="Arial" w:hAnsi="Arial" w:cs="Arial"/>
                <w:b/>
                <w:bCs/>
                <w:color w:val="auto"/>
                <w:sz w:val="20"/>
                <w:szCs w:val="20"/>
              </w:rPr>
              <w:t>Total</w:t>
            </w:r>
          </w:p>
          <w:p w14:paraId="0B38FB3B" w14:textId="77777777" w:rsidR="004E1A94" w:rsidRPr="00A273FC" w:rsidRDefault="004E1A94" w:rsidP="00E72C11">
            <w:pPr>
              <w:pStyle w:val="Default"/>
              <w:spacing w:before="60"/>
              <w:rPr>
                <w:rFonts w:ascii="Arial" w:hAnsi="Arial" w:cs="Arial"/>
                <w:b/>
                <w:bCs/>
                <w:color w:val="auto"/>
                <w:sz w:val="20"/>
                <w:szCs w:val="20"/>
              </w:rPr>
            </w:pPr>
          </w:p>
          <w:p w14:paraId="240AAEF9" w14:textId="77777777" w:rsidR="004E1A94" w:rsidRPr="00A273FC" w:rsidRDefault="004E1A94" w:rsidP="00E72C11">
            <w:pPr>
              <w:pStyle w:val="Default"/>
              <w:spacing w:before="60"/>
              <w:rPr>
                <w:rFonts w:ascii="Arial" w:hAnsi="Arial" w:cs="Arial"/>
                <w:b/>
                <w:bCs/>
                <w:color w:val="auto"/>
                <w:sz w:val="20"/>
                <w:szCs w:val="20"/>
              </w:rPr>
            </w:pPr>
            <w:r w:rsidRPr="00A273FC">
              <w:rPr>
                <w:rFonts w:ascii="Arial" w:hAnsi="Arial" w:cs="Arial"/>
                <w:b/>
                <w:bCs/>
                <w:color w:val="auto"/>
                <w:sz w:val="20"/>
                <w:szCs w:val="20"/>
              </w:rPr>
              <w:t>$</w:t>
            </w:r>
          </w:p>
        </w:tc>
      </w:tr>
      <w:tr w:rsidR="004E1A94" w:rsidRPr="00A273FC" w14:paraId="1FC80133" w14:textId="77777777" w:rsidTr="00E72C11">
        <w:trPr>
          <w:trHeight w:val="634"/>
        </w:trPr>
        <w:tc>
          <w:tcPr>
            <w:tcW w:w="5896" w:type="dxa"/>
          </w:tcPr>
          <w:p w14:paraId="6B3025C7" w14:textId="44974497" w:rsidR="004E1A94" w:rsidRPr="00A273FC" w:rsidRDefault="004E1A94" w:rsidP="00E72C11">
            <w:pPr>
              <w:spacing w:before="60" w:after="120"/>
              <w:rPr>
                <w:rFonts w:ascii="Arial" w:hAnsi="Arial" w:cs="Arial"/>
                <w:b/>
                <w:sz w:val="20"/>
                <w:szCs w:val="20"/>
              </w:rPr>
            </w:pPr>
            <w:r w:rsidRPr="00A273FC">
              <w:rPr>
                <w:rFonts w:ascii="Arial" w:hAnsi="Arial" w:cs="Arial"/>
                <w:b/>
                <w:sz w:val="20"/>
                <w:szCs w:val="20"/>
              </w:rPr>
              <w:t>Is the applicant self-represented</w:t>
            </w:r>
            <w:r w:rsidR="002005BA" w:rsidRPr="00A273FC">
              <w:rPr>
                <w:rFonts w:ascii="Arial" w:hAnsi="Arial" w:cs="Arial"/>
                <w:b/>
                <w:sz w:val="20"/>
                <w:szCs w:val="20"/>
              </w:rPr>
              <w:t>?</w:t>
            </w:r>
            <w:r w:rsidRPr="00A273FC">
              <w:rPr>
                <w:rFonts w:ascii="Arial" w:hAnsi="Arial" w:cs="Arial"/>
                <w:b/>
                <w:sz w:val="20"/>
                <w:szCs w:val="20"/>
              </w:rPr>
              <w:t xml:space="preserve">  Any other relevant matter.  </w:t>
            </w:r>
          </w:p>
        </w:tc>
        <w:tc>
          <w:tcPr>
            <w:tcW w:w="4945" w:type="dxa"/>
            <w:gridSpan w:val="3"/>
          </w:tcPr>
          <w:p w14:paraId="3126278C" w14:textId="77777777" w:rsidR="004E1A94" w:rsidRPr="00A273FC" w:rsidRDefault="004E1A94" w:rsidP="00E72C11">
            <w:pPr>
              <w:pStyle w:val="Default"/>
              <w:rPr>
                <w:rFonts w:ascii="Arial" w:hAnsi="Arial" w:cs="Arial"/>
                <w:b/>
                <w:bCs/>
                <w:color w:val="auto"/>
                <w:sz w:val="20"/>
                <w:szCs w:val="20"/>
              </w:rPr>
            </w:pPr>
          </w:p>
        </w:tc>
      </w:tr>
      <w:tr w:rsidR="004E1A94" w:rsidRPr="00A273FC" w14:paraId="1B585627" w14:textId="77777777" w:rsidTr="00E72C11">
        <w:trPr>
          <w:trHeight w:val="187"/>
        </w:trPr>
        <w:tc>
          <w:tcPr>
            <w:tcW w:w="5896" w:type="dxa"/>
          </w:tcPr>
          <w:p w14:paraId="039254C2" w14:textId="15CDD5AE" w:rsidR="00355ED4" w:rsidRPr="00A273FC" w:rsidRDefault="00355ED4" w:rsidP="00E72C11">
            <w:pPr>
              <w:pStyle w:val="Default"/>
              <w:spacing w:before="120" w:after="120" w:line="276" w:lineRule="auto"/>
              <w:rPr>
                <w:rFonts w:ascii="Arial" w:hAnsi="Arial" w:cs="Arial"/>
                <w:b/>
                <w:bCs/>
                <w:color w:val="auto"/>
                <w:sz w:val="20"/>
                <w:szCs w:val="20"/>
              </w:rPr>
            </w:pPr>
            <w:r w:rsidRPr="00A273FC">
              <w:rPr>
                <w:rFonts w:ascii="Arial" w:hAnsi="Arial" w:cs="Arial"/>
                <w:b/>
                <w:bCs/>
                <w:color w:val="auto"/>
                <w:sz w:val="20"/>
                <w:szCs w:val="20"/>
              </w:rPr>
              <w:t>Is</w:t>
            </w:r>
            <w:r w:rsidR="004E1A94" w:rsidRPr="00A273FC">
              <w:rPr>
                <w:rFonts w:ascii="Arial" w:hAnsi="Arial" w:cs="Arial"/>
                <w:b/>
                <w:bCs/>
                <w:color w:val="auto"/>
                <w:sz w:val="20"/>
                <w:szCs w:val="20"/>
              </w:rPr>
              <w:t xml:space="preserve"> the matter likely to be </w:t>
            </w:r>
            <w:r w:rsidR="00A1617B" w:rsidRPr="00A273FC">
              <w:rPr>
                <w:rFonts w:ascii="Arial" w:hAnsi="Arial" w:cs="Arial"/>
                <w:b/>
                <w:bCs/>
                <w:color w:val="auto"/>
                <w:sz w:val="20"/>
                <w:szCs w:val="20"/>
              </w:rPr>
              <w:t>o</w:t>
            </w:r>
            <w:r w:rsidR="004E1A94" w:rsidRPr="00A273FC">
              <w:rPr>
                <w:rFonts w:ascii="Arial" w:hAnsi="Arial" w:cs="Arial"/>
                <w:b/>
                <w:bCs/>
                <w:color w:val="auto"/>
                <w:sz w:val="20"/>
                <w:szCs w:val="20"/>
              </w:rPr>
              <w:t>pposed/</w:t>
            </w:r>
            <w:r w:rsidR="00A1617B" w:rsidRPr="00A273FC">
              <w:rPr>
                <w:rFonts w:ascii="Arial" w:hAnsi="Arial" w:cs="Arial"/>
                <w:b/>
                <w:bCs/>
                <w:color w:val="auto"/>
                <w:sz w:val="20"/>
                <w:szCs w:val="20"/>
              </w:rPr>
              <w:t>u</w:t>
            </w:r>
            <w:r w:rsidR="004E1A94" w:rsidRPr="00A273FC">
              <w:rPr>
                <w:rFonts w:ascii="Arial" w:hAnsi="Arial" w:cs="Arial"/>
                <w:b/>
                <w:bCs/>
                <w:color w:val="auto"/>
                <w:sz w:val="20"/>
                <w:szCs w:val="20"/>
              </w:rPr>
              <w:t>nopposed/</w:t>
            </w:r>
            <w:r w:rsidR="00A1617B" w:rsidRPr="00A273FC">
              <w:rPr>
                <w:rFonts w:ascii="Arial" w:hAnsi="Arial" w:cs="Arial"/>
                <w:b/>
                <w:bCs/>
                <w:i/>
                <w:iCs/>
                <w:color w:val="auto"/>
                <w:sz w:val="20"/>
                <w:szCs w:val="20"/>
              </w:rPr>
              <w:t>e</w:t>
            </w:r>
            <w:r w:rsidR="004E1A94" w:rsidRPr="00A273FC">
              <w:rPr>
                <w:rFonts w:ascii="Arial" w:hAnsi="Arial" w:cs="Arial"/>
                <w:b/>
                <w:bCs/>
                <w:i/>
                <w:iCs/>
                <w:color w:val="auto"/>
                <w:sz w:val="20"/>
                <w:szCs w:val="20"/>
              </w:rPr>
              <w:t>x</w:t>
            </w:r>
            <w:r w:rsidR="00C849AD" w:rsidRPr="00A273FC">
              <w:rPr>
                <w:rFonts w:ascii="Arial" w:hAnsi="Arial" w:cs="Arial"/>
                <w:b/>
                <w:bCs/>
                <w:i/>
                <w:iCs/>
                <w:color w:val="auto"/>
                <w:sz w:val="20"/>
                <w:szCs w:val="20"/>
              </w:rPr>
              <w:t xml:space="preserve"> </w:t>
            </w:r>
            <w:r w:rsidR="00A1617B" w:rsidRPr="00A273FC">
              <w:rPr>
                <w:rFonts w:ascii="Arial" w:hAnsi="Arial" w:cs="Arial"/>
                <w:b/>
                <w:bCs/>
                <w:i/>
                <w:iCs/>
                <w:color w:val="auto"/>
                <w:sz w:val="20"/>
                <w:szCs w:val="20"/>
              </w:rPr>
              <w:t>p</w:t>
            </w:r>
            <w:r w:rsidR="004E1A94" w:rsidRPr="00A273FC">
              <w:rPr>
                <w:rFonts w:ascii="Arial" w:hAnsi="Arial" w:cs="Arial"/>
                <w:b/>
                <w:bCs/>
                <w:i/>
                <w:iCs/>
                <w:color w:val="auto"/>
                <w:sz w:val="20"/>
                <w:szCs w:val="20"/>
              </w:rPr>
              <w:t>arte</w:t>
            </w:r>
            <w:r w:rsidR="004E1A94" w:rsidRPr="00A273FC">
              <w:rPr>
                <w:rFonts w:ascii="Arial" w:hAnsi="Arial" w:cs="Arial"/>
                <w:b/>
                <w:bCs/>
                <w:color w:val="auto"/>
                <w:sz w:val="20"/>
                <w:szCs w:val="20"/>
              </w:rPr>
              <w:t xml:space="preserve">/by </w:t>
            </w:r>
            <w:r w:rsidR="00A1617B" w:rsidRPr="00A273FC">
              <w:rPr>
                <w:rFonts w:ascii="Arial" w:hAnsi="Arial" w:cs="Arial"/>
                <w:b/>
                <w:bCs/>
                <w:color w:val="auto"/>
                <w:sz w:val="20"/>
                <w:szCs w:val="20"/>
              </w:rPr>
              <w:t>c</w:t>
            </w:r>
            <w:r w:rsidR="004E1A94" w:rsidRPr="00A273FC">
              <w:rPr>
                <w:rFonts w:ascii="Arial" w:hAnsi="Arial" w:cs="Arial"/>
                <w:b/>
                <w:bCs/>
                <w:color w:val="auto"/>
                <w:sz w:val="20"/>
                <w:szCs w:val="20"/>
              </w:rPr>
              <w:t>onsent?</w:t>
            </w:r>
          </w:p>
          <w:p w14:paraId="56E2C51D" w14:textId="4CDB3309" w:rsidR="004E1A94" w:rsidRPr="00A273FC" w:rsidRDefault="00A91BAC" w:rsidP="00E72C11">
            <w:pPr>
              <w:pStyle w:val="Default"/>
              <w:spacing w:before="120" w:after="120" w:line="276" w:lineRule="auto"/>
              <w:rPr>
                <w:rFonts w:ascii="Arial" w:hAnsi="Arial" w:cs="Arial"/>
                <w:b/>
                <w:bCs/>
                <w:color w:val="auto"/>
                <w:sz w:val="20"/>
                <w:szCs w:val="20"/>
              </w:rPr>
            </w:pPr>
            <w:r w:rsidRPr="00A273FC">
              <w:rPr>
                <w:rFonts w:ascii="Arial" w:hAnsi="Arial" w:cs="Arial"/>
                <w:color w:val="auto"/>
                <w:sz w:val="20"/>
                <w:szCs w:val="20"/>
              </w:rPr>
              <w:t>If by consent, attached signed minutes of consent order</w:t>
            </w:r>
          </w:p>
        </w:tc>
        <w:tc>
          <w:tcPr>
            <w:tcW w:w="4945" w:type="dxa"/>
            <w:gridSpan w:val="3"/>
          </w:tcPr>
          <w:p w14:paraId="54B0BD3B" w14:textId="77777777" w:rsidR="004E1A94" w:rsidRPr="00A273FC" w:rsidRDefault="004E1A94" w:rsidP="00E72C11">
            <w:pPr>
              <w:pStyle w:val="Default"/>
              <w:rPr>
                <w:rFonts w:ascii="Arial" w:hAnsi="Arial" w:cs="Arial"/>
                <w:b/>
                <w:bCs/>
                <w:color w:val="auto"/>
                <w:sz w:val="20"/>
                <w:szCs w:val="20"/>
              </w:rPr>
            </w:pPr>
          </w:p>
        </w:tc>
      </w:tr>
      <w:tr w:rsidR="004E1A94" w:rsidRPr="00A273FC" w14:paraId="5FBA73D0" w14:textId="77777777" w:rsidTr="00E72C11">
        <w:trPr>
          <w:trHeight w:val="187"/>
        </w:trPr>
        <w:tc>
          <w:tcPr>
            <w:tcW w:w="5896" w:type="dxa"/>
          </w:tcPr>
          <w:p w14:paraId="26EDE837" w14:textId="77777777" w:rsidR="004E1A94" w:rsidRPr="00A273FC" w:rsidRDefault="004E1A94" w:rsidP="00E72C11">
            <w:pPr>
              <w:pStyle w:val="Default"/>
              <w:spacing w:before="120" w:after="120" w:line="276" w:lineRule="auto"/>
              <w:rPr>
                <w:rFonts w:ascii="Arial" w:hAnsi="Arial" w:cs="Arial"/>
                <w:b/>
                <w:bCs/>
                <w:color w:val="auto"/>
                <w:sz w:val="20"/>
                <w:szCs w:val="20"/>
              </w:rPr>
            </w:pPr>
            <w:r w:rsidRPr="00A273FC">
              <w:rPr>
                <w:rFonts w:ascii="Arial" w:hAnsi="Arial" w:cs="Arial"/>
                <w:b/>
                <w:bCs/>
                <w:color w:val="auto"/>
                <w:sz w:val="20"/>
                <w:szCs w:val="20"/>
              </w:rPr>
              <w:t xml:space="preserve">Details of Respondent </w:t>
            </w:r>
          </w:p>
        </w:tc>
        <w:tc>
          <w:tcPr>
            <w:tcW w:w="4945" w:type="dxa"/>
            <w:gridSpan w:val="3"/>
          </w:tcPr>
          <w:p w14:paraId="0FF25BDA" w14:textId="77777777" w:rsidR="004E1A94" w:rsidRPr="00A273FC" w:rsidRDefault="004E1A94" w:rsidP="00E72C11">
            <w:pPr>
              <w:pStyle w:val="Default"/>
              <w:rPr>
                <w:rFonts w:ascii="Arial" w:hAnsi="Arial" w:cs="Arial"/>
                <w:b/>
                <w:bCs/>
                <w:color w:val="auto"/>
                <w:sz w:val="20"/>
                <w:szCs w:val="20"/>
              </w:rPr>
            </w:pPr>
          </w:p>
        </w:tc>
      </w:tr>
      <w:tr w:rsidR="004E1A94" w:rsidRPr="00A273FC" w14:paraId="5DB57096" w14:textId="77777777" w:rsidTr="00E72C11">
        <w:trPr>
          <w:trHeight w:val="84"/>
        </w:trPr>
        <w:tc>
          <w:tcPr>
            <w:tcW w:w="5896" w:type="dxa"/>
          </w:tcPr>
          <w:p w14:paraId="0EF9E68E" w14:textId="4487D61A" w:rsidR="004E1A94" w:rsidRPr="00A273FC" w:rsidRDefault="004E1A94" w:rsidP="00E72C11">
            <w:pPr>
              <w:pStyle w:val="Default"/>
              <w:spacing w:before="120" w:after="120" w:line="276" w:lineRule="auto"/>
              <w:rPr>
                <w:rFonts w:ascii="Arial" w:hAnsi="Arial" w:cs="Arial"/>
                <w:b/>
                <w:bCs/>
                <w:color w:val="auto"/>
                <w:sz w:val="20"/>
                <w:szCs w:val="20"/>
              </w:rPr>
            </w:pPr>
            <w:r w:rsidRPr="00A273FC">
              <w:rPr>
                <w:rFonts w:ascii="Arial" w:hAnsi="Arial" w:cs="Arial"/>
                <w:b/>
                <w:bCs/>
                <w:color w:val="auto"/>
                <w:sz w:val="20"/>
                <w:szCs w:val="20"/>
              </w:rPr>
              <w:t xml:space="preserve">Applicant’s </w:t>
            </w:r>
            <w:r w:rsidR="00A91BAC" w:rsidRPr="00A273FC">
              <w:rPr>
                <w:rFonts w:ascii="Arial" w:hAnsi="Arial" w:cs="Arial"/>
                <w:b/>
                <w:bCs/>
                <w:color w:val="auto"/>
                <w:sz w:val="20"/>
                <w:szCs w:val="20"/>
              </w:rPr>
              <w:t>f</w:t>
            </w:r>
            <w:r w:rsidRPr="00A273FC">
              <w:rPr>
                <w:rFonts w:ascii="Arial" w:hAnsi="Arial" w:cs="Arial"/>
                <w:b/>
                <w:bCs/>
                <w:color w:val="auto"/>
                <w:sz w:val="20"/>
                <w:szCs w:val="20"/>
              </w:rPr>
              <w:t xml:space="preserve">irm name: </w:t>
            </w:r>
          </w:p>
        </w:tc>
        <w:tc>
          <w:tcPr>
            <w:tcW w:w="4945" w:type="dxa"/>
            <w:gridSpan w:val="3"/>
          </w:tcPr>
          <w:p w14:paraId="240E8FF5" w14:textId="77777777" w:rsidR="004E1A94" w:rsidRPr="00A273FC" w:rsidRDefault="004E1A94" w:rsidP="00E72C11">
            <w:pPr>
              <w:pStyle w:val="Default"/>
              <w:rPr>
                <w:rFonts w:ascii="Arial" w:hAnsi="Arial" w:cs="Arial"/>
                <w:b/>
                <w:bCs/>
                <w:color w:val="auto"/>
                <w:sz w:val="20"/>
                <w:szCs w:val="20"/>
              </w:rPr>
            </w:pPr>
          </w:p>
        </w:tc>
      </w:tr>
      <w:tr w:rsidR="004E1A94" w:rsidRPr="00A273FC" w14:paraId="75250AB4" w14:textId="77777777" w:rsidTr="00E72C11">
        <w:trPr>
          <w:trHeight w:val="84"/>
        </w:trPr>
        <w:tc>
          <w:tcPr>
            <w:tcW w:w="5896" w:type="dxa"/>
          </w:tcPr>
          <w:p w14:paraId="14AD0861" w14:textId="77777777" w:rsidR="004E1A94" w:rsidRPr="00A273FC" w:rsidRDefault="004E1A94" w:rsidP="00E72C11">
            <w:pPr>
              <w:pStyle w:val="Default"/>
              <w:spacing w:before="120" w:after="120" w:line="276" w:lineRule="auto"/>
              <w:rPr>
                <w:rFonts w:ascii="Arial" w:hAnsi="Arial" w:cs="Arial"/>
                <w:b/>
                <w:bCs/>
                <w:color w:val="auto"/>
                <w:sz w:val="20"/>
                <w:szCs w:val="20"/>
              </w:rPr>
            </w:pPr>
            <w:r w:rsidRPr="00A273FC">
              <w:rPr>
                <w:rFonts w:ascii="Arial" w:hAnsi="Arial" w:cs="Arial"/>
                <w:b/>
                <w:bCs/>
                <w:color w:val="auto"/>
                <w:sz w:val="20"/>
                <w:szCs w:val="20"/>
              </w:rPr>
              <w:t xml:space="preserve">Practitioner with conduct: </w:t>
            </w:r>
          </w:p>
        </w:tc>
        <w:tc>
          <w:tcPr>
            <w:tcW w:w="4945" w:type="dxa"/>
            <w:gridSpan w:val="3"/>
          </w:tcPr>
          <w:p w14:paraId="4D273B91" w14:textId="77777777" w:rsidR="004E1A94" w:rsidRPr="00A273FC" w:rsidRDefault="004E1A94" w:rsidP="00E72C11">
            <w:pPr>
              <w:pStyle w:val="Default"/>
              <w:rPr>
                <w:rFonts w:ascii="Arial" w:hAnsi="Arial" w:cs="Arial"/>
                <w:b/>
                <w:bCs/>
                <w:color w:val="auto"/>
                <w:sz w:val="20"/>
                <w:szCs w:val="20"/>
              </w:rPr>
            </w:pPr>
          </w:p>
        </w:tc>
      </w:tr>
      <w:tr w:rsidR="004E1A94" w:rsidRPr="00A273FC" w14:paraId="5D154062" w14:textId="77777777" w:rsidTr="00E72C11">
        <w:trPr>
          <w:trHeight w:val="84"/>
        </w:trPr>
        <w:tc>
          <w:tcPr>
            <w:tcW w:w="5896" w:type="dxa"/>
          </w:tcPr>
          <w:p w14:paraId="2918A436" w14:textId="64447EA0" w:rsidR="004E1A94" w:rsidRPr="00A273FC" w:rsidRDefault="004E1A94" w:rsidP="00E72C11">
            <w:pPr>
              <w:pStyle w:val="Default"/>
              <w:spacing w:before="120" w:after="120" w:line="276" w:lineRule="auto"/>
              <w:rPr>
                <w:rFonts w:ascii="Arial" w:hAnsi="Arial" w:cs="Arial"/>
                <w:b/>
                <w:bCs/>
                <w:color w:val="auto"/>
                <w:sz w:val="20"/>
                <w:szCs w:val="20"/>
              </w:rPr>
            </w:pPr>
            <w:r w:rsidRPr="00A273FC">
              <w:rPr>
                <w:rFonts w:ascii="Arial" w:hAnsi="Arial" w:cs="Arial"/>
                <w:b/>
                <w:bCs/>
                <w:color w:val="auto"/>
                <w:sz w:val="20"/>
                <w:szCs w:val="20"/>
              </w:rPr>
              <w:t xml:space="preserve">Costs </w:t>
            </w:r>
            <w:r w:rsidR="00A1617B" w:rsidRPr="00A273FC">
              <w:rPr>
                <w:rFonts w:ascii="Arial" w:hAnsi="Arial" w:cs="Arial"/>
                <w:b/>
                <w:bCs/>
                <w:color w:val="auto"/>
                <w:sz w:val="20"/>
                <w:szCs w:val="20"/>
              </w:rPr>
              <w:t>l</w:t>
            </w:r>
            <w:r w:rsidRPr="00A273FC">
              <w:rPr>
                <w:rFonts w:ascii="Arial" w:hAnsi="Arial" w:cs="Arial"/>
                <w:b/>
                <w:bCs/>
                <w:color w:val="auto"/>
                <w:sz w:val="20"/>
                <w:szCs w:val="20"/>
              </w:rPr>
              <w:t xml:space="preserve">awyer or </w:t>
            </w:r>
            <w:r w:rsidR="00A1617B" w:rsidRPr="00A273FC">
              <w:rPr>
                <w:rFonts w:ascii="Arial" w:hAnsi="Arial" w:cs="Arial"/>
                <w:b/>
                <w:bCs/>
                <w:color w:val="auto"/>
                <w:sz w:val="20"/>
                <w:szCs w:val="20"/>
              </w:rPr>
              <w:t>c</w:t>
            </w:r>
            <w:r w:rsidRPr="00A273FC">
              <w:rPr>
                <w:rFonts w:ascii="Arial" w:hAnsi="Arial" w:cs="Arial"/>
                <w:b/>
                <w:bCs/>
                <w:color w:val="auto"/>
                <w:sz w:val="20"/>
                <w:szCs w:val="20"/>
              </w:rPr>
              <w:t xml:space="preserve">onsultant engaged on behalf of the applicant </w:t>
            </w:r>
          </w:p>
        </w:tc>
        <w:tc>
          <w:tcPr>
            <w:tcW w:w="4945" w:type="dxa"/>
            <w:gridSpan w:val="3"/>
          </w:tcPr>
          <w:p w14:paraId="3160792B" w14:textId="77777777" w:rsidR="004E1A94" w:rsidRPr="00A273FC" w:rsidRDefault="004E1A94" w:rsidP="00E72C11">
            <w:pPr>
              <w:pStyle w:val="Default"/>
              <w:rPr>
                <w:rFonts w:ascii="Arial" w:hAnsi="Arial" w:cs="Arial"/>
                <w:b/>
                <w:bCs/>
                <w:color w:val="auto"/>
                <w:sz w:val="20"/>
                <w:szCs w:val="20"/>
              </w:rPr>
            </w:pPr>
          </w:p>
        </w:tc>
      </w:tr>
      <w:tr w:rsidR="004E1A94" w:rsidRPr="00A273FC" w14:paraId="67E95DB3" w14:textId="77777777" w:rsidTr="00E72C11">
        <w:trPr>
          <w:trHeight w:val="84"/>
        </w:trPr>
        <w:tc>
          <w:tcPr>
            <w:tcW w:w="5896" w:type="dxa"/>
          </w:tcPr>
          <w:p w14:paraId="1353E0AC" w14:textId="77777777" w:rsidR="004E1A94" w:rsidRPr="00A273FC" w:rsidRDefault="004E1A94" w:rsidP="00E72C11">
            <w:pPr>
              <w:pStyle w:val="Default"/>
              <w:spacing w:before="120" w:after="120" w:line="276" w:lineRule="auto"/>
              <w:rPr>
                <w:rFonts w:ascii="Arial" w:hAnsi="Arial" w:cs="Arial"/>
                <w:b/>
                <w:bCs/>
                <w:color w:val="auto"/>
                <w:sz w:val="20"/>
                <w:szCs w:val="20"/>
              </w:rPr>
            </w:pPr>
            <w:r w:rsidRPr="00A273FC">
              <w:rPr>
                <w:rFonts w:ascii="Arial" w:hAnsi="Arial" w:cs="Arial"/>
                <w:b/>
                <w:bCs/>
                <w:color w:val="auto"/>
                <w:sz w:val="20"/>
                <w:szCs w:val="20"/>
              </w:rPr>
              <w:t xml:space="preserve">Direct telephone number: </w:t>
            </w:r>
          </w:p>
        </w:tc>
        <w:tc>
          <w:tcPr>
            <w:tcW w:w="4945" w:type="dxa"/>
            <w:gridSpan w:val="3"/>
          </w:tcPr>
          <w:p w14:paraId="13DEDDA2" w14:textId="77777777" w:rsidR="004E1A94" w:rsidRPr="00A273FC" w:rsidRDefault="004E1A94" w:rsidP="00E72C11">
            <w:pPr>
              <w:pStyle w:val="Default"/>
              <w:rPr>
                <w:rFonts w:ascii="Arial" w:hAnsi="Arial" w:cs="Arial"/>
                <w:b/>
                <w:bCs/>
                <w:color w:val="auto"/>
                <w:sz w:val="20"/>
                <w:szCs w:val="20"/>
              </w:rPr>
            </w:pPr>
          </w:p>
        </w:tc>
      </w:tr>
      <w:tr w:rsidR="004E1A94" w:rsidRPr="00A273FC" w14:paraId="117F73B1" w14:textId="77777777" w:rsidTr="00E72C11">
        <w:trPr>
          <w:trHeight w:val="84"/>
        </w:trPr>
        <w:tc>
          <w:tcPr>
            <w:tcW w:w="5896" w:type="dxa"/>
          </w:tcPr>
          <w:p w14:paraId="7EBC91A9" w14:textId="77777777" w:rsidR="004E1A94" w:rsidRPr="00A273FC" w:rsidRDefault="004E1A94" w:rsidP="00E72C11">
            <w:pPr>
              <w:pStyle w:val="Default"/>
              <w:spacing w:before="120" w:after="120" w:line="276" w:lineRule="auto"/>
              <w:rPr>
                <w:rFonts w:ascii="Arial" w:hAnsi="Arial" w:cs="Arial"/>
                <w:b/>
                <w:bCs/>
                <w:color w:val="auto"/>
                <w:sz w:val="20"/>
                <w:szCs w:val="20"/>
              </w:rPr>
            </w:pPr>
            <w:r w:rsidRPr="00A273FC">
              <w:rPr>
                <w:rFonts w:ascii="Arial" w:hAnsi="Arial" w:cs="Arial"/>
                <w:b/>
                <w:bCs/>
                <w:color w:val="auto"/>
                <w:sz w:val="20"/>
                <w:szCs w:val="20"/>
              </w:rPr>
              <w:t xml:space="preserve">Email address: </w:t>
            </w:r>
          </w:p>
        </w:tc>
        <w:tc>
          <w:tcPr>
            <w:tcW w:w="4945" w:type="dxa"/>
            <w:gridSpan w:val="3"/>
          </w:tcPr>
          <w:p w14:paraId="232D0758" w14:textId="77777777" w:rsidR="004E1A94" w:rsidRPr="00A273FC" w:rsidRDefault="004E1A94" w:rsidP="00E72C11">
            <w:pPr>
              <w:pStyle w:val="Default"/>
              <w:rPr>
                <w:rFonts w:ascii="Arial" w:hAnsi="Arial" w:cs="Arial"/>
                <w:b/>
                <w:bCs/>
                <w:color w:val="auto"/>
                <w:sz w:val="20"/>
                <w:szCs w:val="20"/>
              </w:rPr>
            </w:pPr>
          </w:p>
        </w:tc>
      </w:tr>
      <w:tr w:rsidR="004E1A94" w:rsidRPr="00A273FC" w14:paraId="36083BC0" w14:textId="77777777" w:rsidTr="00E72C11">
        <w:trPr>
          <w:trHeight w:val="84"/>
        </w:trPr>
        <w:tc>
          <w:tcPr>
            <w:tcW w:w="5896" w:type="dxa"/>
          </w:tcPr>
          <w:p w14:paraId="61861408" w14:textId="77777777" w:rsidR="004E1A94" w:rsidRPr="00A273FC" w:rsidRDefault="004E1A94" w:rsidP="00E72C11">
            <w:pPr>
              <w:pStyle w:val="Default"/>
              <w:spacing w:before="120" w:after="60" w:line="276" w:lineRule="auto"/>
              <w:rPr>
                <w:rFonts w:ascii="Arial" w:hAnsi="Arial" w:cs="Arial"/>
                <w:b/>
                <w:bCs/>
                <w:color w:val="auto"/>
                <w:sz w:val="20"/>
                <w:szCs w:val="20"/>
              </w:rPr>
            </w:pPr>
            <w:r w:rsidRPr="00A273FC">
              <w:rPr>
                <w:rFonts w:ascii="Arial" w:hAnsi="Arial" w:cs="Arial"/>
                <w:b/>
                <w:bCs/>
                <w:color w:val="auto"/>
                <w:sz w:val="20"/>
                <w:szCs w:val="20"/>
              </w:rPr>
              <w:t xml:space="preserve">Unavailable mediation/hearing date/s (if any): </w:t>
            </w:r>
          </w:p>
          <w:p w14:paraId="6FBB62BA" w14:textId="77777777" w:rsidR="004E1A94" w:rsidRPr="00A273FC" w:rsidRDefault="004E1A94" w:rsidP="00E72C11">
            <w:pPr>
              <w:pStyle w:val="Default"/>
              <w:spacing w:before="60" w:after="120" w:line="276" w:lineRule="auto"/>
              <w:rPr>
                <w:rFonts w:ascii="Arial" w:hAnsi="Arial" w:cs="Arial"/>
                <w:color w:val="auto"/>
                <w:sz w:val="20"/>
                <w:szCs w:val="20"/>
              </w:rPr>
            </w:pPr>
            <w:r w:rsidRPr="00A273FC">
              <w:rPr>
                <w:rFonts w:ascii="Arial" w:hAnsi="Arial" w:cs="Arial"/>
                <w:color w:val="auto"/>
                <w:sz w:val="20"/>
                <w:szCs w:val="20"/>
              </w:rPr>
              <w:t xml:space="preserve">List any dates within two months of the filing date that the filing party is </w:t>
            </w:r>
            <w:r w:rsidRPr="00A273FC">
              <w:rPr>
                <w:rFonts w:ascii="Arial" w:hAnsi="Arial" w:cs="Arial"/>
                <w:b/>
                <w:color w:val="auto"/>
                <w:sz w:val="20"/>
                <w:szCs w:val="20"/>
                <w:u w:val="single"/>
              </w:rPr>
              <w:t xml:space="preserve">not </w:t>
            </w:r>
            <w:r w:rsidRPr="00A273FC">
              <w:rPr>
                <w:rFonts w:ascii="Arial" w:hAnsi="Arial" w:cs="Arial"/>
                <w:color w:val="auto"/>
                <w:sz w:val="20"/>
                <w:szCs w:val="20"/>
              </w:rPr>
              <w:t xml:space="preserve">available </w:t>
            </w:r>
          </w:p>
        </w:tc>
        <w:tc>
          <w:tcPr>
            <w:tcW w:w="4945" w:type="dxa"/>
            <w:gridSpan w:val="3"/>
          </w:tcPr>
          <w:p w14:paraId="02C76206" w14:textId="77777777" w:rsidR="004E1A94" w:rsidRPr="00A273FC" w:rsidRDefault="004E1A94" w:rsidP="00E72C11">
            <w:pPr>
              <w:pStyle w:val="Default"/>
              <w:rPr>
                <w:rFonts w:ascii="Arial" w:hAnsi="Arial" w:cs="Arial"/>
                <w:b/>
                <w:bCs/>
                <w:color w:val="auto"/>
                <w:sz w:val="20"/>
                <w:szCs w:val="20"/>
              </w:rPr>
            </w:pPr>
          </w:p>
        </w:tc>
      </w:tr>
      <w:tr w:rsidR="004E1A94" w:rsidRPr="00A273FC" w14:paraId="27CDCC14" w14:textId="77777777" w:rsidTr="00E72C11">
        <w:trPr>
          <w:trHeight w:val="619"/>
        </w:trPr>
        <w:tc>
          <w:tcPr>
            <w:tcW w:w="5896" w:type="dxa"/>
          </w:tcPr>
          <w:p w14:paraId="74E8F7BC" w14:textId="77777777" w:rsidR="004E1A94" w:rsidRPr="00A273FC" w:rsidRDefault="004E1A94" w:rsidP="00E72C11">
            <w:pPr>
              <w:pStyle w:val="Default"/>
              <w:spacing w:before="120" w:after="120" w:line="276" w:lineRule="auto"/>
              <w:rPr>
                <w:rFonts w:ascii="Arial" w:hAnsi="Arial" w:cs="Arial"/>
                <w:b/>
                <w:bCs/>
                <w:color w:val="auto"/>
                <w:sz w:val="20"/>
                <w:szCs w:val="20"/>
              </w:rPr>
            </w:pPr>
            <w:r w:rsidRPr="00A273FC">
              <w:rPr>
                <w:rFonts w:ascii="Arial" w:hAnsi="Arial" w:cs="Arial"/>
                <w:b/>
                <w:bCs/>
                <w:color w:val="auto"/>
                <w:sz w:val="20"/>
                <w:szCs w:val="20"/>
              </w:rPr>
              <w:t xml:space="preserve">Date and signature </w:t>
            </w:r>
          </w:p>
        </w:tc>
        <w:tc>
          <w:tcPr>
            <w:tcW w:w="4945" w:type="dxa"/>
            <w:gridSpan w:val="3"/>
          </w:tcPr>
          <w:p w14:paraId="2874E6FA" w14:textId="77777777" w:rsidR="004E1A94" w:rsidRPr="00A273FC" w:rsidRDefault="004E1A94" w:rsidP="00E72C11">
            <w:pPr>
              <w:pStyle w:val="Default"/>
              <w:rPr>
                <w:rFonts w:ascii="Arial" w:hAnsi="Arial" w:cs="Arial"/>
                <w:b/>
                <w:bCs/>
                <w:color w:val="auto"/>
                <w:sz w:val="20"/>
                <w:szCs w:val="20"/>
              </w:rPr>
            </w:pPr>
          </w:p>
        </w:tc>
      </w:tr>
    </w:tbl>
    <w:p w14:paraId="1D1AEB24" w14:textId="77777777" w:rsidR="004E1A94" w:rsidRPr="00EA0D05" w:rsidRDefault="004E1A94" w:rsidP="004E1A94">
      <w:pPr>
        <w:spacing w:before="120" w:after="120"/>
        <w:ind w:left="720" w:hanging="720"/>
        <w:rPr>
          <w:rFonts w:ascii="Book Antiqua" w:hAnsi="Book Antiqua"/>
        </w:rPr>
      </w:pPr>
    </w:p>
    <w:p w14:paraId="3E53029E" w14:textId="77777777" w:rsidR="00146B68" w:rsidRPr="00EA0D05" w:rsidRDefault="00146B68" w:rsidP="004E1A94">
      <w:pPr>
        <w:jc w:val="both"/>
        <w:rPr>
          <w:rFonts w:ascii="Book Antiqua" w:hAnsi="Book Antiqua"/>
        </w:rPr>
      </w:pPr>
    </w:p>
    <w:sectPr w:rsidR="00146B68" w:rsidRPr="00EA0D05" w:rsidSect="003817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A9BE8" w14:textId="77777777" w:rsidR="002016A7" w:rsidRDefault="002016A7">
      <w:r>
        <w:separator/>
      </w:r>
    </w:p>
  </w:endnote>
  <w:endnote w:type="continuationSeparator" w:id="0">
    <w:p w14:paraId="44D377F8" w14:textId="77777777" w:rsidR="002016A7" w:rsidRDefault="002016A7">
      <w:r>
        <w:continuationSeparator/>
      </w:r>
    </w:p>
  </w:endnote>
  <w:endnote w:type="continuationNotice" w:id="1">
    <w:p w14:paraId="59AB9443" w14:textId="77777777" w:rsidR="002016A7" w:rsidRDefault="00201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Antiqua">
    <w:altName w:val="Cambria"/>
    <w:panose1 w:val="00000000000000000000"/>
    <w:charset w:val="00"/>
    <w:family w:val="swiss"/>
    <w:notTrueType/>
    <w:pitch w:val="default"/>
    <w:sig w:usb0="00000003" w:usb1="00000000" w:usb2="00000000" w:usb3="00000000" w:csb0="00000001" w:csb1="00000000"/>
  </w:font>
  <w:font w:name="CIDFont+F8">
    <w:altName w:val="Calibri"/>
    <w:panose1 w:val="00000000000000000000"/>
    <w:charset w:val="00"/>
    <w:family w:val="auto"/>
    <w:notTrueType/>
    <w:pitch w:val="default"/>
    <w:sig w:usb0="00000003" w:usb1="00000000" w:usb2="00000000" w:usb3="00000000" w:csb0="00000001" w:csb1="00000000"/>
  </w:font>
  <w:font w:name="CIDFont+F10">
    <w:altName w:val="Calibri"/>
    <w:panose1 w:val="00000000000000000000"/>
    <w:charset w:val="00"/>
    <w:family w:val="auto"/>
    <w:notTrueType/>
    <w:pitch w:val="default"/>
    <w:sig w:usb0="00000003" w:usb1="00000000" w:usb2="00000000" w:usb3="00000000" w:csb0="00000001" w:csb1="00000000"/>
  </w:font>
  <w:font w:name="CIDFont+F9">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07FF6" w14:textId="76C25C38" w:rsidR="00BF6941" w:rsidRDefault="00BF6941">
    <w:pPr>
      <w:pStyle w:val="Footer"/>
      <w:jc w:val="right"/>
    </w:pPr>
    <w:r>
      <w:fldChar w:fldCharType="begin"/>
    </w:r>
    <w:r>
      <w:instrText xml:space="preserve"> PAGE   \* MERGEFORMAT </w:instrText>
    </w:r>
    <w:r>
      <w:fldChar w:fldCharType="separate"/>
    </w:r>
    <w:r w:rsidR="005B76E5">
      <w:rPr>
        <w:noProof/>
      </w:rPr>
      <w:t>23</w:t>
    </w:r>
    <w:r>
      <w:rPr>
        <w:noProof/>
      </w:rPr>
      <w:fldChar w:fldCharType="end"/>
    </w:r>
  </w:p>
  <w:p w14:paraId="2649DC75" w14:textId="77777777" w:rsidR="00BF6941" w:rsidRDefault="00BF6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08024" w14:textId="77777777" w:rsidR="002016A7" w:rsidRDefault="002016A7">
      <w:r>
        <w:separator/>
      </w:r>
    </w:p>
  </w:footnote>
  <w:footnote w:type="continuationSeparator" w:id="0">
    <w:p w14:paraId="7F8B3237" w14:textId="77777777" w:rsidR="002016A7" w:rsidRDefault="002016A7">
      <w:r>
        <w:continuationSeparator/>
      </w:r>
    </w:p>
  </w:footnote>
  <w:footnote w:type="continuationNotice" w:id="1">
    <w:p w14:paraId="5064571D" w14:textId="77777777" w:rsidR="002016A7" w:rsidRDefault="002016A7"/>
  </w:footnote>
  <w:footnote w:id="2">
    <w:p w14:paraId="0181FF37" w14:textId="711E2170" w:rsidR="00BF6941" w:rsidRDefault="00BF6941" w:rsidP="000D2A61">
      <w:pPr>
        <w:pStyle w:val="FootnoteText"/>
        <w:ind w:left="360" w:hanging="360"/>
      </w:pPr>
      <w:r>
        <w:rPr>
          <w:rStyle w:val="FootnoteReference"/>
        </w:rPr>
        <w:footnoteRef/>
      </w:r>
      <w:r>
        <w:t xml:space="preserve"> </w:t>
      </w:r>
      <w:r>
        <w:tab/>
        <w:t xml:space="preserve">Justice Jack Forrest and </w:t>
      </w:r>
      <w:r w:rsidR="00B43067">
        <w:t>Her Honour</w:t>
      </w:r>
      <w:r>
        <w:t xml:space="preserve"> Kathryn Kings, Supreme Court of Victoria and County Court of Victoria, ‘</w:t>
      </w:r>
      <w:hyperlink r:id="rId1" w:history="1">
        <w:r w:rsidRPr="00D97659">
          <w:rPr>
            <w:rStyle w:val="Hyperlink"/>
          </w:rPr>
          <w:t>Report o</w:t>
        </w:r>
        <w:r w:rsidRPr="00D97659">
          <w:rPr>
            <w:rStyle w:val="Hyperlink"/>
          </w:rPr>
          <w:t>n</w:t>
        </w:r>
        <w:r w:rsidRPr="00D97659">
          <w:rPr>
            <w:rStyle w:val="Hyperlink"/>
          </w:rPr>
          <w:t xml:space="preserve"> Litigious Costs</w:t>
        </w:r>
      </w:hyperlink>
      <w:r>
        <w:t>’ (3 May 2022). See also ‘</w:t>
      </w:r>
      <w:hyperlink r:id="rId2" w:history="1">
        <w:r w:rsidRPr="00D97659">
          <w:rPr>
            <w:rStyle w:val="Hyperlink"/>
          </w:rPr>
          <w:t>Review of Litigious Costs. Stage 1 Imple</w:t>
        </w:r>
        <w:r w:rsidRPr="00D97659">
          <w:rPr>
            <w:rStyle w:val="Hyperlink"/>
          </w:rPr>
          <w:t>m</w:t>
        </w:r>
        <w:r w:rsidRPr="00D97659">
          <w:rPr>
            <w:rStyle w:val="Hyperlink"/>
          </w:rPr>
          <w:t>entation</w:t>
        </w:r>
      </w:hyperlink>
      <w:r>
        <w:t>’ (Consultation Paper, 14 December 2022)</w:t>
      </w:r>
      <w:r w:rsidR="004B21A3">
        <w:t xml:space="preserve"> by their Honours</w:t>
      </w:r>
      <w:r>
        <w:t xml:space="preserve">.   </w:t>
      </w:r>
    </w:p>
  </w:footnote>
  <w:footnote w:id="3">
    <w:p w14:paraId="16C2BD83" w14:textId="39F4C160" w:rsidR="00BF6941" w:rsidRDefault="00BF6941" w:rsidP="00B7158D">
      <w:pPr>
        <w:pStyle w:val="FootnoteText"/>
        <w:ind w:left="360" w:hanging="360"/>
      </w:pPr>
      <w:r>
        <w:rPr>
          <w:rStyle w:val="FootnoteReference"/>
        </w:rPr>
        <w:footnoteRef/>
      </w:r>
      <w:r>
        <w:t xml:space="preserve"> </w:t>
      </w:r>
      <w:r>
        <w:tab/>
        <w:t>For filing fees, see the ‘</w:t>
      </w:r>
      <w:hyperlink r:id="rId3" w:history="1">
        <w:r w:rsidRPr="00B97DF6">
          <w:rPr>
            <w:rStyle w:val="Hyperlink"/>
          </w:rPr>
          <w:t>Prothonotary</w:t>
        </w:r>
        <w:r w:rsidRPr="00B97DF6">
          <w:rPr>
            <w:rStyle w:val="Hyperlink"/>
          </w:rPr>
          <w:t>’</w:t>
        </w:r>
        <w:r w:rsidRPr="00B97DF6">
          <w:rPr>
            <w:rStyle w:val="Hyperlink"/>
          </w:rPr>
          <w:t>s Fees</w:t>
        </w:r>
      </w:hyperlink>
      <w:r>
        <w:t xml:space="preserve">’ information on the Supreme Court of Victoria website.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D333E"/>
    <w:multiLevelType w:val="hybridMultilevel"/>
    <w:tmpl w:val="A1862B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C368F284">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5F7DBE"/>
    <w:multiLevelType w:val="multilevel"/>
    <w:tmpl w:val="8E805FD6"/>
    <w:styleLink w:val="AOtherMatters"/>
    <w:lvl w:ilvl="0">
      <w:start w:val="1"/>
      <w:numFmt w:val="upperLetter"/>
      <w:pStyle w:val="OtherMatters"/>
      <w:lvlText w:val="%1."/>
      <w:lvlJc w:val="left"/>
      <w:pPr>
        <w:tabs>
          <w:tab w:val="num" w:pos="720"/>
        </w:tabs>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lowerLetter"/>
      <w:lvlText w:val="(%3)"/>
      <w:lvlJc w:val="right"/>
      <w:pPr>
        <w:tabs>
          <w:tab w:val="num" w:pos="2880"/>
        </w:tabs>
        <w:ind w:left="288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9BB3DDA"/>
    <w:multiLevelType w:val="hybridMultilevel"/>
    <w:tmpl w:val="98740FB8"/>
    <w:lvl w:ilvl="0" w:tplc="C368F2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3B696820"/>
    <w:multiLevelType w:val="multilevel"/>
    <w:tmpl w:val="343EB69A"/>
    <w:styleLink w:val="AOrders"/>
    <w:lvl w:ilvl="0">
      <w:start w:val="1"/>
      <w:numFmt w:val="decimal"/>
      <w:pStyle w:val="Orders"/>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Roman"/>
      <w:lvlText w:val="(%4)"/>
      <w:lvlJc w:val="left"/>
      <w:pPr>
        <w:tabs>
          <w:tab w:val="num" w:pos="2880"/>
        </w:tabs>
        <w:ind w:left="2880" w:hanging="720"/>
      </w:pPr>
    </w:lvl>
    <w:lvl w:ilvl="4">
      <w:start w:val="1"/>
      <w:numFmt w:val="upperLetter"/>
      <w:lvlText w:val="(%5)"/>
      <w:lvlJc w:val="left"/>
      <w:pPr>
        <w:tabs>
          <w:tab w:val="num" w:pos="3600"/>
        </w:tabs>
        <w:ind w:left="360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DBA5047"/>
    <w:multiLevelType w:val="hybridMultilevel"/>
    <w:tmpl w:val="B420DA4C"/>
    <w:lvl w:ilvl="0" w:tplc="87B6BC42">
      <w:start w:val="1"/>
      <w:numFmt w:val="decimal"/>
      <w:lvlText w:val="%1."/>
      <w:lvlJc w:val="left"/>
      <w:pPr>
        <w:ind w:left="1440" w:hanging="720"/>
      </w:pPr>
      <w:rPr>
        <w:rFonts w:ascii="Book Antiqua" w:hAnsi="Book Antiqua" w:hint="default"/>
        <w:b w:val="0"/>
        <w:bCs w:val="0"/>
        <w:i w:val="0"/>
        <w:iCs w:val="0"/>
        <w:sz w:val="24"/>
        <w:szCs w:val="24"/>
      </w:rPr>
    </w:lvl>
    <w:lvl w:ilvl="1" w:tplc="0C090019">
      <w:start w:val="1"/>
      <w:numFmt w:val="lowerLetter"/>
      <w:lvlText w:val="%2."/>
      <w:lvlJc w:val="left"/>
      <w:pPr>
        <w:ind w:left="1440" w:hanging="360"/>
      </w:pPr>
    </w:lvl>
    <w:lvl w:ilvl="2" w:tplc="3FBC9FAA">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9132E5F"/>
    <w:multiLevelType w:val="hybridMultilevel"/>
    <w:tmpl w:val="70EA20F8"/>
    <w:lvl w:ilvl="0" w:tplc="C368F284">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55097E6B"/>
    <w:multiLevelType w:val="hybridMultilevel"/>
    <w:tmpl w:val="D38636B0"/>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7" w15:restartNumberingAfterBreak="0">
    <w:nsid w:val="5F20115A"/>
    <w:multiLevelType w:val="hybridMultilevel"/>
    <w:tmpl w:val="AF98CF52"/>
    <w:lvl w:ilvl="0" w:tplc="C368F284">
      <w:start w:val="1"/>
      <w:numFmt w:val="lowerLetter"/>
      <w:lvlText w:val="(%1)"/>
      <w:lvlJc w:val="left"/>
      <w:pPr>
        <w:ind w:left="2160" w:hanging="360"/>
      </w:p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8" w15:restartNumberingAfterBreak="0">
    <w:nsid w:val="6DEC45CF"/>
    <w:multiLevelType w:val="hybridMultilevel"/>
    <w:tmpl w:val="A3FC9396"/>
    <w:lvl w:ilvl="0" w:tplc="3FBC9FAA">
      <w:start w:val="1"/>
      <w:numFmt w:val="lowerRoman"/>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9" w15:restartNumberingAfterBreak="0">
    <w:nsid w:val="7DC00C53"/>
    <w:multiLevelType w:val="hybridMultilevel"/>
    <w:tmpl w:val="1E3069C8"/>
    <w:lvl w:ilvl="0" w:tplc="1018B78A">
      <w:start w:val="1"/>
      <w:numFmt w:val="decimal"/>
      <w:pStyle w:val="ListParagraph"/>
      <w:lvlText w:val="%1."/>
      <w:lvlJc w:val="left"/>
      <w:pPr>
        <w:ind w:left="720" w:hanging="360"/>
      </w:pPr>
      <w:rPr>
        <w:i w:val="0"/>
        <w:i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99853212">
    <w:abstractNumId w:val="1"/>
  </w:num>
  <w:num w:numId="2" w16cid:durableId="1324429102">
    <w:abstractNumId w:val="3"/>
  </w:num>
  <w:num w:numId="3" w16cid:durableId="1206258833">
    <w:abstractNumId w:val="8"/>
  </w:num>
  <w:num w:numId="4" w16cid:durableId="2091507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2476797">
    <w:abstractNumId w:val="4"/>
  </w:num>
  <w:num w:numId="6" w16cid:durableId="179857939">
    <w:abstractNumId w:val="9"/>
  </w:num>
  <w:num w:numId="7" w16cid:durableId="59014702">
    <w:abstractNumId w:val="6"/>
  </w:num>
  <w:num w:numId="8" w16cid:durableId="1764380640">
    <w:abstractNumId w:val="2"/>
  </w:num>
  <w:num w:numId="9" w16cid:durableId="979115087">
    <w:abstractNumId w:val="5"/>
  </w:num>
  <w:num w:numId="10" w16cid:durableId="90975019">
    <w:abstractNumId w:val="0"/>
  </w:num>
  <w:num w:numId="11" w16cid:durableId="1581870186">
    <w:abstractNumId w:val="9"/>
  </w:num>
  <w:num w:numId="12" w16cid:durableId="841089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77660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D5F1EAF-8BB5-4A19-ABD3-C8F893BA68D8}"/>
    <w:docVar w:name="dgnword-eventsink" w:val="-2090298112"/>
    <w:docVar w:name="dgnword-lastRevisionsView" w:val="0"/>
  </w:docVars>
  <w:rsids>
    <w:rsidRoot w:val="00D85336"/>
    <w:rsid w:val="00000850"/>
    <w:rsid w:val="00000CD4"/>
    <w:rsid w:val="00002076"/>
    <w:rsid w:val="00002564"/>
    <w:rsid w:val="00002F49"/>
    <w:rsid w:val="00003E92"/>
    <w:rsid w:val="0000484D"/>
    <w:rsid w:val="0000491E"/>
    <w:rsid w:val="00004FF9"/>
    <w:rsid w:val="0000545B"/>
    <w:rsid w:val="000059C6"/>
    <w:rsid w:val="000060F9"/>
    <w:rsid w:val="00006FAB"/>
    <w:rsid w:val="00006FE0"/>
    <w:rsid w:val="00006FFC"/>
    <w:rsid w:val="000077E0"/>
    <w:rsid w:val="00007B03"/>
    <w:rsid w:val="00007DBA"/>
    <w:rsid w:val="00011555"/>
    <w:rsid w:val="000118DD"/>
    <w:rsid w:val="00011E0B"/>
    <w:rsid w:val="0001288E"/>
    <w:rsid w:val="000128D0"/>
    <w:rsid w:val="00012EBF"/>
    <w:rsid w:val="00013D3B"/>
    <w:rsid w:val="0001402E"/>
    <w:rsid w:val="00014B10"/>
    <w:rsid w:val="00014C50"/>
    <w:rsid w:val="00015F5F"/>
    <w:rsid w:val="00016037"/>
    <w:rsid w:val="00017060"/>
    <w:rsid w:val="000175FD"/>
    <w:rsid w:val="000201E3"/>
    <w:rsid w:val="00020837"/>
    <w:rsid w:val="0002126D"/>
    <w:rsid w:val="0002291F"/>
    <w:rsid w:val="00022AAE"/>
    <w:rsid w:val="00022C1E"/>
    <w:rsid w:val="0002338E"/>
    <w:rsid w:val="00023721"/>
    <w:rsid w:val="00024BA6"/>
    <w:rsid w:val="00024D0F"/>
    <w:rsid w:val="000256DD"/>
    <w:rsid w:val="000274CD"/>
    <w:rsid w:val="000279B2"/>
    <w:rsid w:val="00030333"/>
    <w:rsid w:val="000306A9"/>
    <w:rsid w:val="00031B87"/>
    <w:rsid w:val="000321CF"/>
    <w:rsid w:val="000323CA"/>
    <w:rsid w:val="00032F62"/>
    <w:rsid w:val="0003306E"/>
    <w:rsid w:val="000330EE"/>
    <w:rsid w:val="00034405"/>
    <w:rsid w:val="00034D85"/>
    <w:rsid w:val="00035057"/>
    <w:rsid w:val="00035C4B"/>
    <w:rsid w:val="00035F7D"/>
    <w:rsid w:val="00036894"/>
    <w:rsid w:val="00036C8D"/>
    <w:rsid w:val="0003733C"/>
    <w:rsid w:val="00037D26"/>
    <w:rsid w:val="00040304"/>
    <w:rsid w:val="00040739"/>
    <w:rsid w:val="00040F6D"/>
    <w:rsid w:val="00041340"/>
    <w:rsid w:val="0004147D"/>
    <w:rsid w:val="00041648"/>
    <w:rsid w:val="00043448"/>
    <w:rsid w:val="000435DA"/>
    <w:rsid w:val="00043FFC"/>
    <w:rsid w:val="0004446C"/>
    <w:rsid w:val="00045023"/>
    <w:rsid w:val="00045CA8"/>
    <w:rsid w:val="00046246"/>
    <w:rsid w:val="00046C1C"/>
    <w:rsid w:val="000476C4"/>
    <w:rsid w:val="000500F5"/>
    <w:rsid w:val="000514C3"/>
    <w:rsid w:val="000527A6"/>
    <w:rsid w:val="00052F6E"/>
    <w:rsid w:val="00053C46"/>
    <w:rsid w:val="00054654"/>
    <w:rsid w:val="000549C9"/>
    <w:rsid w:val="00055182"/>
    <w:rsid w:val="0005596C"/>
    <w:rsid w:val="00055F43"/>
    <w:rsid w:val="000564C8"/>
    <w:rsid w:val="000566C3"/>
    <w:rsid w:val="000569D0"/>
    <w:rsid w:val="00056BBD"/>
    <w:rsid w:val="0006007E"/>
    <w:rsid w:val="000607A6"/>
    <w:rsid w:val="00061A16"/>
    <w:rsid w:val="0006243C"/>
    <w:rsid w:val="00062681"/>
    <w:rsid w:val="000629F8"/>
    <w:rsid w:val="00063056"/>
    <w:rsid w:val="00063421"/>
    <w:rsid w:val="000645A7"/>
    <w:rsid w:val="00065655"/>
    <w:rsid w:val="000658F4"/>
    <w:rsid w:val="00065910"/>
    <w:rsid w:val="00065E10"/>
    <w:rsid w:val="000677B9"/>
    <w:rsid w:val="00070CA2"/>
    <w:rsid w:val="00070D66"/>
    <w:rsid w:val="00070EF1"/>
    <w:rsid w:val="000710CD"/>
    <w:rsid w:val="000716DC"/>
    <w:rsid w:val="00071A96"/>
    <w:rsid w:val="00071D09"/>
    <w:rsid w:val="00071DFD"/>
    <w:rsid w:val="00072E68"/>
    <w:rsid w:val="00073139"/>
    <w:rsid w:val="000735D7"/>
    <w:rsid w:val="00073769"/>
    <w:rsid w:val="00074FCA"/>
    <w:rsid w:val="0007505D"/>
    <w:rsid w:val="00075082"/>
    <w:rsid w:val="00075229"/>
    <w:rsid w:val="00075848"/>
    <w:rsid w:val="00075A49"/>
    <w:rsid w:val="00076684"/>
    <w:rsid w:val="00076C6C"/>
    <w:rsid w:val="00077095"/>
    <w:rsid w:val="0007753E"/>
    <w:rsid w:val="00077863"/>
    <w:rsid w:val="00080C0C"/>
    <w:rsid w:val="000815BA"/>
    <w:rsid w:val="00081A41"/>
    <w:rsid w:val="00081BE5"/>
    <w:rsid w:val="0008219A"/>
    <w:rsid w:val="00083022"/>
    <w:rsid w:val="00083772"/>
    <w:rsid w:val="00084A68"/>
    <w:rsid w:val="00085D72"/>
    <w:rsid w:val="00085EDE"/>
    <w:rsid w:val="00086AD3"/>
    <w:rsid w:val="00087827"/>
    <w:rsid w:val="000908E5"/>
    <w:rsid w:val="00091604"/>
    <w:rsid w:val="000927D2"/>
    <w:rsid w:val="00095BA5"/>
    <w:rsid w:val="00096C01"/>
    <w:rsid w:val="000972D7"/>
    <w:rsid w:val="000A148D"/>
    <w:rsid w:val="000A1C5C"/>
    <w:rsid w:val="000A1DE7"/>
    <w:rsid w:val="000A43E9"/>
    <w:rsid w:val="000A4AA0"/>
    <w:rsid w:val="000A4BFC"/>
    <w:rsid w:val="000A4EC6"/>
    <w:rsid w:val="000A4F62"/>
    <w:rsid w:val="000A553C"/>
    <w:rsid w:val="000A587D"/>
    <w:rsid w:val="000A5972"/>
    <w:rsid w:val="000A6011"/>
    <w:rsid w:val="000A63DD"/>
    <w:rsid w:val="000A6B76"/>
    <w:rsid w:val="000A6DB9"/>
    <w:rsid w:val="000A6F85"/>
    <w:rsid w:val="000A7873"/>
    <w:rsid w:val="000A7A74"/>
    <w:rsid w:val="000A7C3B"/>
    <w:rsid w:val="000B0AF4"/>
    <w:rsid w:val="000B2591"/>
    <w:rsid w:val="000B2E54"/>
    <w:rsid w:val="000B31CF"/>
    <w:rsid w:val="000B3A1C"/>
    <w:rsid w:val="000B3B10"/>
    <w:rsid w:val="000B40CA"/>
    <w:rsid w:val="000B4D70"/>
    <w:rsid w:val="000B5795"/>
    <w:rsid w:val="000B59A1"/>
    <w:rsid w:val="000B59D5"/>
    <w:rsid w:val="000B5C71"/>
    <w:rsid w:val="000B5E0C"/>
    <w:rsid w:val="000B5F50"/>
    <w:rsid w:val="000B647A"/>
    <w:rsid w:val="000B728C"/>
    <w:rsid w:val="000B7808"/>
    <w:rsid w:val="000C07E9"/>
    <w:rsid w:val="000C0998"/>
    <w:rsid w:val="000C0F3F"/>
    <w:rsid w:val="000C1745"/>
    <w:rsid w:val="000C1777"/>
    <w:rsid w:val="000C17E9"/>
    <w:rsid w:val="000C1D4B"/>
    <w:rsid w:val="000C1F08"/>
    <w:rsid w:val="000C2198"/>
    <w:rsid w:val="000C2CE1"/>
    <w:rsid w:val="000C39AB"/>
    <w:rsid w:val="000C3C7F"/>
    <w:rsid w:val="000C46FE"/>
    <w:rsid w:val="000C4829"/>
    <w:rsid w:val="000C51F4"/>
    <w:rsid w:val="000C55AC"/>
    <w:rsid w:val="000C5F4B"/>
    <w:rsid w:val="000C6102"/>
    <w:rsid w:val="000C75E1"/>
    <w:rsid w:val="000C7EB6"/>
    <w:rsid w:val="000D00D0"/>
    <w:rsid w:val="000D0363"/>
    <w:rsid w:val="000D07F1"/>
    <w:rsid w:val="000D0D05"/>
    <w:rsid w:val="000D2A61"/>
    <w:rsid w:val="000D2D0C"/>
    <w:rsid w:val="000D2EE1"/>
    <w:rsid w:val="000D3250"/>
    <w:rsid w:val="000D4DA0"/>
    <w:rsid w:val="000D5248"/>
    <w:rsid w:val="000D52FF"/>
    <w:rsid w:val="000D5E28"/>
    <w:rsid w:val="000D757B"/>
    <w:rsid w:val="000D7A64"/>
    <w:rsid w:val="000E06D7"/>
    <w:rsid w:val="000E12FA"/>
    <w:rsid w:val="000E365D"/>
    <w:rsid w:val="000E3D27"/>
    <w:rsid w:val="000E524A"/>
    <w:rsid w:val="000E665B"/>
    <w:rsid w:val="000E779A"/>
    <w:rsid w:val="000E7D6C"/>
    <w:rsid w:val="000F0934"/>
    <w:rsid w:val="000F0974"/>
    <w:rsid w:val="000F0F88"/>
    <w:rsid w:val="000F19D3"/>
    <w:rsid w:val="000F1ACF"/>
    <w:rsid w:val="000F1C8C"/>
    <w:rsid w:val="000F26CB"/>
    <w:rsid w:val="000F3984"/>
    <w:rsid w:val="000F3B18"/>
    <w:rsid w:val="000F3DF7"/>
    <w:rsid w:val="000F3FD3"/>
    <w:rsid w:val="000F42F2"/>
    <w:rsid w:val="000F4E47"/>
    <w:rsid w:val="000F500D"/>
    <w:rsid w:val="000F53C1"/>
    <w:rsid w:val="000F5FE8"/>
    <w:rsid w:val="000F689D"/>
    <w:rsid w:val="000F6957"/>
    <w:rsid w:val="000F6EA7"/>
    <w:rsid w:val="000F7714"/>
    <w:rsid w:val="00100006"/>
    <w:rsid w:val="0010033D"/>
    <w:rsid w:val="00101EC5"/>
    <w:rsid w:val="00102EC8"/>
    <w:rsid w:val="001033CC"/>
    <w:rsid w:val="001040CA"/>
    <w:rsid w:val="0010421A"/>
    <w:rsid w:val="001042A0"/>
    <w:rsid w:val="00104A33"/>
    <w:rsid w:val="00105301"/>
    <w:rsid w:val="0010551A"/>
    <w:rsid w:val="00106B3E"/>
    <w:rsid w:val="0010711A"/>
    <w:rsid w:val="0010751F"/>
    <w:rsid w:val="0011047E"/>
    <w:rsid w:val="00110850"/>
    <w:rsid w:val="00111F91"/>
    <w:rsid w:val="001126CD"/>
    <w:rsid w:val="001129E2"/>
    <w:rsid w:val="00112CE5"/>
    <w:rsid w:val="00114A91"/>
    <w:rsid w:val="00114C56"/>
    <w:rsid w:val="001156AF"/>
    <w:rsid w:val="00116E82"/>
    <w:rsid w:val="0011772B"/>
    <w:rsid w:val="00117BDB"/>
    <w:rsid w:val="0012037C"/>
    <w:rsid w:val="00120399"/>
    <w:rsid w:val="001205CD"/>
    <w:rsid w:val="00121447"/>
    <w:rsid w:val="00121C72"/>
    <w:rsid w:val="001220CD"/>
    <w:rsid w:val="00122423"/>
    <w:rsid w:val="00122692"/>
    <w:rsid w:val="001232D7"/>
    <w:rsid w:val="00123610"/>
    <w:rsid w:val="00123ABA"/>
    <w:rsid w:val="00125A4B"/>
    <w:rsid w:val="00125C07"/>
    <w:rsid w:val="00131D90"/>
    <w:rsid w:val="00131F85"/>
    <w:rsid w:val="001324A7"/>
    <w:rsid w:val="00133A1F"/>
    <w:rsid w:val="00133A2C"/>
    <w:rsid w:val="00133A51"/>
    <w:rsid w:val="001341FC"/>
    <w:rsid w:val="001344BA"/>
    <w:rsid w:val="00134C26"/>
    <w:rsid w:val="00135C16"/>
    <w:rsid w:val="0013606D"/>
    <w:rsid w:val="00136522"/>
    <w:rsid w:val="001369B6"/>
    <w:rsid w:val="0013730B"/>
    <w:rsid w:val="001376A9"/>
    <w:rsid w:val="00137F56"/>
    <w:rsid w:val="00140589"/>
    <w:rsid w:val="00140683"/>
    <w:rsid w:val="001411ED"/>
    <w:rsid w:val="0014167C"/>
    <w:rsid w:val="00141BCD"/>
    <w:rsid w:val="00142DEE"/>
    <w:rsid w:val="00143136"/>
    <w:rsid w:val="00143818"/>
    <w:rsid w:val="00143821"/>
    <w:rsid w:val="00143BF6"/>
    <w:rsid w:val="00144B30"/>
    <w:rsid w:val="00144DAA"/>
    <w:rsid w:val="00144FA9"/>
    <w:rsid w:val="00145C92"/>
    <w:rsid w:val="00145D28"/>
    <w:rsid w:val="00145F65"/>
    <w:rsid w:val="0014603C"/>
    <w:rsid w:val="0014668D"/>
    <w:rsid w:val="00146B68"/>
    <w:rsid w:val="00146E09"/>
    <w:rsid w:val="001475E6"/>
    <w:rsid w:val="00147891"/>
    <w:rsid w:val="0015063E"/>
    <w:rsid w:val="001507AA"/>
    <w:rsid w:val="00150AA9"/>
    <w:rsid w:val="00151280"/>
    <w:rsid w:val="001528A4"/>
    <w:rsid w:val="00152F2B"/>
    <w:rsid w:val="001543FC"/>
    <w:rsid w:val="001549EB"/>
    <w:rsid w:val="00154AB0"/>
    <w:rsid w:val="00154B09"/>
    <w:rsid w:val="00155646"/>
    <w:rsid w:val="001557A2"/>
    <w:rsid w:val="001557B2"/>
    <w:rsid w:val="00155A8E"/>
    <w:rsid w:val="0015639B"/>
    <w:rsid w:val="0015650D"/>
    <w:rsid w:val="00156FDA"/>
    <w:rsid w:val="00156FEC"/>
    <w:rsid w:val="00157DB8"/>
    <w:rsid w:val="0016054E"/>
    <w:rsid w:val="00161B6C"/>
    <w:rsid w:val="00161CA2"/>
    <w:rsid w:val="00161EDF"/>
    <w:rsid w:val="00162710"/>
    <w:rsid w:val="00162DCB"/>
    <w:rsid w:val="0016303D"/>
    <w:rsid w:val="00163314"/>
    <w:rsid w:val="0016350E"/>
    <w:rsid w:val="00163A29"/>
    <w:rsid w:val="00163B58"/>
    <w:rsid w:val="00163C62"/>
    <w:rsid w:val="0016487A"/>
    <w:rsid w:val="00166079"/>
    <w:rsid w:val="0016737D"/>
    <w:rsid w:val="00167526"/>
    <w:rsid w:val="001706A5"/>
    <w:rsid w:val="001706F2"/>
    <w:rsid w:val="00171276"/>
    <w:rsid w:val="001716EF"/>
    <w:rsid w:val="00172404"/>
    <w:rsid w:val="001746A6"/>
    <w:rsid w:val="00175366"/>
    <w:rsid w:val="00175D35"/>
    <w:rsid w:val="00175FE6"/>
    <w:rsid w:val="00176440"/>
    <w:rsid w:val="00176C69"/>
    <w:rsid w:val="001774C8"/>
    <w:rsid w:val="001775E2"/>
    <w:rsid w:val="00177A17"/>
    <w:rsid w:val="00180606"/>
    <w:rsid w:val="0018061B"/>
    <w:rsid w:val="00180BF1"/>
    <w:rsid w:val="001817BE"/>
    <w:rsid w:val="00181EE7"/>
    <w:rsid w:val="00182054"/>
    <w:rsid w:val="00182509"/>
    <w:rsid w:val="001836D7"/>
    <w:rsid w:val="00184B65"/>
    <w:rsid w:val="00185BD3"/>
    <w:rsid w:val="00186285"/>
    <w:rsid w:val="00186D64"/>
    <w:rsid w:val="00186E37"/>
    <w:rsid w:val="00186EF4"/>
    <w:rsid w:val="00187031"/>
    <w:rsid w:val="00190699"/>
    <w:rsid w:val="001913C5"/>
    <w:rsid w:val="0019162C"/>
    <w:rsid w:val="0019221C"/>
    <w:rsid w:val="001926A6"/>
    <w:rsid w:val="00192729"/>
    <w:rsid w:val="0019285E"/>
    <w:rsid w:val="001935B6"/>
    <w:rsid w:val="0019396D"/>
    <w:rsid w:val="00193F39"/>
    <w:rsid w:val="00194089"/>
    <w:rsid w:val="00194A80"/>
    <w:rsid w:val="00195A98"/>
    <w:rsid w:val="00196E5A"/>
    <w:rsid w:val="001974BC"/>
    <w:rsid w:val="00197CA4"/>
    <w:rsid w:val="00197D58"/>
    <w:rsid w:val="001A00FB"/>
    <w:rsid w:val="001A021C"/>
    <w:rsid w:val="001A037E"/>
    <w:rsid w:val="001A0812"/>
    <w:rsid w:val="001A15BF"/>
    <w:rsid w:val="001A1678"/>
    <w:rsid w:val="001A1B78"/>
    <w:rsid w:val="001A1F08"/>
    <w:rsid w:val="001A22B3"/>
    <w:rsid w:val="001A2F44"/>
    <w:rsid w:val="001A34B7"/>
    <w:rsid w:val="001A3EA1"/>
    <w:rsid w:val="001A3F17"/>
    <w:rsid w:val="001A4213"/>
    <w:rsid w:val="001A4BFE"/>
    <w:rsid w:val="001A5036"/>
    <w:rsid w:val="001A5B39"/>
    <w:rsid w:val="001A667F"/>
    <w:rsid w:val="001A6DA4"/>
    <w:rsid w:val="001A6E11"/>
    <w:rsid w:val="001A7405"/>
    <w:rsid w:val="001A74B3"/>
    <w:rsid w:val="001A7651"/>
    <w:rsid w:val="001B0200"/>
    <w:rsid w:val="001B0952"/>
    <w:rsid w:val="001B184A"/>
    <w:rsid w:val="001B1A32"/>
    <w:rsid w:val="001B1AD3"/>
    <w:rsid w:val="001B1B65"/>
    <w:rsid w:val="001B1C38"/>
    <w:rsid w:val="001B3484"/>
    <w:rsid w:val="001B384D"/>
    <w:rsid w:val="001B3E8F"/>
    <w:rsid w:val="001B4283"/>
    <w:rsid w:val="001B464D"/>
    <w:rsid w:val="001B5811"/>
    <w:rsid w:val="001B5C78"/>
    <w:rsid w:val="001B5CAE"/>
    <w:rsid w:val="001B613D"/>
    <w:rsid w:val="001B6695"/>
    <w:rsid w:val="001B7A3C"/>
    <w:rsid w:val="001B7E2C"/>
    <w:rsid w:val="001B7F64"/>
    <w:rsid w:val="001C0150"/>
    <w:rsid w:val="001C116C"/>
    <w:rsid w:val="001C14AE"/>
    <w:rsid w:val="001C15BB"/>
    <w:rsid w:val="001C1F11"/>
    <w:rsid w:val="001C1FB6"/>
    <w:rsid w:val="001C2B25"/>
    <w:rsid w:val="001C2F4B"/>
    <w:rsid w:val="001C3492"/>
    <w:rsid w:val="001C48B8"/>
    <w:rsid w:val="001C4AD5"/>
    <w:rsid w:val="001C4DB3"/>
    <w:rsid w:val="001C5816"/>
    <w:rsid w:val="001C5FD0"/>
    <w:rsid w:val="001C6A0F"/>
    <w:rsid w:val="001C72CD"/>
    <w:rsid w:val="001C7DF7"/>
    <w:rsid w:val="001D05C1"/>
    <w:rsid w:val="001D0C98"/>
    <w:rsid w:val="001D0D70"/>
    <w:rsid w:val="001D0D90"/>
    <w:rsid w:val="001D0E79"/>
    <w:rsid w:val="001D101E"/>
    <w:rsid w:val="001D107F"/>
    <w:rsid w:val="001D1473"/>
    <w:rsid w:val="001D2567"/>
    <w:rsid w:val="001D3342"/>
    <w:rsid w:val="001D3722"/>
    <w:rsid w:val="001D38B1"/>
    <w:rsid w:val="001D3993"/>
    <w:rsid w:val="001D544B"/>
    <w:rsid w:val="001D58F4"/>
    <w:rsid w:val="001D5B8D"/>
    <w:rsid w:val="001D5F63"/>
    <w:rsid w:val="001D61C5"/>
    <w:rsid w:val="001D6548"/>
    <w:rsid w:val="001D6681"/>
    <w:rsid w:val="001D7E3B"/>
    <w:rsid w:val="001E0318"/>
    <w:rsid w:val="001E0633"/>
    <w:rsid w:val="001E0BAD"/>
    <w:rsid w:val="001E1815"/>
    <w:rsid w:val="001E19DA"/>
    <w:rsid w:val="001E2227"/>
    <w:rsid w:val="001E2C57"/>
    <w:rsid w:val="001E366B"/>
    <w:rsid w:val="001E3834"/>
    <w:rsid w:val="001E53D4"/>
    <w:rsid w:val="001E6111"/>
    <w:rsid w:val="001E65BD"/>
    <w:rsid w:val="001E70A7"/>
    <w:rsid w:val="001F0DE9"/>
    <w:rsid w:val="001F0EBE"/>
    <w:rsid w:val="001F1880"/>
    <w:rsid w:val="001F244B"/>
    <w:rsid w:val="001F319A"/>
    <w:rsid w:val="001F3DD7"/>
    <w:rsid w:val="001F3FA7"/>
    <w:rsid w:val="001F440E"/>
    <w:rsid w:val="001F456B"/>
    <w:rsid w:val="001F47CE"/>
    <w:rsid w:val="001F5139"/>
    <w:rsid w:val="001F51D1"/>
    <w:rsid w:val="001F56EF"/>
    <w:rsid w:val="001F5CE1"/>
    <w:rsid w:val="001F62FF"/>
    <w:rsid w:val="001F66A1"/>
    <w:rsid w:val="001F6D8A"/>
    <w:rsid w:val="001F6F5B"/>
    <w:rsid w:val="001F7238"/>
    <w:rsid w:val="002001F6"/>
    <w:rsid w:val="00200593"/>
    <w:rsid w:val="002005BA"/>
    <w:rsid w:val="002016A7"/>
    <w:rsid w:val="002037C9"/>
    <w:rsid w:val="00204374"/>
    <w:rsid w:val="002045B9"/>
    <w:rsid w:val="002070A8"/>
    <w:rsid w:val="00207367"/>
    <w:rsid w:val="002078E6"/>
    <w:rsid w:val="00211402"/>
    <w:rsid w:val="0021147F"/>
    <w:rsid w:val="002121E4"/>
    <w:rsid w:val="00212CAD"/>
    <w:rsid w:val="00213BB7"/>
    <w:rsid w:val="0021412D"/>
    <w:rsid w:val="00214807"/>
    <w:rsid w:val="0021488E"/>
    <w:rsid w:val="002148E5"/>
    <w:rsid w:val="00215018"/>
    <w:rsid w:val="0021632C"/>
    <w:rsid w:val="0021642F"/>
    <w:rsid w:val="00216465"/>
    <w:rsid w:val="00216778"/>
    <w:rsid w:val="002167BD"/>
    <w:rsid w:val="00216DCF"/>
    <w:rsid w:val="00216DD7"/>
    <w:rsid w:val="00216F9D"/>
    <w:rsid w:val="002176EC"/>
    <w:rsid w:val="00217758"/>
    <w:rsid w:val="00217E88"/>
    <w:rsid w:val="002205DE"/>
    <w:rsid w:val="00220E9E"/>
    <w:rsid w:val="00220FBB"/>
    <w:rsid w:val="0022184D"/>
    <w:rsid w:val="002218C5"/>
    <w:rsid w:val="00222544"/>
    <w:rsid w:val="00223802"/>
    <w:rsid w:val="002239CE"/>
    <w:rsid w:val="00224187"/>
    <w:rsid w:val="00224270"/>
    <w:rsid w:val="00226286"/>
    <w:rsid w:val="0022666D"/>
    <w:rsid w:val="0022726C"/>
    <w:rsid w:val="00227A50"/>
    <w:rsid w:val="00227A9E"/>
    <w:rsid w:val="002305FA"/>
    <w:rsid w:val="00230843"/>
    <w:rsid w:val="0023150C"/>
    <w:rsid w:val="00231E07"/>
    <w:rsid w:val="0023287E"/>
    <w:rsid w:val="00232ACF"/>
    <w:rsid w:val="002335CA"/>
    <w:rsid w:val="00233CE9"/>
    <w:rsid w:val="0023426A"/>
    <w:rsid w:val="00234B7B"/>
    <w:rsid w:val="002352F4"/>
    <w:rsid w:val="002357C9"/>
    <w:rsid w:val="00235DE2"/>
    <w:rsid w:val="002364C8"/>
    <w:rsid w:val="002368D9"/>
    <w:rsid w:val="00236C46"/>
    <w:rsid w:val="00236E08"/>
    <w:rsid w:val="00237809"/>
    <w:rsid w:val="00237DDE"/>
    <w:rsid w:val="002401EA"/>
    <w:rsid w:val="00240574"/>
    <w:rsid w:val="00241372"/>
    <w:rsid w:val="00241A4E"/>
    <w:rsid w:val="00241FBC"/>
    <w:rsid w:val="002423CB"/>
    <w:rsid w:val="00243438"/>
    <w:rsid w:val="00243C16"/>
    <w:rsid w:val="00244082"/>
    <w:rsid w:val="002451B6"/>
    <w:rsid w:val="0024542F"/>
    <w:rsid w:val="00245725"/>
    <w:rsid w:val="00245746"/>
    <w:rsid w:val="0024622B"/>
    <w:rsid w:val="00246CA9"/>
    <w:rsid w:val="00247B56"/>
    <w:rsid w:val="00247BA3"/>
    <w:rsid w:val="00247CB4"/>
    <w:rsid w:val="00247E7B"/>
    <w:rsid w:val="00247F50"/>
    <w:rsid w:val="00250B5B"/>
    <w:rsid w:val="00251632"/>
    <w:rsid w:val="002519F0"/>
    <w:rsid w:val="00251F21"/>
    <w:rsid w:val="00252298"/>
    <w:rsid w:val="00252494"/>
    <w:rsid w:val="00253638"/>
    <w:rsid w:val="0025408A"/>
    <w:rsid w:val="0025410C"/>
    <w:rsid w:val="00254291"/>
    <w:rsid w:val="002546E2"/>
    <w:rsid w:val="002555A2"/>
    <w:rsid w:val="00256358"/>
    <w:rsid w:val="00256761"/>
    <w:rsid w:val="002572C2"/>
    <w:rsid w:val="002574AE"/>
    <w:rsid w:val="00257EF8"/>
    <w:rsid w:val="0026005D"/>
    <w:rsid w:val="00262B23"/>
    <w:rsid w:val="00265426"/>
    <w:rsid w:val="00265595"/>
    <w:rsid w:val="00265BF9"/>
    <w:rsid w:val="002665E5"/>
    <w:rsid w:val="00266BE3"/>
    <w:rsid w:val="0026765E"/>
    <w:rsid w:val="00267700"/>
    <w:rsid w:val="002679B5"/>
    <w:rsid w:val="00267A51"/>
    <w:rsid w:val="00271B59"/>
    <w:rsid w:val="002724E4"/>
    <w:rsid w:val="00272BC2"/>
    <w:rsid w:val="00272E65"/>
    <w:rsid w:val="002733B1"/>
    <w:rsid w:val="00273C87"/>
    <w:rsid w:val="00275A5A"/>
    <w:rsid w:val="00276CB3"/>
    <w:rsid w:val="0027723C"/>
    <w:rsid w:val="002777F2"/>
    <w:rsid w:val="00277B7B"/>
    <w:rsid w:val="0028017D"/>
    <w:rsid w:val="002812ED"/>
    <w:rsid w:val="0028130B"/>
    <w:rsid w:val="00281EED"/>
    <w:rsid w:val="002829BF"/>
    <w:rsid w:val="00282BD0"/>
    <w:rsid w:val="00282D9E"/>
    <w:rsid w:val="002830D4"/>
    <w:rsid w:val="00283420"/>
    <w:rsid w:val="00283661"/>
    <w:rsid w:val="002838D5"/>
    <w:rsid w:val="00283CAC"/>
    <w:rsid w:val="00285092"/>
    <w:rsid w:val="00285AA4"/>
    <w:rsid w:val="00285B99"/>
    <w:rsid w:val="002869FB"/>
    <w:rsid w:val="00286B16"/>
    <w:rsid w:val="00287626"/>
    <w:rsid w:val="0028783F"/>
    <w:rsid w:val="00290F7E"/>
    <w:rsid w:val="00291559"/>
    <w:rsid w:val="002917AF"/>
    <w:rsid w:val="00292809"/>
    <w:rsid w:val="002958A9"/>
    <w:rsid w:val="002968DF"/>
    <w:rsid w:val="00297AD7"/>
    <w:rsid w:val="002A0C28"/>
    <w:rsid w:val="002A13E3"/>
    <w:rsid w:val="002A1948"/>
    <w:rsid w:val="002A1A4C"/>
    <w:rsid w:val="002A20AB"/>
    <w:rsid w:val="002A38A6"/>
    <w:rsid w:val="002A39D6"/>
    <w:rsid w:val="002A4423"/>
    <w:rsid w:val="002A46C3"/>
    <w:rsid w:val="002A5CDD"/>
    <w:rsid w:val="002A66D8"/>
    <w:rsid w:val="002A6D0F"/>
    <w:rsid w:val="002B040D"/>
    <w:rsid w:val="002B143A"/>
    <w:rsid w:val="002B26C6"/>
    <w:rsid w:val="002B2AEE"/>
    <w:rsid w:val="002B37D6"/>
    <w:rsid w:val="002B38A5"/>
    <w:rsid w:val="002B3EED"/>
    <w:rsid w:val="002B4434"/>
    <w:rsid w:val="002B465A"/>
    <w:rsid w:val="002B4C53"/>
    <w:rsid w:val="002B6451"/>
    <w:rsid w:val="002B6A90"/>
    <w:rsid w:val="002B7BF2"/>
    <w:rsid w:val="002C0774"/>
    <w:rsid w:val="002C0CF0"/>
    <w:rsid w:val="002C0F68"/>
    <w:rsid w:val="002C1134"/>
    <w:rsid w:val="002C191F"/>
    <w:rsid w:val="002C1D40"/>
    <w:rsid w:val="002C259E"/>
    <w:rsid w:val="002C3536"/>
    <w:rsid w:val="002C4DF4"/>
    <w:rsid w:val="002C56E8"/>
    <w:rsid w:val="002C5FD3"/>
    <w:rsid w:val="002C6249"/>
    <w:rsid w:val="002C7298"/>
    <w:rsid w:val="002C7593"/>
    <w:rsid w:val="002C76F5"/>
    <w:rsid w:val="002C785E"/>
    <w:rsid w:val="002C7F51"/>
    <w:rsid w:val="002D0056"/>
    <w:rsid w:val="002D0AB0"/>
    <w:rsid w:val="002D0FD3"/>
    <w:rsid w:val="002D23D8"/>
    <w:rsid w:val="002D3F6B"/>
    <w:rsid w:val="002D4586"/>
    <w:rsid w:val="002D4651"/>
    <w:rsid w:val="002D46A6"/>
    <w:rsid w:val="002D5CEB"/>
    <w:rsid w:val="002D6E79"/>
    <w:rsid w:val="002D6EB6"/>
    <w:rsid w:val="002D712B"/>
    <w:rsid w:val="002D71DE"/>
    <w:rsid w:val="002D74C3"/>
    <w:rsid w:val="002D77E2"/>
    <w:rsid w:val="002E087D"/>
    <w:rsid w:val="002E0ED6"/>
    <w:rsid w:val="002E0F6B"/>
    <w:rsid w:val="002E1B8A"/>
    <w:rsid w:val="002E21F1"/>
    <w:rsid w:val="002E38D4"/>
    <w:rsid w:val="002E3F21"/>
    <w:rsid w:val="002E49E9"/>
    <w:rsid w:val="002E5194"/>
    <w:rsid w:val="002E528F"/>
    <w:rsid w:val="002E5A05"/>
    <w:rsid w:val="002E6177"/>
    <w:rsid w:val="002E6B43"/>
    <w:rsid w:val="002E7FD2"/>
    <w:rsid w:val="002F051E"/>
    <w:rsid w:val="002F06FE"/>
    <w:rsid w:val="002F12B9"/>
    <w:rsid w:val="002F1475"/>
    <w:rsid w:val="002F1B5B"/>
    <w:rsid w:val="002F1E6E"/>
    <w:rsid w:val="002F208C"/>
    <w:rsid w:val="002F209E"/>
    <w:rsid w:val="002F20F3"/>
    <w:rsid w:val="002F2A1C"/>
    <w:rsid w:val="002F3055"/>
    <w:rsid w:val="002F364C"/>
    <w:rsid w:val="002F39B1"/>
    <w:rsid w:val="002F3D63"/>
    <w:rsid w:val="002F4093"/>
    <w:rsid w:val="002F44D3"/>
    <w:rsid w:val="002F4D7F"/>
    <w:rsid w:val="002F5A6F"/>
    <w:rsid w:val="002F78A1"/>
    <w:rsid w:val="002F79C8"/>
    <w:rsid w:val="0030054C"/>
    <w:rsid w:val="00300F4B"/>
    <w:rsid w:val="00301B53"/>
    <w:rsid w:val="003024BB"/>
    <w:rsid w:val="00302981"/>
    <w:rsid w:val="00302C19"/>
    <w:rsid w:val="0030352D"/>
    <w:rsid w:val="00304048"/>
    <w:rsid w:val="003052BB"/>
    <w:rsid w:val="003056EF"/>
    <w:rsid w:val="00305761"/>
    <w:rsid w:val="00305E9F"/>
    <w:rsid w:val="00306A77"/>
    <w:rsid w:val="00306C7A"/>
    <w:rsid w:val="0030752C"/>
    <w:rsid w:val="00307B60"/>
    <w:rsid w:val="00307E35"/>
    <w:rsid w:val="00310531"/>
    <w:rsid w:val="00310655"/>
    <w:rsid w:val="00310A32"/>
    <w:rsid w:val="00310A7C"/>
    <w:rsid w:val="00311051"/>
    <w:rsid w:val="00311BF0"/>
    <w:rsid w:val="00311C11"/>
    <w:rsid w:val="003121D3"/>
    <w:rsid w:val="0031222C"/>
    <w:rsid w:val="0031362E"/>
    <w:rsid w:val="003138D6"/>
    <w:rsid w:val="003144E9"/>
    <w:rsid w:val="00315D90"/>
    <w:rsid w:val="0031660F"/>
    <w:rsid w:val="003166D1"/>
    <w:rsid w:val="00317363"/>
    <w:rsid w:val="00321C75"/>
    <w:rsid w:val="0032286C"/>
    <w:rsid w:val="00322FCB"/>
    <w:rsid w:val="003230C0"/>
    <w:rsid w:val="003241F3"/>
    <w:rsid w:val="00324C15"/>
    <w:rsid w:val="0032561E"/>
    <w:rsid w:val="00325671"/>
    <w:rsid w:val="00327663"/>
    <w:rsid w:val="00330078"/>
    <w:rsid w:val="003305CF"/>
    <w:rsid w:val="00330CCA"/>
    <w:rsid w:val="00331960"/>
    <w:rsid w:val="003330E7"/>
    <w:rsid w:val="00334113"/>
    <w:rsid w:val="00334294"/>
    <w:rsid w:val="00334674"/>
    <w:rsid w:val="0033478F"/>
    <w:rsid w:val="00334BBB"/>
    <w:rsid w:val="00334DD3"/>
    <w:rsid w:val="00336AE4"/>
    <w:rsid w:val="00336B2C"/>
    <w:rsid w:val="00340257"/>
    <w:rsid w:val="00340357"/>
    <w:rsid w:val="00340FE1"/>
    <w:rsid w:val="003413EC"/>
    <w:rsid w:val="0034206C"/>
    <w:rsid w:val="0034260E"/>
    <w:rsid w:val="0034308E"/>
    <w:rsid w:val="003451F8"/>
    <w:rsid w:val="00345642"/>
    <w:rsid w:val="00346431"/>
    <w:rsid w:val="00347479"/>
    <w:rsid w:val="00347FE0"/>
    <w:rsid w:val="00350055"/>
    <w:rsid w:val="003500B9"/>
    <w:rsid w:val="003508E0"/>
    <w:rsid w:val="0035109C"/>
    <w:rsid w:val="0035116C"/>
    <w:rsid w:val="003516D8"/>
    <w:rsid w:val="00353137"/>
    <w:rsid w:val="00353C69"/>
    <w:rsid w:val="00353E4C"/>
    <w:rsid w:val="003543E9"/>
    <w:rsid w:val="003544E0"/>
    <w:rsid w:val="00354A3E"/>
    <w:rsid w:val="00355A53"/>
    <w:rsid w:val="00355ED4"/>
    <w:rsid w:val="0035621E"/>
    <w:rsid w:val="00356593"/>
    <w:rsid w:val="0035678C"/>
    <w:rsid w:val="00356830"/>
    <w:rsid w:val="00356969"/>
    <w:rsid w:val="00357312"/>
    <w:rsid w:val="00357A0D"/>
    <w:rsid w:val="00360E73"/>
    <w:rsid w:val="003623E0"/>
    <w:rsid w:val="003639B5"/>
    <w:rsid w:val="003640F8"/>
    <w:rsid w:val="00365D0E"/>
    <w:rsid w:val="00365E69"/>
    <w:rsid w:val="003669A9"/>
    <w:rsid w:val="00367AD0"/>
    <w:rsid w:val="00370198"/>
    <w:rsid w:val="003719DF"/>
    <w:rsid w:val="003723A6"/>
    <w:rsid w:val="003726A5"/>
    <w:rsid w:val="0037366D"/>
    <w:rsid w:val="003738A0"/>
    <w:rsid w:val="00373C2B"/>
    <w:rsid w:val="00373D86"/>
    <w:rsid w:val="00374298"/>
    <w:rsid w:val="00374610"/>
    <w:rsid w:val="003755CC"/>
    <w:rsid w:val="00375CD7"/>
    <w:rsid w:val="00376913"/>
    <w:rsid w:val="00376C55"/>
    <w:rsid w:val="00377999"/>
    <w:rsid w:val="003809E2"/>
    <w:rsid w:val="003815B7"/>
    <w:rsid w:val="003817CD"/>
    <w:rsid w:val="00381991"/>
    <w:rsid w:val="00381FDA"/>
    <w:rsid w:val="00382140"/>
    <w:rsid w:val="00382292"/>
    <w:rsid w:val="0038255F"/>
    <w:rsid w:val="003826FF"/>
    <w:rsid w:val="00384565"/>
    <w:rsid w:val="0038551F"/>
    <w:rsid w:val="00385E6F"/>
    <w:rsid w:val="003869AC"/>
    <w:rsid w:val="00386C9F"/>
    <w:rsid w:val="00387282"/>
    <w:rsid w:val="0038773A"/>
    <w:rsid w:val="00387C93"/>
    <w:rsid w:val="00387DB3"/>
    <w:rsid w:val="00387E43"/>
    <w:rsid w:val="003903EE"/>
    <w:rsid w:val="00390A02"/>
    <w:rsid w:val="00390DF1"/>
    <w:rsid w:val="0039161C"/>
    <w:rsid w:val="003916CB"/>
    <w:rsid w:val="00391CA0"/>
    <w:rsid w:val="0039205B"/>
    <w:rsid w:val="00392212"/>
    <w:rsid w:val="003929BB"/>
    <w:rsid w:val="003932B7"/>
    <w:rsid w:val="0039384D"/>
    <w:rsid w:val="003938B0"/>
    <w:rsid w:val="003944B0"/>
    <w:rsid w:val="003944E4"/>
    <w:rsid w:val="003945D8"/>
    <w:rsid w:val="00394C15"/>
    <w:rsid w:val="00394C23"/>
    <w:rsid w:val="003955AE"/>
    <w:rsid w:val="00395CA7"/>
    <w:rsid w:val="003962A1"/>
    <w:rsid w:val="00396E68"/>
    <w:rsid w:val="00396EF2"/>
    <w:rsid w:val="003972C2"/>
    <w:rsid w:val="00397AAE"/>
    <w:rsid w:val="003A2294"/>
    <w:rsid w:val="003A2EE2"/>
    <w:rsid w:val="003A3A5F"/>
    <w:rsid w:val="003A58DA"/>
    <w:rsid w:val="003A6F57"/>
    <w:rsid w:val="003A701E"/>
    <w:rsid w:val="003A7326"/>
    <w:rsid w:val="003A7672"/>
    <w:rsid w:val="003A7A5A"/>
    <w:rsid w:val="003A7E6C"/>
    <w:rsid w:val="003A7FCB"/>
    <w:rsid w:val="003B152A"/>
    <w:rsid w:val="003B284D"/>
    <w:rsid w:val="003B2AF4"/>
    <w:rsid w:val="003B41EE"/>
    <w:rsid w:val="003B41F4"/>
    <w:rsid w:val="003B5717"/>
    <w:rsid w:val="003B69F0"/>
    <w:rsid w:val="003B6D5C"/>
    <w:rsid w:val="003B6E62"/>
    <w:rsid w:val="003B70DE"/>
    <w:rsid w:val="003B7248"/>
    <w:rsid w:val="003B7B6B"/>
    <w:rsid w:val="003B7BCE"/>
    <w:rsid w:val="003C0659"/>
    <w:rsid w:val="003C0756"/>
    <w:rsid w:val="003C07C2"/>
    <w:rsid w:val="003C14DF"/>
    <w:rsid w:val="003C1713"/>
    <w:rsid w:val="003C2111"/>
    <w:rsid w:val="003C2D53"/>
    <w:rsid w:val="003C343E"/>
    <w:rsid w:val="003C365F"/>
    <w:rsid w:val="003C36A0"/>
    <w:rsid w:val="003C3A6B"/>
    <w:rsid w:val="003C531A"/>
    <w:rsid w:val="003C5C64"/>
    <w:rsid w:val="003C62F1"/>
    <w:rsid w:val="003C632C"/>
    <w:rsid w:val="003C6B82"/>
    <w:rsid w:val="003C7563"/>
    <w:rsid w:val="003C78AA"/>
    <w:rsid w:val="003D030C"/>
    <w:rsid w:val="003D03C4"/>
    <w:rsid w:val="003D0691"/>
    <w:rsid w:val="003D0A67"/>
    <w:rsid w:val="003D0CD7"/>
    <w:rsid w:val="003D257E"/>
    <w:rsid w:val="003D2662"/>
    <w:rsid w:val="003D2D9C"/>
    <w:rsid w:val="003D3E7B"/>
    <w:rsid w:val="003D4512"/>
    <w:rsid w:val="003D4555"/>
    <w:rsid w:val="003D5210"/>
    <w:rsid w:val="003D5BA7"/>
    <w:rsid w:val="003D5E71"/>
    <w:rsid w:val="003D672F"/>
    <w:rsid w:val="003D718D"/>
    <w:rsid w:val="003D7527"/>
    <w:rsid w:val="003E0045"/>
    <w:rsid w:val="003E22BC"/>
    <w:rsid w:val="003E2AAB"/>
    <w:rsid w:val="003E2B9F"/>
    <w:rsid w:val="003E3CED"/>
    <w:rsid w:val="003E463B"/>
    <w:rsid w:val="003E4C44"/>
    <w:rsid w:val="003E55F6"/>
    <w:rsid w:val="003E5FC3"/>
    <w:rsid w:val="003E610C"/>
    <w:rsid w:val="003E6152"/>
    <w:rsid w:val="003E6316"/>
    <w:rsid w:val="003E66CF"/>
    <w:rsid w:val="003E6BD5"/>
    <w:rsid w:val="003E7FC0"/>
    <w:rsid w:val="003F0133"/>
    <w:rsid w:val="003F0D9C"/>
    <w:rsid w:val="003F1C2F"/>
    <w:rsid w:val="003F20FC"/>
    <w:rsid w:val="003F2ACE"/>
    <w:rsid w:val="003F3588"/>
    <w:rsid w:val="003F4399"/>
    <w:rsid w:val="003F476E"/>
    <w:rsid w:val="003F4C54"/>
    <w:rsid w:val="003F5A65"/>
    <w:rsid w:val="003F5F57"/>
    <w:rsid w:val="003F67C0"/>
    <w:rsid w:val="003F6ACD"/>
    <w:rsid w:val="003F6E6F"/>
    <w:rsid w:val="003F7904"/>
    <w:rsid w:val="003F7F1D"/>
    <w:rsid w:val="0040055A"/>
    <w:rsid w:val="00401466"/>
    <w:rsid w:val="004029B7"/>
    <w:rsid w:val="00402A38"/>
    <w:rsid w:val="00402E19"/>
    <w:rsid w:val="0040353E"/>
    <w:rsid w:val="0040395E"/>
    <w:rsid w:val="004039F0"/>
    <w:rsid w:val="0040410A"/>
    <w:rsid w:val="00404CB0"/>
    <w:rsid w:val="00405646"/>
    <w:rsid w:val="00405A0B"/>
    <w:rsid w:val="004061E2"/>
    <w:rsid w:val="004062B8"/>
    <w:rsid w:val="0040652B"/>
    <w:rsid w:val="004068DA"/>
    <w:rsid w:val="0040750C"/>
    <w:rsid w:val="0040766F"/>
    <w:rsid w:val="004102C5"/>
    <w:rsid w:val="004111FE"/>
    <w:rsid w:val="0041159C"/>
    <w:rsid w:val="00411AE2"/>
    <w:rsid w:val="004129B0"/>
    <w:rsid w:val="0041435B"/>
    <w:rsid w:val="00414864"/>
    <w:rsid w:val="00414B77"/>
    <w:rsid w:val="00415A16"/>
    <w:rsid w:val="0041622B"/>
    <w:rsid w:val="00416394"/>
    <w:rsid w:val="0041645D"/>
    <w:rsid w:val="004166D9"/>
    <w:rsid w:val="00416828"/>
    <w:rsid w:val="00417A68"/>
    <w:rsid w:val="00417AAC"/>
    <w:rsid w:val="00420691"/>
    <w:rsid w:val="004209C6"/>
    <w:rsid w:val="0042138B"/>
    <w:rsid w:val="004218BA"/>
    <w:rsid w:val="00421AFC"/>
    <w:rsid w:val="00422A35"/>
    <w:rsid w:val="00422DDA"/>
    <w:rsid w:val="00423713"/>
    <w:rsid w:val="00423E7B"/>
    <w:rsid w:val="00424098"/>
    <w:rsid w:val="0042425E"/>
    <w:rsid w:val="00424542"/>
    <w:rsid w:val="00424F73"/>
    <w:rsid w:val="004256E8"/>
    <w:rsid w:val="00427218"/>
    <w:rsid w:val="0042766E"/>
    <w:rsid w:val="00430606"/>
    <w:rsid w:val="00430769"/>
    <w:rsid w:val="004314CB"/>
    <w:rsid w:val="004317D3"/>
    <w:rsid w:val="004318D4"/>
    <w:rsid w:val="00431F3C"/>
    <w:rsid w:val="004323A8"/>
    <w:rsid w:val="00434B8B"/>
    <w:rsid w:val="00434BEE"/>
    <w:rsid w:val="004361F0"/>
    <w:rsid w:val="0043634A"/>
    <w:rsid w:val="0044097E"/>
    <w:rsid w:val="00440B00"/>
    <w:rsid w:val="00440F19"/>
    <w:rsid w:val="00441431"/>
    <w:rsid w:val="00441B22"/>
    <w:rsid w:val="004429E9"/>
    <w:rsid w:val="00443E95"/>
    <w:rsid w:val="00444F28"/>
    <w:rsid w:val="00445E51"/>
    <w:rsid w:val="00445E9F"/>
    <w:rsid w:val="00451248"/>
    <w:rsid w:val="00452C37"/>
    <w:rsid w:val="00452CF5"/>
    <w:rsid w:val="00452DAC"/>
    <w:rsid w:val="004537FA"/>
    <w:rsid w:val="00454495"/>
    <w:rsid w:val="00454B27"/>
    <w:rsid w:val="00454ECE"/>
    <w:rsid w:val="004553D1"/>
    <w:rsid w:val="0045550A"/>
    <w:rsid w:val="004556AA"/>
    <w:rsid w:val="00455B9E"/>
    <w:rsid w:val="00455D46"/>
    <w:rsid w:val="00456057"/>
    <w:rsid w:val="00456C78"/>
    <w:rsid w:val="004602F7"/>
    <w:rsid w:val="004604A5"/>
    <w:rsid w:val="004604AE"/>
    <w:rsid w:val="004609CD"/>
    <w:rsid w:val="00461361"/>
    <w:rsid w:val="00461562"/>
    <w:rsid w:val="004626DB"/>
    <w:rsid w:val="0046462F"/>
    <w:rsid w:val="00464FEA"/>
    <w:rsid w:val="00465156"/>
    <w:rsid w:val="0046573D"/>
    <w:rsid w:val="0046685D"/>
    <w:rsid w:val="00467AD9"/>
    <w:rsid w:val="004711AD"/>
    <w:rsid w:val="00471414"/>
    <w:rsid w:val="00471F9A"/>
    <w:rsid w:val="00472B67"/>
    <w:rsid w:val="00472D86"/>
    <w:rsid w:val="004733E0"/>
    <w:rsid w:val="00473FE1"/>
    <w:rsid w:val="004742D6"/>
    <w:rsid w:val="00474712"/>
    <w:rsid w:val="00474D74"/>
    <w:rsid w:val="00474F94"/>
    <w:rsid w:val="004766F2"/>
    <w:rsid w:val="004774C8"/>
    <w:rsid w:val="00477B79"/>
    <w:rsid w:val="00480382"/>
    <w:rsid w:val="00480CC1"/>
    <w:rsid w:val="00480D4A"/>
    <w:rsid w:val="0048139B"/>
    <w:rsid w:val="00482739"/>
    <w:rsid w:val="00482EBE"/>
    <w:rsid w:val="004838C5"/>
    <w:rsid w:val="00483BE7"/>
    <w:rsid w:val="00483F1E"/>
    <w:rsid w:val="00483FC9"/>
    <w:rsid w:val="0048473A"/>
    <w:rsid w:val="00484829"/>
    <w:rsid w:val="00485799"/>
    <w:rsid w:val="0048642C"/>
    <w:rsid w:val="0048681B"/>
    <w:rsid w:val="00486ECF"/>
    <w:rsid w:val="00486F2F"/>
    <w:rsid w:val="004902DB"/>
    <w:rsid w:val="00490D9D"/>
    <w:rsid w:val="004912F2"/>
    <w:rsid w:val="0049154E"/>
    <w:rsid w:val="00492363"/>
    <w:rsid w:val="00492504"/>
    <w:rsid w:val="00492789"/>
    <w:rsid w:val="00492A29"/>
    <w:rsid w:val="00492DBA"/>
    <w:rsid w:val="00493A7A"/>
    <w:rsid w:val="00493BBE"/>
    <w:rsid w:val="00494220"/>
    <w:rsid w:val="0049425B"/>
    <w:rsid w:val="004946BD"/>
    <w:rsid w:val="00495080"/>
    <w:rsid w:val="004951F2"/>
    <w:rsid w:val="004956F7"/>
    <w:rsid w:val="00495A67"/>
    <w:rsid w:val="00495E35"/>
    <w:rsid w:val="00496216"/>
    <w:rsid w:val="0049669C"/>
    <w:rsid w:val="00496CC1"/>
    <w:rsid w:val="00496F08"/>
    <w:rsid w:val="0049783F"/>
    <w:rsid w:val="004A0632"/>
    <w:rsid w:val="004A064D"/>
    <w:rsid w:val="004A2012"/>
    <w:rsid w:val="004A270B"/>
    <w:rsid w:val="004A30A0"/>
    <w:rsid w:val="004A3448"/>
    <w:rsid w:val="004A3AF3"/>
    <w:rsid w:val="004A43D3"/>
    <w:rsid w:val="004A5808"/>
    <w:rsid w:val="004A611D"/>
    <w:rsid w:val="004A655E"/>
    <w:rsid w:val="004A66A4"/>
    <w:rsid w:val="004A6D5E"/>
    <w:rsid w:val="004A79EF"/>
    <w:rsid w:val="004B0727"/>
    <w:rsid w:val="004B14B2"/>
    <w:rsid w:val="004B1AC7"/>
    <w:rsid w:val="004B21A3"/>
    <w:rsid w:val="004B2A72"/>
    <w:rsid w:val="004B2C40"/>
    <w:rsid w:val="004B2EF2"/>
    <w:rsid w:val="004B31FB"/>
    <w:rsid w:val="004B3B46"/>
    <w:rsid w:val="004B3EA6"/>
    <w:rsid w:val="004B4458"/>
    <w:rsid w:val="004B5756"/>
    <w:rsid w:val="004B5F59"/>
    <w:rsid w:val="004B62FA"/>
    <w:rsid w:val="004B6E9A"/>
    <w:rsid w:val="004B7F6B"/>
    <w:rsid w:val="004B7FF7"/>
    <w:rsid w:val="004C09C1"/>
    <w:rsid w:val="004C11CD"/>
    <w:rsid w:val="004C145B"/>
    <w:rsid w:val="004C1C25"/>
    <w:rsid w:val="004C1FFA"/>
    <w:rsid w:val="004C25A1"/>
    <w:rsid w:val="004C268D"/>
    <w:rsid w:val="004C29B1"/>
    <w:rsid w:val="004C3604"/>
    <w:rsid w:val="004C501F"/>
    <w:rsid w:val="004C54C9"/>
    <w:rsid w:val="004C5575"/>
    <w:rsid w:val="004C5615"/>
    <w:rsid w:val="004C574F"/>
    <w:rsid w:val="004C57F7"/>
    <w:rsid w:val="004D07F1"/>
    <w:rsid w:val="004D0D59"/>
    <w:rsid w:val="004D10FD"/>
    <w:rsid w:val="004D1112"/>
    <w:rsid w:val="004D151F"/>
    <w:rsid w:val="004D1AFD"/>
    <w:rsid w:val="004D203D"/>
    <w:rsid w:val="004D2141"/>
    <w:rsid w:val="004D2414"/>
    <w:rsid w:val="004D37BD"/>
    <w:rsid w:val="004D39E0"/>
    <w:rsid w:val="004D3C51"/>
    <w:rsid w:val="004D527C"/>
    <w:rsid w:val="004D5445"/>
    <w:rsid w:val="004D5857"/>
    <w:rsid w:val="004D610D"/>
    <w:rsid w:val="004D65EC"/>
    <w:rsid w:val="004D6D13"/>
    <w:rsid w:val="004D6DED"/>
    <w:rsid w:val="004D795F"/>
    <w:rsid w:val="004E0367"/>
    <w:rsid w:val="004E1038"/>
    <w:rsid w:val="004E1052"/>
    <w:rsid w:val="004E10C4"/>
    <w:rsid w:val="004E10CA"/>
    <w:rsid w:val="004E1A94"/>
    <w:rsid w:val="004E205F"/>
    <w:rsid w:val="004E281D"/>
    <w:rsid w:val="004E284B"/>
    <w:rsid w:val="004E2C48"/>
    <w:rsid w:val="004E35B6"/>
    <w:rsid w:val="004E47D5"/>
    <w:rsid w:val="004E59C5"/>
    <w:rsid w:val="004E6736"/>
    <w:rsid w:val="004E691D"/>
    <w:rsid w:val="004E69AB"/>
    <w:rsid w:val="004E6ACC"/>
    <w:rsid w:val="004E7B92"/>
    <w:rsid w:val="004F0458"/>
    <w:rsid w:val="004F0DFF"/>
    <w:rsid w:val="004F2960"/>
    <w:rsid w:val="004F2A74"/>
    <w:rsid w:val="004F2DD9"/>
    <w:rsid w:val="004F300F"/>
    <w:rsid w:val="004F3482"/>
    <w:rsid w:val="004F378E"/>
    <w:rsid w:val="004F3AC4"/>
    <w:rsid w:val="004F4240"/>
    <w:rsid w:val="004F61E8"/>
    <w:rsid w:val="004F73FC"/>
    <w:rsid w:val="004F76CC"/>
    <w:rsid w:val="004F7A38"/>
    <w:rsid w:val="004F7E81"/>
    <w:rsid w:val="004F7FAA"/>
    <w:rsid w:val="00500930"/>
    <w:rsid w:val="005017CC"/>
    <w:rsid w:val="00501C09"/>
    <w:rsid w:val="00502A97"/>
    <w:rsid w:val="00502BD0"/>
    <w:rsid w:val="00502FF6"/>
    <w:rsid w:val="00503456"/>
    <w:rsid w:val="00503513"/>
    <w:rsid w:val="00503AD0"/>
    <w:rsid w:val="0050429E"/>
    <w:rsid w:val="00505816"/>
    <w:rsid w:val="00505928"/>
    <w:rsid w:val="0050595C"/>
    <w:rsid w:val="00505D55"/>
    <w:rsid w:val="00505F7B"/>
    <w:rsid w:val="005066BF"/>
    <w:rsid w:val="00506B52"/>
    <w:rsid w:val="00507AF9"/>
    <w:rsid w:val="00507CC2"/>
    <w:rsid w:val="005104A4"/>
    <w:rsid w:val="00512025"/>
    <w:rsid w:val="005123B0"/>
    <w:rsid w:val="005131DC"/>
    <w:rsid w:val="0051425C"/>
    <w:rsid w:val="005144C3"/>
    <w:rsid w:val="00514D14"/>
    <w:rsid w:val="00515107"/>
    <w:rsid w:val="00515792"/>
    <w:rsid w:val="005158D2"/>
    <w:rsid w:val="00515DFC"/>
    <w:rsid w:val="00516C9A"/>
    <w:rsid w:val="0051730F"/>
    <w:rsid w:val="0051737E"/>
    <w:rsid w:val="005173D2"/>
    <w:rsid w:val="005174BC"/>
    <w:rsid w:val="005175F5"/>
    <w:rsid w:val="00517B50"/>
    <w:rsid w:val="005201F6"/>
    <w:rsid w:val="005204B9"/>
    <w:rsid w:val="00520D73"/>
    <w:rsid w:val="00521379"/>
    <w:rsid w:val="005213B2"/>
    <w:rsid w:val="005221C2"/>
    <w:rsid w:val="00522377"/>
    <w:rsid w:val="00522775"/>
    <w:rsid w:val="00524767"/>
    <w:rsid w:val="00524C8C"/>
    <w:rsid w:val="005252B9"/>
    <w:rsid w:val="0052548E"/>
    <w:rsid w:val="00525A1E"/>
    <w:rsid w:val="00525D17"/>
    <w:rsid w:val="005266A7"/>
    <w:rsid w:val="00526886"/>
    <w:rsid w:val="005278A1"/>
    <w:rsid w:val="00527C26"/>
    <w:rsid w:val="00531F19"/>
    <w:rsid w:val="00532303"/>
    <w:rsid w:val="00532950"/>
    <w:rsid w:val="00533212"/>
    <w:rsid w:val="00533B56"/>
    <w:rsid w:val="0053435E"/>
    <w:rsid w:val="0053494F"/>
    <w:rsid w:val="00534A67"/>
    <w:rsid w:val="00535071"/>
    <w:rsid w:val="0053539B"/>
    <w:rsid w:val="005361B3"/>
    <w:rsid w:val="0053625F"/>
    <w:rsid w:val="0053637F"/>
    <w:rsid w:val="00536578"/>
    <w:rsid w:val="005374DE"/>
    <w:rsid w:val="00537B73"/>
    <w:rsid w:val="00537B84"/>
    <w:rsid w:val="005407FA"/>
    <w:rsid w:val="00540A88"/>
    <w:rsid w:val="00540E14"/>
    <w:rsid w:val="00541EAB"/>
    <w:rsid w:val="00542ABA"/>
    <w:rsid w:val="005434A6"/>
    <w:rsid w:val="00544CCD"/>
    <w:rsid w:val="005450D7"/>
    <w:rsid w:val="00546A99"/>
    <w:rsid w:val="00546C25"/>
    <w:rsid w:val="00547600"/>
    <w:rsid w:val="00550871"/>
    <w:rsid w:val="00550CFC"/>
    <w:rsid w:val="0055105C"/>
    <w:rsid w:val="00551381"/>
    <w:rsid w:val="005527FB"/>
    <w:rsid w:val="00552FD0"/>
    <w:rsid w:val="00553067"/>
    <w:rsid w:val="005534A5"/>
    <w:rsid w:val="00553534"/>
    <w:rsid w:val="005535C1"/>
    <w:rsid w:val="00554A65"/>
    <w:rsid w:val="00554EEE"/>
    <w:rsid w:val="0055502E"/>
    <w:rsid w:val="0055503D"/>
    <w:rsid w:val="0055524D"/>
    <w:rsid w:val="00555FA0"/>
    <w:rsid w:val="00556543"/>
    <w:rsid w:val="00556AB1"/>
    <w:rsid w:val="00557A3F"/>
    <w:rsid w:val="00557BC1"/>
    <w:rsid w:val="00557DB5"/>
    <w:rsid w:val="00561105"/>
    <w:rsid w:val="005619AF"/>
    <w:rsid w:val="005620E9"/>
    <w:rsid w:val="0056244A"/>
    <w:rsid w:val="0056316C"/>
    <w:rsid w:val="0056389E"/>
    <w:rsid w:val="005639B9"/>
    <w:rsid w:val="00563B5D"/>
    <w:rsid w:val="005642CF"/>
    <w:rsid w:val="00564CD0"/>
    <w:rsid w:val="00564FED"/>
    <w:rsid w:val="005652BC"/>
    <w:rsid w:val="00565374"/>
    <w:rsid w:val="00565596"/>
    <w:rsid w:val="00565B62"/>
    <w:rsid w:val="00566B68"/>
    <w:rsid w:val="005679BA"/>
    <w:rsid w:val="00570A17"/>
    <w:rsid w:val="005719ED"/>
    <w:rsid w:val="00571C95"/>
    <w:rsid w:val="00571E15"/>
    <w:rsid w:val="00572001"/>
    <w:rsid w:val="005734DA"/>
    <w:rsid w:val="005735D6"/>
    <w:rsid w:val="00574195"/>
    <w:rsid w:val="0057488C"/>
    <w:rsid w:val="00574F81"/>
    <w:rsid w:val="0057511F"/>
    <w:rsid w:val="00575849"/>
    <w:rsid w:val="00575C69"/>
    <w:rsid w:val="00576033"/>
    <w:rsid w:val="00577A76"/>
    <w:rsid w:val="005800EB"/>
    <w:rsid w:val="0058051E"/>
    <w:rsid w:val="0058059A"/>
    <w:rsid w:val="00580B94"/>
    <w:rsid w:val="00581545"/>
    <w:rsid w:val="00581C57"/>
    <w:rsid w:val="00582590"/>
    <w:rsid w:val="005825BE"/>
    <w:rsid w:val="00582981"/>
    <w:rsid w:val="00582C58"/>
    <w:rsid w:val="00582DAF"/>
    <w:rsid w:val="00582F5C"/>
    <w:rsid w:val="00583316"/>
    <w:rsid w:val="00586715"/>
    <w:rsid w:val="005874F7"/>
    <w:rsid w:val="00587C62"/>
    <w:rsid w:val="0059017F"/>
    <w:rsid w:val="005918F8"/>
    <w:rsid w:val="0059249B"/>
    <w:rsid w:val="00592959"/>
    <w:rsid w:val="0059299F"/>
    <w:rsid w:val="005934C6"/>
    <w:rsid w:val="00593530"/>
    <w:rsid w:val="00593FE6"/>
    <w:rsid w:val="0059489E"/>
    <w:rsid w:val="00594B4D"/>
    <w:rsid w:val="00594BB9"/>
    <w:rsid w:val="00595BB0"/>
    <w:rsid w:val="00596031"/>
    <w:rsid w:val="0059730B"/>
    <w:rsid w:val="0059769F"/>
    <w:rsid w:val="00597CFF"/>
    <w:rsid w:val="00597F5A"/>
    <w:rsid w:val="005A15F3"/>
    <w:rsid w:val="005A16C4"/>
    <w:rsid w:val="005A18B9"/>
    <w:rsid w:val="005A226B"/>
    <w:rsid w:val="005A291A"/>
    <w:rsid w:val="005A2C20"/>
    <w:rsid w:val="005A386C"/>
    <w:rsid w:val="005A4134"/>
    <w:rsid w:val="005A4A54"/>
    <w:rsid w:val="005A57C0"/>
    <w:rsid w:val="005A59BA"/>
    <w:rsid w:val="005A615D"/>
    <w:rsid w:val="005A68BF"/>
    <w:rsid w:val="005A6984"/>
    <w:rsid w:val="005A6E55"/>
    <w:rsid w:val="005A78AD"/>
    <w:rsid w:val="005B011A"/>
    <w:rsid w:val="005B13C9"/>
    <w:rsid w:val="005B222A"/>
    <w:rsid w:val="005B251B"/>
    <w:rsid w:val="005B28FD"/>
    <w:rsid w:val="005B3436"/>
    <w:rsid w:val="005B38CA"/>
    <w:rsid w:val="005B39D3"/>
    <w:rsid w:val="005B3FF4"/>
    <w:rsid w:val="005B499F"/>
    <w:rsid w:val="005B5B84"/>
    <w:rsid w:val="005B5CFE"/>
    <w:rsid w:val="005B5D17"/>
    <w:rsid w:val="005B6091"/>
    <w:rsid w:val="005B66C0"/>
    <w:rsid w:val="005B75DE"/>
    <w:rsid w:val="005B76E5"/>
    <w:rsid w:val="005B781E"/>
    <w:rsid w:val="005B7881"/>
    <w:rsid w:val="005B7E00"/>
    <w:rsid w:val="005C0140"/>
    <w:rsid w:val="005C0205"/>
    <w:rsid w:val="005C1510"/>
    <w:rsid w:val="005C164D"/>
    <w:rsid w:val="005C1798"/>
    <w:rsid w:val="005C2084"/>
    <w:rsid w:val="005C26A2"/>
    <w:rsid w:val="005C344F"/>
    <w:rsid w:val="005C3CF8"/>
    <w:rsid w:val="005C53CD"/>
    <w:rsid w:val="005C542A"/>
    <w:rsid w:val="005C5933"/>
    <w:rsid w:val="005C75E4"/>
    <w:rsid w:val="005C7A52"/>
    <w:rsid w:val="005C7F57"/>
    <w:rsid w:val="005D0E05"/>
    <w:rsid w:val="005D296E"/>
    <w:rsid w:val="005D2E10"/>
    <w:rsid w:val="005D3383"/>
    <w:rsid w:val="005D3945"/>
    <w:rsid w:val="005D3EFF"/>
    <w:rsid w:val="005D416D"/>
    <w:rsid w:val="005D4D2C"/>
    <w:rsid w:val="005D50B8"/>
    <w:rsid w:val="005D52E6"/>
    <w:rsid w:val="005D5891"/>
    <w:rsid w:val="005D59E8"/>
    <w:rsid w:val="005D60A6"/>
    <w:rsid w:val="005D78A2"/>
    <w:rsid w:val="005D7973"/>
    <w:rsid w:val="005E007E"/>
    <w:rsid w:val="005E019F"/>
    <w:rsid w:val="005E01FB"/>
    <w:rsid w:val="005E04B4"/>
    <w:rsid w:val="005E15F7"/>
    <w:rsid w:val="005E1ACA"/>
    <w:rsid w:val="005E1E08"/>
    <w:rsid w:val="005E2B05"/>
    <w:rsid w:val="005E3BB5"/>
    <w:rsid w:val="005E3CCE"/>
    <w:rsid w:val="005E446B"/>
    <w:rsid w:val="005E4805"/>
    <w:rsid w:val="005E4E23"/>
    <w:rsid w:val="005E5273"/>
    <w:rsid w:val="005E5B82"/>
    <w:rsid w:val="005E6118"/>
    <w:rsid w:val="005E6200"/>
    <w:rsid w:val="005E704A"/>
    <w:rsid w:val="005E73BA"/>
    <w:rsid w:val="005F02AF"/>
    <w:rsid w:val="005F02B1"/>
    <w:rsid w:val="005F067C"/>
    <w:rsid w:val="005F071D"/>
    <w:rsid w:val="005F0E73"/>
    <w:rsid w:val="005F129E"/>
    <w:rsid w:val="005F1B75"/>
    <w:rsid w:val="005F2435"/>
    <w:rsid w:val="005F38B3"/>
    <w:rsid w:val="005F43D7"/>
    <w:rsid w:val="005F61E6"/>
    <w:rsid w:val="005F6367"/>
    <w:rsid w:val="005F6D49"/>
    <w:rsid w:val="006006AC"/>
    <w:rsid w:val="00601B24"/>
    <w:rsid w:val="0060275A"/>
    <w:rsid w:val="00603286"/>
    <w:rsid w:val="00603731"/>
    <w:rsid w:val="0060381D"/>
    <w:rsid w:val="006042B3"/>
    <w:rsid w:val="006052A5"/>
    <w:rsid w:val="006062E5"/>
    <w:rsid w:val="00606A9F"/>
    <w:rsid w:val="00607B05"/>
    <w:rsid w:val="00610381"/>
    <w:rsid w:val="0061050E"/>
    <w:rsid w:val="006108C5"/>
    <w:rsid w:val="006108C9"/>
    <w:rsid w:val="00611927"/>
    <w:rsid w:val="00611DA2"/>
    <w:rsid w:val="00612208"/>
    <w:rsid w:val="006122EA"/>
    <w:rsid w:val="006124C3"/>
    <w:rsid w:val="006126FB"/>
    <w:rsid w:val="00613165"/>
    <w:rsid w:val="00613580"/>
    <w:rsid w:val="006135A6"/>
    <w:rsid w:val="0061388E"/>
    <w:rsid w:val="00613FA8"/>
    <w:rsid w:val="0061418A"/>
    <w:rsid w:val="006153E9"/>
    <w:rsid w:val="00615CF0"/>
    <w:rsid w:val="0061644F"/>
    <w:rsid w:val="006174AF"/>
    <w:rsid w:val="006178CD"/>
    <w:rsid w:val="00620291"/>
    <w:rsid w:val="00620D33"/>
    <w:rsid w:val="00620D68"/>
    <w:rsid w:val="006219C2"/>
    <w:rsid w:val="0062244A"/>
    <w:rsid w:val="0062248F"/>
    <w:rsid w:val="006229A3"/>
    <w:rsid w:val="00622B99"/>
    <w:rsid w:val="00623FA8"/>
    <w:rsid w:val="00624512"/>
    <w:rsid w:val="00624924"/>
    <w:rsid w:val="00624C56"/>
    <w:rsid w:val="0062509C"/>
    <w:rsid w:val="006254F1"/>
    <w:rsid w:val="00625B77"/>
    <w:rsid w:val="00625C50"/>
    <w:rsid w:val="006260C3"/>
    <w:rsid w:val="00626C4D"/>
    <w:rsid w:val="00626FC4"/>
    <w:rsid w:val="0062755D"/>
    <w:rsid w:val="006309C3"/>
    <w:rsid w:val="0063166D"/>
    <w:rsid w:val="00634832"/>
    <w:rsid w:val="00635413"/>
    <w:rsid w:val="00635729"/>
    <w:rsid w:val="0063644C"/>
    <w:rsid w:val="006366E2"/>
    <w:rsid w:val="00636D64"/>
    <w:rsid w:val="006373CE"/>
    <w:rsid w:val="00637EE8"/>
    <w:rsid w:val="006400FE"/>
    <w:rsid w:val="0064057F"/>
    <w:rsid w:val="0064143C"/>
    <w:rsid w:val="00641CB1"/>
    <w:rsid w:val="00642545"/>
    <w:rsid w:val="00642910"/>
    <w:rsid w:val="00642E0C"/>
    <w:rsid w:val="00644253"/>
    <w:rsid w:val="0064436B"/>
    <w:rsid w:val="0064461C"/>
    <w:rsid w:val="006456B9"/>
    <w:rsid w:val="006457EC"/>
    <w:rsid w:val="006458AF"/>
    <w:rsid w:val="0064596C"/>
    <w:rsid w:val="00647519"/>
    <w:rsid w:val="00647B65"/>
    <w:rsid w:val="006500CA"/>
    <w:rsid w:val="006513DD"/>
    <w:rsid w:val="0065198B"/>
    <w:rsid w:val="00651A32"/>
    <w:rsid w:val="00652A62"/>
    <w:rsid w:val="006540B0"/>
    <w:rsid w:val="00654B35"/>
    <w:rsid w:val="00654CA3"/>
    <w:rsid w:val="00654E36"/>
    <w:rsid w:val="00654F4D"/>
    <w:rsid w:val="00655347"/>
    <w:rsid w:val="006555E6"/>
    <w:rsid w:val="00655C4F"/>
    <w:rsid w:val="00656274"/>
    <w:rsid w:val="00657C6A"/>
    <w:rsid w:val="00660050"/>
    <w:rsid w:val="006613C4"/>
    <w:rsid w:val="006614DA"/>
    <w:rsid w:val="00663EDB"/>
    <w:rsid w:val="00664D2C"/>
    <w:rsid w:val="006656FF"/>
    <w:rsid w:val="006660F9"/>
    <w:rsid w:val="00666E4A"/>
    <w:rsid w:val="00666F54"/>
    <w:rsid w:val="006675C8"/>
    <w:rsid w:val="00667611"/>
    <w:rsid w:val="006676CA"/>
    <w:rsid w:val="00667CF6"/>
    <w:rsid w:val="0067031A"/>
    <w:rsid w:val="006703D0"/>
    <w:rsid w:val="00670491"/>
    <w:rsid w:val="0067063F"/>
    <w:rsid w:val="00670DC7"/>
    <w:rsid w:val="00670E51"/>
    <w:rsid w:val="006710C3"/>
    <w:rsid w:val="00671C9B"/>
    <w:rsid w:val="006726B3"/>
    <w:rsid w:val="00674132"/>
    <w:rsid w:val="006744E4"/>
    <w:rsid w:val="0067574E"/>
    <w:rsid w:val="006763E3"/>
    <w:rsid w:val="006766E6"/>
    <w:rsid w:val="00676A66"/>
    <w:rsid w:val="00676B57"/>
    <w:rsid w:val="00676CE9"/>
    <w:rsid w:val="0067716A"/>
    <w:rsid w:val="00680D16"/>
    <w:rsid w:val="00681CB3"/>
    <w:rsid w:val="00682A5E"/>
    <w:rsid w:val="00682F9B"/>
    <w:rsid w:val="00683005"/>
    <w:rsid w:val="00683532"/>
    <w:rsid w:val="0068356E"/>
    <w:rsid w:val="0068364B"/>
    <w:rsid w:val="00683E0A"/>
    <w:rsid w:val="00684211"/>
    <w:rsid w:val="00684911"/>
    <w:rsid w:val="00685929"/>
    <w:rsid w:val="00686402"/>
    <w:rsid w:val="00686F0E"/>
    <w:rsid w:val="00686FFC"/>
    <w:rsid w:val="0069029C"/>
    <w:rsid w:val="00690533"/>
    <w:rsid w:val="00690969"/>
    <w:rsid w:val="00690FB7"/>
    <w:rsid w:val="00691BC6"/>
    <w:rsid w:val="00691CD5"/>
    <w:rsid w:val="006921D0"/>
    <w:rsid w:val="00692EF8"/>
    <w:rsid w:val="00693147"/>
    <w:rsid w:val="006942B9"/>
    <w:rsid w:val="00695864"/>
    <w:rsid w:val="00696245"/>
    <w:rsid w:val="006962E0"/>
    <w:rsid w:val="00696B7D"/>
    <w:rsid w:val="00696D04"/>
    <w:rsid w:val="00697088"/>
    <w:rsid w:val="0069749D"/>
    <w:rsid w:val="00697C20"/>
    <w:rsid w:val="006A0093"/>
    <w:rsid w:val="006A08B6"/>
    <w:rsid w:val="006A17AB"/>
    <w:rsid w:val="006A1BD7"/>
    <w:rsid w:val="006A1FA5"/>
    <w:rsid w:val="006A29AF"/>
    <w:rsid w:val="006A30C6"/>
    <w:rsid w:val="006A30D3"/>
    <w:rsid w:val="006A3440"/>
    <w:rsid w:val="006A34BA"/>
    <w:rsid w:val="006A3643"/>
    <w:rsid w:val="006A386D"/>
    <w:rsid w:val="006A4AC3"/>
    <w:rsid w:val="006A4CCD"/>
    <w:rsid w:val="006A52F4"/>
    <w:rsid w:val="006A5A92"/>
    <w:rsid w:val="006A5DA3"/>
    <w:rsid w:val="006A6FBE"/>
    <w:rsid w:val="006A74CE"/>
    <w:rsid w:val="006A7774"/>
    <w:rsid w:val="006A7979"/>
    <w:rsid w:val="006A7D67"/>
    <w:rsid w:val="006A7DA8"/>
    <w:rsid w:val="006B0CC5"/>
    <w:rsid w:val="006B2350"/>
    <w:rsid w:val="006B2740"/>
    <w:rsid w:val="006B3A69"/>
    <w:rsid w:val="006B3CAA"/>
    <w:rsid w:val="006B3CD8"/>
    <w:rsid w:val="006B3F8E"/>
    <w:rsid w:val="006B5AF0"/>
    <w:rsid w:val="006B64B9"/>
    <w:rsid w:val="006B6621"/>
    <w:rsid w:val="006B6B44"/>
    <w:rsid w:val="006B6D97"/>
    <w:rsid w:val="006B78D6"/>
    <w:rsid w:val="006B795E"/>
    <w:rsid w:val="006B7F17"/>
    <w:rsid w:val="006C13F2"/>
    <w:rsid w:val="006C1E7A"/>
    <w:rsid w:val="006C1EFE"/>
    <w:rsid w:val="006C2016"/>
    <w:rsid w:val="006C2EB2"/>
    <w:rsid w:val="006C36E4"/>
    <w:rsid w:val="006C3BE6"/>
    <w:rsid w:val="006C432D"/>
    <w:rsid w:val="006C4DC4"/>
    <w:rsid w:val="006C550C"/>
    <w:rsid w:val="006C55DA"/>
    <w:rsid w:val="006C5D23"/>
    <w:rsid w:val="006C60FF"/>
    <w:rsid w:val="006C6375"/>
    <w:rsid w:val="006C65F4"/>
    <w:rsid w:val="006C668F"/>
    <w:rsid w:val="006C7201"/>
    <w:rsid w:val="006C797F"/>
    <w:rsid w:val="006D00F7"/>
    <w:rsid w:val="006D0C0B"/>
    <w:rsid w:val="006D0F84"/>
    <w:rsid w:val="006D1BF6"/>
    <w:rsid w:val="006D26B2"/>
    <w:rsid w:val="006D289D"/>
    <w:rsid w:val="006D2C26"/>
    <w:rsid w:val="006D2D73"/>
    <w:rsid w:val="006D2F57"/>
    <w:rsid w:val="006D463B"/>
    <w:rsid w:val="006D4727"/>
    <w:rsid w:val="006D4E16"/>
    <w:rsid w:val="006D52BD"/>
    <w:rsid w:val="006D578B"/>
    <w:rsid w:val="006D65DE"/>
    <w:rsid w:val="006D6BEF"/>
    <w:rsid w:val="006D6D9C"/>
    <w:rsid w:val="006D6E37"/>
    <w:rsid w:val="006D6FD0"/>
    <w:rsid w:val="006D77D6"/>
    <w:rsid w:val="006D7E2D"/>
    <w:rsid w:val="006E0060"/>
    <w:rsid w:val="006E0A67"/>
    <w:rsid w:val="006E0C26"/>
    <w:rsid w:val="006E0EB4"/>
    <w:rsid w:val="006E1C06"/>
    <w:rsid w:val="006E29A8"/>
    <w:rsid w:val="006E3C48"/>
    <w:rsid w:val="006E5741"/>
    <w:rsid w:val="006E57AE"/>
    <w:rsid w:val="006E6E2F"/>
    <w:rsid w:val="006E6EC3"/>
    <w:rsid w:val="006E72DD"/>
    <w:rsid w:val="006E794E"/>
    <w:rsid w:val="006E7DDF"/>
    <w:rsid w:val="006E7FA1"/>
    <w:rsid w:val="006F0255"/>
    <w:rsid w:val="006F0430"/>
    <w:rsid w:val="006F0D68"/>
    <w:rsid w:val="006F0FFF"/>
    <w:rsid w:val="006F2257"/>
    <w:rsid w:val="006F2A01"/>
    <w:rsid w:val="006F359A"/>
    <w:rsid w:val="006F3726"/>
    <w:rsid w:val="006F37E8"/>
    <w:rsid w:val="006F3E76"/>
    <w:rsid w:val="006F3F62"/>
    <w:rsid w:val="006F3FAF"/>
    <w:rsid w:val="006F48CC"/>
    <w:rsid w:val="006F4E28"/>
    <w:rsid w:val="006F5818"/>
    <w:rsid w:val="006F5F1C"/>
    <w:rsid w:val="006F60CF"/>
    <w:rsid w:val="006F6748"/>
    <w:rsid w:val="006F6DCE"/>
    <w:rsid w:val="006F73F1"/>
    <w:rsid w:val="006F7A4B"/>
    <w:rsid w:val="007000A9"/>
    <w:rsid w:val="00700FFA"/>
    <w:rsid w:val="00701755"/>
    <w:rsid w:val="0070281B"/>
    <w:rsid w:val="00702F63"/>
    <w:rsid w:val="00703D6B"/>
    <w:rsid w:val="00703E2A"/>
    <w:rsid w:val="00704897"/>
    <w:rsid w:val="007052F5"/>
    <w:rsid w:val="00706169"/>
    <w:rsid w:val="007068FC"/>
    <w:rsid w:val="00707702"/>
    <w:rsid w:val="00707AB8"/>
    <w:rsid w:val="007106EE"/>
    <w:rsid w:val="007107C6"/>
    <w:rsid w:val="007109D8"/>
    <w:rsid w:val="00711596"/>
    <w:rsid w:val="00711749"/>
    <w:rsid w:val="00712138"/>
    <w:rsid w:val="00712260"/>
    <w:rsid w:val="00715D4A"/>
    <w:rsid w:val="00715F27"/>
    <w:rsid w:val="00716A5A"/>
    <w:rsid w:val="00716CB7"/>
    <w:rsid w:val="00716FEC"/>
    <w:rsid w:val="0071797E"/>
    <w:rsid w:val="0072036A"/>
    <w:rsid w:val="00720912"/>
    <w:rsid w:val="00720BE1"/>
    <w:rsid w:val="0072168A"/>
    <w:rsid w:val="00721FB4"/>
    <w:rsid w:val="00722648"/>
    <w:rsid w:val="00722E3E"/>
    <w:rsid w:val="0072340A"/>
    <w:rsid w:val="00723741"/>
    <w:rsid w:val="0072402A"/>
    <w:rsid w:val="00724073"/>
    <w:rsid w:val="007247F3"/>
    <w:rsid w:val="007250F3"/>
    <w:rsid w:val="00725164"/>
    <w:rsid w:val="00725E8C"/>
    <w:rsid w:val="0072647F"/>
    <w:rsid w:val="00726723"/>
    <w:rsid w:val="00727AF8"/>
    <w:rsid w:val="00727C84"/>
    <w:rsid w:val="00730467"/>
    <w:rsid w:val="007305E5"/>
    <w:rsid w:val="00730DD1"/>
    <w:rsid w:val="00730EC9"/>
    <w:rsid w:val="007314F0"/>
    <w:rsid w:val="00732150"/>
    <w:rsid w:val="00732412"/>
    <w:rsid w:val="007330D4"/>
    <w:rsid w:val="007338E6"/>
    <w:rsid w:val="00733FD3"/>
    <w:rsid w:val="0073563E"/>
    <w:rsid w:val="00736237"/>
    <w:rsid w:val="00736F05"/>
    <w:rsid w:val="00737442"/>
    <w:rsid w:val="00737C59"/>
    <w:rsid w:val="007413D6"/>
    <w:rsid w:val="0074182D"/>
    <w:rsid w:val="00741D9B"/>
    <w:rsid w:val="00742DFC"/>
    <w:rsid w:val="0074406A"/>
    <w:rsid w:val="007446FD"/>
    <w:rsid w:val="00744F3C"/>
    <w:rsid w:val="007451DF"/>
    <w:rsid w:val="007453B3"/>
    <w:rsid w:val="007455AA"/>
    <w:rsid w:val="007455D3"/>
    <w:rsid w:val="007457C5"/>
    <w:rsid w:val="00746398"/>
    <w:rsid w:val="00746982"/>
    <w:rsid w:val="00746CB2"/>
    <w:rsid w:val="00746F22"/>
    <w:rsid w:val="0074724C"/>
    <w:rsid w:val="00747633"/>
    <w:rsid w:val="007504CB"/>
    <w:rsid w:val="00750ACE"/>
    <w:rsid w:val="00750AFA"/>
    <w:rsid w:val="007513AE"/>
    <w:rsid w:val="007514FA"/>
    <w:rsid w:val="007519A6"/>
    <w:rsid w:val="00751CF8"/>
    <w:rsid w:val="00751D56"/>
    <w:rsid w:val="0075230A"/>
    <w:rsid w:val="00752310"/>
    <w:rsid w:val="00752628"/>
    <w:rsid w:val="00752E33"/>
    <w:rsid w:val="00753317"/>
    <w:rsid w:val="00753DB8"/>
    <w:rsid w:val="00753E46"/>
    <w:rsid w:val="00755325"/>
    <w:rsid w:val="00756AEE"/>
    <w:rsid w:val="00756FE4"/>
    <w:rsid w:val="00757540"/>
    <w:rsid w:val="00757E17"/>
    <w:rsid w:val="007601DC"/>
    <w:rsid w:val="007602AF"/>
    <w:rsid w:val="0076073A"/>
    <w:rsid w:val="00760B11"/>
    <w:rsid w:val="00761412"/>
    <w:rsid w:val="007619DC"/>
    <w:rsid w:val="00762177"/>
    <w:rsid w:val="007635A8"/>
    <w:rsid w:val="00763B81"/>
    <w:rsid w:val="00764F32"/>
    <w:rsid w:val="0076548D"/>
    <w:rsid w:val="00766499"/>
    <w:rsid w:val="007671CE"/>
    <w:rsid w:val="007674E7"/>
    <w:rsid w:val="00767B98"/>
    <w:rsid w:val="00767E01"/>
    <w:rsid w:val="007702E4"/>
    <w:rsid w:val="007707B9"/>
    <w:rsid w:val="00771031"/>
    <w:rsid w:val="00771104"/>
    <w:rsid w:val="007713AC"/>
    <w:rsid w:val="00771AF5"/>
    <w:rsid w:val="00771C95"/>
    <w:rsid w:val="0077262D"/>
    <w:rsid w:val="00772D84"/>
    <w:rsid w:val="00774752"/>
    <w:rsid w:val="00775461"/>
    <w:rsid w:val="00775853"/>
    <w:rsid w:val="007760F9"/>
    <w:rsid w:val="00776A84"/>
    <w:rsid w:val="00777174"/>
    <w:rsid w:val="00777431"/>
    <w:rsid w:val="007801D8"/>
    <w:rsid w:val="007806AC"/>
    <w:rsid w:val="007807BC"/>
    <w:rsid w:val="00780A47"/>
    <w:rsid w:val="00780ECF"/>
    <w:rsid w:val="00780F23"/>
    <w:rsid w:val="00781CE4"/>
    <w:rsid w:val="00782C69"/>
    <w:rsid w:val="00783559"/>
    <w:rsid w:val="007837E3"/>
    <w:rsid w:val="00783848"/>
    <w:rsid w:val="00783A03"/>
    <w:rsid w:val="0078403D"/>
    <w:rsid w:val="00784717"/>
    <w:rsid w:val="007847ED"/>
    <w:rsid w:val="007850C3"/>
    <w:rsid w:val="00785855"/>
    <w:rsid w:val="007860BF"/>
    <w:rsid w:val="00786436"/>
    <w:rsid w:val="00786C5E"/>
    <w:rsid w:val="00787606"/>
    <w:rsid w:val="00787F36"/>
    <w:rsid w:val="007907E8"/>
    <w:rsid w:val="007917BE"/>
    <w:rsid w:val="00791853"/>
    <w:rsid w:val="00791F86"/>
    <w:rsid w:val="0079205A"/>
    <w:rsid w:val="007921BF"/>
    <w:rsid w:val="00792E26"/>
    <w:rsid w:val="0079317E"/>
    <w:rsid w:val="007932A9"/>
    <w:rsid w:val="007951CA"/>
    <w:rsid w:val="007959EF"/>
    <w:rsid w:val="00795EA1"/>
    <w:rsid w:val="00796E2E"/>
    <w:rsid w:val="00796F5F"/>
    <w:rsid w:val="007A026F"/>
    <w:rsid w:val="007A0780"/>
    <w:rsid w:val="007A0A08"/>
    <w:rsid w:val="007A1449"/>
    <w:rsid w:val="007A1A68"/>
    <w:rsid w:val="007A1D8C"/>
    <w:rsid w:val="007A29CD"/>
    <w:rsid w:val="007A2B2A"/>
    <w:rsid w:val="007A3143"/>
    <w:rsid w:val="007A4918"/>
    <w:rsid w:val="007A4D64"/>
    <w:rsid w:val="007A4E3C"/>
    <w:rsid w:val="007A5D1E"/>
    <w:rsid w:val="007A63FF"/>
    <w:rsid w:val="007A6508"/>
    <w:rsid w:val="007A7752"/>
    <w:rsid w:val="007A7827"/>
    <w:rsid w:val="007A7BF0"/>
    <w:rsid w:val="007B0309"/>
    <w:rsid w:val="007B05BE"/>
    <w:rsid w:val="007B0753"/>
    <w:rsid w:val="007B1352"/>
    <w:rsid w:val="007B16B4"/>
    <w:rsid w:val="007B1770"/>
    <w:rsid w:val="007B17C7"/>
    <w:rsid w:val="007B1869"/>
    <w:rsid w:val="007B26CB"/>
    <w:rsid w:val="007B3441"/>
    <w:rsid w:val="007B383F"/>
    <w:rsid w:val="007B3902"/>
    <w:rsid w:val="007B3DC1"/>
    <w:rsid w:val="007B3EB9"/>
    <w:rsid w:val="007B40F1"/>
    <w:rsid w:val="007B5061"/>
    <w:rsid w:val="007B526D"/>
    <w:rsid w:val="007B52AF"/>
    <w:rsid w:val="007B55D4"/>
    <w:rsid w:val="007B5838"/>
    <w:rsid w:val="007B59D0"/>
    <w:rsid w:val="007B7FD4"/>
    <w:rsid w:val="007C01B7"/>
    <w:rsid w:val="007C0498"/>
    <w:rsid w:val="007C06BB"/>
    <w:rsid w:val="007C0A8F"/>
    <w:rsid w:val="007C18DA"/>
    <w:rsid w:val="007C1FD1"/>
    <w:rsid w:val="007C22A2"/>
    <w:rsid w:val="007C40CE"/>
    <w:rsid w:val="007C45CD"/>
    <w:rsid w:val="007C5388"/>
    <w:rsid w:val="007C5686"/>
    <w:rsid w:val="007C5824"/>
    <w:rsid w:val="007C5ACB"/>
    <w:rsid w:val="007C5AD1"/>
    <w:rsid w:val="007C5B7C"/>
    <w:rsid w:val="007C5F4C"/>
    <w:rsid w:val="007C6118"/>
    <w:rsid w:val="007C6991"/>
    <w:rsid w:val="007C6B1D"/>
    <w:rsid w:val="007C7DD4"/>
    <w:rsid w:val="007D00D1"/>
    <w:rsid w:val="007D0506"/>
    <w:rsid w:val="007D0E4C"/>
    <w:rsid w:val="007D1230"/>
    <w:rsid w:val="007D1D95"/>
    <w:rsid w:val="007D2DFF"/>
    <w:rsid w:val="007D3023"/>
    <w:rsid w:val="007D32EF"/>
    <w:rsid w:val="007D3AD1"/>
    <w:rsid w:val="007D3E62"/>
    <w:rsid w:val="007D42ED"/>
    <w:rsid w:val="007D5D8E"/>
    <w:rsid w:val="007D65CD"/>
    <w:rsid w:val="007D661B"/>
    <w:rsid w:val="007D798A"/>
    <w:rsid w:val="007D7A29"/>
    <w:rsid w:val="007E0934"/>
    <w:rsid w:val="007E24CA"/>
    <w:rsid w:val="007E2608"/>
    <w:rsid w:val="007E270E"/>
    <w:rsid w:val="007E28E6"/>
    <w:rsid w:val="007E3105"/>
    <w:rsid w:val="007E3141"/>
    <w:rsid w:val="007E3E13"/>
    <w:rsid w:val="007E4CCD"/>
    <w:rsid w:val="007E5459"/>
    <w:rsid w:val="007E5564"/>
    <w:rsid w:val="007E5A70"/>
    <w:rsid w:val="007E5FD9"/>
    <w:rsid w:val="007E5FF0"/>
    <w:rsid w:val="007E6356"/>
    <w:rsid w:val="007E72A6"/>
    <w:rsid w:val="007E7DE4"/>
    <w:rsid w:val="007E7E15"/>
    <w:rsid w:val="007F0ACA"/>
    <w:rsid w:val="007F1253"/>
    <w:rsid w:val="007F1674"/>
    <w:rsid w:val="007F1AC9"/>
    <w:rsid w:val="007F1CDA"/>
    <w:rsid w:val="007F2379"/>
    <w:rsid w:val="007F24B5"/>
    <w:rsid w:val="007F34AB"/>
    <w:rsid w:val="007F467B"/>
    <w:rsid w:val="007F5018"/>
    <w:rsid w:val="007F598F"/>
    <w:rsid w:val="007F6441"/>
    <w:rsid w:val="007F65B2"/>
    <w:rsid w:val="007F75E9"/>
    <w:rsid w:val="007F7938"/>
    <w:rsid w:val="007F7C28"/>
    <w:rsid w:val="007F7F97"/>
    <w:rsid w:val="00800200"/>
    <w:rsid w:val="0080020F"/>
    <w:rsid w:val="00800321"/>
    <w:rsid w:val="00801550"/>
    <w:rsid w:val="00802180"/>
    <w:rsid w:val="00802565"/>
    <w:rsid w:val="00802FC4"/>
    <w:rsid w:val="008037C5"/>
    <w:rsid w:val="008048BB"/>
    <w:rsid w:val="00804B57"/>
    <w:rsid w:val="008056E5"/>
    <w:rsid w:val="00805A77"/>
    <w:rsid w:val="008063BE"/>
    <w:rsid w:val="00806794"/>
    <w:rsid w:val="008069EE"/>
    <w:rsid w:val="00806B9F"/>
    <w:rsid w:val="00806FBA"/>
    <w:rsid w:val="0080780D"/>
    <w:rsid w:val="008109A9"/>
    <w:rsid w:val="008119D2"/>
    <w:rsid w:val="00811DC5"/>
    <w:rsid w:val="008122C4"/>
    <w:rsid w:val="00812303"/>
    <w:rsid w:val="008127B0"/>
    <w:rsid w:val="00812E76"/>
    <w:rsid w:val="00813488"/>
    <w:rsid w:val="00813D97"/>
    <w:rsid w:val="00814371"/>
    <w:rsid w:val="00814FB4"/>
    <w:rsid w:val="00815010"/>
    <w:rsid w:val="0081618F"/>
    <w:rsid w:val="00817E7B"/>
    <w:rsid w:val="008206E5"/>
    <w:rsid w:val="0082124E"/>
    <w:rsid w:val="00821F1F"/>
    <w:rsid w:val="008223FB"/>
    <w:rsid w:val="008234AF"/>
    <w:rsid w:val="00823AB4"/>
    <w:rsid w:val="00823B6C"/>
    <w:rsid w:val="0082465E"/>
    <w:rsid w:val="0082476F"/>
    <w:rsid w:val="00825561"/>
    <w:rsid w:val="008256D5"/>
    <w:rsid w:val="00826672"/>
    <w:rsid w:val="00827435"/>
    <w:rsid w:val="00827438"/>
    <w:rsid w:val="00827C34"/>
    <w:rsid w:val="00830474"/>
    <w:rsid w:val="00831687"/>
    <w:rsid w:val="0083171A"/>
    <w:rsid w:val="00831815"/>
    <w:rsid w:val="00831D0F"/>
    <w:rsid w:val="00832D9E"/>
    <w:rsid w:val="00833144"/>
    <w:rsid w:val="00833340"/>
    <w:rsid w:val="008333F1"/>
    <w:rsid w:val="00834079"/>
    <w:rsid w:val="00834882"/>
    <w:rsid w:val="00835C7C"/>
    <w:rsid w:val="00836099"/>
    <w:rsid w:val="0083617E"/>
    <w:rsid w:val="00836AD3"/>
    <w:rsid w:val="00837CBF"/>
    <w:rsid w:val="00840C63"/>
    <w:rsid w:val="00840E81"/>
    <w:rsid w:val="0084130D"/>
    <w:rsid w:val="00841A2D"/>
    <w:rsid w:val="008429C5"/>
    <w:rsid w:val="008434A7"/>
    <w:rsid w:val="008434C3"/>
    <w:rsid w:val="00843503"/>
    <w:rsid w:val="008445D3"/>
    <w:rsid w:val="00845023"/>
    <w:rsid w:val="00845405"/>
    <w:rsid w:val="0085050F"/>
    <w:rsid w:val="00850579"/>
    <w:rsid w:val="00850A46"/>
    <w:rsid w:val="008515EE"/>
    <w:rsid w:val="00852074"/>
    <w:rsid w:val="00852128"/>
    <w:rsid w:val="0085299B"/>
    <w:rsid w:val="0085417D"/>
    <w:rsid w:val="00854720"/>
    <w:rsid w:val="00854E50"/>
    <w:rsid w:val="00854FD4"/>
    <w:rsid w:val="00855712"/>
    <w:rsid w:val="00856F2F"/>
    <w:rsid w:val="0085718E"/>
    <w:rsid w:val="00857BBD"/>
    <w:rsid w:val="00857F8E"/>
    <w:rsid w:val="0086055D"/>
    <w:rsid w:val="00861477"/>
    <w:rsid w:val="00861D4E"/>
    <w:rsid w:val="00861D91"/>
    <w:rsid w:val="00862320"/>
    <w:rsid w:val="00862D9A"/>
    <w:rsid w:val="008640E3"/>
    <w:rsid w:val="00864C3C"/>
    <w:rsid w:val="00865813"/>
    <w:rsid w:val="00865CEF"/>
    <w:rsid w:val="00866595"/>
    <w:rsid w:val="008667C4"/>
    <w:rsid w:val="00866E45"/>
    <w:rsid w:val="00866F24"/>
    <w:rsid w:val="00867268"/>
    <w:rsid w:val="00867DB3"/>
    <w:rsid w:val="008726F0"/>
    <w:rsid w:val="00872828"/>
    <w:rsid w:val="0087296F"/>
    <w:rsid w:val="00872BAD"/>
    <w:rsid w:val="00872CC5"/>
    <w:rsid w:val="00872DE6"/>
    <w:rsid w:val="00874E31"/>
    <w:rsid w:val="00874F22"/>
    <w:rsid w:val="008755A4"/>
    <w:rsid w:val="00875CD3"/>
    <w:rsid w:val="008765B4"/>
    <w:rsid w:val="00876B83"/>
    <w:rsid w:val="008773AE"/>
    <w:rsid w:val="00880069"/>
    <w:rsid w:val="0088136E"/>
    <w:rsid w:val="0088182C"/>
    <w:rsid w:val="00881FA8"/>
    <w:rsid w:val="00882C5A"/>
    <w:rsid w:val="008832D7"/>
    <w:rsid w:val="00883436"/>
    <w:rsid w:val="00883A47"/>
    <w:rsid w:val="008846D6"/>
    <w:rsid w:val="00884B7E"/>
    <w:rsid w:val="00884DA2"/>
    <w:rsid w:val="00885210"/>
    <w:rsid w:val="00885FC4"/>
    <w:rsid w:val="00886023"/>
    <w:rsid w:val="008862DC"/>
    <w:rsid w:val="00886C73"/>
    <w:rsid w:val="008876FB"/>
    <w:rsid w:val="00890414"/>
    <w:rsid w:val="00890582"/>
    <w:rsid w:val="0089102C"/>
    <w:rsid w:val="00891B64"/>
    <w:rsid w:val="00892D21"/>
    <w:rsid w:val="00892FF7"/>
    <w:rsid w:val="008932E2"/>
    <w:rsid w:val="00893ED5"/>
    <w:rsid w:val="008942F1"/>
    <w:rsid w:val="00894F20"/>
    <w:rsid w:val="00895E58"/>
    <w:rsid w:val="00895E7C"/>
    <w:rsid w:val="00896F23"/>
    <w:rsid w:val="0089787F"/>
    <w:rsid w:val="008A047E"/>
    <w:rsid w:val="008A2720"/>
    <w:rsid w:val="008A2924"/>
    <w:rsid w:val="008A3BB5"/>
    <w:rsid w:val="008A4768"/>
    <w:rsid w:val="008A4F34"/>
    <w:rsid w:val="008A50B6"/>
    <w:rsid w:val="008A513C"/>
    <w:rsid w:val="008A5B21"/>
    <w:rsid w:val="008A636D"/>
    <w:rsid w:val="008A6F5F"/>
    <w:rsid w:val="008A7B59"/>
    <w:rsid w:val="008B0497"/>
    <w:rsid w:val="008B0657"/>
    <w:rsid w:val="008B0EC2"/>
    <w:rsid w:val="008B1575"/>
    <w:rsid w:val="008B16EE"/>
    <w:rsid w:val="008B1796"/>
    <w:rsid w:val="008B2222"/>
    <w:rsid w:val="008B3132"/>
    <w:rsid w:val="008B3490"/>
    <w:rsid w:val="008B47EA"/>
    <w:rsid w:val="008B4874"/>
    <w:rsid w:val="008B4DE2"/>
    <w:rsid w:val="008B4E4E"/>
    <w:rsid w:val="008B5C8A"/>
    <w:rsid w:val="008B5EAA"/>
    <w:rsid w:val="008B5FEF"/>
    <w:rsid w:val="008B6039"/>
    <w:rsid w:val="008B7069"/>
    <w:rsid w:val="008B7EAA"/>
    <w:rsid w:val="008C015E"/>
    <w:rsid w:val="008C027C"/>
    <w:rsid w:val="008C03BB"/>
    <w:rsid w:val="008C1DF0"/>
    <w:rsid w:val="008C23DF"/>
    <w:rsid w:val="008C2A7F"/>
    <w:rsid w:val="008C2DAC"/>
    <w:rsid w:val="008C41FA"/>
    <w:rsid w:val="008C481F"/>
    <w:rsid w:val="008C497C"/>
    <w:rsid w:val="008C4EE1"/>
    <w:rsid w:val="008C55A3"/>
    <w:rsid w:val="008C660B"/>
    <w:rsid w:val="008C6FFC"/>
    <w:rsid w:val="008D0086"/>
    <w:rsid w:val="008D0677"/>
    <w:rsid w:val="008D1FCE"/>
    <w:rsid w:val="008D2897"/>
    <w:rsid w:val="008D2A47"/>
    <w:rsid w:val="008D31EF"/>
    <w:rsid w:val="008D3971"/>
    <w:rsid w:val="008D3C75"/>
    <w:rsid w:val="008D424F"/>
    <w:rsid w:val="008D4A9B"/>
    <w:rsid w:val="008D4AA6"/>
    <w:rsid w:val="008D5047"/>
    <w:rsid w:val="008D5914"/>
    <w:rsid w:val="008D5B6C"/>
    <w:rsid w:val="008D5F96"/>
    <w:rsid w:val="008D62EE"/>
    <w:rsid w:val="008D64B1"/>
    <w:rsid w:val="008D6EBF"/>
    <w:rsid w:val="008D6ED3"/>
    <w:rsid w:val="008D7A8F"/>
    <w:rsid w:val="008E02D7"/>
    <w:rsid w:val="008E0480"/>
    <w:rsid w:val="008E0E6D"/>
    <w:rsid w:val="008E137D"/>
    <w:rsid w:val="008E1A2C"/>
    <w:rsid w:val="008E1EBF"/>
    <w:rsid w:val="008E1F89"/>
    <w:rsid w:val="008E1FE9"/>
    <w:rsid w:val="008E20E6"/>
    <w:rsid w:val="008E2233"/>
    <w:rsid w:val="008E23F8"/>
    <w:rsid w:val="008E2D72"/>
    <w:rsid w:val="008E2F41"/>
    <w:rsid w:val="008E3CB4"/>
    <w:rsid w:val="008E3D3D"/>
    <w:rsid w:val="008E41D5"/>
    <w:rsid w:val="008E5385"/>
    <w:rsid w:val="008E5BB9"/>
    <w:rsid w:val="008E6200"/>
    <w:rsid w:val="008E66BF"/>
    <w:rsid w:val="008E6C34"/>
    <w:rsid w:val="008E72E8"/>
    <w:rsid w:val="008E7FCC"/>
    <w:rsid w:val="008F11A0"/>
    <w:rsid w:val="008F1D0F"/>
    <w:rsid w:val="008F1D9D"/>
    <w:rsid w:val="008F2535"/>
    <w:rsid w:val="008F284B"/>
    <w:rsid w:val="008F2C2A"/>
    <w:rsid w:val="008F34A4"/>
    <w:rsid w:val="008F3F0F"/>
    <w:rsid w:val="008F4EA8"/>
    <w:rsid w:val="008F4F95"/>
    <w:rsid w:val="008F62BB"/>
    <w:rsid w:val="0090164E"/>
    <w:rsid w:val="00901B11"/>
    <w:rsid w:val="00901EEF"/>
    <w:rsid w:val="00904589"/>
    <w:rsid w:val="00904866"/>
    <w:rsid w:val="00905F81"/>
    <w:rsid w:val="009100A8"/>
    <w:rsid w:val="00910793"/>
    <w:rsid w:val="00911367"/>
    <w:rsid w:val="009113BF"/>
    <w:rsid w:val="009114D3"/>
    <w:rsid w:val="00911570"/>
    <w:rsid w:val="0091164B"/>
    <w:rsid w:val="00913B40"/>
    <w:rsid w:val="00913BBD"/>
    <w:rsid w:val="009158F1"/>
    <w:rsid w:val="009159AB"/>
    <w:rsid w:val="00916516"/>
    <w:rsid w:val="00917395"/>
    <w:rsid w:val="0091743A"/>
    <w:rsid w:val="00920371"/>
    <w:rsid w:val="00920708"/>
    <w:rsid w:val="00920795"/>
    <w:rsid w:val="009218D5"/>
    <w:rsid w:val="00922B5E"/>
    <w:rsid w:val="0092343B"/>
    <w:rsid w:val="0092369B"/>
    <w:rsid w:val="00923AAD"/>
    <w:rsid w:val="00923E0E"/>
    <w:rsid w:val="00924BA0"/>
    <w:rsid w:val="009251C5"/>
    <w:rsid w:val="00925857"/>
    <w:rsid w:val="0092749E"/>
    <w:rsid w:val="009276CF"/>
    <w:rsid w:val="00930075"/>
    <w:rsid w:val="0093070E"/>
    <w:rsid w:val="009308E7"/>
    <w:rsid w:val="0093147F"/>
    <w:rsid w:val="009317C3"/>
    <w:rsid w:val="00931954"/>
    <w:rsid w:val="00931D9A"/>
    <w:rsid w:val="00931E67"/>
    <w:rsid w:val="00931F29"/>
    <w:rsid w:val="00932ABF"/>
    <w:rsid w:val="009331F5"/>
    <w:rsid w:val="009339F1"/>
    <w:rsid w:val="00933CEF"/>
    <w:rsid w:val="00934959"/>
    <w:rsid w:val="00934BA2"/>
    <w:rsid w:val="009359A2"/>
    <w:rsid w:val="00935A6F"/>
    <w:rsid w:val="00935E42"/>
    <w:rsid w:val="00935F29"/>
    <w:rsid w:val="009367E3"/>
    <w:rsid w:val="009369E7"/>
    <w:rsid w:val="009374AE"/>
    <w:rsid w:val="00937686"/>
    <w:rsid w:val="00937742"/>
    <w:rsid w:val="00937F80"/>
    <w:rsid w:val="00940317"/>
    <w:rsid w:val="00940734"/>
    <w:rsid w:val="00940F44"/>
    <w:rsid w:val="00941002"/>
    <w:rsid w:val="0094158E"/>
    <w:rsid w:val="00941648"/>
    <w:rsid w:val="009416D0"/>
    <w:rsid w:val="009417A3"/>
    <w:rsid w:val="00942C70"/>
    <w:rsid w:val="00943B6C"/>
    <w:rsid w:val="009446C6"/>
    <w:rsid w:val="0094544D"/>
    <w:rsid w:val="0094599B"/>
    <w:rsid w:val="00946135"/>
    <w:rsid w:val="009462F7"/>
    <w:rsid w:val="00946A1B"/>
    <w:rsid w:val="00947689"/>
    <w:rsid w:val="00950303"/>
    <w:rsid w:val="00950F2E"/>
    <w:rsid w:val="0095101E"/>
    <w:rsid w:val="0095122F"/>
    <w:rsid w:val="009532C1"/>
    <w:rsid w:val="009536B5"/>
    <w:rsid w:val="00953718"/>
    <w:rsid w:val="0095377B"/>
    <w:rsid w:val="009546E6"/>
    <w:rsid w:val="009548F5"/>
    <w:rsid w:val="00955CBF"/>
    <w:rsid w:val="009579B5"/>
    <w:rsid w:val="00957A78"/>
    <w:rsid w:val="00957AF2"/>
    <w:rsid w:val="00957B2F"/>
    <w:rsid w:val="00957C99"/>
    <w:rsid w:val="00960295"/>
    <w:rsid w:val="00960584"/>
    <w:rsid w:val="00960A81"/>
    <w:rsid w:val="00961019"/>
    <w:rsid w:val="0096128D"/>
    <w:rsid w:val="00961A74"/>
    <w:rsid w:val="00963A32"/>
    <w:rsid w:val="00963DA9"/>
    <w:rsid w:val="00963EFA"/>
    <w:rsid w:val="0096475B"/>
    <w:rsid w:val="00964B4C"/>
    <w:rsid w:val="00965367"/>
    <w:rsid w:val="00965B9B"/>
    <w:rsid w:val="00965C7B"/>
    <w:rsid w:val="00965D17"/>
    <w:rsid w:val="00965DFF"/>
    <w:rsid w:val="00965E3D"/>
    <w:rsid w:val="00966178"/>
    <w:rsid w:val="00966994"/>
    <w:rsid w:val="009669AA"/>
    <w:rsid w:val="00966D06"/>
    <w:rsid w:val="009672BE"/>
    <w:rsid w:val="009705D7"/>
    <w:rsid w:val="00970632"/>
    <w:rsid w:val="0097102E"/>
    <w:rsid w:val="00971150"/>
    <w:rsid w:val="00971D73"/>
    <w:rsid w:val="0097200E"/>
    <w:rsid w:val="00972BBC"/>
    <w:rsid w:val="0097361F"/>
    <w:rsid w:val="009747FE"/>
    <w:rsid w:val="00974F36"/>
    <w:rsid w:val="0097532F"/>
    <w:rsid w:val="00975472"/>
    <w:rsid w:val="00975561"/>
    <w:rsid w:val="00976820"/>
    <w:rsid w:val="0097728E"/>
    <w:rsid w:val="009774C7"/>
    <w:rsid w:val="00977F0A"/>
    <w:rsid w:val="0098076E"/>
    <w:rsid w:val="00981CC3"/>
    <w:rsid w:val="0098209B"/>
    <w:rsid w:val="00983315"/>
    <w:rsid w:val="00983651"/>
    <w:rsid w:val="00983816"/>
    <w:rsid w:val="00984A7A"/>
    <w:rsid w:val="00984A84"/>
    <w:rsid w:val="00984F9D"/>
    <w:rsid w:val="009853C4"/>
    <w:rsid w:val="00985A2F"/>
    <w:rsid w:val="00985E9B"/>
    <w:rsid w:val="00987FD8"/>
    <w:rsid w:val="00990516"/>
    <w:rsid w:val="00990B3C"/>
    <w:rsid w:val="00990D15"/>
    <w:rsid w:val="00991B7A"/>
    <w:rsid w:val="0099201E"/>
    <w:rsid w:val="009928B4"/>
    <w:rsid w:val="00993615"/>
    <w:rsid w:val="00993D8D"/>
    <w:rsid w:val="009941E8"/>
    <w:rsid w:val="009942D9"/>
    <w:rsid w:val="009956C6"/>
    <w:rsid w:val="00995D46"/>
    <w:rsid w:val="00995D93"/>
    <w:rsid w:val="009963AA"/>
    <w:rsid w:val="009964FF"/>
    <w:rsid w:val="00996C35"/>
    <w:rsid w:val="00996F81"/>
    <w:rsid w:val="009A026F"/>
    <w:rsid w:val="009A0319"/>
    <w:rsid w:val="009A1180"/>
    <w:rsid w:val="009A12D8"/>
    <w:rsid w:val="009A16DD"/>
    <w:rsid w:val="009A1E77"/>
    <w:rsid w:val="009A1F47"/>
    <w:rsid w:val="009A39B0"/>
    <w:rsid w:val="009A45B0"/>
    <w:rsid w:val="009A5507"/>
    <w:rsid w:val="009A55CD"/>
    <w:rsid w:val="009A5DC0"/>
    <w:rsid w:val="009A6438"/>
    <w:rsid w:val="009A6699"/>
    <w:rsid w:val="009A6744"/>
    <w:rsid w:val="009A6BAE"/>
    <w:rsid w:val="009A6EAB"/>
    <w:rsid w:val="009A7059"/>
    <w:rsid w:val="009A7FEB"/>
    <w:rsid w:val="009B0668"/>
    <w:rsid w:val="009B0A61"/>
    <w:rsid w:val="009B1B66"/>
    <w:rsid w:val="009B21D6"/>
    <w:rsid w:val="009B2217"/>
    <w:rsid w:val="009B3159"/>
    <w:rsid w:val="009B3E98"/>
    <w:rsid w:val="009B47E0"/>
    <w:rsid w:val="009B5D03"/>
    <w:rsid w:val="009B632C"/>
    <w:rsid w:val="009B6573"/>
    <w:rsid w:val="009B7370"/>
    <w:rsid w:val="009B747C"/>
    <w:rsid w:val="009B7708"/>
    <w:rsid w:val="009B7CE7"/>
    <w:rsid w:val="009C0324"/>
    <w:rsid w:val="009C129E"/>
    <w:rsid w:val="009C19B8"/>
    <w:rsid w:val="009C352A"/>
    <w:rsid w:val="009C3906"/>
    <w:rsid w:val="009C393F"/>
    <w:rsid w:val="009C429A"/>
    <w:rsid w:val="009C4326"/>
    <w:rsid w:val="009C51DF"/>
    <w:rsid w:val="009C5C0A"/>
    <w:rsid w:val="009C6B44"/>
    <w:rsid w:val="009C73A1"/>
    <w:rsid w:val="009C747B"/>
    <w:rsid w:val="009C78F7"/>
    <w:rsid w:val="009C7D42"/>
    <w:rsid w:val="009D0636"/>
    <w:rsid w:val="009D10CB"/>
    <w:rsid w:val="009D1217"/>
    <w:rsid w:val="009D1753"/>
    <w:rsid w:val="009D17A1"/>
    <w:rsid w:val="009D1870"/>
    <w:rsid w:val="009D1B61"/>
    <w:rsid w:val="009D24BA"/>
    <w:rsid w:val="009D2B2D"/>
    <w:rsid w:val="009D3681"/>
    <w:rsid w:val="009D3D08"/>
    <w:rsid w:val="009D45E2"/>
    <w:rsid w:val="009D5F5E"/>
    <w:rsid w:val="009D73ED"/>
    <w:rsid w:val="009E009C"/>
    <w:rsid w:val="009E0983"/>
    <w:rsid w:val="009E1D07"/>
    <w:rsid w:val="009E26A5"/>
    <w:rsid w:val="009E31E4"/>
    <w:rsid w:val="009E35D8"/>
    <w:rsid w:val="009E3825"/>
    <w:rsid w:val="009E3C45"/>
    <w:rsid w:val="009E3D83"/>
    <w:rsid w:val="009E3FFC"/>
    <w:rsid w:val="009E4484"/>
    <w:rsid w:val="009E4C0D"/>
    <w:rsid w:val="009E4F08"/>
    <w:rsid w:val="009E5E09"/>
    <w:rsid w:val="009E714C"/>
    <w:rsid w:val="009F0243"/>
    <w:rsid w:val="009F0B41"/>
    <w:rsid w:val="009F1558"/>
    <w:rsid w:val="009F1A04"/>
    <w:rsid w:val="009F21D6"/>
    <w:rsid w:val="009F27F0"/>
    <w:rsid w:val="009F2DF0"/>
    <w:rsid w:val="009F3267"/>
    <w:rsid w:val="009F34A4"/>
    <w:rsid w:val="009F41A1"/>
    <w:rsid w:val="009F44A2"/>
    <w:rsid w:val="009F587A"/>
    <w:rsid w:val="009F5F74"/>
    <w:rsid w:val="009F6530"/>
    <w:rsid w:val="009F6D69"/>
    <w:rsid w:val="009F7780"/>
    <w:rsid w:val="009F7C7A"/>
    <w:rsid w:val="00A00CC8"/>
    <w:rsid w:val="00A00FAE"/>
    <w:rsid w:val="00A017A8"/>
    <w:rsid w:val="00A01C00"/>
    <w:rsid w:val="00A02D5F"/>
    <w:rsid w:val="00A02F1A"/>
    <w:rsid w:val="00A03150"/>
    <w:rsid w:val="00A036A7"/>
    <w:rsid w:val="00A0372C"/>
    <w:rsid w:val="00A03CC1"/>
    <w:rsid w:val="00A03DA8"/>
    <w:rsid w:val="00A03DC8"/>
    <w:rsid w:val="00A04B5F"/>
    <w:rsid w:val="00A04BF1"/>
    <w:rsid w:val="00A05917"/>
    <w:rsid w:val="00A059F8"/>
    <w:rsid w:val="00A060AD"/>
    <w:rsid w:val="00A0636E"/>
    <w:rsid w:val="00A079CA"/>
    <w:rsid w:val="00A10106"/>
    <w:rsid w:val="00A10B8D"/>
    <w:rsid w:val="00A11786"/>
    <w:rsid w:val="00A11BC8"/>
    <w:rsid w:val="00A11D2D"/>
    <w:rsid w:val="00A124DC"/>
    <w:rsid w:val="00A13D3C"/>
    <w:rsid w:val="00A1408C"/>
    <w:rsid w:val="00A14D08"/>
    <w:rsid w:val="00A155B6"/>
    <w:rsid w:val="00A16095"/>
    <w:rsid w:val="00A1617B"/>
    <w:rsid w:val="00A1734D"/>
    <w:rsid w:val="00A177DD"/>
    <w:rsid w:val="00A2009B"/>
    <w:rsid w:val="00A20CD2"/>
    <w:rsid w:val="00A2111E"/>
    <w:rsid w:val="00A21B9D"/>
    <w:rsid w:val="00A222B3"/>
    <w:rsid w:val="00A22D02"/>
    <w:rsid w:val="00A23653"/>
    <w:rsid w:val="00A238C4"/>
    <w:rsid w:val="00A24148"/>
    <w:rsid w:val="00A248EF"/>
    <w:rsid w:val="00A24C2D"/>
    <w:rsid w:val="00A2526B"/>
    <w:rsid w:val="00A26285"/>
    <w:rsid w:val="00A2696F"/>
    <w:rsid w:val="00A273FC"/>
    <w:rsid w:val="00A300F2"/>
    <w:rsid w:val="00A314CE"/>
    <w:rsid w:val="00A32AA8"/>
    <w:rsid w:val="00A35684"/>
    <w:rsid w:val="00A35FAD"/>
    <w:rsid w:val="00A36790"/>
    <w:rsid w:val="00A37260"/>
    <w:rsid w:val="00A3774F"/>
    <w:rsid w:val="00A4122D"/>
    <w:rsid w:val="00A41C22"/>
    <w:rsid w:val="00A420EC"/>
    <w:rsid w:val="00A425B1"/>
    <w:rsid w:val="00A42948"/>
    <w:rsid w:val="00A4389B"/>
    <w:rsid w:val="00A43B98"/>
    <w:rsid w:val="00A44B4E"/>
    <w:rsid w:val="00A46E13"/>
    <w:rsid w:val="00A47B12"/>
    <w:rsid w:val="00A5046D"/>
    <w:rsid w:val="00A50555"/>
    <w:rsid w:val="00A5113C"/>
    <w:rsid w:val="00A51149"/>
    <w:rsid w:val="00A535EE"/>
    <w:rsid w:val="00A5443B"/>
    <w:rsid w:val="00A54811"/>
    <w:rsid w:val="00A55B06"/>
    <w:rsid w:val="00A55FD0"/>
    <w:rsid w:val="00A56CAD"/>
    <w:rsid w:val="00A574ED"/>
    <w:rsid w:val="00A579CF"/>
    <w:rsid w:val="00A60364"/>
    <w:rsid w:val="00A6178D"/>
    <w:rsid w:val="00A61935"/>
    <w:rsid w:val="00A62622"/>
    <w:rsid w:val="00A627C5"/>
    <w:rsid w:val="00A628C4"/>
    <w:rsid w:val="00A640CA"/>
    <w:rsid w:val="00A64EE1"/>
    <w:rsid w:val="00A6603D"/>
    <w:rsid w:val="00A67FC3"/>
    <w:rsid w:val="00A70BFF"/>
    <w:rsid w:val="00A715A8"/>
    <w:rsid w:val="00A71DDD"/>
    <w:rsid w:val="00A71E8E"/>
    <w:rsid w:val="00A7301B"/>
    <w:rsid w:val="00A7304E"/>
    <w:rsid w:val="00A74A9C"/>
    <w:rsid w:val="00A75E35"/>
    <w:rsid w:val="00A7609E"/>
    <w:rsid w:val="00A76907"/>
    <w:rsid w:val="00A7773B"/>
    <w:rsid w:val="00A7779A"/>
    <w:rsid w:val="00A77CA4"/>
    <w:rsid w:val="00A80612"/>
    <w:rsid w:val="00A80BBC"/>
    <w:rsid w:val="00A80F87"/>
    <w:rsid w:val="00A8191A"/>
    <w:rsid w:val="00A8263D"/>
    <w:rsid w:val="00A83FD7"/>
    <w:rsid w:val="00A84BEA"/>
    <w:rsid w:val="00A850FE"/>
    <w:rsid w:val="00A8526D"/>
    <w:rsid w:val="00A86757"/>
    <w:rsid w:val="00A87411"/>
    <w:rsid w:val="00A9069F"/>
    <w:rsid w:val="00A90DB8"/>
    <w:rsid w:val="00A91BAC"/>
    <w:rsid w:val="00A92350"/>
    <w:rsid w:val="00A9276D"/>
    <w:rsid w:val="00A9278B"/>
    <w:rsid w:val="00A93001"/>
    <w:rsid w:val="00A937DF"/>
    <w:rsid w:val="00A93E88"/>
    <w:rsid w:val="00A9400F"/>
    <w:rsid w:val="00A9426B"/>
    <w:rsid w:val="00A94855"/>
    <w:rsid w:val="00A9532B"/>
    <w:rsid w:val="00A95443"/>
    <w:rsid w:val="00A9764C"/>
    <w:rsid w:val="00A97C5F"/>
    <w:rsid w:val="00A97FC0"/>
    <w:rsid w:val="00AA0085"/>
    <w:rsid w:val="00AA06EE"/>
    <w:rsid w:val="00AA0705"/>
    <w:rsid w:val="00AA0BC9"/>
    <w:rsid w:val="00AA0FD3"/>
    <w:rsid w:val="00AA1164"/>
    <w:rsid w:val="00AA12EB"/>
    <w:rsid w:val="00AA1568"/>
    <w:rsid w:val="00AA15CF"/>
    <w:rsid w:val="00AA1BA4"/>
    <w:rsid w:val="00AA1FF3"/>
    <w:rsid w:val="00AA33C4"/>
    <w:rsid w:val="00AA399D"/>
    <w:rsid w:val="00AA39BA"/>
    <w:rsid w:val="00AA4285"/>
    <w:rsid w:val="00AA48DE"/>
    <w:rsid w:val="00AA4CDB"/>
    <w:rsid w:val="00AA5342"/>
    <w:rsid w:val="00AA5A1E"/>
    <w:rsid w:val="00AA60B4"/>
    <w:rsid w:val="00AA6BE1"/>
    <w:rsid w:val="00AA71F6"/>
    <w:rsid w:val="00AA7E72"/>
    <w:rsid w:val="00AB0464"/>
    <w:rsid w:val="00AB088D"/>
    <w:rsid w:val="00AB15DA"/>
    <w:rsid w:val="00AB1906"/>
    <w:rsid w:val="00AB1CC1"/>
    <w:rsid w:val="00AB2273"/>
    <w:rsid w:val="00AB2E42"/>
    <w:rsid w:val="00AB33AA"/>
    <w:rsid w:val="00AB3FFA"/>
    <w:rsid w:val="00AB61BD"/>
    <w:rsid w:val="00AB6A16"/>
    <w:rsid w:val="00AB6B2D"/>
    <w:rsid w:val="00AB6B88"/>
    <w:rsid w:val="00AC034C"/>
    <w:rsid w:val="00AC0E9C"/>
    <w:rsid w:val="00AC2F4D"/>
    <w:rsid w:val="00AC3938"/>
    <w:rsid w:val="00AC4F64"/>
    <w:rsid w:val="00AC51F3"/>
    <w:rsid w:val="00AC6D3E"/>
    <w:rsid w:val="00AC6D73"/>
    <w:rsid w:val="00AD029F"/>
    <w:rsid w:val="00AD0591"/>
    <w:rsid w:val="00AD0CCC"/>
    <w:rsid w:val="00AD10C0"/>
    <w:rsid w:val="00AD1CFA"/>
    <w:rsid w:val="00AD32C4"/>
    <w:rsid w:val="00AD4228"/>
    <w:rsid w:val="00AD42FB"/>
    <w:rsid w:val="00AD4534"/>
    <w:rsid w:val="00AD4F66"/>
    <w:rsid w:val="00AD50C8"/>
    <w:rsid w:val="00AD51E5"/>
    <w:rsid w:val="00AD619C"/>
    <w:rsid w:val="00AD629B"/>
    <w:rsid w:val="00AD6E79"/>
    <w:rsid w:val="00AD708E"/>
    <w:rsid w:val="00AD7770"/>
    <w:rsid w:val="00AD7E78"/>
    <w:rsid w:val="00AE03E0"/>
    <w:rsid w:val="00AE07B4"/>
    <w:rsid w:val="00AE1C09"/>
    <w:rsid w:val="00AE1E58"/>
    <w:rsid w:val="00AE20F7"/>
    <w:rsid w:val="00AE2139"/>
    <w:rsid w:val="00AE2DB2"/>
    <w:rsid w:val="00AE3210"/>
    <w:rsid w:val="00AE3228"/>
    <w:rsid w:val="00AE3CE5"/>
    <w:rsid w:val="00AE4879"/>
    <w:rsid w:val="00AE60D6"/>
    <w:rsid w:val="00AE7792"/>
    <w:rsid w:val="00AE7CB0"/>
    <w:rsid w:val="00AE7EB9"/>
    <w:rsid w:val="00AF275C"/>
    <w:rsid w:val="00AF29CC"/>
    <w:rsid w:val="00AF301F"/>
    <w:rsid w:val="00AF36DC"/>
    <w:rsid w:val="00AF49AE"/>
    <w:rsid w:val="00AF4BDA"/>
    <w:rsid w:val="00AF566F"/>
    <w:rsid w:val="00AF68A1"/>
    <w:rsid w:val="00AF6967"/>
    <w:rsid w:val="00AF72F1"/>
    <w:rsid w:val="00AF7BEA"/>
    <w:rsid w:val="00B007B9"/>
    <w:rsid w:val="00B00D63"/>
    <w:rsid w:val="00B01A54"/>
    <w:rsid w:val="00B0217A"/>
    <w:rsid w:val="00B03195"/>
    <w:rsid w:val="00B032DC"/>
    <w:rsid w:val="00B038AF"/>
    <w:rsid w:val="00B03EE7"/>
    <w:rsid w:val="00B03FB3"/>
    <w:rsid w:val="00B0497C"/>
    <w:rsid w:val="00B05987"/>
    <w:rsid w:val="00B0598A"/>
    <w:rsid w:val="00B06F8D"/>
    <w:rsid w:val="00B07F12"/>
    <w:rsid w:val="00B100F0"/>
    <w:rsid w:val="00B10380"/>
    <w:rsid w:val="00B111C3"/>
    <w:rsid w:val="00B1122E"/>
    <w:rsid w:val="00B11419"/>
    <w:rsid w:val="00B11A53"/>
    <w:rsid w:val="00B120B9"/>
    <w:rsid w:val="00B12841"/>
    <w:rsid w:val="00B12A97"/>
    <w:rsid w:val="00B14C0F"/>
    <w:rsid w:val="00B1562B"/>
    <w:rsid w:val="00B161EC"/>
    <w:rsid w:val="00B1636C"/>
    <w:rsid w:val="00B17D86"/>
    <w:rsid w:val="00B20271"/>
    <w:rsid w:val="00B210B9"/>
    <w:rsid w:val="00B215CD"/>
    <w:rsid w:val="00B216D1"/>
    <w:rsid w:val="00B2311E"/>
    <w:rsid w:val="00B2349D"/>
    <w:rsid w:val="00B23D81"/>
    <w:rsid w:val="00B24340"/>
    <w:rsid w:val="00B24628"/>
    <w:rsid w:val="00B2533E"/>
    <w:rsid w:val="00B258E8"/>
    <w:rsid w:val="00B25FDC"/>
    <w:rsid w:val="00B260BF"/>
    <w:rsid w:val="00B2618F"/>
    <w:rsid w:val="00B261BB"/>
    <w:rsid w:val="00B26EE9"/>
    <w:rsid w:val="00B26F26"/>
    <w:rsid w:val="00B27212"/>
    <w:rsid w:val="00B30186"/>
    <w:rsid w:val="00B303AE"/>
    <w:rsid w:val="00B31D34"/>
    <w:rsid w:val="00B32235"/>
    <w:rsid w:val="00B323E2"/>
    <w:rsid w:val="00B32893"/>
    <w:rsid w:val="00B3343D"/>
    <w:rsid w:val="00B3381B"/>
    <w:rsid w:val="00B33E5E"/>
    <w:rsid w:val="00B34773"/>
    <w:rsid w:val="00B34AFC"/>
    <w:rsid w:val="00B35513"/>
    <w:rsid w:val="00B357D3"/>
    <w:rsid w:val="00B35AFA"/>
    <w:rsid w:val="00B35B61"/>
    <w:rsid w:val="00B3643A"/>
    <w:rsid w:val="00B366E1"/>
    <w:rsid w:val="00B36AF3"/>
    <w:rsid w:val="00B36ED5"/>
    <w:rsid w:val="00B37F5F"/>
    <w:rsid w:val="00B407C6"/>
    <w:rsid w:val="00B40971"/>
    <w:rsid w:val="00B40C23"/>
    <w:rsid w:val="00B40DDB"/>
    <w:rsid w:val="00B41CB2"/>
    <w:rsid w:val="00B42709"/>
    <w:rsid w:val="00B43067"/>
    <w:rsid w:val="00B434F5"/>
    <w:rsid w:val="00B439FB"/>
    <w:rsid w:val="00B43CA5"/>
    <w:rsid w:val="00B4403E"/>
    <w:rsid w:val="00B440AC"/>
    <w:rsid w:val="00B4441F"/>
    <w:rsid w:val="00B445A4"/>
    <w:rsid w:val="00B4592F"/>
    <w:rsid w:val="00B459E3"/>
    <w:rsid w:val="00B4738F"/>
    <w:rsid w:val="00B47B39"/>
    <w:rsid w:val="00B500DA"/>
    <w:rsid w:val="00B50C4E"/>
    <w:rsid w:val="00B51412"/>
    <w:rsid w:val="00B52149"/>
    <w:rsid w:val="00B5249F"/>
    <w:rsid w:val="00B52882"/>
    <w:rsid w:val="00B53102"/>
    <w:rsid w:val="00B53468"/>
    <w:rsid w:val="00B53863"/>
    <w:rsid w:val="00B53985"/>
    <w:rsid w:val="00B53CAD"/>
    <w:rsid w:val="00B53F15"/>
    <w:rsid w:val="00B540EF"/>
    <w:rsid w:val="00B54563"/>
    <w:rsid w:val="00B54D68"/>
    <w:rsid w:val="00B54E40"/>
    <w:rsid w:val="00B54E48"/>
    <w:rsid w:val="00B54E58"/>
    <w:rsid w:val="00B55516"/>
    <w:rsid w:val="00B55742"/>
    <w:rsid w:val="00B55C1C"/>
    <w:rsid w:val="00B55DDD"/>
    <w:rsid w:val="00B56D04"/>
    <w:rsid w:val="00B56F98"/>
    <w:rsid w:val="00B57556"/>
    <w:rsid w:val="00B57797"/>
    <w:rsid w:val="00B578D0"/>
    <w:rsid w:val="00B57980"/>
    <w:rsid w:val="00B6092C"/>
    <w:rsid w:val="00B6220E"/>
    <w:rsid w:val="00B62220"/>
    <w:rsid w:val="00B62566"/>
    <w:rsid w:val="00B63513"/>
    <w:rsid w:val="00B6380B"/>
    <w:rsid w:val="00B63BAE"/>
    <w:rsid w:val="00B6410B"/>
    <w:rsid w:val="00B64189"/>
    <w:rsid w:val="00B64212"/>
    <w:rsid w:val="00B64C54"/>
    <w:rsid w:val="00B64E88"/>
    <w:rsid w:val="00B65F05"/>
    <w:rsid w:val="00B65F48"/>
    <w:rsid w:val="00B65FDE"/>
    <w:rsid w:val="00B67CB9"/>
    <w:rsid w:val="00B702EA"/>
    <w:rsid w:val="00B702F9"/>
    <w:rsid w:val="00B70360"/>
    <w:rsid w:val="00B7095E"/>
    <w:rsid w:val="00B70EAE"/>
    <w:rsid w:val="00B7158D"/>
    <w:rsid w:val="00B71BDC"/>
    <w:rsid w:val="00B722B2"/>
    <w:rsid w:val="00B72C47"/>
    <w:rsid w:val="00B72E07"/>
    <w:rsid w:val="00B73CB9"/>
    <w:rsid w:val="00B73EB0"/>
    <w:rsid w:val="00B74B71"/>
    <w:rsid w:val="00B74E03"/>
    <w:rsid w:val="00B75634"/>
    <w:rsid w:val="00B75C37"/>
    <w:rsid w:val="00B75FC0"/>
    <w:rsid w:val="00B76463"/>
    <w:rsid w:val="00B7773D"/>
    <w:rsid w:val="00B77EFC"/>
    <w:rsid w:val="00B77FDD"/>
    <w:rsid w:val="00B801E1"/>
    <w:rsid w:val="00B80747"/>
    <w:rsid w:val="00B80958"/>
    <w:rsid w:val="00B80E23"/>
    <w:rsid w:val="00B811E6"/>
    <w:rsid w:val="00B814C1"/>
    <w:rsid w:val="00B82FAE"/>
    <w:rsid w:val="00B84551"/>
    <w:rsid w:val="00B84F13"/>
    <w:rsid w:val="00B85527"/>
    <w:rsid w:val="00B85810"/>
    <w:rsid w:val="00B85D8E"/>
    <w:rsid w:val="00B869B2"/>
    <w:rsid w:val="00B86CFD"/>
    <w:rsid w:val="00B8700D"/>
    <w:rsid w:val="00B87272"/>
    <w:rsid w:val="00B9071D"/>
    <w:rsid w:val="00B90CC7"/>
    <w:rsid w:val="00B9155A"/>
    <w:rsid w:val="00B91665"/>
    <w:rsid w:val="00B916AE"/>
    <w:rsid w:val="00B91B14"/>
    <w:rsid w:val="00B92511"/>
    <w:rsid w:val="00B938F4"/>
    <w:rsid w:val="00B94574"/>
    <w:rsid w:val="00B94BAC"/>
    <w:rsid w:val="00B94D53"/>
    <w:rsid w:val="00B94D5F"/>
    <w:rsid w:val="00B95A30"/>
    <w:rsid w:val="00B96200"/>
    <w:rsid w:val="00B97019"/>
    <w:rsid w:val="00B97DF6"/>
    <w:rsid w:val="00B97DFA"/>
    <w:rsid w:val="00B97FA4"/>
    <w:rsid w:val="00BA0053"/>
    <w:rsid w:val="00BA099D"/>
    <w:rsid w:val="00BA0C94"/>
    <w:rsid w:val="00BA0D8A"/>
    <w:rsid w:val="00BA111B"/>
    <w:rsid w:val="00BA11DF"/>
    <w:rsid w:val="00BA1478"/>
    <w:rsid w:val="00BA1F45"/>
    <w:rsid w:val="00BA2246"/>
    <w:rsid w:val="00BA2275"/>
    <w:rsid w:val="00BA2726"/>
    <w:rsid w:val="00BA2B51"/>
    <w:rsid w:val="00BA467D"/>
    <w:rsid w:val="00BA48D1"/>
    <w:rsid w:val="00BA4AA3"/>
    <w:rsid w:val="00BA50C9"/>
    <w:rsid w:val="00BA536E"/>
    <w:rsid w:val="00BA56E5"/>
    <w:rsid w:val="00BA5F48"/>
    <w:rsid w:val="00BA619C"/>
    <w:rsid w:val="00BA6687"/>
    <w:rsid w:val="00BA68B8"/>
    <w:rsid w:val="00BA71D9"/>
    <w:rsid w:val="00BA73D1"/>
    <w:rsid w:val="00BA7AE9"/>
    <w:rsid w:val="00BB025F"/>
    <w:rsid w:val="00BB0E4C"/>
    <w:rsid w:val="00BB15FC"/>
    <w:rsid w:val="00BB18A1"/>
    <w:rsid w:val="00BB18DF"/>
    <w:rsid w:val="00BB1C5E"/>
    <w:rsid w:val="00BB1CFE"/>
    <w:rsid w:val="00BB3539"/>
    <w:rsid w:val="00BB38DE"/>
    <w:rsid w:val="00BB44DE"/>
    <w:rsid w:val="00BB4696"/>
    <w:rsid w:val="00BB6089"/>
    <w:rsid w:val="00BB6A06"/>
    <w:rsid w:val="00BB7323"/>
    <w:rsid w:val="00BB7869"/>
    <w:rsid w:val="00BC00FB"/>
    <w:rsid w:val="00BC0A52"/>
    <w:rsid w:val="00BC0D1C"/>
    <w:rsid w:val="00BC13C4"/>
    <w:rsid w:val="00BC1745"/>
    <w:rsid w:val="00BC1D63"/>
    <w:rsid w:val="00BC2052"/>
    <w:rsid w:val="00BC2E58"/>
    <w:rsid w:val="00BC2EDD"/>
    <w:rsid w:val="00BC34C2"/>
    <w:rsid w:val="00BC34EF"/>
    <w:rsid w:val="00BC43E6"/>
    <w:rsid w:val="00BC565E"/>
    <w:rsid w:val="00BC5D78"/>
    <w:rsid w:val="00BC6322"/>
    <w:rsid w:val="00BC63FD"/>
    <w:rsid w:val="00BC68FA"/>
    <w:rsid w:val="00BC73FC"/>
    <w:rsid w:val="00BC7826"/>
    <w:rsid w:val="00BD0D77"/>
    <w:rsid w:val="00BD117D"/>
    <w:rsid w:val="00BD1664"/>
    <w:rsid w:val="00BD166A"/>
    <w:rsid w:val="00BD1B67"/>
    <w:rsid w:val="00BD29DC"/>
    <w:rsid w:val="00BD371F"/>
    <w:rsid w:val="00BD37DC"/>
    <w:rsid w:val="00BD4C2A"/>
    <w:rsid w:val="00BD4E3C"/>
    <w:rsid w:val="00BD53FE"/>
    <w:rsid w:val="00BD636A"/>
    <w:rsid w:val="00BD63F6"/>
    <w:rsid w:val="00BD64CB"/>
    <w:rsid w:val="00BD679D"/>
    <w:rsid w:val="00BE03B4"/>
    <w:rsid w:val="00BE04FA"/>
    <w:rsid w:val="00BE1071"/>
    <w:rsid w:val="00BE249B"/>
    <w:rsid w:val="00BE30D8"/>
    <w:rsid w:val="00BE44D1"/>
    <w:rsid w:val="00BE5E45"/>
    <w:rsid w:val="00BE6131"/>
    <w:rsid w:val="00BE6133"/>
    <w:rsid w:val="00BE644A"/>
    <w:rsid w:val="00BE65D3"/>
    <w:rsid w:val="00BE6C2B"/>
    <w:rsid w:val="00BE74F4"/>
    <w:rsid w:val="00BE756B"/>
    <w:rsid w:val="00BE7A32"/>
    <w:rsid w:val="00BE7EEB"/>
    <w:rsid w:val="00BF02D8"/>
    <w:rsid w:val="00BF054A"/>
    <w:rsid w:val="00BF167E"/>
    <w:rsid w:val="00BF2411"/>
    <w:rsid w:val="00BF2FCD"/>
    <w:rsid w:val="00BF32BC"/>
    <w:rsid w:val="00BF3327"/>
    <w:rsid w:val="00BF40CD"/>
    <w:rsid w:val="00BF45DA"/>
    <w:rsid w:val="00BF4FB7"/>
    <w:rsid w:val="00BF5B09"/>
    <w:rsid w:val="00BF5F87"/>
    <w:rsid w:val="00BF6922"/>
    <w:rsid w:val="00BF6941"/>
    <w:rsid w:val="00BF747F"/>
    <w:rsid w:val="00BF764E"/>
    <w:rsid w:val="00BF7A5C"/>
    <w:rsid w:val="00BF7EB5"/>
    <w:rsid w:val="00C02583"/>
    <w:rsid w:val="00C02EEF"/>
    <w:rsid w:val="00C02F5C"/>
    <w:rsid w:val="00C03C6C"/>
    <w:rsid w:val="00C046F9"/>
    <w:rsid w:val="00C0610C"/>
    <w:rsid w:val="00C06852"/>
    <w:rsid w:val="00C06A4F"/>
    <w:rsid w:val="00C07C0D"/>
    <w:rsid w:val="00C07FED"/>
    <w:rsid w:val="00C10311"/>
    <w:rsid w:val="00C10552"/>
    <w:rsid w:val="00C10E84"/>
    <w:rsid w:val="00C12B4D"/>
    <w:rsid w:val="00C13104"/>
    <w:rsid w:val="00C13FD1"/>
    <w:rsid w:val="00C140E8"/>
    <w:rsid w:val="00C144DB"/>
    <w:rsid w:val="00C15427"/>
    <w:rsid w:val="00C16227"/>
    <w:rsid w:val="00C16789"/>
    <w:rsid w:val="00C17456"/>
    <w:rsid w:val="00C20160"/>
    <w:rsid w:val="00C2239E"/>
    <w:rsid w:val="00C22B0D"/>
    <w:rsid w:val="00C2324F"/>
    <w:rsid w:val="00C2339C"/>
    <w:rsid w:val="00C23E9E"/>
    <w:rsid w:val="00C24AFE"/>
    <w:rsid w:val="00C24EF5"/>
    <w:rsid w:val="00C24F0A"/>
    <w:rsid w:val="00C25E34"/>
    <w:rsid w:val="00C26BDD"/>
    <w:rsid w:val="00C276BD"/>
    <w:rsid w:val="00C27922"/>
    <w:rsid w:val="00C27E6B"/>
    <w:rsid w:val="00C27ED3"/>
    <w:rsid w:val="00C30AD9"/>
    <w:rsid w:val="00C30BC7"/>
    <w:rsid w:val="00C310B9"/>
    <w:rsid w:val="00C31668"/>
    <w:rsid w:val="00C32180"/>
    <w:rsid w:val="00C32A1C"/>
    <w:rsid w:val="00C32C48"/>
    <w:rsid w:val="00C3301A"/>
    <w:rsid w:val="00C3322E"/>
    <w:rsid w:val="00C342D5"/>
    <w:rsid w:val="00C34671"/>
    <w:rsid w:val="00C35DF1"/>
    <w:rsid w:val="00C35E03"/>
    <w:rsid w:val="00C3643E"/>
    <w:rsid w:val="00C37834"/>
    <w:rsid w:val="00C401CD"/>
    <w:rsid w:val="00C4035A"/>
    <w:rsid w:val="00C40A86"/>
    <w:rsid w:val="00C41952"/>
    <w:rsid w:val="00C41FF8"/>
    <w:rsid w:val="00C42B04"/>
    <w:rsid w:val="00C42B47"/>
    <w:rsid w:val="00C43770"/>
    <w:rsid w:val="00C437CE"/>
    <w:rsid w:val="00C439AF"/>
    <w:rsid w:val="00C449BF"/>
    <w:rsid w:val="00C455CE"/>
    <w:rsid w:val="00C45B68"/>
    <w:rsid w:val="00C46C5C"/>
    <w:rsid w:val="00C47337"/>
    <w:rsid w:val="00C5031B"/>
    <w:rsid w:val="00C50F9D"/>
    <w:rsid w:val="00C5227E"/>
    <w:rsid w:val="00C524AB"/>
    <w:rsid w:val="00C52A94"/>
    <w:rsid w:val="00C53147"/>
    <w:rsid w:val="00C53183"/>
    <w:rsid w:val="00C535DD"/>
    <w:rsid w:val="00C53CFE"/>
    <w:rsid w:val="00C544A0"/>
    <w:rsid w:val="00C55128"/>
    <w:rsid w:val="00C56052"/>
    <w:rsid w:val="00C56303"/>
    <w:rsid w:val="00C56DF5"/>
    <w:rsid w:val="00C56E64"/>
    <w:rsid w:val="00C570CC"/>
    <w:rsid w:val="00C572AD"/>
    <w:rsid w:val="00C60BB4"/>
    <w:rsid w:val="00C61AFD"/>
    <w:rsid w:val="00C62F89"/>
    <w:rsid w:val="00C63449"/>
    <w:rsid w:val="00C639E0"/>
    <w:rsid w:val="00C65A76"/>
    <w:rsid w:val="00C65E7E"/>
    <w:rsid w:val="00C65F24"/>
    <w:rsid w:val="00C661D1"/>
    <w:rsid w:val="00C66802"/>
    <w:rsid w:val="00C67971"/>
    <w:rsid w:val="00C71091"/>
    <w:rsid w:val="00C719FC"/>
    <w:rsid w:val="00C71FEB"/>
    <w:rsid w:val="00C72268"/>
    <w:rsid w:val="00C7302B"/>
    <w:rsid w:val="00C738FC"/>
    <w:rsid w:val="00C73DA8"/>
    <w:rsid w:val="00C75311"/>
    <w:rsid w:val="00C7626C"/>
    <w:rsid w:val="00C76838"/>
    <w:rsid w:val="00C80FF8"/>
    <w:rsid w:val="00C82359"/>
    <w:rsid w:val="00C8276A"/>
    <w:rsid w:val="00C82D88"/>
    <w:rsid w:val="00C82E0A"/>
    <w:rsid w:val="00C83169"/>
    <w:rsid w:val="00C8341E"/>
    <w:rsid w:val="00C849AD"/>
    <w:rsid w:val="00C85A3C"/>
    <w:rsid w:val="00C86738"/>
    <w:rsid w:val="00C86D94"/>
    <w:rsid w:val="00C87377"/>
    <w:rsid w:val="00C90A1A"/>
    <w:rsid w:val="00C91970"/>
    <w:rsid w:val="00C91E30"/>
    <w:rsid w:val="00C92881"/>
    <w:rsid w:val="00C92F1D"/>
    <w:rsid w:val="00C935DE"/>
    <w:rsid w:val="00C951D8"/>
    <w:rsid w:val="00C954A3"/>
    <w:rsid w:val="00C95CDB"/>
    <w:rsid w:val="00C95FF2"/>
    <w:rsid w:val="00C9645C"/>
    <w:rsid w:val="00C9685F"/>
    <w:rsid w:val="00C96FB5"/>
    <w:rsid w:val="00C97170"/>
    <w:rsid w:val="00C9753D"/>
    <w:rsid w:val="00C9793A"/>
    <w:rsid w:val="00C979D7"/>
    <w:rsid w:val="00CA022B"/>
    <w:rsid w:val="00CA0336"/>
    <w:rsid w:val="00CA0AB3"/>
    <w:rsid w:val="00CA0C05"/>
    <w:rsid w:val="00CA1444"/>
    <w:rsid w:val="00CA1BEB"/>
    <w:rsid w:val="00CA21E6"/>
    <w:rsid w:val="00CA2221"/>
    <w:rsid w:val="00CA2443"/>
    <w:rsid w:val="00CA3176"/>
    <w:rsid w:val="00CA3736"/>
    <w:rsid w:val="00CA3AEC"/>
    <w:rsid w:val="00CA4BFF"/>
    <w:rsid w:val="00CA4CAD"/>
    <w:rsid w:val="00CA51E2"/>
    <w:rsid w:val="00CA58EE"/>
    <w:rsid w:val="00CA5D22"/>
    <w:rsid w:val="00CA5E86"/>
    <w:rsid w:val="00CA64EF"/>
    <w:rsid w:val="00CA78C4"/>
    <w:rsid w:val="00CA7E54"/>
    <w:rsid w:val="00CB0D96"/>
    <w:rsid w:val="00CB15B2"/>
    <w:rsid w:val="00CB1CA9"/>
    <w:rsid w:val="00CB2437"/>
    <w:rsid w:val="00CB2EDD"/>
    <w:rsid w:val="00CB324B"/>
    <w:rsid w:val="00CB39FF"/>
    <w:rsid w:val="00CB4666"/>
    <w:rsid w:val="00CB4699"/>
    <w:rsid w:val="00CB4C7E"/>
    <w:rsid w:val="00CB5294"/>
    <w:rsid w:val="00CB54A8"/>
    <w:rsid w:val="00CB5895"/>
    <w:rsid w:val="00CB641C"/>
    <w:rsid w:val="00CB6465"/>
    <w:rsid w:val="00CB6BE8"/>
    <w:rsid w:val="00CC2810"/>
    <w:rsid w:val="00CC2FA0"/>
    <w:rsid w:val="00CC377D"/>
    <w:rsid w:val="00CC3FC0"/>
    <w:rsid w:val="00CC5237"/>
    <w:rsid w:val="00CC5BA1"/>
    <w:rsid w:val="00CC5F2B"/>
    <w:rsid w:val="00CC6705"/>
    <w:rsid w:val="00CD0331"/>
    <w:rsid w:val="00CD12C1"/>
    <w:rsid w:val="00CD1894"/>
    <w:rsid w:val="00CD1A63"/>
    <w:rsid w:val="00CD24AB"/>
    <w:rsid w:val="00CD3289"/>
    <w:rsid w:val="00CD42EF"/>
    <w:rsid w:val="00CD4B75"/>
    <w:rsid w:val="00CD4F77"/>
    <w:rsid w:val="00CD603F"/>
    <w:rsid w:val="00CD6FA0"/>
    <w:rsid w:val="00CD705D"/>
    <w:rsid w:val="00CD791D"/>
    <w:rsid w:val="00CE0037"/>
    <w:rsid w:val="00CE0D58"/>
    <w:rsid w:val="00CE1183"/>
    <w:rsid w:val="00CE1923"/>
    <w:rsid w:val="00CE2B22"/>
    <w:rsid w:val="00CE4442"/>
    <w:rsid w:val="00CE46FB"/>
    <w:rsid w:val="00CE4854"/>
    <w:rsid w:val="00CE50EB"/>
    <w:rsid w:val="00CE520C"/>
    <w:rsid w:val="00CE5420"/>
    <w:rsid w:val="00CE57E1"/>
    <w:rsid w:val="00CE5C9E"/>
    <w:rsid w:val="00CE717A"/>
    <w:rsid w:val="00CE7DE8"/>
    <w:rsid w:val="00CF0206"/>
    <w:rsid w:val="00CF0234"/>
    <w:rsid w:val="00CF07B3"/>
    <w:rsid w:val="00CF1220"/>
    <w:rsid w:val="00CF18F8"/>
    <w:rsid w:val="00CF2D58"/>
    <w:rsid w:val="00CF2F52"/>
    <w:rsid w:val="00CF2F69"/>
    <w:rsid w:val="00CF3B4A"/>
    <w:rsid w:val="00CF4BEC"/>
    <w:rsid w:val="00CF5F3A"/>
    <w:rsid w:val="00CF6054"/>
    <w:rsid w:val="00CF6947"/>
    <w:rsid w:val="00CF75BB"/>
    <w:rsid w:val="00D005FF"/>
    <w:rsid w:val="00D00C1F"/>
    <w:rsid w:val="00D02CA6"/>
    <w:rsid w:val="00D041E1"/>
    <w:rsid w:val="00D04813"/>
    <w:rsid w:val="00D0499F"/>
    <w:rsid w:val="00D070F4"/>
    <w:rsid w:val="00D10C87"/>
    <w:rsid w:val="00D11516"/>
    <w:rsid w:val="00D124B3"/>
    <w:rsid w:val="00D13455"/>
    <w:rsid w:val="00D13793"/>
    <w:rsid w:val="00D14078"/>
    <w:rsid w:val="00D14743"/>
    <w:rsid w:val="00D154A2"/>
    <w:rsid w:val="00D158D1"/>
    <w:rsid w:val="00D16016"/>
    <w:rsid w:val="00D1643F"/>
    <w:rsid w:val="00D16486"/>
    <w:rsid w:val="00D1679C"/>
    <w:rsid w:val="00D16CDB"/>
    <w:rsid w:val="00D17363"/>
    <w:rsid w:val="00D20949"/>
    <w:rsid w:val="00D20951"/>
    <w:rsid w:val="00D21024"/>
    <w:rsid w:val="00D218A6"/>
    <w:rsid w:val="00D222CD"/>
    <w:rsid w:val="00D225CA"/>
    <w:rsid w:val="00D23722"/>
    <w:rsid w:val="00D23C64"/>
    <w:rsid w:val="00D23FF1"/>
    <w:rsid w:val="00D2415C"/>
    <w:rsid w:val="00D244E3"/>
    <w:rsid w:val="00D24CE6"/>
    <w:rsid w:val="00D252C7"/>
    <w:rsid w:val="00D25395"/>
    <w:rsid w:val="00D2558D"/>
    <w:rsid w:val="00D255D2"/>
    <w:rsid w:val="00D25933"/>
    <w:rsid w:val="00D2638B"/>
    <w:rsid w:val="00D26B29"/>
    <w:rsid w:val="00D26BDC"/>
    <w:rsid w:val="00D32F1D"/>
    <w:rsid w:val="00D3340C"/>
    <w:rsid w:val="00D3498F"/>
    <w:rsid w:val="00D359CC"/>
    <w:rsid w:val="00D374BF"/>
    <w:rsid w:val="00D37B73"/>
    <w:rsid w:val="00D37CC9"/>
    <w:rsid w:val="00D405B2"/>
    <w:rsid w:val="00D41644"/>
    <w:rsid w:val="00D42945"/>
    <w:rsid w:val="00D44384"/>
    <w:rsid w:val="00D44645"/>
    <w:rsid w:val="00D44D34"/>
    <w:rsid w:val="00D44EAE"/>
    <w:rsid w:val="00D45FE2"/>
    <w:rsid w:val="00D46774"/>
    <w:rsid w:val="00D505C0"/>
    <w:rsid w:val="00D509D7"/>
    <w:rsid w:val="00D510CC"/>
    <w:rsid w:val="00D516A5"/>
    <w:rsid w:val="00D51AEE"/>
    <w:rsid w:val="00D51EB3"/>
    <w:rsid w:val="00D52381"/>
    <w:rsid w:val="00D523F1"/>
    <w:rsid w:val="00D5348A"/>
    <w:rsid w:val="00D54B74"/>
    <w:rsid w:val="00D55090"/>
    <w:rsid w:val="00D55121"/>
    <w:rsid w:val="00D556FE"/>
    <w:rsid w:val="00D557C2"/>
    <w:rsid w:val="00D568D8"/>
    <w:rsid w:val="00D5693C"/>
    <w:rsid w:val="00D56987"/>
    <w:rsid w:val="00D56AAC"/>
    <w:rsid w:val="00D56C85"/>
    <w:rsid w:val="00D56D1F"/>
    <w:rsid w:val="00D570C9"/>
    <w:rsid w:val="00D57A8B"/>
    <w:rsid w:val="00D60567"/>
    <w:rsid w:val="00D60E92"/>
    <w:rsid w:val="00D61968"/>
    <w:rsid w:val="00D61995"/>
    <w:rsid w:val="00D62099"/>
    <w:rsid w:val="00D620F6"/>
    <w:rsid w:val="00D6279C"/>
    <w:rsid w:val="00D62946"/>
    <w:rsid w:val="00D62C14"/>
    <w:rsid w:val="00D62D9C"/>
    <w:rsid w:val="00D636CD"/>
    <w:rsid w:val="00D63EED"/>
    <w:rsid w:val="00D645E5"/>
    <w:rsid w:val="00D66601"/>
    <w:rsid w:val="00D667A6"/>
    <w:rsid w:val="00D66FF2"/>
    <w:rsid w:val="00D67A76"/>
    <w:rsid w:val="00D7060F"/>
    <w:rsid w:val="00D70E8F"/>
    <w:rsid w:val="00D71E39"/>
    <w:rsid w:val="00D722D2"/>
    <w:rsid w:val="00D72DA6"/>
    <w:rsid w:val="00D73A97"/>
    <w:rsid w:val="00D741C5"/>
    <w:rsid w:val="00D74C2B"/>
    <w:rsid w:val="00D7526A"/>
    <w:rsid w:val="00D75CF6"/>
    <w:rsid w:val="00D75E00"/>
    <w:rsid w:val="00D76256"/>
    <w:rsid w:val="00D76E83"/>
    <w:rsid w:val="00D77286"/>
    <w:rsid w:val="00D7728C"/>
    <w:rsid w:val="00D77D53"/>
    <w:rsid w:val="00D80290"/>
    <w:rsid w:val="00D809E3"/>
    <w:rsid w:val="00D80FEA"/>
    <w:rsid w:val="00D81E6D"/>
    <w:rsid w:val="00D82509"/>
    <w:rsid w:val="00D83E0B"/>
    <w:rsid w:val="00D84FEE"/>
    <w:rsid w:val="00D85336"/>
    <w:rsid w:val="00D85704"/>
    <w:rsid w:val="00D85D35"/>
    <w:rsid w:val="00D86A6A"/>
    <w:rsid w:val="00D870ED"/>
    <w:rsid w:val="00D90C5E"/>
    <w:rsid w:val="00D911FA"/>
    <w:rsid w:val="00D9134D"/>
    <w:rsid w:val="00D92395"/>
    <w:rsid w:val="00D92F1A"/>
    <w:rsid w:val="00D93434"/>
    <w:rsid w:val="00D93B1E"/>
    <w:rsid w:val="00D95729"/>
    <w:rsid w:val="00D961E3"/>
    <w:rsid w:val="00D969BE"/>
    <w:rsid w:val="00D96AC1"/>
    <w:rsid w:val="00D97191"/>
    <w:rsid w:val="00D97628"/>
    <w:rsid w:val="00D97659"/>
    <w:rsid w:val="00DA0491"/>
    <w:rsid w:val="00DA0F3E"/>
    <w:rsid w:val="00DA1E21"/>
    <w:rsid w:val="00DA2355"/>
    <w:rsid w:val="00DA284A"/>
    <w:rsid w:val="00DA5125"/>
    <w:rsid w:val="00DA56E9"/>
    <w:rsid w:val="00DA59C3"/>
    <w:rsid w:val="00DA5A50"/>
    <w:rsid w:val="00DA60D8"/>
    <w:rsid w:val="00DA7578"/>
    <w:rsid w:val="00DA7633"/>
    <w:rsid w:val="00DB0908"/>
    <w:rsid w:val="00DB0A92"/>
    <w:rsid w:val="00DB0C96"/>
    <w:rsid w:val="00DB0CEB"/>
    <w:rsid w:val="00DB1826"/>
    <w:rsid w:val="00DB2955"/>
    <w:rsid w:val="00DB2D5E"/>
    <w:rsid w:val="00DB304D"/>
    <w:rsid w:val="00DB4755"/>
    <w:rsid w:val="00DB4FE6"/>
    <w:rsid w:val="00DB55DE"/>
    <w:rsid w:val="00DB66DC"/>
    <w:rsid w:val="00DB6C22"/>
    <w:rsid w:val="00DB6F51"/>
    <w:rsid w:val="00DB733D"/>
    <w:rsid w:val="00DB7EBE"/>
    <w:rsid w:val="00DC0370"/>
    <w:rsid w:val="00DC06FF"/>
    <w:rsid w:val="00DC0786"/>
    <w:rsid w:val="00DC083C"/>
    <w:rsid w:val="00DC0ABE"/>
    <w:rsid w:val="00DC0C42"/>
    <w:rsid w:val="00DC0D10"/>
    <w:rsid w:val="00DC1250"/>
    <w:rsid w:val="00DC1B41"/>
    <w:rsid w:val="00DC1D07"/>
    <w:rsid w:val="00DC1D8A"/>
    <w:rsid w:val="00DC22A4"/>
    <w:rsid w:val="00DC24A7"/>
    <w:rsid w:val="00DC2A40"/>
    <w:rsid w:val="00DC3601"/>
    <w:rsid w:val="00DC522A"/>
    <w:rsid w:val="00DC52D4"/>
    <w:rsid w:val="00DC5BE7"/>
    <w:rsid w:val="00DC66BB"/>
    <w:rsid w:val="00DC700B"/>
    <w:rsid w:val="00DC7137"/>
    <w:rsid w:val="00DD0AEE"/>
    <w:rsid w:val="00DD1823"/>
    <w:rsid w:val="00DD2B18"/>
    <w:rsid w:val="00DD2E35"/>
    <w:rsid w:val="00DD61EC"/>
    <w:rsid w:val="00DD6267"/>
    <w:rsid w:val="00DD6478"/>
    <w:rsid w:val="00DD662F"/>
    <w:rsid w:val="00DD7993"/>
    <w:rsid w:val="00DE2909"/>
    <w:rsid w:val="00DE2AD7"/>
    <w:rsid w:val="00DE2C76"/>
    <w:rsid w:val="00DE3A73"/>
    <w:rsid w:val="00DE3F79"/>
    <w:rsid w:val="00DE4FD2"/>
    <w:rsid w:val="00DE5509"/>
    <w:rsid w:val="00DE6138"/>
    <w:rsid w:val="00DE6313"/>
    <w:rsid w:val="00DE6424"/>
    <w:rsid w:val="00DE648E"/>
    <w:rsid w:val="00DE6CBB"/>
    <w:rsid w:val="00DE7757"/>
    <w:rsid w:val="00DF032B"/>
    <w:rsid w:val="00DF033F"/>
    <w:rsid w:val="00DF1881"/>
    <w:rsid w:val="00DF1F28"/>
    <w:rsid w:val="00DF3F12"/>
    <w:rsid w:val="00DF4878"/>
    <w:rsid w:val="00DF4926"/>
    <w:rsid w:val="00DF52D4"/>
    <w:rsid w:val="00DF52DD"/>
    <w:rsid w:val="00DF5871"/>
    <w:rsid w:val="00DF5E82"/>
    <w:rsid w:val="00DF5F03"/>
    <w:rsid w:val="00DF6616"/>
    <w:rsid w:val="00DF66AD"/>
    <w:rsid w:val="00DF724D"/>
    <w:rsid w:val="00E00119"/>
    <w:rsid w:val="00E0174E"/>
    <w:rsid w:val="00E01B61"/>
    <w:rsid w:val="00E0207C"/>
    <w:rsid w:val="00E028D1"/>
    <w:rsid w:val="00E02FE9"/>
    <w:rsid w:val="00E03241"/>
    <w:rsid w:val="00E03AA8"/>
    <w:rsid w:val="00E048B5"/>
    <w:rsid w:val="00E05031"/>
    <w:rsid w:val="00E0532C"/>
    <w:rsid w:val="00E05506"/>
    <w:rsid w:val="00E0551B"/>
    <w:rsid w:val="00E071DC"/>
    <w:rsid w:val="00E076DA"/>
    <w:rsid w:val="00E07FBA"/>
    <w:rsid w:val="00E10AC4"/>
    <w:rsid w:val="00E10BB6"/>
    <w:rsid w:val="00E10D36"/>
    <w:rsid w:val="00E11319"/>
    <w:rsid w:val="00E11879"/>
    <w:rsid w:val="00E11D36"/>
    <w:rsid w:val="00E1300E"/>
    <w:rsid w:val="00E138C3"/>
    <w:rsid w:val="00E13DD0"/>
    <w:rsid w:val="00E140B3"/>
    <w:rsid w:val="00E14BF0"/>
    <w:rsid w:val="00E14EEF"/>
    <w:rsid w:val="00E1515C"/>
    <w:rsid w:val="00E152FE"/>
    <w:rsid w:val="00E15610"/>
    <w:rsid w:val="00E15CF5"/>
    <w:rsid w:val="00E15F04"/>
    <w:rsid w:val="00E16169"/>
    <w:rsid w:val="00E2008F"/>
    <w:rsid w:val="00E20381"/>
    <w:rsid w:val="00E2055A"/>
    <w:rsid w:val="00E211BF"/>
    <w:rsid w:val="00E21B12"/>
    <w:rsid w:val="00E21E30"/>
    <w:rsid w:val="00E21EE3"/>
    <w:rsid w:val="00E23A7E"/>
    <w:rsid w:val="00E2471C"/>
    <w:rsid w:val="00E24B9D"/>
    <w:rsid w:val="00E253CA"/>
    <w:rsid w:val="00E25646"/>
    <w:rsid w:val="00E26931"/>
    <w:rsid w:val="00E2725A"/>
    <w:rsid w:val="00E27289"/>
    <w:rsid w:val="00E2776C"/>
    <w:rsid w:val="00E27982"/>
    <w:rsid w:val="00E30E60"/>
    <w:rsid w:val="00E31B79"/>
    <w:rsid w:val="00E32146"/>
    <w:rsid w:val="00E3252E"/>
    <w:rsid w:val="00E3274E"/>
    <w:rsid w:val="00E33F48"/>
    <w:rsid w:val="00E34D7A"/>
    <w:rsid w:val="00E350F2"/>
    <w:rsid w:val="00E37403"/>
    <w:rsid w:val="00E40271"/>
    <w:rsid w:val="00E40FAC"/>
    <w:rsid w:val="00E41404"/>
    <w:rsid w:val="00E42460"/>
    <w:rsid w:val="00E4311F"/>
    <w:rsid w:val="00E44282"/>
    <w:rsid w:val="00E45A74"/>
    <w:rsid w:val="00E45C8F"/>
    <w:rsid w:val="00E461B4"/>
    <w:rsid w:val="00E47651"/>
    <w:rsid w:val="00E50405"/>
    <w:rsid w:val="00E51142"/>
    <w:rsid w:val="00E51E3B"/>
    <w:rsid w:val="00E52418"/>
    <w:rsid w:val="00E5281E"/>
    <w:rsid w:val="00E52A7C"/>
    <w:rsid w:val="00E52E8C"/>
    <w:rsid w:val="00E52FCA"/>
    <w:rsid w:val="00E5370A"/>
    <w:rsid w:val="00E5462C"/>
    <w:rsid w:val="00E54748"/>
    <w:rsid w:val="00E54AD4"/>
    <w:rsid w:val="00E56838"/>
    <w:rsid w:val="00E56FD4"/>
    <w:rsid w:val="00E605AC"/>
    <w:rsid w:val="00E60A69"/>
    <w:rsid w:val="00E6176A"/>
    <w:rsid w:val="00E61AA5"/>
    <w:rsid w:val="00E6232F"/>
    <w:rsid w:val="00E62BC4"/>
    <w:rsid w:val="00E63651"/>
    <w:rsid w:val="00E63BB0"/>
    <w:rsid w:val="00E63FAF"/>
    <w:rsid w:val="00E6400A"/>
    <w:rsid w:val="00E6484B"/>
    <w:rsid w:val="00E66A07"/>
    <w:rsid w:val="00E66EDC"/>
    <w:rsid w:val="00E67204"/>
    <w:rsid w:val="00E7021C"/>
    <w:rsid w:val="00E70270"/>
    <w:rsid w:val="00E703CF"/>
    <w:rsid w:val="00E7043E"/>
    <w:rsid w:val="00E707BD"/>
    <w:rsid w:val="00E707E6"/>
    <w:rsid w:val="00E72821"/>
    <w:rsid w:val="00E72884"/>
    <w:rsid w:val="00E72C11"/>
    <w:rsid w:val="00E7310E"/>
    <w:rsid w:val="00E735DC"/>
    <w:rsid w:val="00E739C7"/>
    <w:rsid w:val="00E740BF"/>
    <w:rsid w:val="00E74103"/>
    <w:rsid w:val="00E74172"/>
    <w:rsid w:val="00E74D52"/>
    <w:rsid w:val="00E75822"/>
    <w:rsid w:val="00E75878"/>
    <w:rsid w:val="00E75965"/>
    <w:rsid w:val="00E75975"/>
    <w:rsid w:val="00E75DEE"/>
    <w:rsid w:val="00E76446"/>
    <w:rsid w:val="00E76AAF"/>
    <w:rsid w:val="00E76DAC"/>
    <w:rsid w:val="00E771C1"/>
    <w:rsid w:val="00E77290"/>
    <w:rsid w:val="00E77E88"/>
    <w:rsid w:val="00E77FC9"/>
    <w:rsid w:val="00E80F33"/>
    <w:rsid w:val="00E810D5"/>
    <w:rsid w:val="00E8167D"/>
    <w:rsid w:val="00E82E02"/>
    <w:rsid w:val="00E83224"/>
    <w:rsid w:val="00E833A0"/>
    <w:rsid w:val="00E83637"/>
    <w:rsid w:val="00E83DAB"/>
    <w:rsid w:val="00E84C11"/>
    <w:rsid w:val="00E84CFF"/>
    <w:rsid w:val="00E850A5"/>
    <w:rsid w:val="00E860D6"/>
    <w:rsid w:val="00E861E2"/>
    <w:rsid w:val="00E870BA"/>
    <w:rsid w:val="00E87151"/>
    <w:rsid w:val="00E8765B"/>
    <w:rsid w:val="00E87893"/>
    <w:rsid w:val="00E87EFB"/>
    <w:rsid w:val="00E90334"/>
    <w:rsid w:val="00E9044A"/>
    <w:rsid w:val="00E90593"/>
    <w:rsid w:val="00E9077B"/>
    <w:rsid w:val="00E91984"/>
    <w:rsid w:val="00E91F83"/>
    <w:rsid w:val="00E93063"/>
    <w:rsid w:val="00E937DF"/>
    <w:rsid w:val="00E940DD"/>
    <w:rsid w:val="00E95415"/>
    <w:rsid w:val="00E96026"/>
    <w:rsid w:val="00E96B56"/>
    <w:rsid w:val="00E970DF"/>
    <w:rsid w:val="00EA0524"/>
    <w:rsid w:val="00EA0BC6"/>
    <w:rsid w:val="00EA0CD5"/>
    <w:rsid w:val="00EA0D05"/>
    <w:rsid w:val="00EA0DB8"/>
    <w:rsid w:val="00EA141C"/>
    <w:rsid w:val="00EA212B"/>
    <w:rsid w:val="00EA284F"/>
    <w:rsid w:val="00EA2EB9"/>
    <w:rsid w:val="00EA39CF"/>
    <w:rsid w:val="00EA5DD4"/>
    <w:rsid w:val="00EA5E00"/>
    <w:rsid w:val="00EA61AC"/>
    <w:rsid w:val="00EA6C44"/>
    <w:rsid w:val="00EA6CDF"/>
    <w:rsid w:val="00EA70DB"/>
    <w:rsid w:val="00EB1FA7"/>
    <w:rsid w:val="00EB27CD"/>
    <w:rsid w:val="00EB2D0E"/>
    <w:rsid w:val="00EB2FBE"/>
    <w:rsid w:val="00EB306F"/>
    <w:rsid w:val="00EB3998"/>
    <w:rsid w:val="00EB46B8"/>
    <w:rsid w:val="00EB4BBB"/>
    <w:rsid w:val="00EB4E00"/>
    <w:rsid w:val="00EB57F3"/>
    <w:rsid w:val="00EB6D5D"/>
    <w:rsid w:val="00EB71D3"/>
    <w:rsid w:val="00EC0678"/>
    <w:rsid w:val="00EC082F"/>
    <w:rsid w:val="00EC0856"/>
    <w:rsid w:val="00EC0977"/>
    <w:rsid w:val="00EC20BA"/>
    <w:rsid w:val="00EC2346"/>
    <w:rsid w:val="00EC2840"/>
    <w:rsid w:val="00EC4A6A"/>
    <w:rsid w:val="00EC5012"/>
    <w:rsid w:val="00EC6A73"/>
    <w:rsid w:val="00EC6B3A"/>
    <w:rsid w:val="00EC789C"/>
    <w:rsid w:val="00EC7A6F"/>
    <w:rsid w:val="00EC7BA6"/>
    <w:rsid w:val="00ED050C"/>
    <w:rsid w:val="00ED0537"/>
    <w:rsid w:val="00ED12F2"/>
    <w:rsid w:val="00ED146D"/>
    <w:rsid w:val="00ED25C1"/>
    <w:rsid w:val="00ED3EE7"/>
    <w:rsid w:val="00ED4DCC"/>
    <w:rsid w:val="00ED522C"/>
    <w:rsid w:val="00ED61FE"/>
    <w:rsid w:val="00ED6DE3"/>
    <w:rsid w:val="00ED7B21"/>
    <w:rsid w:val="00EE0DDA"/>
    <w:rsid w:val="00EE10E8"/>
    <w:rsid w:val="00EE4906"/>
    <w:rsid w:val="00EE6009"/>
    <w:rsid w:val="00EE6447"/>
    <w:rsid w:val="00EE67F9"/>
    <w:rsid w:val="00EE7675"/>
    <w:rsid w:val="00EE77EC"/>
    <w:rsid w:val="00EE7CD6"/>
    <w:rsid w:val="00EF01CD"/>
    <w:rsid w:val="00EF024C"/>
    <w:rsid w:val="00EF097C"/>
    <w:rsid w:val="00EF0E91"/>
    <w:rsid w:val="00EF11EF"/>
    <w:rsid w:val="00EF154D"/>
    <w:rsid w:val="00EF1683"/>
    <w:rsid w:val="00EF16F9"/>
    <w:rsid w:val="00EF2397"/>
    <w:rsid w:val="00EF2F58"/>
    <w:rsid w:val="00EF3C98"/>
    <w:rsid w:val="00EF46E4"/>
    <w:rsid w:val="00EF47A0"/>
    <w:rsid w:val="00EF5C7D"/>
    <w:rsid w:val="00EF617E"/>
    <w:rsid w:val="00EF64A3"/>
    <w:rsid w:val="00EF6BDB"/>
    <w:rsid w:val="00EF7276"/>
    <w:rsid w:val="00EF78CC"/>
    <w:rsid w:val="00EF7977"/>
    <w:rsid w:val="00F00032"/>
    <w:rsid w:val="00F0009F"/>
    <w:rsid w:val="00F0126F"/>
    <w:rsid w:val="00F01F33"/>
    <w:rsid w:val="00F034A2"/>
    <w:rsid w:val="00F04299"/>
    <w:rsid w:val="00F0456E"/>
    <w:rsid w:val="00F04CEB"/>
    <w:rsid w:val="00F04D36"/>
    <w:rsid w:val="00F05F01"/>
    <w:rsid w:val="00F0621A"/>
    <w:rsid w:val="00F06299"/>
    <w:rsid w:val="00F074D3"/>
    <w:rsid w:val="00F07A64"/>
    <w:rsid w:val="00F07C59"/>
    <w:rsid w:val="00F10349"/>
    <w:rsid w:val="00F10E6B"/>
    <w:rsid w:val="00F12287"/>
    <w:rsid w:val="00F12DCE"/>
    <w:rsid w:val="00F13458"/>
    <w:rsid w:val="00F1395A"/>
    <w:rsid w:val="00F148ED"/>
    <w:rsid w:val="00F14FFF"/>
    <w:rsid w:val="00F152BA"/>
    <w:rsid w:val="00F15332"/>
    <w:rsid w:val="00F164B0"/>
    <w:rsid w:val="00F171E4"/>
    <w:rsid w:val="00F1774D"/>
    <w:rsid w:val="00F20088"/>
    <w:rsid w:val="00F204A5"/>
    <w:rsid w:val="00F20FF1"/>
    <w:rsid w:val="00F225C4"/>
    <w:rsid w:val="00F227AA"/>
    <w:rsid w:val="00F22D19"/>
    <w:rsid w:val="00F23A7C"/>
    <w:rsid w:val="00F24671"/>
    <w:rsid w:val="00F24E6E"/>
    <w:rsid w:val="00F252F2"/>
    <w:rsid w:val="00F25EF5"/>
    <w:rsid w:val="00F26021"/>
    <w:rsid w:val="00F2633E"/>
    <w:rsid w:val="00F26F72"/>
    <w:rsid w:val="00F270B2"/>
    <w:rsid w:val="00F27B37"/>
    <w:rsid w:val="00F27CCD"/>
    <w:rsid w:val="00F27F99"/>
    <w:rsid w:val="00F30651"/>
    <w:rsid w:val="00F311FF"/>
    <w:rsid w:val="00F31D0F"/>
    <w:rsid w:val="00F320C0"/>
    <w:rsid w:val="00F322F7"/>
    <w:rsid w:val="00F32403"/>
    <w:rsid w:val="00F33700"/>
    <w:rsid w:val="00F33797"/>
    <w:rsid w:val="00F3403B"/>
    <w:rsid w:val="00F35A78"/>
    <w:rsid w:val="00F4009B"/>
    <w:rsid w:val="00F4029C"/>
    <w:rsid w:val="00F40F45"/>
    <w:rsid w:val="00F416E7"/>
    <w:rsid w:val="00F420E9"/>
    <w:rsid w:val="00F42994"/>
    <w:rsid w:val="00F434E4"/>
    <w:rsid w:val="00F43E91"/>
    <w:rsid w:val="00F43EC5"/>
    <w:rsid w:val="00F44628"/>
    <w:rsid w:val="00F449D5"/>
    <w:rsid w:val="00F4576A"/>
    <w:rsid w:val="00F457CD"/>
    <w:rsid w:val="00F4679B"/>
    <w:rsid w:val="00F47044"/>
    <w:rsid w:val="00F47132"/>
    <w:rsid w:val="00F478E6"/>
    <w:rsid w:val="00F47DED"/>
    <w:rsid w:val="00F5036E"/>
    <w:rsid w:val="00F503B7"/>
    <w:rsid w:val="00F514A6"/>
    <w:rsid w:val="00F521A3"/>
    <w:rsid w:val="00F52857"/>
    <w:rsid w:val="00F52A10"/>
    <w:rsid w:val="00F530E8"/>
    <w:rsid w:val="00F53109"/>
    <w:rsid w:val="00F537BD"/>
    <w:rsid w:val="00F54522"/>
    <w:rsid w:val="00F55189"/>
    <w:rsid w:val="00F5523A"/>
    <w:rsid w:val="00F55D99"/>
    <w:rsid w:val="00F55DD4"/>
    <w:rsid w:val="00F56A90"/>
    <w:rsid w:val="00F5718C"/>
    <w:rsid w:val="00F5762F"/>
    <w:rsid w:val="00F6015F"/>
    <w:rsid w:val="00F614D5"/>
    <w:rsid w:val="00F61587"/>
    <w:rsid w:val="00F61C83"/>
    <w:rsid w:val="00F62881"/>
    <w:rsid w:val="00F62E7D"/>
    <w:rsid w:val="00F630C6"/>
    <w:rsid w:val="00F63959"/>
    <w:rsid w:val="00F64198"/>
    <w:rsid w:val="00F64422"/>
    <w:rsid w:val="00F6458E"/>
    <w:rsid w:val="00F64674"/>
    <w:rsid w:val="00F65AF2"/>
    <w:rsid w:val="00F65DD0"/>
    <w:rsid w:val="00F66463"/>
    <w:rsid w:val="00F66AA9"/>
    <w:rsid w:val="00F679E1"/>
    <w:rsid w:val="00F67E50"/>
    <w:rsid w:val="00F707BD"/>
    <w:rsid w:val="00F71354"/>
    <w:rsid w:val="00F71ED7"/>
    <w:rsid w:val="00F72C62"/>
    <w:rsid w:val="00F72F42"/>
    <w:rsid w:val="00F7411F"/>
    <w:rsid w:val="00F747E7"/>
    <w:rsid w:val="00F752A0"/>
    <w:rsid w:val="00F771A7"/>
    <w:rsid w:val="00F77AD9"/>
    <w:rsid w:val="00F77EE2"/>
    <w:rsid w:val="00F803BD"/>
    <w:rsid w:val="00F80F7B"/>
    <w:rsid w:val="00F817CD"/>
    <w:rsid w:val="00F81804"/>
    <w:rsid w:val="00F81C34"/>
    <w:rsid w:val="00F81C8F"/>
    <w:rsid w:val="00F82297"/>
    <w:rsid w:val="00F82740"/>
    <w:rsid w:val="00F82A14"/>
    <w:rsid w:val="00F82EED"/>
    <w:rsid w:val="00F82F6D"/>
    <w:rsid w:val="00F84945"/>
    <w:rsid w:val="00F84CD0"/>
    <w:rsid w:val="00F85CC5"/>
    <w:rsid w:val="00F85F56"/>
    <w:rsid w:val="00F85F84"/>
    <w:rsid w:val="00F87C68"/>
    <w:rsid w:val="00F87D4D"/>
    <w:rsid w:val="00F90384"/>
    <w:rsid w:val="00F914FB"/>
    <w:rsid w:val="00F91B29"/>
    <w:rsid w:val="00F924CA"/>
    <w:rsid w:val="00F931A1"/>
    <w:rsid w:val="00F93F21"/>
    <w:rsid w:val="00F945DE"/>
    <w:rsid w:val="00F9498C"/>
    <w:rsid w:val="00F9506F"/>
    <w:rsid w:val="00F950C2"/>
    <w:rsid w:val="00F95247"/>
    <w:rsid w:val="00F973D7"/>
    <w:rsid w:val="00F978A1"/>
    <w:rsid w:val="00F97B02"/>
    <w:rsid w:val="00FA002A"/>
    <w:rsid w:val="00FA048B"/>
    <w:rsid w:val="00FA0F38"/>
    <w:rsid w:val="00FA148E"/>
    <w:rsid w:val="00FA28B6"/>
    <w:rsid w:val="00FA3161"/>
    <w:rsid w:val="00FA3AF7"/>
    <w:rsid w:val="00FA420B"/>
    <w:rsid w:val="00FA44ED"/>
    <w:rsid w:val="00FA45F6"/>
    <w:rsid w:val="00FA498D"/>
    <w:rsid w:val="00FA4ED6"/>
    <w:rsid w:val="00FA4F36"/>
    <w:rsid w:val="00FA51CA"/>
    <w:rsid w:val="00FA5F6F"/>
    <w:rsid w:val="00FA7259"/>
    <w:rsid w:val="00FA726D"/>
    <w:rsid w:val="00FA732F"/>
    <w:rsid w:val="00FA7381"/>
    <w:rsid w:val="00FA7A94"/>
    <w:rsid w:val="00FA7B26"/>
    <w:rsid w:val="00FB02CD"/>
    <w:rsid w:val="00FB2045"/>
    <w:rsid w:val="00FB27EB"/>
    <w:rsid w:val="00FB3AF3"/>
    <w:rsid w:val="00FB4AC0"/>
    <w:rsid w:val="00FB5A08"/>
    <w:rsid w:val="00FB60BC"/>
    <w:rsid w:val="00FB6535"/>
    <w:rsid w:val="00FB6757"/>
    <w:rsid w:val="00FB6844"/>
    <w:rsid w:val="00FB6E23"/>
    <w:rsid w:val="00FB70F9"/>
    <w:rsid w:val="00FB72B5"/>
    <w:rsid w:val="00FB75D4"/>
    <w:rsid w:val="00FC02FD"/>
    <w:rsid w:val="00FC0440"/>
    <w:rsid w:val="00FC0CF6"/>
    <w:rsid w:val="00FC0E7B"/>
    <w:rsid w:val="00FC0EA9"/>
    <w:rsid w:val="00FC1A4A"/>
    <w:rsid w:val="00FC1CB7"/>
    <w:rsid w:val="00FC20FF"/>
    <w:rsid w:val="00FC350B"/>
    <w:rsid w:val="00FC392D"/>
    <w:rsid w:val="00FC3D9D"/>
    <w:rsid w:val="00FC40B2"/>
    <w:rsid w:val="00FC4713"/>
    <w:rsid w:val="00FC4847"/>
    <w:rsid w:val="00FC49F7"/>
    <w:rsid w:val="00FC4A80"/>
    <w:rsid w:val="00FC4BBC"/>
    <w:rsid w:val="00FC4CC0"/>
    <w:rsid w:val="00FC58D3"/>
    <w:rsid w:val="00FC60AF"/>
    <w:rsid w:val="00FC697E"/>
    <w:rsid w:val="00FC7976"/>
    <w:rsid w:val="00FC7B86"/>
    <w:rsid w:val="00FC7E16"/>
    <w:rsid w:val="00FC7EA7"/>
    <w:rsid w:val="00FD0B7E"/>
    <w:rsid w:val="00FD13D6"/>
    <w:rsid w:val="00FD140C"/>
    <w:rsid w:val="00FD1782"/>
    <w:rsid w:val="00FD256F"/>
    <w:rsid w:val="00FD2962"/>
    <w:rsid w:val="00FD2AE6"/>
    <w:rsid w:val="00FD2BCD"/>
    <w:rsid w:val="00FD2DBF"/>
    <w:rsid w:val="00FD2FA5"/>
    <w:rsid w:val="00FD41F1"/>
    <w:rsid w:val="00FD45AB"/>
    <w:rsid w:val="00FD4655"/>
    <w:rsid w:val="00FD46E0"/>
    <w:rsid w:val="00FD4D8B"/>
    <w:rsid w:val="00FD5EF3"/>
    <w:rsid w:val="00FD6B12"/>
    <w:rsid w:val="00FD6D10"/>
    <w:rsid w:val="00FD72DE"/>
    <w:rsid w:val="00FD759B"/>
    <w:rsid w:val="00FD7AA3"/>
    <w:rsid w:val="00FE0D73"/>
    <w:rsid w:val="00FE0DF2"/>
    <w:rsid w:val="00FE10FA"/>
    <w:rsid w:val="00FE13AF"/>
    <w:rsid w:val="00FE13F6"/>
    <w:rsid w:val="00FE1F4A"/>
    <w:rsid w:val="00FE215C"/>
    <w:rsid w:val="00FE2D2C"/>
    <w:rsid w:val="00FE2DE4"/>
    <w:rsid w:val="00FE32A8"/>
    <w:rsid w:val="00FE3446"/>
    <w:rsid w:val="00FE3DB0"/>
    <w:rsid w:val="00FE480C"/>
    <w:rsid w:val="00FE5619"/>
    <w:rsid w:val="00FE63A8"/>
    <w:rsid w:val="00FE72A6"/>
    <w:rsid w:val="00FE744B"/>
    <w:rsid w:val="00FF05EE"/>
    <w:rsid w:val="00FF12D0"/>
    <w:rsid w:val="00FF1A57"/>
    <w:rsid w:val="00FF1DE7"/>
    <w:rsid w:val="00FF2AA4"/>
    <w:rsid w:val="00FF2C07"/>
    <w:rsid w:val="00FF32AD"/>
    <w:rsid w:val="00FF3B4C"/>
    <w:rsid w:val="00FF5440"/>
    <w:rsid w:val="00FF658F"/>
    <w:rsid w:val="00FF75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9D0EA5"/>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156FDA"/>
    <w:pPr>
      <w:keepNext/>
      <w:spacing w:before="120" w:after="120"/>
      <w:outlineLvl w:val="0"/>
    </w:pPr>
    <w:rPr>
      <w:rFonts w:ascii="Book Antiqua" w:hAnsi="Book Antiqua"/>
      <w:b/>
      <w:bCs/>
      <w:kern w:val="32"/>
    </w:rPr>
  </w:style>
  <w:style w:type="paragraph" w:styleId="Heading2">
    <w:name w:val="heading 2"/>
    <w:basedOn w:val="Normal"/>
    <w:next w:val="Normal"/>
    <w:link w:val="Heading2Char"/>
    <w:semiHidden/>
    <w:unhideWhenUsed/>
    <w:qFormat/>
    <w:rsid w:val="00DC2A4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link w:val="CommentTextChar"/>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0077E0"/>
    <w:pPr>
      <w:spacing w:after="240"/>
    </w:pPr>
    <w:rPr>
      <w:rFonts w:ascii="Book Antiqua" w:hAnsi="Book Antiqua"/>
      <w:szCs w:val="16"/>
    </w:rPr>
  </w:style>
  <w:style w:type="character" w:customStyle="1" w:styleId="Heading1Char">
    <w:name w:val="Heading 1 Char"/>
    <w:link w:val="Heading1"/>
    <w:rsid w:val="00156FDA"/>
    <w:rPr>
      <w:rFonts w:ascii="Book Antiqua" w:hAnsi="Book Antiqua"/>
      <w:b/>
      <w:bCs/>
      <w:kern w:val="32"/>
      <w:sz w:val="24"/>
      <w:szCs w:val="24"/>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724073"/>
    <w:pPr>
      <w:numPr>
        <w:numId w:val="6"/>
      </w:numPr>
      <w:spacing w:before="120" w:after="240"/>
    </w:pPr>
    <w:rPr>
      <w:rFonts w:ascii="Book Antiqua" w:hAnsi="Book Antiqua"/>
      <w:szCs w:val="20"/>
    </w:rPr>
  </w:style>
  <w:style w:type="character" w:styleId="FollowedHyperlink">
    <w:name w:val="FollowedHyperlink"/>
    <w:basedOn w:val="DefaultParagraphFont"/>
    <w:semiHidden/>
    <w:unhideWhenUsed/>
    <w:rsid w:val="00BF2FCD"/>
    <w:rPr>
      <w:color w:val="954F72" w:themeColor="followedHyperlink"/>
      <w:u w:val="single"/>
    </w:rPr>
  </w:style>
  <w:style w:type="paragraph" w:styleId="Revision">
    <w:name w:val="Revision"/>
    <w:hidden/>
    <w:uiPriority w:val="99"/>
    <w:semiHidden/>
    <w:rsid w:val="00C9685F"/>
    <w:rPr>
      <w:sz w:val="24"/>
      <w:szCs w:val="24"/>
      <w:lang w:val="en-AU" w:eastAsia="en-AU"/>
    </w:rPr>
  </w:style>
  <w:style w:type="character" w:customStyle="1" w:styleId="cf01">
    <w:name w:val="cf01"/>
    <w:basedOn w:val="DefaultParagraphFont"/>
    <w:rsid w:val="00315D90"/>
    <w:rPr>
      <w:rFonts w:ascii="Segoe UI" w:hAnsi="Segoe UI" w:cs="Segoe UI" w:hint="default"/>
      <w:sz w:val="18"/>
      <w:szCs w:val="18"/>
    </w:rPr>
  </w:style>
  <w:style w:type="character" w:styleId="Strong">
    <w:name w:val="Strong"/>
    <w:basedOn w:val="DefaultParagraphFont"/>
    <w:uiPriority w:val="22"/>
    <w:qFormat/>
    <w:rsid w:val="00E26931"/>
    <w:rPr>
      <w:b/>
      <w:bCs/>
    </w:rPr>
  </w:style>
  <w:style w:type="paragraph" w:customStyle="1" w:styleId="pf0">
    <w:name w:val="pf0"/>
    <w:basedOn w:val="Normal"/>
    <w:rsid w:val="004D2414"/>
    <w:pPr>
      <w:spacing w:before="100" w:beforeAutospacing="1" w:after="100" w:afterAutospacing="1"/>
    </w:pPr>
  </w:style>
  <w:style w:type="character" w:customStyle="1" w:styleId="cf11">
    <w:name w:val="cf11"/>
    <w:basedOn w:val="DefaultParagraphFont"/>
    <w:rsid w:val="004D2414"/>
    <w:rPr>
      <w:rFonts w:ascii="Segoe UI" w:hAnsi="Segoe UI" w:cs="Segoe UI" w:hint="default"/>
      <w:sz w:val="18"/>
      <w:szCs w:val="18"/>
      <w:shd w:val="clear" w:color="auto" w:fill="00FF00"/>
    </w:rPr>
  </w:style>
  <w:style w:type="character" w:customStyle="1" w:styleId="UnresolvedMention1">
    <w:name w:val="Unresolved Mention1"/>
    <w:basedOn w:val="DefaultParagraphFont"/>
    <w:uiPriority w:val="99"/>
    <w:semiHidden/>
    <w:unhideWhenUsed/>
    <w:rsid w:val="00E87893"/>
    <w:rPr>
      <w:color w:val="605E5C"/>
      <w:shd w:val="clear" w:color="auto" w:fill="E1DFDD"/>
    </w:rPr>
  </w:style>
  <w:style w:type="character" w:customStyle="1" w:styleId="normaltextrun1">
    <w:name w:val="normaltextrun1"/>
    <w:basedOn w:val="DefaultParagraphFont"/>
    <w:rsid w:val="002665E5"/>
  </w:style>
  <w:style w:type="paragraph" w:customStyle="1" w:styleId="OtherMatters">
    <w:name w:val="Other Matters"/>
    <w:qFormat/>
    <w:rsid w:val="002665E5"/>
    <w:pPr>
      <w:numPr>
        <w:numId w:val="1"/>
      </w:numPr>
      <w:spacing w:before="120" w:after="120"/>
      <w:jc w:val="both"/>
    </w:pPr>
    <w:rPr>
      <w:rFonts w:ascii="Book Antiqua" w:hAnsi="Book Antiqua"/>
      <w:sz w:val="24"/>
      <w:lang w:val="en-AU" w:eastAsia="en-US"/>
    </w:rPr>
  </w:style>
  <w:style w:type="numbering" w:customStyle="1" w:styleId="AOtherMatters">
    <w:name w:val="A Other Matters"/>
    <w:uiPriority w:val="99"/>
    <w:rsid w:val="002665E5"/>
    <w:pPr>
      <w:numPr>
        <w:numId w:val="1"/>
      </w:numPr>
    </w:pPr>
  </w:style>
  <w:style w:type="character" w:customStyle="1" w:styleId="CommentTextChar">
    <w:name w:val="Comment Text Char"/>
    <w:basedOn w:val="DefaultParagraphFont"/>
    <w:link w:val="CommentText"/>
    <w:rsid w:val="00AD4228"/>
    <w:rPr>
      <w:lang w:val="en-AU" w:eastAsia="en-AU"/>
    </w:rPr>
  </w:style>
  <w:style w:type="character" w:customStyle="1" w:styleId="ui-provider">
    <w:name w:val="ui-provider"/>
    <w:basedOn w:val="DefaultParagraphFont"/>
    <w:rsid w:val="00AD4228"/>
  </w:style>
  <w:style w:type="paragraph" w:customStyle="1" w:styleId="Orders">
    <w:name w:val="Orders"/>
    <w:qFormat/>
    <w:rsid w:val="002C0774"/>
    <w:pPr>
      <w:numPr>
        <w:numId w:val="2"/>
      </w:numPr>
      <w:spacing w:before="120" w:after="120"/>
      <w:jc w:val="both"/>
    </w:pPr>
    <w:rPr>
      <w:rFonts w:ascii="Book Antiqua" w:hAnsi="Book Antiqua"/>
      <w:sz w:val="24"/>
      <w:lang w:val="en-AU" w:eastAsia="en-US"/>
    </w:rPr>
  </w:style>
  <w:style w:type="numbering" w:customStyle="1" w:styleId="AOrders">
    <w:name w:val="A Orders"/>
    <w:uiPriority w:val="99"/>
    <w:rsid w:val="002C0774"/>
    <w:pPr>
      <w:numPr>
        <w:numId w:val="2"/>
      </w:numPr>
    </w:pPr>
  </w:style>
  <w:style w:type="character" w:customStyle="1" w:styleId="Heading2Char">
    <w:name w:val="Heading 2 Char"/>
    <w:basedOn w:val="DefaultParagraphFont"/>
    <w:link w:val="Heading2"/>
    <w:semiHidden/>
    <w:rsid w:val="00DC2A40"/>
    <w:rPr>
      <w:rFonts w:asciiTheme="majorHAnsi" w:eastAsiaTheme="majorEastAsia" w:hAnsiTheme="majorHAnsi" w:cstheme="majorBidi"/>
      <w:color w:val="2E74B5" w:themeColor="accent1" w:themeShade="BF"/>
      <w:sz w:val="26"/>
      <w:szCs w:val="26"/>
      <w:lang w:val="en-AU" w:eastAsia="en-AU"/>
    </w:rPr>
  </w:style>
  <w:style w:type="paragraph" w:customStyle="1" w:styleId="FactsheetTitle">
    <w:name w:val="Factsheet Title"/>
    <w:basedOn w:val="Normal"/>
    <w:rsid w:val="002F20F3"/>
    <w:pPr>
      <w:outlineLvl w:val="0"/>
    </w:pPr>
    <w:rPr>
      <w:rFonts w:ascii="Arial" w:eastAsia="Cambria" w:hAnsi="Arial"/>
      <w:noProof/>
      <w:color w:val="981E32"/>
      <w:sz w:val="44"/>
      <w:lang w:val="en-US" w:eastAsia="en-US"/>
    </w:rPr>
  </w:style>
  <w:style w:type="paragraph" w:styleId="TOCHeading">
    <w:name w:val="TOC Heading"/>
    <w:basedOn w:val="Heading1"/>
    <w:next w:val="Normal"/>
    <w:uiPriority w:val="39"/>
    <w:unhideWhenUsed/>
    <w:qFormat/>
    <w:rsid w:val="00682A5E"/>
    <w:pPr>
      <w:keepLines/>
      <w:spacing w:after="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122692"/>
    <w:pPr>
      <w:tabs>
        <w:tab w:val="right" w:leader="dot" w:pos="9016"/>
      </w:tabs>
      <w:spacing w:after="100"/>
    </w:pPr>
  </w:style>
  <w:style w:type="paragraph" w:customStyle="1" w:styleId="Heading2specific">
    <w:name w:val="Heading 2 specific"/>
    <w:basedOn w:val="Normal"/>
    <w:link w:val="Heading2specificChar"/>
    <w:qFormat/>
    <w:rsid w:val="00B34AFC"/>
    <w:pPr>
      <w:spacing w:before="120" w:after="120"/>
      <w:jc w:val="both"/>
    </w:pPr>
    <w:rPr>
      <w:rFonts w:ascii="Book Antiqua" w:hAnsi="Book Antiqua"/>
      <w:b/>
      <w:bCs/>
    </w:rPr>
  </w:style>
  <w:style w:type="character" w:customStyle="1" w:styleId="Heading2specificChar">
    <w:name w:val="Heading 2 specific Char"/>
    <w:basedOn w:val="DefaultParagraphFont"/>
    <w:link w:val="Heading2specific"/>
    <w:rsid w:val="00B34AFC"/>
    <w:rPr>
      <w:rFonts w:ascii="Book Antiqua" w:hAnsi="Book Antiqua"/>
      <w:b/>
      <w:bCs/>
      <w:sz w:val="24"/>
      <w:szCs w:val="24"/>
      <w:lang w:val="en-AU" w:eastAsia="en-AU"/>
    </w:rPr>
  </w:style>
  <w:style w:type="paragraph" w:styleId="TOC3">
    <w:name w:val="toc 3"/>
    <w:basedOn w:val="Normal"/>
    <w:next w:val="Normal"/>
    <w:autoRedefine/>
    <w:uiPriority w:val="39"/>
    <w:unhideWhenUsed/>
    <w:rsid w:val="00681CB3"/>
    <w:pPr>
      <w:tabs>
        <w:tab w:val="right" w:leader="dot" w:pos="9016"/>
      </w:tabs>
      <w:spacing w:after="100"/>
      <w:ind w:left="48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09426">
      <w:bodyDiv w:val="1"/>
      <w:marLeft w:val="0"/>
      <w:marRight w:val="0"/>
      <w:marTop w:val="0"/>
      <w:marBottom w:val="0"/>
      <w:divBdr>
        <w:top w:val="none" w:sz="0" w:space="0" w:color="auto"/>
        <w:left w:val="none" w:sz="0" w:space="0" w:color="auto"/>
        <w:bottom w:val="none" w:sz="0" w:space="0" w:color="auto"/>
        <w:right w:val="none" w:sz="0" w:space="0" w:color="auto"/>
      </w:divBdr>
    </w:div>
    <w:div w:id="73205375">
      <w:bodyDiv w:val="1"/>
      <w:marLeft w:val="0"/>
      <w:marRight w:val="0"/>
      <w:marTop w:val="0"/>
      <w:marBottom w:val="0"/>
      <w:divBdr>
        <w:top w:val="none" w:sz="0" w:space="0" w:color="auto"/>
        <w:left w:val="none" w:sz="0" w:space="0" w:color="auto"/>
        <w:bottom w:val="none" w:sz="0" w:space="0" w:color="auto"/>
        <w:right w:val="none" w:sz="0" w:space="0" w:color="auto"/>
      </w:divBdr>
    </w:div>
    <w:div w:id="106776760">
      <w:bodyDiv w:val="1"/>
      <w:marLeft w:val="0"/>
      <w:marRight w:val="0"/>
      <w:marTop w:val="0"/>
      <w:marBottom w:val="0"/>
      <w:divBdr>
        <w:top w:val="none" w:sz="0" w:space="0" w:color="auto"/>
        <w:left w:val="none" w:sz="0" w:space="0" w:color="auto"/>
        <w:bottom w:val="none" w:sz="0" w:space="0" w:color="auto"/>
        <w:right w:val="none" w:sz="0" w:space="0" w:color="auto"/>
      </w:divBdr>
    </w:div>
    <w:div w:id="149712639">
      <w:bodyDiv w:val="1"/>
      <w:marLeft w:val="0"/>
      <w:marRight w:val="0"/>
      <w:marTop w:val="0"/>
      <w:marBottom w:val="0"/>
      <w:divBdr>
        <w:top w:val="none" w:sz="0" w:space="0" w:color="auto"/>
        <w:left w:val="none" w:sz="0" w:space="0" w:color="auto"/>
        <w:bottom w:val="none" w:sz="0" w:space="0" w:color="auto"/>
        <w:right w:val="none" w:sz="0" w:space="0" w:color="auto"/>
      </w:divBdr>
    </w:div>
    <w:div w:id="155415881">
      <w:bodyDiv w:val="1"/>
      <w:marLeft w:val="0"/>
      <w:marRight w:val="0"/>
      <w:marTop w:val="0"/>
      <w:marBottom w:val="0"/>
      <w:divBdr>
        <w:top w:val="none" w:sz="0" w:space="0" w:color="auto"/>
        <w:left w:val="none" w:sz="0" w:space="0" w:color="auto"/>
        <w:bottom w:val="none" w:sz="0" w:space="0" w:color="auto"/>
        <w:right w:val="none" w:sz="0" w:space="0" w:color="auto"/>
      </w:divBdr>
    </w:div>
    <w:div w:id="176115932">
      <w:bodyDiv w:val="1"/>
      <w:marLeft w:val="0"/>
      <w:marRight w:val="0"/>
      <w:marTop w:val="0"/>
      <w:marBottom w:val="0"/>
      <w:divBdr>
        <w:top w:val="none" w:sz="0" w:space="0" w:color="auto"/>
        <w:left w:val="none" w:sz="0" w:space="0" w:color="auto"/>
        <w:bottom w:val="none" w:sz="0" w:space="0" w:color="auto"/>
        <w:right w:val="none" w:sz="0" w:space="0" w:color="auto"/>
      </w:divBdr>
    </w:div>
    <w:div w:id="214194864">
      <w:bodyDiv w:val="1"/>
      <w:marLeft w:val="0"/>
      <w:marRight w:val="0"/>
      <w:marTop w:val="0"/>
      <w:marBottom w:val="0"/>
      <w:divBdr>
        <w:top w:val="none" w:sz="0" w:space="0" w:color="auto"/>
        <w:left w:val="none" w:sz="0" w:space="0" w:color="auto"/>
        <w:bottom w:val="none" w:sz="0" w:space="0" w:color="auto"/>
        <w:right w:val="none" w:sz="0" w:space="0" w:color="auto"/>
      </w:divBdr>
    </w:div>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09484065">
      <w:bodyDiv w:val="1"/>
      <w:marLeft w:val="0"/>
      <w:marRight w:val="0"/>
      <w:marTop w:val="0"/>
      <w:marBottom w:val="0"/>
      <w:divBdr>
        <w:top w:val="none" w:sz="0" w:space="0" w:color="auto"/>
        <w:left w:val="none" w:sz="0" w:space="0" w:color="auto"/>
        <w:bottom w:val="none" w:sz="0" w:space="0" w:color="auto"/>
        <w:right w:val="none" w:sz="0" w:space="0" w:color="auto"/>
      </w:divBdr>
    </w:div>
    <w:div w:id="468325843">
      <w:bodyDiv w:val="1"/>
      <w:marLeft w:val="0"/>
      <w:marRight w:val="0"/>
      <w:marTop w:val="0"/>
      <w:marBottom w:val="0"/>
      <w:divBdr>
        <w:top w:val="none" w:sz="0" w:space="0" w:color="auto"/>
        <w:left w:val="none" w:sz="0" w:space="0" w:color="auto"/>
        <w:bottom w:val="none" w:sz="0" w:space="0" w:color="auto"/>
        <w:right w:val="none" w:sz="0" w:space="0" w:color="auto"/>
      </w:divBdr>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572201267">
      <w:bodyDiv w:val="1"/>
      <w:marLeft w:val="0"/>
      <w:marRight w:val="0"/>
      <w:marTop w:val="0"/>
      <w:marBottom w:val="0"/>
      <w:divBdr>
        <w:top w:val="none" w:sz="0" w:space="0" w:color="auto"/>
        <w:left w:val="none" w:sz="0" w:space="0" w:color="auto"/>
        <w:bottom w:val="none" w:sz="0" w:space="0" w:color="auto"/>
        <w:right w:val="none" w:sz="0" w:space="0" w:color="auto"/>
      </w:divBdr>
    </w:div>
    <w:div w:id="614289621">
      <w:bodyDiv w:val="1"/>
      <w:marLeft w:val="0"/>
      <w:marRight w:val="0"/>
      <w:marTop w:val="0"/>
      <w:marBottom w:val="0"/>
      <w:divBdr>
        <w:top w:val="none" w:sz="0" w:space="0" w:color="auto"/>
        <w:left w:val="none" w:sz="0" w:space="0" w:color="auto"/>
        <w:bottom w:val="none" w:sz="0" w:space="0" w:color="auto"/>
        <w:right w:val="none" w:sz="0" w:space="0" w:color="auto"/>
      </w:divBdr>
    </w:div>
    <w:div w:id="645740553">
      <w:bodyDiv w:val="1"/>
      <w:marLeft w:val="0"/>
      <w:marRight w:val="0"/>
      <w:marTop w:val="0"/>
      <w:marBottom w:val="0"/>
      <w:divBdr>
        <w:top w:val="none" w:sz="0" w:space="0" w:color="auto"/>
        <w:left w:val="none" w:sz="0" w:space="0" w:color="auto"/>
        <w:bottom w:val="none" w:sz="0" w:space="0" w:color="auto"/>
        <w:right w:val="none" w:sz="0" w:space="0" w:color="auto"/>
      </w:divBdr>
    </w:div>
    <w:div w:id="653487479">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83167828">
      <w:bodyDiv w:val="1"/>
      <w:marLeft w:val="0"/>
      <w:marRight w:val="0"/>
      <w:marTop w:val="0"/>
      <w:marBottom w:val="0"/>
      <w:divBdr>
        <w:top w:val="none" w:sz="0" w:space="0" w:color="auto"/>
        <w:left w:val="none" w:sz="0" w:space="0" w:color="auto"/>
        <w:bottom w:val="none" w:sz="0" w:space="0" w:color="auto"/>
        <w:right w:val="none" w:sz="0" w:space="0" w:color="auto"/>
      </w:divBdr>
    </w:div>
    <w:div w:id="851721763">
      <w:bodyDiv w:val="1"/>
      <w:marLeft w:val="0"/>
      <w:marRight w:val="0"/>
      <w:marTop w:val="0"/>
      <w:marBottom w:val="0"/>
      <w:divBdr>
        <w:top w:val="none" w:sz="0" w:space="0" w:color="auto"/>
        <w:left w:val="none" w:sz="0" w:space="0" w:color="auto"/>
        <w:bottom w:val="none" w:sz="0" w:space="0" w:color="auto"/>
        <w:right w:val="none" w:sz="0" w:space="0" w:color="auto"/>
      </w:divBdr>
    </w:div>
    <w:div w:id="992835921">
      <w:bodyDiv w:val="1"/>
      <w:marLeft w:val="0"/>
      <w:marRight w:val="0"/>
      <w:marTop w:val="0"/>
      <w:marBottom w:val="0"/>
      <w:divBdr>
        <w:top w:val="none" w:sz="0" w:space="0" w:color="auto"/>
        <w:left w:val="none" w:sz="0" w:space="0" w:color="auto"/>
        <w:bottom w:val="none" w:sz="0" w:space="0" w:color="auto"/>
        <w:right w:val="none" w:sz="0" w:space="0" w:color="auto"/>
      </w:divBdr>
    </w:div>
    <w:div w:id="998003981">
      <w:bodyDiv w:val="1"/>
      <w:marLeft w:val="0"/>
      <w:marRight w:val="0"/>
      <w:marTop w:val="0"/>
      <w:marBottom w:val="0"/>
      <w:divBdr>
        <w:top w:val="none" w:sz="0" w:space="0" w:color="auto"/>
        <w:left w:val="none" w:sz="0" w:space="0" w:color="auto"/>
        <w:bottom w:val="none" w:sz="0" w:space="0" w:color="auto"/>
        <w:right w:val="none" w:sz="0" w:space="0" w:color="auto"/>
      </w:divBdr>
    </w:div>
    <w:div w:id="1061713388">
      <w:bodyDiv w:val="1"/>
      <w:marLeft w:val="0"/>
      <w:marRight w:val="0"/>
      <w:marTop w:val="0"/>
      <w:marBottom w:val="0"/>
      <w:divBdr>
        <w:top w:val="none" w:sz="0" w:space="0" w:color="auto"/>
        <w:left w:val="none" w:sz="0" w:space="0" w:color="auto"/>
        <w:bottom w:val="none" w:sz="0" w:space="0" w:color="auto"/>
        <w:right w:val="none" w:sz="0" w:space="0" w:color="auto"/>
      </w:divBdr>
    </w:div>
    <w:div w:id="1101222193">
      <w:bodyDiv w:val="1"/>
      <w:marLeft w:val="0"/>
      <w:marRight w:val="0"/>
      <w:marTop w:val="0"/>
      <w:marBottom w:val="0"/>
      <w:divBdr>
        <w:top w:val="none" w:sz="0" w:space="0" w:color="auto"/>
        <w:left w:val="none" w:sz="0" w:space="0" w:color="auto"/>
        <w:bottom w:val="none" w:sz="0" w:space="0" w:color="auto"/>
        <w:right w:val="none" w:sz="0" w:space="0" w:color="auto"/>
      </w:divBdr>
    </w:div>
    <w:div w:id="1273708955">
      <w:bodyDiv w:val="1"/>
      <w:marLeft w:val="0"/>
      <w:marRight w:val="0"/>
      <w:marTop w:val="0"/>
      <w:marBottom w:val="0"/>
      <w:divBdr>
        <w:top w:val="none" w:sz="0" w:space="0" w:color="auto"/>
        <w:left w:val="none" w:sz="0" w:space="0" w:color="auto"/>
        <w:bottom w:val="none" w:sz="0" w:space="0" w:color="auto"/>
        <w:right w:val="none" w:sz="0" w:space="0" w:color="auto"/>
      </w:divBdr>
    </w:div>
    <w:div w:id="1283733976">
      <w:bodyDiv w:val="1"/>
      <w:marLeft w:val="0"/>
      <w:marRight w:val="0"/>
      <w:marTop w:val="0"/>
      <w:marBottom w:val="0"/>
      <w:divBdr>
        <w:top w:val="none" w:sz="0" w:space="0" w:color="auto"/>
        <w:left w:val="none" w:sz="0" w:space="0" w:color="auto"/>
        <w:bottom w:val="none" w:sz="0" w:space="0" w:color="auto"/>
        <w:right w:val="none" w:sz="0" w:space="0" w:color="auto"/>
      </w:divBdr>
    </w:div>
    <w:div w:id="1403136499">
      <w:bodyDiv w:val="1"/>
      <w:marLeft w:val="0"/>
      <w:marRight w:val="0"/>
      <w:marTop w:val="0"/>
      <w:marBottom w:val="0"/>
      <w:divBdr>
        <w:top w:val="none" w:sz="0" w:space="0" w:color="auto"/>
        <w:left w:val="none" w:sz="0" w:space="0" w:color="auto"/>
        <w:bottom w:val="none" w:sz="0" w:space="0" w:color="auto"/>
        <w:right w:val="none" w:sz="0" w:space="0" w:color="auto"/>
      </w:divBdr>
    </w:div>
    <w:div w:id="1431851933">
      <w:bodyDiv w:val="1"/>
      <w:marLeft w:val="0"/>
      <w:marRight w:val="0"/>
      <w:marTop w:val="0"/>
      <w:marBottom w:val="0"/>
      <w:divBdr>
        <w:top w:val="none" w:sz="0" w:space="0" w:color="auto"/>
        <w:left w:val="none" w:sz="0" w:space="0" w:color="auto"/>
        <w:bottom w:val="none" w:sz="0" w:space="0" w:color="auto"/>
        <w:right w:val="none" w:sz="0" w:space="0" w:color="auto"/>
      </w:divBdr>
    </w:div>
    <w:div w:id="1530798282">
      <w:bodyDiv w:val="1"/>
      <w:marLeft w:val="0"/>
      <w:marRight w:val="0"/>
      <w:marTop w:val="0"/>
      <w:marBottom w:val="0"/>
      <w:divBdr>
        <w:top w:val="none" w:sz="0" w:space="0" w:color="auto"/>
        <w:left w:val="none" w:sz="0" w:space="0" w:color="auto"/>
        <w:bottom w:val="none" w:sz="0" w:space="0" w:color="auto"/>
        <w:right w:val="none" w:sz="0" w:space="0" w:color="auto"/>
      </w:divBdr>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600945007">
      <w:bodyDiv w:val="1"/>
      <w:marLeft w:val="0"/>
      <w:marRight w:val="0"/>
      <w:marTop w:val="0"/>
      <w:marBottom w:val="0"/>
      <w:divBdr>
        <w:top w:val="none" w:sz="0" w:space="0" w:color="auto"/>
        <w:left w:val="none" w:sz="0" w:space="0" w:color="auto"/>
        <w:bottom w:val="none" w:sz="0" w:space="0" w:color="auto"/>
        <w:right w:val="none" w:sz="0" w:space="0" w:color="auto"/>
      </w:divBdr>
    </w:div>
    <w:div w:id="1700081380">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01941872">
      <w:bodyDiv w:val="1"/>
      <w:marLeft w:val="0"/>
      <w:marRight w:val="0"/>
      <w:marTop w:val="0"/>
      <w:marBottom w:val="0"/>
      <w:divBdr>
        <w:top w:val="none" w:sz="0" w:space="0" w:color="auto"/>
        <w:left w:val="none" w:sz="0" w:space="0" w:color="auto"/>
        <w:bottom w:val="none" w:sz="0" w:space="0" w:color="auto"/>
        <w:right w:val="none" w:sz="0" w:space="0" w:color="auto"/>
      </w:divBdr>
    </w:div>
    <w:div w:id="1903710654">
      <w:bodyDiv w:val="1"/>
      <w:marLeft w:val="0"/>
      <w:marRight w:val="0"/>
      <w:marTop w:val="0"/>
      <w:marBottom w:val="0"/>
      <w:divBdr>
        <w:top w:val="none" w:sz="0" w:space="0" w:color="auto"/>
        <w:left w:val="none" w:sz="0" w:space="0" w:color="auto"/>
        <w:bottom w:val="none" w:sz="0" w:space="0" w:color="auto"/>
        <w:right w:val="none" w:sz="0" w:space="0" w:color="auto"/>
      </w:divBdr>
    </w:div>
    <w:div w:id="1956137815">
      <w:bodyDiv w:val="1"/>
      <w:marLeft w:val="0"/>
      <w:marRight w:val="0"/>
      <w:marTop w:val="0"/>
      <w:marBottom w:val="0"/>
      <w:divBdr>
        <w:top w:val="none" w:sz="0" w:space="0" w:color="auto"/>
        <w:left w:val="none" w:sz="0" w:space="0" w:color="auto"/>
        <w:bottom w:val="none" w:sz="0" w:space="0" w:color="auto"/>
        <w:right w:val="none" w:sz="0" w:space="0" w:color="auto"/>
      </w:divBdr>
    </w:div>
    <w:div w:id="1981032772">
      <w:bodyDiv w:val="1"/>
      <w:marLeft w:val="0"/>
      <w:marRight w:val="0"/>
      <w:marTop w:val="0"/>
      <w:marBottom w:val="0"/>
      <w:divBdr>
        <w:top w:val="none" w:sz="0" w:space="0" w:color="auto"/>
        <w:left w:val="none" w:sz="0" w:space="0" w:color="auto"/>
        <w:bottom w:val="none" w:sz="0" w:space="0" w:color="auto"/>
        <w:right w:val="none" w:sz="0" w:space="0" w:color="auto"/>
      </w:divBdr>
    </w:div>
    <w:div w:id="20493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costs.court@supcourt.vic.gov.au" TargetMode="External"/><Relationship Id="rId26" Type="http://schemas.openxmlformats.org/officeDocument/2006/relationships/hyperlink" Target="mailto:costs.court@supcourt.vic.gov.au" TargetMode="External"/><Relationship Id="rId3" Type="http://schemas.openxmlformats.org/officeDocument/2006/relationships/customXml" Target="../customXml/item3.xml"/><Relationship Id="rId21" Type="http://schemas.openxmlformats.org/officeDocument/2006/relationships/hyperlink" Target="mailto:costs.court@supcourt.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osts.court@supcourt.vic.gov.au" TargetMode="External"/><Relationship Id="rId25" Type="http://schemas.openxmlformats.org/officeDocument/2006/relationships/hyperlink" Target="mailto:costs.court@supcourt.vic.gov.au" TargetMode="External"/><Relationship Id="rId2" Type="http://schemas.openxmlformats.org/officeDocument/2006/relationships/customXml" Target="../customXml/item2.xml"/><Relationship Id="rId16" Type="http://schemas.openxmlformats.org/officeDocument/2006/relationships/hyperlink" Target="mailto:costs.court@supcourt.vic.gov.au" TargetMode="External"/><Relationship Id="rId20" Type="http://schemas.openxmlformats.org/officeDocument/2006/relationships/hyperlink" Target="mailto:costs.court@supcourt.vic.gov.au" TargetMode="External"/><Relationship Id="rId29" Type="http://schemas.openxmlformats.org/officeDocument/2006/relationships/hyperlink" Target="mailto:costs.court@supcourt.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chrome-extension://efaidnbmnnnibpcajpcglclefindmkaj/https:/www.supremecourt.vic.gov.au/sites/default/files/2023-05/Requesting_a_review_of_your_solicitor_bill.pdf" TargetMode="External"/><Relationship Id="rId5" Type="http://schemas.openxmlformats.org/officeDocument/2006/relationships/customXml" Target="../customXml/item5.xml"/><Relationship Id="rId15" Type="http://schemas.openxmlformats.org/officeDocument/2006/relationships/hyperlink" Target="https://www8.austlii.edu.au/cgi-bin/viewdoc/au/cases/vic/VSC/2020/82.html" TargetMode="External"/><Relationship Id="rId23" Type="http://schemas.openxmlformats.org/officeDocument/2006/relationships/hyperlink" Target="mailto:costs.court@supcourt.vic.gov.au" TargetMode="External"/><Relationship Id="rId28" Type="http://schemas.openxmlformats.org/officeDocument/2006/relationships/hyperlink" Target="mailto:costs.court@supcourt.vic.gov.au" TargetMode="External"/><Relationship Id="rId10" Type="http://schemas.openxmlformats.org/officeDocument/2006/relationships/webSettings" Target="webSettings.xml"/><Relationship Id="rId19" Type="http://schemas.openxmlformats.org/officeDocument/2006/relationships/hyperlink" Target="mailto:costs.court@supcourt.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costs.court@supcourt.vic.gov.au" TargetMode="External"/><Relationship Id="rId27" Type="http://schemas.openxmlformats.org/officeDocument/2006/relationships/hyperlink" Target="mailto:costs.court@suopcourt.vic.gov.au"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upremecourt.vic.gov.au/forms-fees-and-services/fees/prothonotary" TargetMode="External"/><Relationship Id="rId2" Type="http://schemas.openxmlformats.org/officeDocument/2006/relationships/hyperlink" Target="https://www.supremecourt.vic.gov.au/news/consultation-paper-on-time-based-costing-and-rates-of-charge-survey-for-legal-service" TargetMode="External"/><Relationship Id="rId1" Type="http://schemas.openxmlformats.org/officeDocument/2006/relationships/hyperlink" Target="https://www.supremecourt.vic.gov.au/news/report-on-litigious-co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D913C52A6E2041AD81A2B66432220C" ma:contentTypeVersion="20" ma:contentTypeDescription="Create a new document." ma:contentTypeScope="" ma:versionID="e1ee463611d7c1717d8ead2685754333">
  <xsd:schema xmlns:xsd="http://www.w3.org/2001/XMLSchema" xmlns:xs="http://www.w3.org/2001/XMLSchema" xmlns:p="http://schemas.microsoft.com/office/2006/metadata/properties" xmlns:ns2="165d4b50-b589-43ec-9412-e2629323c989" xmlns:ns3="a523d506-a52a-40ab-98d1-94ec2a13188f" xmlns:ns4="c1cf93c2-ef2b-4781-9f58-1c6d5f95bff6" targetNamespace="http://schemas.microsoft.com/office/2006/metadata/properties" ma:root="true" ma:fieldsID="39dcfc915eb521d60db672ef9143e8fc" ns2:_="" ns3:_="" ns4:_="">
    <xsd:import namespace="165d4b50-b589-43ec-9412-e2629323c989"/>
    <xsd:import namespace="a523d506-a52a-40ab-98d1-94ec2a13188f"/>
    <xsd:import namespace="c1cf93c2-ef2b-4781-9f58-1c6d5f95bff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DateTaken" minOccurs="0"/>
                <xsd:element ref="ns3:MediaServiceLocation" minOccurs="0"/>
                <xsd:element ref="ns3:MediaServiceOCR"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d4b50-b589-43ec-9412-e2629323c9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23d506-a52a-40ab-98d1-94ec2a13188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f93c2-ef2b-4781-9f58-1c6d5f95bff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4f2ef30-a054-4c42-9272-10236ffb8550}" ma:internalName="TaxCatchAll" ma:showField="CatchAllData" ma:web="c1cf93c2-ef2b-4781-9f58-1c6d5f95b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1cf93c2-ef2b-4781-9f58-1c6d5f95bff6" xsi:nil="true"/>
    <lcf76f155ced4ddcb4097134ff3c332f xmlns="a523d506-a52a-40ab-98d1-94ec2a13188f">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A7315-B509-44C3-834A-C8C480EA2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d4b50-b589-43ec-9412-e2629323c989"/>
    <ds:schemaRef ds:uri="a523d506-a52a-40ab-98d1-94ec2a13188f"/>
    <ds:schemaRef ds:uri="c1cf93c2-ef2b-4781-9f58-1c6d5f95b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C5FFA-8516-4FEC-A1E4-38241312D513}">
  <ds:schemaRefs>
    <ds:schemaRef ds:uri="http://schemas.microsoft.com/office/2006/metadata/properties"/>
    <ds:schemaRef ds:uri="http://schemas.microsoft.com/office/infopath/2007/PartnerControls"/>
    <ds:schemaRef ds:uri="c1cf93c2-ef2b-4781-9f58-1c6d5f95bff6"/>
    <ds:schemaRef ds:uri="a523d506-a52a-40ab-98d1-94ec2a13188f"/>
  </ds:schemaRefs>
</ds:datastoreItem>
</file>

<file path=customXml/itemProps3.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4.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5.xml><?xml version="1.0" encoding="utf-8"?>
<ds:datastoreItem xmlns:ds="http://schemas.openxmlformats.org/officeDocument/2006/customXml" ds:itemID="{DD4F7473-CBFE-4D64-B5B0-EF02BEC84274}">
  <ds:schemaRefs>
    <ds:schemaRef ds:uri="http://schemas.openxmlformats.org/officeDocument/2006/bibliography"/>
  </ds:schemaRefs>
</ds:datastoreItem>
</file>

<file path=customXml/itemProps6.xml><?xml version="1.0" encoding="utf-8"?>
<ds:datastoreItem xmlns:ds="http://schemas.openxmlformats.org/officeDocument/2006/customXml" ds:itemID="{AC7126B4-73F9-4486-9BDE-ED6213C2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9632</Words>
  <Characters>50686</Characters>
  <Application>Microsoft Office Word</Application>
  <DocSecurity>4</DocSecurity>
  <Lines>422</Lines>
  <Paragraphs>120</Paragraphs>
  <ScaleCrop>false</ScaleCrop>
  <HeadingPairs>
    <vt:vector size="2" baseType="variant">
      <vt:variant>
        <vt:lpstr>Title</vt:lpstr>
      </vt:variant>
      <vt:variant>
        <vt:i4>1</vt:i4>
      </vt:variant>
    </vt:vector>
  </HeadingPairs>
  <TitlesOfParts>
    <vt:vector size="1" baseType="lpstr">
      <vt:lpstr>Practice Note No. 1 of 2015</vt:lpstr>
    </vt:vector>
  </TitlesOfParts>
  <Company>Supreme Court of Victoria</Company>
  <LinksUpToDate>false</LinksUpToDate>
  <CharactersWithSpaces>60198</CharactersWithSpaces>
  <SharedDoc>false</SharedDoc>
  <HLinks>
    <vt:vector size="342" baseType="variant">
      <vt:variant>
        <vt:i4>2097232</vt:i4>
      </vt:variant>
      <vt:variant>
        <vt:i4>201</vt:i4>
      </vt:variant>
      <vt:variant>
        <vt:i4>0</vt:i4>
      </vt:variant>
      <vt:variant>
        <vt:i4>5</vt:i4>
      </vt:variant>
      <vt:variant>
        <vt:lpwstr>mailto:costs.court@supcourt.vic.gov.au</vt:lpwstr>
      </vt:variant>
      <vt:variant>
        <vt:lpwstr/>
      </vt:variant>
      <vt:variant>
        <vt:i4>7471106</vt:i4>
      </vt:variant>
      <vt:variant>
        <vt:i4>198</vt:i4>
      </vt:variant>
      <vt:variant>
        <vt:i4>0</vt:i4>
      </vt:variant>
      <vt:variant>
        <vt:i4>5</vt:i4>
      </vt:variant>
      <vt:variant>
        <vt:lpwstr>mailto:chambers.conidi@supcourt.vic.gov.au</vt:lpwstr>
      </vt:variant>
      <vt:variant>
        <vt:lpwstr/>
      </vt:variant>
      <vt:variant>
        <vt:i4>7864338</vt:i4>
      </vt:variant>
      <vt:variant>
        <vt:i4>195</vt:i4>
      </vt:variant>
      <vt:variant>
        <vt:i4>0</vt:i4>
      </vt:variant>
      <vt:variant>
        <vt:i4>5</vt:i4>
      </vt:variant>
      <vt:variant>
        <vt:lpwstr>mailto:costs.court@suopcourt.vic.gov.au</vt:lpwstr>
      </vt:variant>
      <vt:variant>
        <vt:lpwstr/>
      </vt:variant>
      <vt:variant>
        <vt:i4>2097232</vt:i4>
      </vt:variant>
      <vt:variant>
        <vt:i4>192</vt:i4>
      </vt:variant>
      <vt:variant>
        <vt:i4>0</vt:i4>
      </vt:variant>
      <vt:variant>
        <vt:i4>5</vt:i4>
      </vt:variant>
      <vt:variant>
        <vt:lpwstr>mailto:costs.court@supcourt.vic.gov.au</vt:lpwstr>
      </vt:variant>
      <vt:variant>
        <vt:lpwstr/>
      </vt:variant>
      <vt:variant>
        <vt:i4>2097232</vt:i4>
      </vt:variant>
      <vt:variant>
        <vt:i4>189</vt:i4>
      </vt:variant>
      <vt:variant>
        <vt:i4>0</vt:i4>
      </vt:variant>
      <vt:variant>
        <vt:i4>5</vt:i4>
      </vt:variant>
      <vt:variant>
        <vt:lpwstr>mailto:costs.court@supcourt.vic.gov.au</vt:lpwstr>
      </vt:variant>
      <vt:variant>
        <vt:lpwstr/>
      </vt:variant>
      <vt:variant>
        <vt:i4>4587641</vt:i4>
      </vt:variant>
      <vt:variant>
        <vt:i4>186</vt:i4>
      </vt:variant>
      <vt:variant>
        <vt:i4>0</vt:i4>
      </vt:variant>
      <vt:variant>
        <vt:i4>5</vt:i4>
      </vt:variant>
      <vt:variant>
        <vt:lpwstr>mailto:unrepresented@supcourt.vic.gov.au</vt:lpwstr>
      </vt:variant>
      <vt:variant>
        <vt:lpwstr/>
      </vt:variant>
      <vt:variant>
        <vt:i4>7012463</vt:i4>
      </vt:variant>
      <vt:variant>
        <vt:i4>183</vt:i4>
      </vt:variant>
      <vt:variant>
        <vt:i4>0</vt:i4>
      </vt:variant>
      <vt:variant>
        <vt:i4>5</vt:i4>
      </vt:variant>
      <vt:variant>
        <vt:lpwstr>chrome-extension://efaidnbmnnnibpcajpcglclefindmkaj/https:/www.supremecourt.vic.gov.au/sites/default/files/2023-05/Requesting_a_review_of_your_solicitor_bill.pdf</vt:lpwstr>
      </vt:variant>
      <vt:variant>
        <vt:lpwstr/>
      </vt:variant>
      <vt:variant>
        <vt:i4>2097232</vt:i4>
      </vt:variant>
      <vt:variant>
        <vt:i4>180</vt:i4>
      </vt:variant>
      <vt:variant>
        <vt:i4>0</vt:i4>
      </vt:variant>
      <vt:variant>
        <vt:i4>5</vt:i4>
      </vt:variant>
      <vt:variant>
        <vt:lpwstr>mailto:costs.court@supcourt.vic.gov.au</vt:lpwstr>
      </vt:variant>
      <vt:variant>
        <vt:lpwstr/>
      </vt:variant>
      <vt:variant>
        <vt:i4>2097232</vt:i4>
      </vt:variant>
      <vt:variant>
        <vt:i4>177</vt:i4>
      </vt:variant>
      <vt:variant>
        <vt:i4>0</vt:i4>
      </vt:variant>
      <vt:variant>
        <vt:i4>5</vt:i4>
      </vt:variant>
      <vt:variant>
        <vt:lpwstr>mailto:costs.court@supcourt.vic.gov.au</vt:lpwstr>
      </vt:variant>
      <vt:variant>
        <vt:lpwstr/>
      </vt:variant>
      <vt:variant>
        <vt:i4>2097232</vt:i4>
      </vt:variant>
      <vt:variant>
        <vt:i4>174</vt:i4>
      </vt:variant>
      <vt:variant>
        <vt:i4>0</vt:i4>
      </vt:variant>
      <vt:variant>
        <vt:i4>5</vt:i4>
      </vt:variant>
      <vt:variant>
        <vt:lpwstr>mailto:costs.court@supcourt.vic.gov.au</vt:lpwstr>
      </vt:variant>
      <vt:variant>
        <vt:lpwstr/>
      </vt:variant>
      <vt:variant>
        <vt:i4>2097232</vt:i4>
      </vt:variant>
      <vt:variant>
        <vt:i4>171</vt:i4>
      </vt:variant>
      <vt:variant>
        <vt:i4>0</vt:i4>
      </vt:variant>
      <vt:variant>
        <vt:i4>5</vt:i4>
      </vt:variant>
      <vt:variant>
        <vt:lpwstr>mailto:costs.court@supcourt.vic.gov.au</vt:lpwstr>
      </vt:variant>
      <vt:variant>
        <vt:lpwstr/>
      </vt:variant>
      <vt:variant>
        <vt:i4>2097232</vt:i4>
      </vt:variant>
      <vt:variant>
        <vt:i4>168</vt:i4>
      </vt:variant>
      <vt:variant>
        <vt:i4>0</vt:i4>
      </vt:variant>
      <vt:variant>
        <vt:i4>5</vt:i4>
      </vt:variant>
      <vt:variant>
        <vt:lpwstr>mailto:costs.court@supcourt.vic.gov.au</vt:lpwstr>
      </vt:variant>
      <vt:variant>
        <vt:lpwstr/>
      </vt:variant>
      <vt:variant>
        <vt:i4>2097232</vt:i4>
      </vt:variant>
      <vt:variant>
        <vt:i4>165</vt:i4>
      </vt:variant>
      <vt:variant>
        <vt:i4>0</vt:i4>
      </vt:variant>
      <vt:variant>
        <vt:i4>5</vt:i4>
      </vt:variant>
      <vt:variant>
        <vt:lpwstr>mailto:costs.court@supcourt.vic.gov.au</vt:lpwstr>
      </vt:variant>
      <vt:variant>
        <vt:lpwstr/>
      </vt:variant>
      <vt:variant>
        <vt:i4>2097232</vt:i4>
      </vt:variant>
      <vt:variant>
        <vt:i4>162</vt:i4>
      </vt:variant>
      <vt:variant>
        <vt:i4>0</vt:i4>
      </vt:variant>
      <vt:variant>
        <vt:i4>5</vt:i4>
      </vt:variant>
      <vt:variant>
        <vt:lpwstr>mailto:costs.court@supcourt.vic.gov.au</vt:lpwstr>
      </vt:variant>
      <vt:variant>
        <vt:lpwstr/>
      </vt:variant>
      <vt:variant>
        <vt:i4>2097232</vt:i4>
      </vt:variant>
      <vt:variant>
        <vt:i4>159</vt:i4>
      </vt:variant>
      <vt:variant>
        <vt:i4>0</vt:i4>
      </vt:variant>
      <vt:variant>
        <vt:i4>5</vt:i4>
      </vt:variant>
      <vt:variant>
        <vt:lpwstr>mailto:costs.court@supcourt.vic.gov.au</vt:lpwstr>
      </vt:variant>
      <vt:variant>
        <vt:lpwstr/>
      </vt:variant>
      <vt:variant>
        <vt:i4>4915224</vt:i4>
      </vt:variant>
      <vt:variant>
        <vt:i4>156</vt:i4>
      </vt:variant>
      <vt:variant>
        <vt:i4>0</vt:i4>
      </vt:variant>
      <vt:variant>
        <vt:i4>5</vt:i4>
      </vt:variant>
      <vt:variant>
        <vt:lpwstr>https://www8.austlii.edu.au/cgi-bin/viewdoc/au/cases/vic/VSC/2020/82.html</vt:lpwstr>
      </vt:variant>
      <vt:variant>
        <vt:lpwstr/>
      </vt:variant>
      <vt:variant>
        <vt:i4>1769527</vt:i4>
      </vt:variant>
      <vt:variant>
        <vt:i4>152</vt:i4>
      </vt:variant>
      <vt:variant>
        <vt:i4>0</vt:i4>
      </vt:variant>
      <vt:variant>
        <vt:i4>5</vt:i4>
      </vt:variant>
      <vt:variant>
        <vt:lpwstr/>
      </vt:variant>
      <vt:variant>
        <vt:lpwstr>_Toc175840732</vt:lpwstr>
      </vt:variant>
      <vt:variant>
        <vt:i4>1769527</vt:i4>
      </vt:variant>
      <vt:variant>
        <vt:i4>149</vt:i4>
      </vt:variant>
      <vt:variant>
        <vt:i4>0</vt:i4>
      </vt:variant>
      <vt:variant>
        <vt:i4>5</vt:i4>
      </vt:variant>
      <vt:variant>
        <vt:lpwstr/>
      </vt:variant>
      <vt:variant>
        <vt:lpwstr>_Toc175840730</vt:lpwstr>
      </vt:variant>
      <vt:variant>
        <vt:i4>1703991</vt:i4>
      </vt:variant>
      <vt:variant>
        <vt:i4>146</vt:i4>
      </vt:variant>
      <vt:variant>
        <vt:i4>0</vt:i4>
      </vt:variant>
      <vt:variant>
        <vt:i4>5</vt:i4>
      </vt:variant>
      <vt:variant>
        <vt:lpwstr/>
      </vt:variant>
      <vt:variant>
        <vt:lpwstr>_Toc175840728</vt:lpwstr>
      </vt:variant>
      <vt:variant>
        <vt:i4>1703991</vt:i4>
      </vt:variant>
      <vt:variant>
        <vt:i4>143</vt:i4>
      </vt:variant>
      <vt:variant>
        <vt:i4>0</vt:i4>
      </vt:variant>
      <vt:variant>
        <vt:i4>5</vt:i4>
      </vt:variant>
      <vt:variant>
        <vt:lpwstr/>
      </vt:variant>
      <vt:variant>
        <vt:lpwstr>_Toc175840727</vt:lpwstr>
      </vt:variant>
      <vt:variant>
        <vt:i4>1703991</vt:i4>
      </vt:variant>
      <vt:variant>
        <vt:i4>140</vt:i4>
      </vt:variant>
      <vt:variant>
        <vt:i4>0</vt:i4>
      </vt:variant>
      <vt:variant>
        <vt:i4>5</vt:i4>
      </vt:variant>
      <vt:variant>
        <vt:lpwstr/>
      </vt:variant>
      <vt:variant>
        <vt:lpwstr>_Toc175840726</vt:lpwstr>
      </vt:variant>
      <vt:variant>
        <vt:i4>1703991</vt:i4>
      </vt:variant>
      <vt:variant>
        <vt:i4>137</vt:i4>
      </vt:variant>
      <vt:variant>
        <vt:i4>0</vt:i4>
      </vt:variant>
      <vt:variant>
        <vt:i4>5</vt:i4>
      </vt:variant>
      <vt:variant>
        <vt:lpwstr/>
      </vt:variant>
      <vt:variant>
        <vt:lpwstr>_Toc175840725</vt:lpwstr>
      </vt:variant>
      <vt:variant>
        <vt:i4>1703991</vt:i4>
      </vt:variant>
      <vt:variant>
        <vt:i4>134</vt:i4>
      </vt:variant>
      <vt:variant>
        <vt:i4>0</vt:i4>
      </vt:variant>
      <vt:variant>
        <vt:i4>5</vt:i4>
      </vt:variant>
      <vt:variant>
        <vt:lpwstr/>
      </vt:variant>
      <vt:variant>
        <vt:lpwstr>_Toc175840724</vt:lpwstr>
      </vt:variant>
      <vt:variant>
        <vt:i4>1703991</vt:i4>
      </vt:variant>
      <vt:variant>
        <vt:i4>131</vt:i4>
      </vt:variant>
      <vt:variant>
        <vt:i4>0</vt:i4>
      </vt:variant>
      <vt:variant>
        <vt:i4>5</vt:i4>
      </vt:variant>
      <vt:variant>
        <vt:lpwstr/>
      </vt:variant>
      <vt:variant>
        <vt:lpwstr>_Toc175840723</vt:lpwstr>
      </vt:variant>
      <vt:variant>
        <vt:i4>1703991</vt:i4>
      </vt:variant>
      <vt:variant>
        <vt:i4>128</vt:i4>
      </vt:variant>
      <vt:variant>
        <vt:i4>0</vt:i4>
      </vt:variant>
      <vt:variant>
        <vt:i4>5</vt:i4>
      </vt:variant>
      <vt:variant>
        <vt:lpwstr/>
      </vt:variant>
      <vt:variant>
        <vt:lpwstr>_Toc175840722</vt:lpwstr>
      </vt:variant>
      <vt:variant>
        <vt:i4>1703991</vt:i4>
      </vt:variant>
      <vt:variant>
        <vt:i4>125</vt:i4>
      </vt:variant>
      <vt:variant>
        <vt:i4>0</vt:i4>
      </vt:variant>
      <vt:variant>
        <vt:i4>5</vt:i4>
      </vt:variant>
      <vt:variant>
        <vt:lpwstr/>
      </vt:variant>
      <vt:variant>
        <vt:lpwstr>_Toc175840721</vt:lpwstr>
      </vt:variant>
      <vt:variant>
        <vt:i4>1703991</vt:i4>
      </vt:variant>
      <vt:variant>
        <vt:i4>122</vt:i4>
      </vt:variant>
      <vt:variant>
        <vt:i4>0</vt:i4>
      </vt:variant>
      <vt:variant>
        <vt:i4>5</vt:i4>
      </vt:variant>
      <vt:variant>
        <vt:lpwstr/>
      </vt:variant>
      <vt:variant>
        <vt:lpwstr>_Toc175840720</vt:lpwstr>
      </vt:variant>
      <vt:variant>
        <vt:i4>1638455</vt:i4>
      </vt:variant>
      <vt:variant>
        <vt:i4>119</vt:i4>
      </vt:variant>
      <vt:variant>
        <vt:i4>0</vt:i4>
      </vt:variant>
      <vt:variant>
        <vt:i4>5</vt:i4>
      </vt:variant>
      <vt:variant>
        <vt:lpwstr/>
      </vt:variant>
      <vt:variant>
        <vt:lpwstr>_Toc175840719</vt:lpwstr>
      </vt:variant>
      <vt:variant>
        <vt:i4>1638455</vt:i4>
      </vt:variant>
      <vt:variant>
        <vt:i4>116</vt:i4>
      </vt:variant>
      <vt:variant>
        <vt:i4>0</vt:i4>
      </vt:variant>
      <vt:variant>
        <vt:i4>5</vt:i4>
      </vt:variant>
      <vt:variant>
        <vt:lpwstr/>
      </vt:variant>
      <vt:variant>
        <vt:lpwstr>_Toc175840718</vt:lpwstr>
      </vt:variant>
      <vt:variant>
        <vt:i4>1638455</vt:i4>
      </vt:variant>
      <vt:variant>
        <vt:i4>113</vt:i4>
      </vt:variant>
      <vt:variant>
        <vt:i4>0</vt:i4>
      </vt:variant>
      <vt:variant>
        <vt:i4>5</vt:i4>
      </vt:variant>
      <vt:variant>
        <vt:lpwstr/>
      </vt:variant>
      <vt:variant>
        <vt:lpwstr>_Toc175840717</vt:lpwstr>
      </vt:variant>
      <vt:variant>
        <vt:i4>1638455</vt:i4>
      </vt:variant>
      <vt:variant>
        <vt:i4>110</vt:i4>
      </vt:variant>
      <vt:variant>
        <vt:i4>0</vt:i4>
      </vt:variant>
      <vt:variant>
        <vt:i4>5</vt:i4>
      </vt:variant>
      <vt:variant>
        <vt:lpwstr/>
      </vt:variant>
      <vt:variant>
        <vt:lpwstr>_Toc175840716</vt:lpwstr>
      </vt:variant>
      <vt:variant>
        <vt:i4>1638455</vt:i4>
      </vt:variant>
      <vt:variant>
        <vt:i4>107</vt:i4>
      </vt:variant>
      <vt:variant>
        <vt:i4>0</vt:i4>
      </vt:variant>
      <vt:variant>
        <vt:i4>5</vt:i4>
      </vt:variant>
      <vt:variant>
        <vt:lpwstr/>
      </vt:variant>
      <vt:variant>
        <vt:lpwstr>_Toc175840715</vt:lpwstr>
      </vt:variant>
      <vt:variant>
        <vt:i4>1638455</vt:i4>
      </vt:variant>
      <vt:variant>
        <vt:i4>104</vt:i4>
      </vt:variant>
      <vt:variant>
        <vt:i4>0</vt:i4>
      </vt:variant>
      <vt:variant>
        <vt:i4>5</vt:i4>
      </vt:variant>
      <vt:variant>
        <vt:lpwstr/>
      </vt:variant>
      <vt:variant>
        <vt:lpwstr>_Toc175840714</vt:lpwstr>
      </vt:variant>
      <vt:variant>
        <vt:i4>1638455</vt:i4>
      </vt:variant>
      <vt:variant>
        <vt:i4>101</vt:i4>
      </vt:variant>
      <vt:variant>
        <vt:i4>0</vt:i4>
      </vt:variant>
      <vt:variant>
        <vt:i4>5</vt:i4>
      </vt:variant>
      <vt:variant>
        <vt:lpwstr/>
      </vt:variant>
      <vt:variant>
        <vt:lpwstr>_Toc175840713</vt:lpwstr>
      </vt:variant>
      <vt:variant>
        <vt:i4>1638455</vt:i4>
      </vt:variant>
      <vt:variant>
        <vt:i4>98</vt:i4>
      </vt:variant>
      <vt:variant>
        <vt:i4>0</vt:i4>
      </vt:variant>
      <vt:variant>
        <vt:i4>5</vt:i4>
      </vt:variant>
      <vt:variant>
        <vt:lpwstr/>
      </vt:variant>
      <vt:variant>
        <vt:lpwstr>_Toc175840712</vt:lpwstr>
      </vt:variant>
      <vt:variant>
        <vt:i4>1638455</vt:i4>
      </vt:variant>
      <vt:variant>
        <vt:i4>95</vt:i4>
      </vt:variant>
      <vt:variant>
        <vt:i4>0</vt:i4>
      </vt:variant>
      <vt:variant>
        <vt:i4>5</vt:i4>
      </vt:variant>
      <vt:variant>
        <vt:lpwstr/>
      </vt:variant>
      <vt:variant>
        <vt:lpwstr>_Toc175840711</vt:lpwstr>
      </vt:variant>
      <vt:variant>
        <vt:i4>1638455</vt:i4>
      </vt:variant>
      <vt:variant>
        <vt:i4>92</vt:i4>
      </vt:variant>
      <vt:variant>
        <vt:i4>0</vt:i4>
      </vt:variant>
      <vt:variant>
        <vt:i4>5</vt:i4>
      </vt:variant>
      <vt:variant>
        <vt:lpwstr/>
      </vt:variant>
      <vt:variant>
        <vt:lpwstr>_Toc175840710</vt:lpwstr>
      </vt:variant>
      <vt:variant>
        <vt:i4>1572919</vt:i4>
      </vt:variant>
      <vt:variant>
        <vt:i4>89</vt:i4>
      </vt:variant>
      <vt:variant>
        <vt:i4>0</vt:i4>
      </vt:variant>
      <vt:variant>
        <vt:i4>5</vt:i4>
      </vt:variant>
      <vt:variant>
        <vt:lpwstr/>
      </vt:variant>
      <vt:variant>
        <vt:lpwstr>_Toc175840709</vt:lpwstr>
      </vt:variant>
      <vt:variant>
        <vt:i4>1572919</vt:i4>
      </vt:variant>
      <vt:variant>
        <vt:i4>83</vt:i4>
      </vt:variant>
      <vt:variant>
        <vt:i4>0</vt:i4>
      </vt:variant>
      <vt:variant>
        <vt:i4>5</vt:i4>
      </vt:variant>
      <vt:variant>
        <vt:lpwstr/>
      </vt:variant>
      <vt:variant>
        <vt:lpwstr>_Toc175840708</vt:lpwstr>
      </vt:variant>
      <vt:variant>
        <vt:i4>1572919</vt:i4>
      </vt:variant>
      <vt:variant>
        <vt:i4>77</vt:i4>
      </vt:variant>
      <vt:variant>
        <vt:i4>0</vt:i4>
      </vt:variant>
      <vt:variant>
        <vt:i4>5</vt:i4>
      </vt:variant>
      <vt:variant>
        <vt:lpwstr/>
      </vt:variant>
      <vt:variant>
        <vt:lpwstr>_Toc175840707</vt:lpwstr>
      </vt:variant>
      <vt:variant>
        <vt:i4>1572919</vt:i4>
      </vt:variant>
      <vt:variant>
        <vt:i4>71</vt:i4>
      </vt:variant>
      <vt:variant>
        <vt:i4>0</vt:i4>
      </vt:variant>
      <vt:variant>
        <vt:i4>5</vt:i4>
      </vt:variant>
      <vt:variant>
        <vt:lpwstr/>
      </vt:variant>
      <vt:variant>
        <vt:lpwstr>_Toc175840706</vt:lpwstr>
      </vt:variant>
      <vt:variant>
        <vt:i4>1572919</vt:i4>
      </vt:variant>
      <vt:variant>
        <vt:i4>65</vt:i4>
      </vt:variant>
      <vt:variant>
        <vt:i4>0</vt:i4>
      </vt:variant>
      <vt:variant>
        <vt:i4>5</vt:i4>
      </vt:variant>
      <vt:variant>
        <vt:lpwstr/>
      </vt:variant>
      <vt:variant>
        <vt:lpwstr>_Toc175840705</vt:lpwstr>
      </vt:variant>
      <vt:variant>
        <vt:i4>1572919</vt:i4>
      </vt:variant>
      <vt:variant>
        <vt:i4>59</vt:i4>
      </vt:variant>
      <vt:variant>
        <vt:i4>0</vt:i4>
      </vt:variant>
      <vt:variant>
        <vt:i4>5</vt:i4>
      </vt:variant>
      <vt:variant>
        <vt:lpwstr/>
      </vt:variant>
      <vt:variant>
        <vt:lpwstr>_Toc175840704</vt:lpwstr>
      </vt:variant>
      <vt:variant>
        <vt:i4>1572919</vt:i4>
      </vt:variant>
      <vt:variant>
        <vt:i4>53</vt:i4>
      </vt:variant>
      <vt:variant>
        <vt:i4>0</vt:i4>
      </vt:variant>
      <vt:variant>
        <vt:i4>5</vt:i4>
      </vt:variant>
      <vt:variant>
        <vt:lpwstr/>
      </vt:variant>
      <vt:variant>
        <vt:lpwstr>_Toc175840703</vt:lpwstr>
      </vt:variant>
      <vt:variant>
        <vt:i4>1572919</vt:i4>
      </vt:variant>
      <vt:variant>
        <vt:i4>47</vt:i4>
      </vt:variant>
      <vt:variant>
        <vt:i4>0</vt:i4>
      </vt:variant>
      <vt:variant>
        <vt:i4>5</vt:i4>
      </vt:variant>
      <vt:variant>
        <vt:lpwstr/>
      </vt:variant>
      <vt:variant>
        <vt:lpwstr>_Toc175840702</vt:lpwstr>
      </vt:variant>
      <vt:variant>
        <vt:i4>1572919</vt:i4>
      </vt:variant>
      <vt:variant>
        <vt:i4>41</vt:i4>
      </vt:variant>
      <vt:variant>
        <vt:i4>0</vt:i4>
      </vt:variant>
      <vt:variant>
        <vt:i4>5</vt:i4>
      </vt:variant>
      <vt:variant>
        <vt:lpwstr/>
      </vt:variant>
      <vt:variant>
        <vt:lpwstr>_Toc175840701</vt:lpwstr>
      </vt:variant>
      <vt:variant>
        <vt:i4>1572919</vt:i4>
      </vt:variant>
      <vt:variant>
        <vt:i4>38</vt:i4>
      </vt:variant>
      <vt:variant>
        <vt:i4>0</vt:i4>
      </vt:variant>
      <vt:variant>
        <vt:i4>5</vt:i4>
      </vt:variant>
      <vt:variant>
        <vt:lpwstr/>
      </vt:variant>
      <vt:variant>
        <vt:lpwstr>_Toc175840700</vt:lpwstr>
      </vt:variant>
      <vt:variant>
        <vt:i4>1114166</vt:i4>
      </vt:variant>
      <vt:variant>
        <vt:i4>35</vt:i4>
      </vt:variant>
      <vt:variant>
        <vt:i4>0</vt:i4>
      </vt:variant>
      <vt:variant>
        <vt:i4>5</vt:i4>
      </vt:variant>
      <vt:variant>
        <vt:lpwstr/>
      </vt:variant>
      <vt:variant>
        <vt:lpwstr>_Toc175840699</vt:lpwstr>
      </vt:variant>
      <vt:variant>
        <vt:i4>1114166</vt:i4>
      </vt:variant>
      <vt:variant>
        <vt:i4>32</vt:i4>
      </vt:variant>
      <vt:variant>
        <vt:i4>0</vt:i4>
      </vt:variant>
      <vt:variant>
        <vt:i4>5</vt:i4>
      </vt:variant>
      <vt:variant>
        <vt:lpwstr/>
      </vt:variant>
      <vt:variant>
        <vt:lpwstr>_Toc175840698</vt:lpwstr>
      </vt:variant>
      <vt:variant>
        <vt:i4>1114166</vt:i4>
      </vt:variant>
      <vt:variant>
        <vt:i4>26</vt:i4>
      </vt:variant>
      <vt:variant>
        <vt:i4>0</vt:i4>
      </vt:variant>
      <vt:variant>
        <vt:i4>5</vt:i4>
      </vt:variant>
      <vt:variant>
        <vt:lpwstr/>
      </vt:variant>
      <vt:variant>
        <vt:lpwstr>_Toc175840697</vt:lpwstr>
      </vt:variant>
      <vt:variant>
        <vt:i4>1114166</vt:i4>
      </vt:variant>
      <vt:variant>
        <vt:i4>20</vt:i4>
      </vt:variant>
      <vt:variant>
        <vt:i4>0</vt:i4>
      </vt:variant>
      <vt:variant>
        <vt:i4>5</vt:i4>
      </vt:variant>
      <vt:variant>
        <vt:lpwstr/>
      </vt:variant>
      <vt:variant>
        <vt:lpwstr>_Toc175840696</vt:lpwstr>
      </vt:variant>
      <vt:variant>
        <vt:i4>1114166</vt:i4>
      </vt:variant>
      <vt:variant>
        <vt:i4>14</vt:i4>
      </vt:variant>
      <vt:variant>
        <vt:i4>0</vt:i4>
      </vt:variant>
      <vt:variant>
        <vt:i4>5</vt:i4>
      </vt:variant>
      <vt:variant>
        <vt:lpwstr/>
      </vt:variant>
      <vt:variant>
        <vt:lpwstr>_Toc175840695</vt:lpwstr>
      </vt:variant>
      <vt:variant>
        <vt:i4>1114166</vt:i4>
      </vt:variant>
      <vt:variant>
        <vt:i4>8</vt:i4>
      </vt:variant>
      <vt:variant>
        <vt:i4>0</vt:i4>
      </vt:variant>
      <vt:variant>
        <vt:i4>5</vt:i4>
      </vt:variant>
      <vt:variant>
        <vt:lpwstr/>
      </vt:variant>
      <vt:variant>
        <vt:lpwstr>_Toc175840694</vt:lpwstr>
      </vt:variant>
      <vt:variant>
        <vt:i4>1114166</vt:i4>
      </vt:variant>
      <vt:variant>
        <vt:i4>2</vt:i4>
      </vt:variant>
      <vt:variant>
        <vt:i4>0</vt:i4>
      </vt:variant>
      <vt:variant>
        <vt:i4>5</vt:i4>
      </vt:variant>
      <vt:variant>
        <vt:lpwstr/>
      </vt:variant>
      <vt:variant>
        <vt:lpwstr>_Toc175840693</vt:lpwstr>
      </vt:variant>
      <vt:variant>
        <vt:i4>1900609</vt:i4>
      </vt:variant>
      <vt:variant>
        <vt:i4>6</vt:i4>
      </vt:variant>
      <vt:variant>
        <vt:i4>0</vt:i4>
      </vt:variant>
      <vt:variant>
        <vt:i4>5</vt:i4>
      </vt:variant>
      <vt:variant>
        <vt:lpwstr>https://www.supremecourt.vic.gov.au/forms-fees-and-services/fees/prothonotary</vt:lpwstr>
      </vt:variant>
      <vt:variant>
        <vt:lpwstr/>
      </vt:variant>
      <vt:variant>
        <vt:i4>6553707</vt:i4>
      </vt:variant>
      <vt:variant>
        <vt:i4>3</vt:i4>
      </vt:variant>
      <vt:variant>
        <vt:i4>0</vt:i4>
      </vt:variant>
      <vt:variant>
        <vt:i4>5</vt:i4>
      </vt:variant>
      <vt:variant>
        <vt:lpwstr>https://www.supremecourt.vic.gov.au/news/consultation-paper-on-time-based-costing-and-rates-of-charge-survey-for-legal-service</vt:lpwstr>
      </vt:variant>
      <vt:variant>
        <vt:lpwstr/>
      </vt:variant>
      <vt:variant>
        <vt:i4>3080227</vt:i4>
      </vt:variant>
      <vt:variant>
        <vt:i4>0</vt:i4>
      </vt:variant>
      <vt:variant>
        <vt:i4>0</vt:i4>
      </vt:variant>
      <vt:variant>
        <vt:i4>5</vt:i4>
      </vt:variant>
      <vt:variant>
        <vt:lpwstr>https://www.supremecourt.vic.gov.au/news/report-on-litigious-costs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No. 1 of 2015</dc:title>
  <dc:subject/>
  <dc:creator>Supreme Court of Victoria</dc:creator>
  <cp:keywords/>
  <dc:description/>
  <cp:lastModifiedBy>Emmet O'Cuana</cp:lastModifiedBy>
  <cp:revision>2</cp:revision>
  <cp:lastPrinted>2024-09-24T07:24:00Z</cp:lastPrinted>
  <dcterms:created xsi:type="dcterms:W3CDTF">2024-09-25T07:41:00Z</dcterms:created>
  <dcterms:modified xsi:type="dcterms:W3CDTF">2024-09-25T07:41:00Z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0x01010017D913C52A6E2041AD81A2B66432220C</vt:lpwstr>
  </property>
  <property fmtid="{D5CDD505-2E9C-101B-9397-08002B2CF9AE}" pid="4" name="MediaServiceImageTags">
    <vt:lpwstr/>
  </property>
</Properties>
</file>