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502E" w14:textId="77777777" w:rsidR="00D85336" w:rsidRPr="000F7ED9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0F7ED9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0" wp14:anchorId="2F758B34" wp14:editId="00FB05C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9E4C" w14:textId="77777777" w:rsidR="00D85336" w:rsidRPr="000F7ED9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53A99C2E" w14:textId="77777777" w:rsidR="00D85336" w:rsidRPr="000F7ED9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2CD970FF" w14:textId="77777777" w:rsidR="003817CD" w:rsidRPr="000F7ED9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2CD0A9C6" w14:textId="77777777" w:rsidR="00271B59" w:rsidRPr="000F7ED9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 w:rsidRPr="000F7ED9"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0F7ED9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5C0DE12D" w14:textId="16021381" w:rsidR="00271B59" w:rsidRPr="000F7ED9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0F7ED9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 w:rsidRPr="000F7ED9">
        <w:rPr>
          <w:rFonts w:ascii="Book Antiqua" w:hAnsi="Book Antiqua"/>
          <w:b/>
          <w:color w:val="000000"/>
          <w:sz w:val="28"/>
        </w:rPr>
        <w:t xml:space="preserve">SC </w:t>
      </w:r>
      <w:r w:rsidR="00456739" w:rsidRPr="000F7ED9">
        <w:rPr>
          <w:rFonts w:ascii="Book Antiqua" w:hAnsi="Book Antiqua"/>
          <w:b/>
          <w:color w:val="000000"/>
          <w:sz w:val="28"/>
        </w:rPr>
        <w:t xml:space="preserve">CR </w:t>
      </w:r>
      <w:r w:rsidR="009B2788" w:rsidRPr="000F7ED9">
        <w:rPr>
          <w:rFonts w:ascii="Book Antiqua" w:hAnsi="Book Antiqua"/>
          <w:b/>
          <w:color w:val="000000"/>
          <w:sz w:val="28"/>
        </w:rPr>
        <w:t>12</w:t>
      </w:r>
    </w:p>
    <w:p w14:paraId="1B8469CB" w14:textId="536CFB28" w:rsidR="00271B59" w:rsidRPr="000F7ED9" w:rsidRDefault="0045673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0F7ED9">
        <w:rPr>
          <w:rFonts w:ascii="Book Antiqua" w:hAnsi="Book Antiqua"/>
          <w:b/>
          <w:color w:val="000000"/>
          <w:sz w:val="28"/>
        </w:rPr>
        <w:t>Fast</w:t>
      </w:r>
      <w:r w:rsidR="00C12C64" w:rsidRPr="000F7ED9">
        <w:rPr>
          <w:rFonts w:ascii="Book Antiqua" w:hAnsi="Book Antiqua"/>
          <w:b/>
          <w:color w:val="000000"/>
          <w:sz w:val="28"/>
        </w:rPr>
        <w:t>-</w:t>
      </w:r>
      <w:r w:rsidRPr="000F7ED9">
        <w:rPr>
          <w:rFonts w:ascii="Book Antiqua" w:hAnsi="Book Antiqua"/>
          <w:b/>
          <w:color w:val="000000"/>
          <w:sz w:val="28"/>
        </w:rPr>
        <w:t>track</w:t>
      </w:r>
      <w:r w:rsidR="003A4B6E" w:rsidRPr="000F7ED9">
        <w:rPr>
          <w:rFonts w:ascii="Book Antiqua" w:hAnsi="Book Antiqua"/>
          <w:b/>
          <w:color w:val="000000"/>
          <w:sz w:val="28"/>
        </w:rPr>
        <w:t xml:space="preserve"> process for</w:t>
      </w:r>
      <w:r w:rsidRPr="000F7ED9">
        <w:rPr>
          <w:rFonts w:ascii="Book Antiqua" w:hAnsi="Book Antiqua"/>
          <w:b/>
          <w:color w:val="000000"/>
          <w:sz w:val="28"/>
        </w:rPr>
        <w:t xml:space="preserve"> </w:t>
      </w:r>
      <w:r w:rsidR="00C12C64" w:rsidRPr="000F7ED9">
        <w:rPr>
          <w:rFonts w:ascii="Book Antiqua" w:hAnsi="Book Antiqua"/>
          <w:b/>
          <w:color w:val="000000"/>
          <w:sz w:val="28"/>
        </w:rPr>
        <w:t>h</w:t>
      </w:r>
      <w:r w:rsidRPr="000F7ED9">
        <w:rPr>
          <w:rFonts w:ascii="Book Antiqua" w:hAnsi="Book Antiqua"/>
          <w:b/>
          <w:color w:val="000000"/>
          <w:sz w:val="28"/>
        </w:rPr>
        <w:t>omicide matters</w:t>
      </w:r>
    </w:p>
    <w:p w14:paraId="41DB608C" w14:textId="77777777" w:rsidR="00CD0331" w:rsidRPr="000F7ED9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18139F7F" w14:textId="77777777" w:rsidR="008515EE" w:rsidRPr="000F7ED9" w:rsidRDefault="00C02583" w:rsidP="00F54F52">
      <w:pPr>
        <w:pStyle w:val="Heading1"/>
      </w:pPr>
      <w:r w:rsidRPr="000F7ED9">
        <w:t>INTRODUCTION</w:t>
      </w:r>
    </w:p>
    <w:p w14:paraId="43DA8D4C" w14:textId="2EC87E12" w:rsidR="00B72C47" w:rsidRPr="000F7ED9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Chief Justice has </w:t>
      </w:r>
      <w:r w:rsidR="008445D3" w:rsidRPr="000F7ED9">
        <w:rPr>
          <w:rFonts w:ascii="Book Antiqua" w:hAnsi="Book Antiqua"/>
          <w:sz w:val="24"/>
          <w:szCs w:val="24"/>
        </w:rPr>
        <w:t>authorised</w:t>
      </w:r>
      <w:r w:rsidRPr="000F7ED9">
        <w:rPr>
          <w:rFonts w:ascii="Book Antiqua" w:hAnsi="Book Antiqua"/>
          <w:sz w:val="24"/>
          <w:szCs w:val="24"/>
        </w:rPr>
        <w:t xml:space="preserve"> the </w:t>
      </w:r>
      <w:r w:rsidR="008445D3" w:rsidRPr="000F7ED9">
        <w:rPr>
          <w:rFonts w:ascii="Book Antiqua" w:hAnsi="Book Antiqua"/>
          <w:sz w:val="24"/>
          <w:szCs w:val="24"/>
        </w:rPr>
        <w:t>issue</w:t>
      </w:r>
      <w:r w:rsidRPr="000F7ED9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5C9943FE" w14:textId="77777777" w:rsidR="00372EDD" w:rsidRPr="000F7ED9" w:rsidRDefault="00372EDD" w:rsidP="00372ED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326B855C" w14:textId="3F661F74" w:rsidR="00B72C47" w:rsidRPr="000F7ED9" w:rsidRDefault="00B72C47" w:rsidP="00291F12">
      <w:pPr>
        <w:pStyle w:val="ListParagraph"/>
        <w:numPr>
          <w:ilvl w:val="1"/>
          <w:numId w:val="23"/>
        </w:numPr>
        <w:spacing w:before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purpose of this </w:t>
      </w:r>
      <w:r w:rsidR="008846D6" w:rsidRPr="000F7ED9">
        <w:rPr>
          <w:rFonts w:ascii="Book Antiqua" w:hAnsi="Book Antiqua"/>
          <w:sz w:val="24"/>
          <w:szCs w:val="24"/>
        </w:rPr>
        <w:t xml:space="preserve">Practice Note </w:t>
      </w:r>
      <w:r w:rsidRPr="000F7ED9">
        <w:rPr>
          <w:rFonts w:ascii="Book Antiqua" w:hAnsi="Book Antiqua"/>
          <w:sz w:val="24"/>
          <w:szCs w:val="24"/>
        </w:rPr>
        <w:t>is t</w:t>
      </w:r>
      <w:r w:rsidR="00222544" w:rsidRPr="000F7ED9">
        <w:rPr>
          <w:rFonts w:ascii="Book Antiqua" w:hAnsi="Book Antiqua"/>
          <w:sz w:val="24"/>
          <w:szCs w:val="24"/>
        </w:rPr>
        <w:t xml:space="preserve">o </w:t>
      </w:r>
      <w:r w:rsidR="00456739" w:rsidRPr="000F7ED9">
        <w:rPr>
          <w:rFonts w:ascii="Book Antiqua" w:hAnsi="Book Antiqua"/>
          <w:sz w:val="24"/>
          <w:szCs w:val="24"/>
        </w:rPr>
        <w:t>set out the proce</w:t>
      </w:r>
      <w:r w:rsidR="00151C9C" w:rsidRPr="000F7ED9">
        <w:rPr>
          <w:rFonts w:ascii="Book Antiqua" w:hAnsi="Book Antiqua"/>
          <w:sz w:val="24"/>
          <w:szCs w:val="24"/>
        </w:rPr>
        <w:t xml:space="preserve">dures </w:t>
      </w:r>
      <w:r w:rsidR="00456739" w:rsidRPr="000F7ED9">
        <w:rPr>
          <w:rFonts w:ascii="Book Antiqua" w:hAnsi="Book Antiqua"/>
          <w:sz w:val="24"/>
          <w:szCs w:val="24"/>
        </w:rPr>
        <w:t xml:space="preserve">for homicide matters committed to the Supreme Court </w:t>
      </w:r>
      <w:r w:rsidR="00151C9C" w:rsidRPr="000F7ED9">
        <w:rPr>
          <w:rFonts w:ascii="Book Antiqua" w:hAnsi="Book Antiqua"/>
          <w:sz w:val="24"/>
          <w:szCs w:val="24"/>
        </w:rPr>
        <w:t xml:space="preserve">for management by the Court </w:t>
      </w:r>
      <w:r w:rsidR="00456739" w:rsidRPr="000F7ED9">
        <w:rPr>
          <w:rFonts w:ascii="Book Antiqua" w:hAnsi="Book Antiqua"/>
          <w:sz w:val="24"/>
          <w:szCs w:val="24"/>
        </w:rPr>
        <w:t>at an early stage</w:t>
      </w:r>
      <w:r w:rsidR="00372EDD" w:rsidRPr="000F7ED9">
        <w:rPr>
          <w:rFonts w:ascii="Book Antiqua" w:hAnsi="Book Antiqua"/>
          <w:sz w:val="24"/>
          <w:szCs w:val="24"/>
        </w:rPr>
        <w:t>.</w:t>
      </w:r>
    </w:p>
    <w:p w14:paraId="61E7F1B6" w14:textId="77777777" w:rsidR="00277B7B" w:rsidRPr="000F7ED9" w:rsidRDefault="00277B7B" w:rsidP="00F54F52">
      <w:pPr>
        <w:pStyle w:val="Heading1"/>
        <w:numPr>
          <w:ilvl w:val="0"/>
          <w:numId w:val="0"/>
        </w:numPr>
        <w:ind w:left="720"/>
      </w:pPr>
    </w:p>
    <w:p w14:paraId="1101D8B0" w14:textId="77C905AE" w:rsidR="004749DB" w:rsidRPr="000F7ED9" w:rsidRDefault="00277B7B" w:rsidP="00F54F52">
      <w:pPr>
        <w:pStyle w:val="Heading1"/>
      </w:pPr>
      <w:r w:rsidRPr="000F7ED9">
        <w:t>COMMENCEMENT</w:t>
      </w:r>
    </w:p>
    <w:p w14:paraId="1F04C13D" w14:textId="589AFF85" w:rsidR="00CA6C57" w:rsidRPr="000F7ED9" w:rsidRDefault="00B72C47" w:rsidP="00161D4C">
      <w:pPr>
        <w:pStyle w:val="ListParagraph"/>
        <w:numPr>
          <w:ilvl w:val="1"/>
          <w:numId w:val="36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This Practice Note </w:t>
      </w:r>
      <w:r w:rsidR="00151C9C" w:rsidRPr="000F7ED9">
        <w:rPr>
          <w:rFonts w:ascii="Book Antiqua" w:hAnsi="Book Antiqua"/>
          <w:sz w:val="24"/>
          <w:szCs w:val="24"/>
        </w:rPr>
        <w:t xml:space="preserve">was issued on </w:t>
      </w:r>
      <w:r w:rsidR="000F7ED9" w:rsidRPr="000F7ED9">
        <w:rPr>
          <w:rFonts w:ascii="Book Antiqua" w:hAnsi="Book Antiqua"/>
          <w:sz w:val="24"/>
          <w:szCs w:val="24"/>
        </w:rPr>
        <w:t>2</w:t>
      </w:r>
      <w:r w:rsidR="00E92054">
        <w:rPr>
          <w:rFonts w:ascii="Book Antiqua" w:hAnsi="Book Antiqua"/>
          <w:sz w:val="24"/>
          <w:szCs w:val="24"/>
        </w:rPr>
        <w:t>9</w:t>
      </w:r>
      <w:r w:rsidR="000F7ED9" w:rsidRPr="000F7ED9">
        <w:rPr>
          <w:rFonts w:ascii="Book Antiqua" w:hAnsi="Book Antiqua"/>
          <w:sz w:val="24"/>
          <w:szCs w:val="24"/>
        </w:rPr>
        <w:t xml:space="preserve"> May 2025</w:t>
      </w:r>
      <w:r w:rsidR="005E7DFD" w:rsidRPr="000F7ED9">
        <w:rPr>
          <w:rFonts w:ascii="Book Antiqua" w:hAnsi="Book Antiqua"/>
          <w:sz w:val="24"/>
          <w:szCs w:val="24"/>
        </w:rPr>
        <w:t xml:space="preserve">. </w:t>
      </w:r>
      <w:r w:rsidR="001E2C48" w:rsidRPr="000F7ED9">
        <w:rPr>
          <w:rFonts w:ascii="Book Antiqua" w:hAnsi="Book Antiqua"/>
          <w:sz w:val="24"/>
          <w:szCs w:val="24"/>
        </w:rPr>
        <w:t xml:space="preserve">It replaces the previous guide </w:t>
      </w:r>
      <w:r w:rsidR="001E2C48" w:rsidRPr="000F7ED9">
        <w:rPr>
          <w:rFonts w:ascii="Book Antiqua" w:hAnsi="Book Antiqua"/>
          <w:i/>
          <w:iCs/>
          <w:sz w:val="24"/>
          <w:szCs w:val="24"/>
        </w:rPr>
        <w:t>Fast-tracking</w:t>
      </w:r>
      <w:r w:rsidR="00565F6C" w:rsidRPr="000F7ED9">
        <w:rPr>
          <w:rFonts w:ascii="Book Antiqua" w:hAnsi="Book Antiqua"/>
          <w:i/>
          <w:iCs/>
          <w:sz w:val="24"/>
          <w:szCs w:val="24"/>
        </w:rPr>
        <w:t xml:space="preserve"> </w:t>
      </w:r>
      <w:r w:rsidR="001E2C48" w:rsidRPr="000F7ED9">
        <w:rPr>
          <w:rFonts w:ascii="Book Antiqua" w:hAnsi="Book Antiqua"/>
          <w:i/>
          <w:iCs/>
          <w:sz w:val="24"/>
          <w:szCs w:val="24"/>
        </w:rPr>
        <w:t>homicide matters to the Supreme Court (second revision</w:t>
      </w:r>
      <w:r w:rsidR="00C40AC5" w:rsidRPr="000F7ED9">
        <w:rPr>
          <w:rFonts w:ascii="Book Antiqua" w:hAnsi="Book Antiqua"/>
          <w:i/>
          <w:iCs/>
          <w:sz w:val="24"/>
          <w:szCs w:val="24"/>
        </w:rPr>
        <w:t>)</w:t>
      </w:r>
      <w:r w:rsidR="001E2C48" w:rsidRPr="000F7ED9">
        <w:rPr>
          <w:rFonts w:ascii="Book Antiqua" w:hAnsi="Book Antiqua"/>
          <w:i/>
          <w:iCs/>
          <w:sz w:val="24"/>
          <w:szCs w:val="24"/>
        </w:rPr>
        <w:t xml:space="preserve"> </w:t>
      </w:r>
      <w:r w:rsidR="001E2C48" w:rsidRPr="000F7ED9">
        <w:rPr>
          <w:rFonts w:ascii="Book Antiqua" w:hAnsi="Book Antiqua"/>
          <w:sz w:val="24"/>
          <w:szCs w:val="24"/>
        </w:rPr>
        <w:t>dated 4 November 2021</w:t>
      </w:r>
      <w:r w:rsidR="001E2C48" w:rsidRPr="000F7ED9">
        <w:rPr>
          <w:rFonts w:ascii="Book Antiqua" w:hAnsi="Book Antiqua"/>
          <w:i/>
          <w:iCs/>
          <w:sz w:val="24"/>
          <w:szCs w:val="24"/>
        </w:rPr>
        <w:t xml:space="preserve"> </w:t>
      </w:r>
      <w:r w:rsidR="001E2C48" w:rsidRPr="000F7ED9">
        <w:rPr>
          <w:rFonts w:ascii="Book Antiqua" w:hAnsi="Book Antiqua"/>
          <w:sz w:val="24"/>
          <w:szCs w:val="24"/>
        </w:rPr>
        <w:t>issued by the Court</w:t>
      </w:r>
      <w:r w:rsidR="00CA6C57" w:rsidRPr="000F7ED9">
        <w:rPr>
          <w:rFonts w:ascii="Book Antiqua" w:hAnsi="Book Antiqua"/>
          <w:sz w:val="24"/>
          <w:szCs w:val="24"/>
        </w:rPr>
        <w:t>.</w:t>
      </w:r>
    </w:p>
    <w:p w14:paraId="7D9FB203" w14:textId="110832D6" w:rsidR="006C550C" w:rsidRPr="000F7ED9" w:rsidRDefault="001E2C48" w:rsidP="00F54F52">
      <w:r w:rsidRPr="000F7ED9">
        <w:t xml:space="preserve"> </w:t>
      </w:r>
    </w:p>
    <w:p w14:paraId="727D13D9" w14:textId="77777777" w:rsidR="00B72C47" w:rsidRPr="000F7ED9" w:rsidRDefault="00B72C47" w:rsidP="00F54F52">
      <w:pPr>
        <w:pStyle w:val="Heading1"/>
      </w:pPr>
      <w:r w:rsidRPr="000F7ED9">
        <w:t>DEFINITIONS</w:t>
      </w:r>
    </w:p>
    <w:p w14:paraId="436F684A" w14:textId="5108ABBE" w:rsidR="007917BE" w:rsidRPr="000F7ED9" w:rsidRDefault="006F60CF" w:rsidP="00E85CB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In this Practice Note:</w:t>
      </w:r>
    </w:p>
    <w:p w14:paraId="54B16918" w14:textId="77777777" w:rsidR="00372EDD" w:rsidRPr="000F7ED9" w:rsidRDefault="00372EDD" w:rsidP="00372ED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4C0BFC9F" w14:textId="14F3B405" w:rsidR="00372EDD" w:rsidRPr="000F7ED9" w:rsidRDefault="00372EDD" w:rsidP="004B116F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b/>
          <w:i/>
          <w:sz w:val="24"/>
          <w:szCs w:val="24"/>
        </w:rPr>
        <w:t>CPA</w:t>
      </w:r>
      <w:r w:rsidRPr="000F7ED9">
        <w:rPr>
          <w:rFonts w:ascii="Book Antiqua" w:hAnsi="Book Antiqua"/>
          <w:sz w:val="24"/>
          <w:szCs w:val="24"/>
        </w:rPr>
        <w:t xml:space="preserve"> means </w:t>
      </w:r>
      <w:r w:rsidRPr="000F7ED9">
        <w:rPr>
          <w:rFonts w:ascii="Book Antiqua" w:hAnsi="Book Antiqua"/>
          <w:i/>
          <w:sz w:val="24"/>
          <w:szCs w:val="24"/>
        </w:rPr>
        <w:t>Criminal Procedure Act 2009</w:t>
      </w:r>
    </w:p>
    <w:p w14:paraId="4585EEC2" w14:textId="77777777" w:rsidR="003C0190" w:rsidRPr="000F7ED9" w:rsidRDefault="003C0190" w:rsidP="003C0190">
      <w:pPr>
        <w:pStyle w:val="ListParagraph"/>
        <w:rPr>
          <w:rFonts w:ascii="Book Antiqua" w:hAnsi="Book Antiqua"/>
          <w:sz w:val="24"/>
          <w:szCs w:val="24"/>
        </w:rPr>
      </w:pPr>
    </w:p>
    <w:p w14:paraId="5FE3E99C" w14:textId="5580741B" w:rsidR="003C0190" w:rsidRPr="000F7ED9" w:rsidRDefault="003C0190" w:rsidP="004B116F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b/>
          <w:bCs/>
          <w:i/>
          <w:iCs/>
          <w:sz w:val="24"/>
          <w:szCs w:val="24"/>
        </w:rPr>
        <w:t>PCDH</w:t>
      </w:r>
      <w:r w:rsidRPr="000F7ED9">
        <w:rPr>
          <w:rFonts w:ascii="Book Antiqua" w:hAnsi="Book Antiqua"/>
          <w:sz w:val="24"/>
          <w:szCs w:val="24"/>
        </w:rPr>
        <w:t xml:space="preserve"> mean</w:t>
      </w:r>
      <w:r w:rsidR="00C12C64" w:rsidRPr="000F7ED9">
        <w:rPr>
          <w:rFonts w:ascii="Book Antiqua" w:hAnsi="Book Antiqua"/>
          <w:sz w:val="24"/>
          <w:szCs w:val="24"/>
        </w:rPr>
        <w:t>s</w:t>
      </w:r>
      <w:r w:rsidRPr="000F7ED9">
        <w:rPr>
          <w:rFonts w:ascii="Book Antiqua" w:hAnsi="Book Antiqua"/>
          <w:sz w:val="24"/>
          <w:szCs w:val="24"/>
        </w:rPr>
        <w:t xml:space="preserve"> </w:t>
      </w:r>
      <w:r w:rsidR="00C12C64" w:rsidRPr="000F7ED9">
        <w:rPr>
          <w:rFonts w:ascii="Book Antiqua" w:hAnsi="Book Antiqua"/>
          <w:sz w:val="24"/>
          <w:szCs w:val="24"/>
        </w:rPr>
        <w:t>p</w:t>
      </w:r>
      <w:r w:rsidRPr="000F7ED9">
        <w:rPr>
          <w:rFonts w:ascii="Book Antiqua" w:hAnsi="Book Antiqua"/>
          <w:sz w:val="24"/>
          <w:szCs w:val="24"/>
        </w:rPr>
        <w:t>ost</w:t>
      </w:r>
      <w:r w:rsidR="00BF6BA3" w:rsidRPr="000F7ED9">
        <w:rPr>
          <w:rFonts w:ascii="Book Antiqua" w:hAnsi="Book Antiqua"/>
          <w:sz w:val="24"/>
          <w:szCs w:val="24"/>
        </w:rPr>
        <w:t>-</w:t>
      </w:r>
      <w:r w:rsidRPr="000F7ED9">
        <w:rPr>
          <w:rFonts w:ascii="Book Antiqua" w:hAnsi="Book Antiqua"/>
          <w:sz w:val="24"/>
          <w:szCs w:val="24"/>
        </w:rPr>
        <w:t xml:space="preserve">committal </w:t>
      </w:r>
      <w:r w:rsidR="00C12C64" w:rsidRPr="000F7ED9">
        <w:rPr>
          <w:rFonts w:ascii="Book Antiqua" w:hAnsi="Book Antiqua"/>
          <w:sz w:val="24"/>
          <w:szCs w:val="24"/>
        </w:rPr>
        <w:t>d</w:t>
      </w:r>
      <w:r w:rsidRPr="000F7ED9">
        <w:rPr>
          <w:rFonts w:ascii="Book Antiqua" w:hAnsi="Book Antiqua"/>
          <w:sz w:val="24"/>
          <w:szCs w:val="24"/>
        </w:rPr>
        <w:t xml:space="preserve">irections </w:t>
      </w:r>
      <w:r w:rsidR="00C12C64" w:rsidRPr="000F7ED9">
        <w:rPr>
          <w:rFonts w:ascii="Book Antiqua" w:hAnsi="Book Antiqua"/>
          <w:sz w:val="24"/>
          <w:szCs w:val="24"/>
        </w:rPr>
        <w:t>h</w:t>
      </w:r>
      <w:r w:rsidRPr="000F7ED9">
        <w:rPr>
          <w:rFonts w:ascii="Book Antiqua" w:hAnsi="Book Antiqua"/>
          <w:sz w:val="24"/>
          <w:szCs w:val="24"/>
        </w:rPr>
        <w:t>earing</w:t>
      </w:r>
    </w:p>
    <w:p w14:paraId="64576E4C" w14:textId="77777777" w:rsidR="00372EDD" w:rsidRPr="000F7ED9" w:rsidRDefault="00372EDD" w:rsidP="00A60364">
      <w:pPr>
        <w:pStyle w:val="ListParagraph"/>
        <w:spacing w:before="120" w:after="120"/>
        <w:jc w:val="both"/>
        <w:rPr>
          <w:rFonts w:ascii="Book Antiqua" w:hAnsi="Book Antiqua"/>
          <w:b/>
          <w:i/>
          <w:sz w:val="24"/>
          <w:szCs w:val="24"/>
        </w:rPr>
      </w:pPr>
    </w:p>
    <w:p w14:paraId="389F5B89" w14:textId="2FF98681" w:rsidR="00C02583" w:rsidRPr="000F7ED9" w:rsidRDefault="00456739" w:rsidP="00F54F52">
      <w:pPr>
        <w:pStyle w:val="Heading1"/>
      </w:pPr>
      <w:r w:rsidRPr="000F7ED9">
        <w:t>S</w:t>
      </w:r>
      <w:r w:rsidR="0083157A" w:rsidRPr="000F7ED9">
        <w:t>COPE</w:t>
      </w:r>
    </w:p>
    <w:p w14:paraId="5D9B17BD" w14:textId="77777777" w:rsidR="003612D5" w:rsidRPr="000F7ED9" w:rsidRDefault="00456739" w:rsidP="009F7355">
      <w:pPr>
        <w:pStyle w:val="ListParagraph"/>
        <w:numPr>
          <w:ilvl w:val="1"/>
          <w:numId w:val="43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This </w:t>
      </w:r>
      <w:r w:rsidR="00C12C64" w:rsidRPr="000F7ED9">
        <w:rPr>
          <w:rFonts w:ascii="Book Antiqua" w:hAnsi="Book Antiqua"/>
          <w:sz w:val="24"/>
          <w:szCs w:val="24"/>
        </w:rPr>
        <w:t>P</w:t>
      </w:r>
      <w:r w:rsidRPr="000F7ED9">
        <w:rPr>
          <w:rFonts w:ascii="Book Antiqua" w:hAnsi="Book Antiqua"/>
          <w:sz w:val="24"/>
          <w:szCs w:val="24"/>
        </w:rPr>
        <w:t xml:space="preserve">ractice </w:t>
      </w:r>
      <w:r w:rsidR="00C12C64" w:rsidRPr="000F7ED9">
        <w:rPr>
          <w:rFonts w:ascii="Book Antiqua" w:hAnsi="Book Antiqua"/>
          <w:sz w:val="24"/>
          <w:szCs w:val="24"/>
        </w:rPr>
        <w:t>N</w:t>
      </w:r>
      <w:r w:rsidRPr="000F7ED9">
        <w:rPr>
          <w:rFonts w:ascii="Book Antiqua" w:hAnsi="Book Antiqua"/>
          <w:sz w:val="24"/>
          <w:szCs w:val="24"/>
        </w:rPr>
        <w:t xml:space="preserve">ote applies </w:t>
      </w:r>
      <w:r w:rsidR="00372EDD" w:rsidRPr="000F7ED9">
        <w:rPr>
          <w:rFonts w:ascii="Book Antiqua" w:hAnsi="Book Antiqua"/>
          <w:sz w:val="24"/>
          <w:szCs w:val="24"/>
        </w:rPr>
        <w:t>where</w:t>
      </w:r>
      <w:r w:rsidR="001E2C48" w:rsidRPr="000F7ED9">
        <w:rPr>
          <w:rFonts w:ascii="Book Antiqua" w:hAnsi="Book Antiqua"/>
          <w:sz w:val="24"/>
          <w:szCs w:val="24"/>
        </w:rPr>
        <w:t>:</w:t>
      </w:r>
      <w:r w:rsidR="00372EDD" w:rsidRPr="000F7ED9">
        <w:rPr>
          <w:rFonts w:ascii="Book Antiqua" w:hAnsi="Book Antiqua"/>
          <w:sz w:val="24"/>
          <w:szCs w:val="24"/>
        </w:rPr>
        <w:t xml:space="preserve"> </w:t>
      </w:r>
    </w:p>
    <w:p w14:paraId="0A504981" w14:textId="0019D604" w:rsidR="003612D5" w:rsidRPr="000F7ED9" w:rsidRDefault="00C12C64" w:rsidP="00E85CBE">
      <w:pPr>
        <w:pStyle w:val="ListParagraph"/>
        <w:numPr>
          <w:ilvl w:val="2"/>
          <w:numId w:val="43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One of more of the following charges are </w:t>
      </w:r>
      <w:r w:rsidR="005310B9" w:rsidRPr="000F7ED9">
        <w:rPr>
          <w:rFonts w:ascii="Book Antiqua" w:hAnsi="Book Antiqua"/>
          <w:sz w:val="24"/>
          <w:szCs w:val="24"/>
        </w:rPr>
        <w:t>filed in the Magistrates’ Court</w:t>
      </w:r>
      <w:r w:rsidRPr="000F7ED9">
        <w:rPr>
          <w:rFonts w:ascii="Book Antiqua" w:hAnsi="Book Antiqua"/>
          <w:sz w:val="24"/>
          <w:szCs w:val="24"/>
        </w:rPr>
        <w:t xml:space="preserve"> </w:t>
      </w:r>
      <w:r w:rsidR="00A421F7" w:rsidRPr="000F7ED9">
        <w:rPr>
          <w:rFonts w:ascii="Book Antiqua" w:hAnsi="Book Antiqua"/>
          <w:sz w:val="24"/>
          <w:szCs w:val="24"/>
        </w:rPr>
        <w:t xml:space="preserve">or Children’s Court </w:t>
      </w:r>
      <w:r w:rsidRPr="000F7ED9">
        <w:rPr>
          <w:rFonts w:ascii="Book Antiqua" w:hAnsi="Book Antiqua"/>
          <w:sz w:val="24"/>
          <w:szCs w:val="24"/>
        </w:rPr>
        <w:t>against an accused</w:t>
      </w:r>
      <w:r w:rsidR="003612D5" w:rsidRPr="000F7ED9">
        <w:rPr>
          <w:rFonts w:ascii="Book Antiqua" w:hAnsi="Book Antiqua"/>
          <w:sz w:val="24"/>
          <w:szCs w:val="24"/>
        </w:rPr>
        <w:t>:</w:t>
      </w:r>
      <w:r w:rsidRPr="000F7ED9">
        <w:rPr>
          <w:rFonts w:ascii="Book Antiqua" w:hAnsi="Book Antiqua"/>
          <w:sz w:val="24"/>
          <w:szCs w:val="24"/>
        </w:rPr>
        <w:t xml:space="preserve"> </w:t>
      </w:r>
      <w:r w:rsidR="00456739" w:rsidRPr="000F7ED9">
        <w:rPr>
          <w:rFonts w:ascii="Book Antiqua" w:hAnsi="Book Antiqua"/>
          <w:sz w:val="24"/>
          <w:szCs w:val="24"/>
        </w:rPr>
        <w:t xml:space="preserve"> murder, conspiracy to murder, incitement to murder, </w:t>
      </w:r>
      <w:r w:rsidR="009B56F3" w:rsidRPr="000F7ED9">
        <w:rPr>
          <w:rFonts w:ascii="Book Antiqua" w:hAnsi="Book Antiqua"/>
          <w:sz w:val="24"/>
          <w:szCs w:val="24"/>
        </w:rPr>
        <w:t xml:space="preserve">unintentional killing in the course or furtherance of a crime of violence; </w:t>
      </w:r>
      <w:r w:rsidR="00456739" w:rsidRPr="000F7ED9">
        <w:rPr>
          <w:rFonts w:ascii="Book Antiqua" w:hAnsi="Book Antiqua"/>
          <w:sz w:val="24"/>
          <w:szCs w:val="24"/>
        </w:rPr>
        <w:t xml:space="preserve">attempted murder, manslaughter, </w:t>
      </w:r>
      <w:r w:rsidR="009B56F3" w:rsidRPr="000F7ED9">
        <w:rPr>
          <w:rFonts w:ascii="Book Antiqua" w:hAnsi="Book Antiqua"/>
          <w:sz w:val="24"/>
          <w:szCs w:val="24"/>
        </w:rPr>
        <w:t>manslaughter by single punch o</w:t>
      </w:r>
      <w:r w:rsidR="00A33C4B" w:rsidRPr="000F7ED9">
        <w:rPr>
          <w:rFonts w:ascii="Book Antiqua" w:hAnsi="Book Antiqua"/>
          <w:sz w:val="24"/>
          <w:szCs w:val="24"/>
        </w:rPr>
        <w:t>r</w:t>
      </w:r>
      <w:r w:rsidR="009B56F3" w:rsidRPr="000F7ED9">
        <w:rPr>
          <w:rFonts w:ascii="Book Antiqua" w:hAnsi="Book Antiqua"/>
          <w:sz w:val="24"/>
          <w:szCs w:val="24"/>
        </w:rPr>
        <w:t xml:space="preserve"> strike, </w:t>
      </w:r>
      <w:r w:rsidR="00456739" w:rsidRPr="000F7ED9">
        <w:rPr>
          <w:rFonts w:ascii="Book Antiqua" w:hAnsi="Book Antiqua"/>
          <w:sz w:val="24"/>
          <w:szCs w:val="24"/>
        </w:rPr>
        <w:t xml:space="preserve">child homicide, </w:t>
      </w:r>
      <w:r w:rsidR="009B56F3" w:rsidRPr="000F7ED9">
        <w:rPr>
          <w:rFonts w:ascii="Book Antiqua" w:hAnsi="Book Antiqua"/>
          <w:sz w:val="24"/>
          <w:szCs w:val="24"/>
        </w:rPr>
        <w:t>homicide</w:t>
      </w:r>
      <w:r w:rsidR="00456739" w:rsidRPr="000F7ED9">
        <w:rPr>
          <w:rFonts w:ascii="Book Antiqua" w:hAnsi="Book Antiqua"/>
          <w:sz w:val="24"/>
          <w:szCs w:val="24"/>
        </w:rPr>
        <w:t xml:space="preserve"> by firearm</w:t>
      </w:r>
      <w:r w:rsidR="00C862C4" w:rsidRPr="000F7ED9">
        <w:rPr>
          <w:rFonts w:ascii="Book Antiqua" w:hAnsi="Book Antiqua"/>
          <w:sz w:val="24"/>
          <w:szCs w:val="24"/>
        </w:rPr>
        <w:t>,</w:t>
      </w:r>
      <w:r w:rsidR="00456739" w:rsidRPr="000F7ED9">
        <w:rPr>
          <w:rFonts w:ascii="Book Antiqua" w:hAnsi="Book Antiqua"/>
          <w:sz w:val="24"/>
          <w:szCs w:val="24"/>
        </w:rPr>
        <w:t xml:space="preserve"> infanticide</w:t>
      </w:r>
      <w:r w:rsidR="00C862C4" w:rsidRPr="000F7ED9">
        <w:rPr>
          <w:rFonts w:ascii="Book Antiqua" w:hAnsi="Book Antiqua"/>
          <w:sz w:val="24"/>
          <w:szCs w:val="24"/>
        </w:rPr>
        <w:t xml:space="preserve">, or </w:t>
      </w:r>
      <w:r w:rsidR="00887D33" w:rsidRPr="000F7ED9">
        <w:rPr>
          <w:rFonts w:ascii="Book Antiqua" w:hAnsi="Book Antiqua"/>
          <w:sz w:val="24"/>
          <w:szCs w:val="24"/>
        </w:rPr>
        <w:t>a</w:t>
      </w:r>
      <w:r w:rsidR="00F05330" w:rsidRPr="000F7ED9">
        <w:rPr>
          <w:rFonts w:ascii="Book Antiqua" w:hAnsi="Book Antiqua"/>
          <w:sz w:val="24"/>
          <w:szCs w:val="24"/>
        </w:rPr>
        <w:t xml:space="preserve"> relevant </w:t>
      </w:r>
      <w:r w:rsidR="00C862C4" w:rsidRPr="000F7ED9">
        <w:rPr>
          <w:rFonts w:ascii="Book Antiqua" w:hAnsi="Book Antiqua"/>
          <w:sz w:val="24"/>
          <w:szCs w:val="24"/>
        </w:rPr>
        <w:t xml:space="preserve">assist offender </w:t>
      </w:r>
      <w:r w:rsidR="000E5EE8" w:rsidRPr="000F7ED9">
        <w:rPr>
          <w:rFonts w:ascii="Book Antiqua" w:hAnsi="Book Antiqua"/>
          <w:sz w:val="24"/>
          <w:szCs w:val="24"/>
        </w:rPr>
        <w:t>charge</w:t>
      </w:r>
      <w:r w:rsidR="00E92A97" w:rsidRPr="000F7ED9">
        <w:rPr>
          <w:rFonts w:ascii="Book Antiqua" w:hAnsi="Book Antiqua"/>
          <w:sz w:val="24"/>
          <w:szCs w:val="24"/>
        </w:rPr>
        <w:t>;</w:t>
      </w:r>
      <w:r w:rsidR="009D2D47" w:rsidRPr="000F7ED9">
        <w:rPr>
          <w:rFonts w:ascii="Book Antiqua" w:hAnsi="Book Antiqua"/>
          <w:sz w:val="24"/>
          <w:szCs w:val="24"/>
        </w:rPr>
        <w:t xml:space="preserve"> and</w:t>
      </w:r>
    </w:p>
    <w:p w14:paraId="6AFC20A2" w14:textId="37BCA9C4" w:rsidR="009B57C8" w:rsidRPr="000F7ED9" w:rsidRDefault="00724250" w:rsidP="00E85CBE">
      <w:pPr>
        <w:pStyle w:val="ListParagraph"/>
        <w:numPr>
          <w:ilvl w:val="2"/>
          <w:numId w:val="43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lastRenderedPageBreak/>
        <w:t>An</w:t>
      </w:r>
      <w:r w:rsidR="00456739" w:rsidRPr="000F7ED9">
        <w:rPr>
          <w:rFonts w:ascii="Book Antiqua" w:hAnsi="Book Antiqua"/>
          <w:sz w:val="24"/>
          <w:szCs w:val="24"/>
        </w:rPr>
        <w:t xml:space="preserve"> accused elects to stand trial pursuant to s 143 of the</w:t>
      </w:r>
      <w:r w:rsidR="00833403" w:rsidRPr="000F7ED9">
        <w:rPr>
          <w:rFonts w:ascii="Book Antiqua" w:hAnsi="Book Antiqua"/>
          <w:sz w:val="24"/>
          <w:szCs w:val="24"/>
        </w:rPr>
        <w:t xml:space="preserve"> CPA</w:t>
      </w:r>
      <w:r w:rsidR="00456739" w:rsidRPr="000F7ED9">
        <w:rPr>
          <w:rFonts w:ascii="Book Antiqua" w:hAnsi="Book Antiqua"/>
          <w:sz w:val="24"/>
          <w:szCs w:val="24"/>
        </w:rPr>
        <w:t xml:space="preserve"> following service of the hand up brief in the Magistrates’ Court</w:t>
      </w:r>
      <w:r w:rsidR="00A421F7" w:rsidRPr="000F7ED9">
        <w:rPr>
          <w:rFonts w:ascii="Book Antiqua" w:hAnsi="Book Antiqua"/>
          <w:sz w:val="24"/>
          <w:szCs w:val="24"/>
        </w:rPr>
        <w:t xml:space="preserve"> </w:t>
      </w:r>
      <w:r w:rsidR="00F2412B" w:rsidRPr="000F7ED9">
        <w:rPr>
          <w:rFonts w:ascii="Book Antiqua" w:hAnsi="Book Antiqua"/>
          <w:sz w:val="24"/>
          <w:szCs w:val="24"/>
        </w:rPr>
        <w:t>or Children’s Court</w:t>
      </w:r>
      <w:r w:rsidR="001E2C48" w:rsidRPr="000F7ED9">
        <w:rPr>
          <w:rFonts w:ascii="Book Antiqua" w:hAnsi="Book Antiqua"/>
          <w:sz w:val="24"/>
          <w:szCs w:val="24"/>
        </w:rPr>
        <w:t>;</w:t>
      </w:r>
      <w:r w:rsidR="00456739" w:rsidRPr="000F7ED9">
        <w:rPr>
          <w:rFonts w:ascii="Book Antiqua" w:hAnsi="Book Antiqua"/>
          <w:sz w:val="24"/>
          <w:szCs w:val="24"/>
        </w:rPr>
        <w:t xml:space="preserve"> </w:t>
      </w:r>
      <w:r w:rsidR="00E92A97" w:rsidRPr="000F7ED9">
        <w:rPr>
          <w:rFonts w:ascii="Book Antiqua" w:hAnsi="Book Antiqua"/>
          <w:sz w:val="24"/>
          <w:szCs w:val="24"/>
        </w:rPr>
        <w:t>and</w:t>
      </w:r>
    </w:p>
    <w:p w14:paraId="7485B382" w14:textId="77777777" w:rsidR="009B57C8" w:rsidRPr="000F7ED9" w:rsidRDefault="00517F14" w:rsidP="00E85CBE">
      <w:pPr>
        <w:pStyle w:val="ListParagraph"/>
        <w:numPr>
          <w:ilvl w:val="2"/>
          <w:numId w:val="43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Where there are other</w:t>
      </w:r>
      <w:r w:rsidR="000D5395" w:rsidRPr="000F7ED9">
        <w:rPr>
          <w:rFonts w:ascii="Book Antiqua" w:hAnsi="Book Antiqua"/>
          <w:sz w:val="24"/>
          <w:szCs w:val="24"/>
        </w:rPr>
        <w:t xml:space="preserve"> </w:t>
      </w:r>
      <w:r w:rsidRPr="000F7ED9">
        <w:rPr>
          <w:rFonts w:ascii="Book Antiqua" w:hAnsi="Book Antiqua"/>
          <w:sz w:val="24"/>
          <w:szCs w:val="24"/>
        </w:rPr>
        <w:t xml:space="preserve">accused who could be properly joined on </w:t>
      </w:r>
      <w:r w:rsidR="000D5395" w:rsidRPr="000F7ED9">
        <w:rPr>
          <w:rFonts w:ascii="Book Antiqua" w:hAnsi="Book Antiqua"/>
          <w:sz w:val="24"/>
          <w:szCs w:val="24"/>
        </w:rPr>
        <w:t>the same</w:t>
      </w:r>
      <w:r w:rsidRPr="000F7ED9">
        <w:rPr>
          <w:rFonts w:ascii="Book Antiqua" w:hAnsi="Book Antiqua"/>
          <w:sz w:val="24"/>
          <w:szCs w:val="24"/>
        </w:rPr>
        <w:t xml:space="preserve"> indictment</w:t>
      </w:r>
      <w:r w:rsidR="000D5395" w:rsidRPr="000F7ED9">
        <w:rPr>
          <w:rFonts w:ascii="Book Antiqua" w:hAnsi="Book Antiqua"/>
          <w:sz w:val="24"/>
          <w:szCs w:val="24"/>
        </w:rPr>
        <w:t>,</w:t>
      </w:r>
      <w:r w:rsidRPr="000F7ED9">
        <w:rPr>
          <w:rFonts w:ascii="Book Antiqua" w:hAnsi="Book Antiqua"/>
          <w:sz w:val="24"/>
          <w:szCs w:val="24"/>
        </w:rPr>
        <w:t xml:space="preserve"> </w:t>
      </w:r>
      <w:r w:rsidR="000D5395" w:rsidRPr="000F7ED9">
        <w:rPr>
          <w:rFonts w:ascii="Book Antiqua" w:hAnsi="Book Antiqua"/>
          <w:sz w:val="24"/>
          <w:szCs w:val="24"/>
        </w:rPr>
        <w:t xml:space="preserve">they also </w:t>
      </w:r>
      <w:r w:rsidR="001E2C48" w:rsidRPr="000F7ED9">
        <w:rPr>
          <w:rFonts w:ascii="Book Antiqua" w:hAnsi="Book Antiqua"/>
          <w:sz w:val="24"/>
          <w:szCs w:val="24"/>
        </w:rPr>
        <w:t xml:space="preserve">each </w:t>
      </w:r>
      <w:r w:rsidR="000D5395" w:rsidRPr="000F7ED9">
        <w:rPr>
          <w:rFonts w:ascii="Book Antiqua" w:hAnsi="Book Antiqua"/>
          <w:sz w:val="24"/>
          <w:szCs w:val="24"/>
        </w:rPr>
        <w:t>elect</w:t>
      </w:r>
      <w:r w:rsidR="00453A89" w:rsidRPr="000F7ED9">
        <w:rPr>
          <w:rFonts w:ascii="Book Antiqua" w:hAnsi="Book Antiqua"/>
          <w:sz w:val="24"/>
          <w:szCs w:val="24"/>
        </w:rPr>
        <w:t xml:space="preserve"> to stand trial pur</w:t>
      </w:r>
      <w:r w:rsidR="009C6988" w:rsidRPr="000F7ED9">
        <w:rPr>
          <w:rFonts w:ascii="Book Antiqua" w:hAnsi="Book Antiqua"/>
          <w:sz w:val="24"/>
          <w:szCs w:val="24"/>
        </w:rPr>
        <w:t xml:space="preserve">suant to s 143 </w:t>
      </w:r>
      <w:r w:rsidR="001E2C48" w:rsidRPr="000F7ED9">
        <w:rPr>
          <w:rFonts w:ascii="Book Antiqua" w:hAnsi="Book Antiqua"/>
          <w:sz w:val="24"/>
          <w:szCs w:val="24"/>
        </w:rPr>
        <w:t xml:space="preserve">of the CPA </w:t>
      </w:r>
      <w:r w:rsidR="009C6988" w:rsidRPr="000F7ED9">
        <w:rPr>
          <w:rFonts w:ascii="Book Antiqua" w:hAnsi="Book Antiqua"/>
          <w:sz w:val="24"/>
          <w:szCs w:val="24"/>
        </w:rPr>
        <w:t>at the same time</w:t>
      </w:r>
      <w:r w:rsidR="001E2C48" w:rsidRPr="000F7ED9">
        <w:rPr>
          <w:rFonts w:ascii="Book Antiqua" w:hAnsi="Book Antiqua"/>
          <w:sz w:val="24"/>
          <w:szCs w:val="24"/>
        </w:rPr>
        <w:t>;</w:t>
      </w:r>
      <w:r w:rsidR="00E92A97" w:rsidRPr="000F7ED9">
        <w:rPr>
          <w:rFonts w:ascii="Book Antiqua" w:hAnsi="Book Antiqua"/>
          <w:sz w:val="24"/>
          <w:szCs w:val="24"/>
        </w:rPr>
        <w:t xml:space="preserve"> and</w:t>
      </w:r>
    </w:p>
    <w:p w14:paraId="216B7A6E" w14:textId="551AC87C" w:rsidR="009B57C8" w:rsidRPr="000F7ED9" w:rsidRDefault="00AF4AE1" w:rsidP="00E85CBE">
      <w:pPr>
        <w:pStyle w:val="ListParagraph"/>
        <w:numPr>
          <w:ilvl w:val="2"/>
          <w:numId w:val="43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Pursuant to rule 66 of the </w:t>
      </w:r>
      <w:r w:rsidRPr="000F7ED9">
        <w:rPr>
          <w:rFonts w:ascii="Book Antiqua" w:hAnsi="Book Antiqua"/>
          <w:i/>
          <w:iCs/>
          <w:sz w:val="24"/>
          <w:szCs w:val="24"/>
        </w:rPr>
        <w:t>Magistrates</w:t>
      </w:r>
      <w:r w:rsidR="00AB1CA9" w:rsidRPr="000F7ED9">
        <w:rPr>
          <w:rFonts w:ascii="Book Antiqua" w:hAnsi="Book Antiqua"/>
          <w:i/>
          <w:iCs/>
          <w:sz w:val="24"/>
          <w:szCs w:val="24"/>
        </w:rPr>
        <w:t>’</w:t>
      </w:r>
      <w:r w:rsidRPr="000F7ED9">
        <w:rPr>
          <w:rFonts w:ascii="Book Antiqua" w:hAnsi="Book Antiqua"/>
          <w:i/>
          <w:iCs/>
          <w:sz w:val="24"/>
          <w:szCs w:val="24"/>
        </w:rPr>
        <w:t xml:space="preserve"> Court Criminal Procedure Rules 2019</w:t>
      </w:r>
      <w:r w:rsidR="00E071A7" w:rsidRPr="000F7ED9">
        <w:rPr>
          <w:rFonts w:ascii="Book Antiqua" w:hAnsi="Book Antiqua"/>
          <w:i/>
          <w:iCs/>
          <w:sz w:val="24"/>
          <w:szCs w:val="24"/>
        </w:rPr>
        <w:t>,</w:t>
      </w:r>
      <w:r w:rsidR="00382637" w:rsidRPr="000F7ED9">
        <w:rPr>
          <w:rFonts w:ascii="Book Antiqua" w:hAnsi="Book Antiqua"/>
          <w:sz w:val="24"/>
          <w:szCs w:val="24"/>
        </w:rPr>
        <w:t xml:space="preserve"> a Form 38 has been filed in the Magistrates Court evidencing the election(s)</w:t>
      </w:r>
      <w:r w:rsidR="001E2C48" w:rsidRPr="000F7ED9">
        <w:rPr>
          <w:rFonts w:ascii="Book Antiqua" w:hAnsi="Book Antiqua"/>
          <w:sz w:val="24"/>
          <w:szCs w:val="24"/>
        </w:rPr>
        <w:t xml:space="preserve"> of each accused to stand trial; </w:t>
      </w:r>
      <w:r w:rsidR="00C0512F" w:rsidRPr="000F7ED9">
        <w:rPr>
          <w:rFonts w:ascii="Book Antiqua" w:hAnsi="Book Antiqua"/>
          <w:sz w:val="24"/>
          <w:szCs w:val="24"/>
        </w:rPr>
        <w:t>and</w:t>
      </w:r>
    </w:p>
    <w:p w14:paraId="142A2811" w14:textId="71F8E808" w:rsidR="001E2C48" w:rsidRPr="000F7ED9" w:rsidRDefault="00C0512F" w:rsidP="00E85CBE">
      <w:pPr>
        <w:pStyle w:val="ListParagraph"/>
        <w:numPr>
          <w:ilvl w:val="2"/>
          <w:numId w:val="43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T</w:t>
      </w:r>
      <w:r w:rsidR="00A4259B" w:rsidRPr="000F7ED9">
        <w:rPr>
          <w:rFonts w:ascii="Book Antiqua" w:hAnsi="Book Antiqua"/>
          <w:sz w:val="24"/>
          <w:szCs w:val="24"/>
        </w:rPr>
        <w:t>he M</w:t>
      </w:r>
      <w:r w:rsidR="003C0190" w:rsidRPr="000F7ED9">
        <w:rPr>
          <w:rFonts w:ascii="Book Antiqua" w:hAnsi="Book Antiqua"/>
          <w:sz w:val="24"/>
          <w:szCs w:val="24"/>
        </w:rPr>
        <w:t>a</w:t>
      </w:r>
      <w:r w:rsidR="00A4259B" w:rsidRPr="000F7ED9">
        <w:rPr>
          <w:rFonts w:ascii="Book Antiqua" w:hAnsi="Book Antiqua"/>
          <w:sz w:val="24"/>
          <w:szCs w:val="24"/>
        </w:rPr>
        <w:t xml:space="preserve">gistrates’ Court </w:t>
      </w:r>
      <w:r w:rsidR="00996710" w:rsidRPr="000F7ED9">
        <w:rPr>
          <w:rFonts w:ascii="Book Antiqua" w:hAnsi="Book Antiqua"/>
          <w:sz w:val="24"/>
          <w:szCs w:val="24"/>
        </w:rPr>
        <w:t xml:space="preserve">or Children’s Court </w:t>
      </w:r>
      <w:r w:rsidRPr="000F7ED9">
        <w:rPr>
          <w:rFonts w:ascii="Book Antiqua" w:hAnsi="Book Antiqua"/>
          <w:sz w:val="24"/>
          <w:szCs w:val="24"/>
        </w:rPr>
        <w:t xml:space="preserve">commits the accused to stand trial </w:t>
      </w:r>
      <w:r w:rsidR="00A4259B" w:rsidRPr="000F7ED9">
        <w:rPr>
          <w:rFonts w:ascii="Book Antiqua" w:hAnsi="Book Antiqua"/>
          <w:sz w:val="24"/>
          <w:szCs w:val="24"/>
        </w:rPr>
        <w:t>in accordance with s 144</w:t>
      </w:r>
      <w:r w:rsidR="00833403" w:rsidRPr="000F7ED9">
        <w:rPr>
          <w:rFonts w:ascii="Book Antiqua" w:hAnsi="Book Antiqua"/>
          <w:sz w:val="24"/>
          <w:szCs w:val="24"/>
        </w:rPr>
        <w:t xml:space="preserve"> of the CPA</w:t>
      </w:r>
      <w:r w:rsidR="00A4259B" w:rsidRPr="000F7ED9">
        <w:rPr>
          <w:rFonts w:ascii="Book Antiqua" w:hAnsi="Book Antiqua"/>
          <w:sz w:val="24"/>
          <w:szCs w:val="24"/>
        </w:rPr>
        <w:t>.</w:t>
      </w:r>
    </w:p>
    <w:p w14:paraId="0B407C0A" w14:textId="77777777" w:rsidR="001E2C48" w:rsidRPr="000F7ED9" w:rsidRDefault="001E2C48" w:rsidP="001E2C48">
      <w:pPr>
        <w:pStyle w:val="ListParagraph"/>
        <w:spacing w:before="120" w:after="120"/>
        <w:ind w:left="1080"/>
        <w:jc w:val="both"/>
        <w:rPr>
          <w:rFonts w:ascii="Book Antiqua" w:hAnsi="Book Antiqua"/>
          <w:sz w:val="24"/>
          <w:szCs w:val="24"/>
        </w:rPr>
      </w:pPr>
    </w:p>
    <w:p w14:paraId="0FE9B986" w14:textId="618F96EC" w:rsidR="00582DAF" w:rsidRPr="000F7ED9" w:rsidRDefault="00075AB6" w:rsidP="00E85CBE">
      <w:pPr>
        <w:pStyle w:val="ListParagraph"/>
        <w:numPr>
          <w:ilvl w:val="1"/>
          <w:numId w:val="43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This Practice Note applies regardless of the venue of the Magistrates’ Court or Children’s Court where the proceeding was commenced</w:t>
      </w:r>
      <w:r w:rsidR="0038434D" w:rsidRPr="000F7ED9">
        <w:rPr>
          <w:rFonts w:ascii="Book Antiqua" w:hAnsi="Book Antiqua"/>
          <w:sz w:val="24"/>
          <w:szCs w:val="24"/>
        </w:rPr>
        <w:t>.</w:t>
      </w:r>
    </w:p>
    <w:p w14:paraId="5F4CF6C9" w14:textId="77777777" w:rsidR="00075AB6" w:rsidRPr="000F7ED9" w:rsidRDefault="00075AB6" w:rsidP="00075AB6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147F11D7" w14:textId="7A6A2442" w:rsidR="00BB44DE" w:rsidRPr="000F7ED9" w:rsidRDefault="00151C9C" w:rsidP="00F54F52">
      <w:pPr>
        <w:pStyle w:val="Heading1"/>
      </w:pPr>
      <w:r w:rsidRPr="000F7ED9">
        <w:t>POST-COMMITTAL DIRECTIONS HEARING</w:t>
      </w:r>
    </w:p>
    <w:p w14:paraId="79359BD2" w14:textId="345729B7" w:rsidR="0083157A" w:rsidRPr="000F7ED9" w:rsidRDefault="0083157A" w:rsidP="009F7355">
      <w:pPr>
        <w:pStyle w:val="ListParagraph"/>
        <w:numPr>
          <w:ilvl w:val="1"/>
          <w:numId w:val="4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matter will be listed for </w:t>
      </w:r>
      <w:r w:rsidR="00FD3908" w:rsidRPr="000F7ED9">
        <w:rPr>
          <w:rFonts w:ascii="Book Antiqua" w:hAnsi="Book Antiqua"/>
          <w:sz w:val="24"/>
          <w:szCs w:val="24"/>
        </w:rPr>
        <w:t xml:space="preserve">a </w:t>
      </w:r>
      <w:r w:rsidRPr="000F7ED9">
        <w:rPr>
          <w:rFonts w:ascii="Book Antiqua" w:hAnsi="Book Antiqua"/>
          <w:sz w:val="24"/>
          <w:szCs w:val="24"/>
        </w:rPr>
        <w:t>PCDH in the Supreme Court</w:t>
      </w:r>
      <w:r w:rsidR="00F67628" w:rsidRPr="000F7ED9">
        <w:rPr>
          <w:rFonts w:ascii="Book Antiqua" w:hAnsi="Book Antiqua"/>
          <w:sz w:val="24"/>
          <w:szCs w:val="24"/>
        </w:rPr>
        <w:t xml:space="preserve"> (sitting at Melbourne)</w:t>
      </w:r>
      <w:r w:rsidRPr="000F7ED9">
        <w:rPr>
          <w:rFonts w:ascii="Book Antiqua" w:hAnsi="Book Antiqua"/>
          <w:sz w:val="24"/>
          <w:szCs w:val="24"/>
        </w:rPr>
        <w:t xml:space="preserve"> approximately 14 days after the date of committal.</w:t>
      </w:r>
    </w:p>
    <w:p w14:paraId="12FFA601" w14:textId="77777777" w:rsidR="009D2D47" w:rsidRPr="000F7ED9" w:rsidRDefault="009D2D47" w:rsidP="009D2D47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69DB44C5" w14:textId="77777777" w:rsidR="005F564F" w:rsidRPr="000F7ED9" w:rsidRDefault="0083157A" w:rsidP="009F7355">
      <w:pPr>
        <w:pStyle w:val="ListParagraph"/>
        <w:numPr>
          <w:ilvl w:val="1"/>
          <w:numId w:val="4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Shortly after the accused is commit</w:t>
      </w:r>
      <w:r w:rsidR="00372EDD" w:rsidRPr="000F7ED9">
        <w:rPr>
          <w:rFonts w:ascii="Book Antiqua" w:hAnsi="Book Antiqua"/>
          <w:sz w:val="24"/>
          <w:szCs w:val="24"/>
        </w:rPr>
        <w:t>t</w:t>
      </w:r>
      <w:r w:rsidRPr="000F7ED9">
        <w:rPr>
          <w:rFonts w:ascii="Book Antiqua" w:hAnsi="Book Antiqua"/>
          <w:sz w:val="24"/>
          <w:szCs w:val="24"/>
        </w:rPr>
        <w:t xml:space="preserve">ed, the parties will receive a listing email from the </w:t>
      </w:r>
      <w:r w:rsidR="00CF3D4C" w:rsidRPr="000F7ED9">
        <w:rPr>
          <w:rFonts w:ascii="Book Antiqua" w:hAnsi="Book Antiqua"/>
          <w:sz w:val="24"/>
          <w:szCs w:val="24"/>
        </w:rPr>
        <w:t>Court</w:t>
      </w:r>
      <w:r w:rsidR="00BE5C36" w:rsidRPr="000F7ED9">
        <w:rPr>
          <w:rFonts w:ascii="Book Antiqua" w:hAnsi="Book Antiqua"/>
          <w:sz w:val="24"/>
          <w:szCs w:val="24"/>
        </w:rPr>
        <w:t xml:space="preserve"> </w:t>
      </w:r>
      <w:r w:rsidRPr="000F7ED9">
        <w:rPr>
          <w:rFonts w:ascii="Book Antiqua" w:hAnsi="Book Antiqua"/>
          <w:sz w:val="24"/>
          <w:szCs w:val="24"/>
        </w:rPr>
        <w:t>attaching the following documents:</w:t>
      </w:r>
    </w:p>
    <w:p w14:paraId="1C867E83" w14:textId="77777777" w:rsidR="00075AB6" w:rsidRPr="000F7ED9" w:rsidRDefault="00075AB6" w:rsidP="00075AB6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0E8F9F48" w14:textId="77777777" w:rsidR="00AE783C" w:rsidRPr="000F7ED9" w:rsidRDefault="0083157A" w:rsidP="009F7355">
      <w:pPr>
        <w:pStyle w:val="ListParagraph"/>
        <w:numPr>
          <w:ilvl w:val="2"/>
          <w:numId w:val="44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i/>
          <w:iCs/>
          <w:sz w:val="24"/>
          <w:szCs w:val="24"/>
        </w:rPr>
        <w:t>PCDH questionnaire</w:t>
      </w:r>
    </w:p>
    <w:p w14:paraId="76E297A3" w14:textId="46AC743A" w:rsidR="00075AB6" w:rsidRPr="000F7ED9" w:rsidRDefault="0083157A" w:rsidP="00075AB6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This document must be completed jointly by the legal representatives of the accused and the prosecution to provide the </w:t>
      </w:r>
      <w:r w:rsidR="00BF6BA3" w:rsidRPr="000F7ED9">
        <w:rPr>
          <w:rFonts w:ascii="Book Antiqua" w:hAnsi="Book Antiqua"/>
          <w:sz w:val="24"/>
          <w:szCs w:val="24"/>
        </w:rPr>
        <w:t>C</w:t>
      </w:r>
      <w:r w:rsidRPr="000F7ED9">
        <w:rPr>
          <w:rFonts w:ascii="Book Antiqua" w:hAnsi="Book Antiqua"/>
          <w:sz w:val="24"/>
          <w:szCs w:val="24"/>
        </w:rPr>
        <w:t>ourt with relevant information to assist with the initial case management and listing requirements of the matter.</w:t>
      </w:r>
    </w:p>
    <w:p w14:paraId="01198058" w14:textId="77777777" w:rsidR="00075AB6" w:rsidRPr="000F7ED9" w:rsidRDefault="00075AB6" w:rsidP="00075AB6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</w:p>
    <w:p w14:paraId="0A7F708D" w14:textId="4A5D659E" w:rsidR="0083157A" w:rsidRPr="000F7ED9" w:rsidRDefault="0083157A" w:rsidP="009F7355">
      <w:pPr>
        <w:pStyle w:val="ListParagraph"/>
        <w:numPr>
          <w:ilvl w:val="2"/>
          <w:numId w:val="44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i/>
          <w:iCs/>
          <w:sz w:val="24"/>
          <w:szCs w:val="24"/>
        </w:rPr>
        <w:t xml:space="preserve">Section 198B application template </w:t>
      </w:r>
    </w:p>
    <w:p w14:paraId="44F10108" w14:textId="4CC03A56" w:rsidR="0083157A" w:rsidRPr="000F7ED9" w:rsidRDefault="0083157A" w:rsidP="00AE783C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accused must use this form to apply for </w:t>
      </w:r>
      <w:r w:rsidR="002812B7" w:rsidRPr="000F7ED9">
        <w:rPr>
          <w:rFonts w:ascii="Book Antiqua" w:hAnsi="Book Antiqua"/>
          <w:sz w:val="24"/>
          <w:szCs w:val="24"/>
        </w:rPr>
        <w:t xml:space="preserve">an order pursuant to s 198B of the CPA to conduct </w:t>
      </w:r>
      <w:r w:rsidRPr="000F7ED9">
        <w:rPr>
          <w:rFonts w:ascii="Book Antiqua" w:hAnsi="Book Antiqua"/>
          <w:sz w:val="24"/>
          <w:szCs w:val="24"/>
        </w:rPr>
        <w:t xml:space="preserve">preparatory cross-examination of </w:t>
      </w:r>
      <w:r w:rsidR="00BE5C36" w:rsidRPr="000F7ED9">
        <w:rPr>
          <w:rFonts w:ascii="Book Antiqua" w:hAnsi="Book Antiqua"/>
          <w:sz w:val="24"/>
          <w:szCs w:val="24"/>
        </w:rPr>
        <w:t xml:space="preserve">any </w:t>
      </w:r>
      <w:r w:rsidRPr="000F7ED9">
        <w:rPr>
          <w:rFonts w:ascii="Book Antiqua" w:hAnsi="Book Antiqua"/>
          <w:sz w:val="24"/>
          <w:szCs w:val="24"/>
        </w:rPr>
        <w:t>prosecution witnesses. This document should be</w:t>
      </w:r>
      <w:r w:rsidR="00372EDD" w:rsidRPr="000F7ED9">
        <w:rPr>
          <w:rFonts w:ascii="Book Antiqua" w:hAnsi="Book Antiqua"/>
          <w:sz w:val="24"/>
          <w:szCs w:val="24"/>
        </w:rPr>
        <w:t xml:space="preserve"> </w:t>
      </w:r>
      <w:r w:rsidRPr="000F7ED9">
        <w:rPr>
          <w:rFonts w:ascii="Book Antiqua" w:hAnsi="Book Antiqua"/>
          <w:sz w:val="24"/>
          <w:szCs w:val="24"/>
        </w:rPr>
        <w:t xml:space="preserve">completed jointly by the legal representatives </w:t>
      </w:r>
      <w:r w:rsidR="00940F1D" w:rsidRPr="000F7ED9">
        <w:rPr>
          <w:rFonts w:ascii="Book Antiqua" w:hAnsi="Book Antiqua"/>
          <w:sz w:val="24"/>
          <w:szCs w:val="24"/>
        </w:rPr>
        <w:t>for</w:t>
      </w:r>
      <w:r w:rsidRPr="000F7ED9">
        <w:rPr>
          <w:rFonts w:ascii="Book Antiqua" w:hAnsi="Book Antiqua"/>
          <w:sz w:val="24"/>
          <w:szCs w:val="24"/>
        </w:rPr>
        <w:t xml:space="preserve"> the accused and prosecution.</w:t>
      </w:r>
    </w:p>
    <w:p w14:paraId="2256CD2B" w14:textId="77777777" w:rsidR="009D2D47" w:rsidRPr="000F7ED9" w:rsidRDefault="009D2D47" w:rsidP="009D2D47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7E1289BD" w14:textId="6BDC53AD" w:rsidR="0083157A" w:rsidRPr="000F7ED9" w:rsidRDefault="0083157A" w:rsidP="009F7355">
      <w:pPr>
        <w:pStyle w:val="ListParagraph"/>
        <w:numPr>
          <w:ilvl w:val="1"/>
          <w:numId w:val="4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All completed forms must be filed at least three</w:t>
      </w:r>
      <w:r w:rsidR="00940F1D" w:rsidRPr="000F7ED9">
        <w:rPr>
          <w:rFonts w:ascii="Book Antiqua" w:hAnsi="Book Antiqua"/>
          <w:sz w:val="24"/>
          <w:szCs w:val="24"/>
        </w:rPr>
        <w:t xml:space="preserve"> (3)</w:t>
      </w:r>
      <w:r w:rsidRPr="000F7ED9">
        <w:rPr>
          <w:rFonts w:ascii="Book Antiqua" w:hAnsi="Book Antiqua"/>
          <w:sz w:val="24"/>
          <w:szCs w:val="24"/>
        </w:rPr>
        <w:t xml:space="preserve"> business days prior to the PCDH, or as directed by the </w:t>
      </w:r>
      <w:r w:rsidR="00940F1D" w:rsidRPr="000F7ED9">
        <w:rPr>
          <w:rFonts w:ascii="Book Antiqua" w:hAnsi="Book Antiqua"/>
          <w:sz w:val="24"/>
          <w:szCs w:val="24"/>
        </w:rPr>
        <w:t xml:space="preserve">Court’s allocated </w:t>
      </w:r>
      <w:r w:rsidRPr="000F7ED9">
        <w:rPr>
          <w:rFonts w:ascii="Book Antiqua" w:hAnsi="Book Antiqua"/>
          <w:sz w:val="24"/>
          <w:szCs w:val="24"/>
        </w:rPr>
        <w:t>case management lawyer. The solicitors for the accused must also file and serve a Notice that Legal Practitioner Acts pursuant to rule 4.04 of the</w:t>
      </w:r>
      <w:r w:rsidRPr="000F7ED9">
        <w:rPr>
          <w:rFonts w:ascii="Book Antiqua" w:hAnsi="Book Antiqua"/>
          <w:i/>
          <w:sz w:val="24"/>
          <w:szCs w:val="24"/>
        </w:rPr>
        <w:t xml:space="preserve"> Supreme Court (Criminal Procedure) Rules 2017</w:t>
      </w:r>
      <w:r w:rsidR="00AE783C" w:rsidRPr="000F7ED9">
        <w:rPr>
          <w:rFonts w:ascii="Book Antiqua" w:hAnsi="Book Antiqua"/>
          <w:sz w:val="24"/>
          <w:szCs w:val="24"/>
        </w:rPr>
        <w:t>.</w:t>
      </w:r>
    </w:p>
    <w:p w14:paraId="0A2183D4" w14:textId="77777777" w:rsidR="0083157A" w:rsidRPr="000F7ED9" w:rsidRDefault="0083157A" w:rsidP="0083157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4D4D3245" w14:textId="77777777" w:rsidR="00AE783C" w:rsidRPr="000F7ED9" w:rsidRDefault="0083157A" w:rsidP="009F7355">
      <w:pPr>
        <w:pStyle w:val="ListParagraph"/>
        <w:numPr>
          <w:ilvl w:val="1"/>
          <w:numId w:val="4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At the PCDH, the </w:t>
      </w:r>
      <w:r w:rsidR="00BF6BA3" w:rsidRPr="000F7ED9">
        <w:rPr>
          <w:rFonts w:ascii="Book Antiqua" w:hAnsi="Book Antiqua"/>
          <w:sz w:val="24"/>
          <w:szCs w:val="24"/>
        </w:rPr>
        <w:t>C</w:t>
      </w:r>
      <w:r w:rsidRPr="000F7ED9">
        <w:rPr>
          <w:rFonts w:ascii="Book Antiqua" w:hAnsi="Book Antiqua"/>
          <w:sz w:val="24"/>
          <w:szCs w:val="24"/>
        </w:rPr>
        <w:t>ourt will make orders for the further conduct of the proceeding, which may include:</w:t>
      </w:r>
    </w:p>
    <w:p w14:paraId="76EF40A1" w14:textId="285DF79E" w:rsidR="00AE783C" w:rsidRPr="000F7ED9" w:rsidRDefault="00644B26" w:rsidP="009F7355">
      <w:pPr>
        <w:pStyle w:val="ListParagraph"/>
        <w:numPr>
          <w:ilvl w:val="2"/>
          <w:numId w:val="44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p</w:t>
      </w:r>
      <w:r w:rsidR="0083157A" w:rsidRPr="000F7ED9">
        <w:rPr>
          <w:rFonts w:ascii="Book Antiqua" w:hAnsi="Book Antiqua"/>
          <w:sz w:val="24"/>
          <w:szCs w:val="24"/>
        </w:rPr>
        <w:t xml:space="preserve">rovision of documents and/or pre-trial disclosure to the </w:t>
      </w:r>
      <w:r w:rsidR="00831C35" w:rsidRPr="000F7ED9">
        <w:rPr>
          <w:rFonts w:ascii="Book Antiqua" w:hAnsi="Book Antiqua"/>
          <w:sz w:val="24"/>
          <w:szCs w:val="24"/>
        </w:rPr>
        <w:t>accused</w:t>
      </w:r>
      <w:r w:rsidR="0083157A" w:rsidRPr="000F7ED9">
        <w:rPr>
          <w:rFonts w:ascii="Book Antiqua" w:hAnsi="Book Antiqua"/>
          <w:sz w:val="24"/>
          <w:szCs w:val="24"/>
        </w:rPr>
        <w:t>;</w:t>
      </w:r>
    </w:p>
    <w:p w14:paraId="1930FCE3" w14:textId="3942A0FA" w:rsidR="00AE783C" w:rsidRPr="000F7ED9" w:rsidRDefault="00644B26" w:rsidP="009F7355">
      <w:pPr>
        <w:pStyle w:val="ListParagraph"/>
        <w:numPr>
          <w:ilvl w:val="2"/>
          <w:numId w:val="44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d</w:t>
      </w:r>
      <w:r w:rsidR="00831C35" w:rsidRPr="000F7ED9">
        <w:rPr>
          <w:rFonts w:ascii="Book Antiqua" w:hAnsi="Book Antiqua"/>
          <w:sz w:val="24"/>
          <w:szCs w:val="24"/>
        </w:rPr>
        <w:t>etermining any application for an order to conduct</w:t>
      </w:r>
      <w:r w:rsidR="0083157A" w:rsidRPr="000F7ED9">
        <w:rPr>
          <w:rFonts w:ascii="Book Antiqua" w:hAnsi="Book Antiqua"/>
          <w:sz w:val="24"/>
          <w:szCs w:val="24"/>
        </w:rPr>
        <w:t xml:space="preserve"> preparatory cross-examination of witnesses pursuant to s 198B of the CPA (or, if an </w:t>
      </w:r>
      <w:r w:rsidR="0083157A" w:rsidRPr="000F7ED9">
        <w:rPr>
          <w:rFonts w:ascii="Book Antiqua" w:hAnsi="Book Antiqua"/>
          <w:sz w:val="24"/>
          <w:szCs w:val="24"/>
        </w:rPr>
        <w:lastRenderedPageBreak/>
        <w:t xml:space="preserve">application under s 198B has not been filed prior to the PCDH, directions for the filing of </w:t>
      </w:r>
      <w:r w:rsidR="0003171D" w:rsidRPr="000F7ED9">
        <w:rPr>
          <w:rFonts w:ascii="Book Antiqua" w:hAnsi="Book Antiqua"/>
          <w:sz w:val="24"/>
          <w:szCs w:val="24"/>
        </w:rPr>
        <w:t>such</w:t>
      </w:r>
      <w:r w:rsidR="0083157A" w:rsidRPr="000F7ED9">
        <w:rPr>
          <w:rFonts w:ascii="Book Antiqua" w:hAnsi="Book Antiqua"/>
          <w:sz w:val="24"/>
          <w:szCs w:val="24"/>
        </w:rPr>
        <w:t xml:space="preserve"> application);</w:t>
      </w:r>
    </w:p>
    <w:p w14:paraId="5D3793A3" w14:textId="744D0B0D" w:rsidR="002F1BAA" w:rsidRPr="000F7ED9" w:rsidRDefault="0077444B" w:rsidP="009F7355">
      <w:pPr>
        <w:pStyle w:val="ListParagraph"/>
        <w:numPr>
          <w:ilvl w:val="2"/>
          <w:numId w:val="44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the f</w:t>
      </w:r>
      <w:r w:rsidR="0083157A" w:rsidRPr="000F7ED9">
        <w:rPr>
          <w:rFonts w:ascii="Book Antiqua" w:hAnsi="Book Antiqua"/>
          <w:sz w:val="24"/>
          <w:szCs w:val="24"/>
        </w:rPr>
        <w:t xml:space="preserve">iling and service of </w:t>
      </w:r>
      <w:r w:rsidR="002F1BAA" w:rsidRPr="000F7ED9">
        <w:rPr>
          <w:rFonts w:ascii="Book Antiqua" w:hAnsi="Book Antiqua"/>
          <w:sz w:val="24"/>
          <w:szCs w:val="24"/>
        </w:rPr>
        <w:t xml:space="preserve">any </w:t>
      </w:r>
      <w:r w:rsidR="0083157A" w:rsidRPr="000F7ED9">
        <w:rPr>
          <w:rFonts w:ascii="Book Antiqua" w:hAnsi="Book Antiqua"/>
          <w:sz w:val="24"/>
          <w:szCs w:val="24"/>
        </w:rPr>
        <w:t xml:space="preserve">subpoena </w:t>
      </w:r>
      <w:r w:rsidR="002F1BAA" w:rsidRPr="000F7ED9">
        <w:rPr>
          <w:rFonts w:ascii="Book Antiqua" w:hAnsi="Book Antiqua"/>
          <w:sz w:val="24"/>
          <w:szCs w:val="24"/>
        </w:rPr>
        <w:t>to produce addressed</w:t>
      </w:r>
      <w:r w:rsidR="0083157A" w:rsidRPr="000F7ED9">
        <w:rPr>
          <w:rFonts w:ascii="Book Antiqua" w:hAnsi="Book Antiqua"/>
          <w:sz w:val="24"/>
          <w:szCs w:val="24"/>
        </w:rPr>
        <w:t xml:space="preserve"> to third parties for the production of documents</w:t>
      </w:r>
      <w:r w:rsidR="002F1BAA" w:rsidRPr="000F7ED9">
        <w:rPr>
          <w:rFonts w:ascii="Book Antiqua" w:hAnsi="Book Antiqua"/>
          <w:sz w:val="24"/>
          <w:szCs w:val="24"/>
        </w:rPr>
        <w:t xml:space="preserve"> or other material</w:t>
      </w:r>
      <w:r w:rsidR="0083157A" w:rsidRPr="000F7ED9">
        <w:rPr>
          <w:rFonts w:ascii="Book Antiqua" w:hAnsi="Book Antiqua"/>
          <w:sz w:val="24"/>
          <w:szCs w:val="24"/>
        </w:rPr>
        <w:t xml:space="preserve">; </w:t>
      </w:r>
    </w:p>
    <w:p w14:paraId="1526C4D9" w14:textId="78A321BD" w:rsidR="00D716CD" w:rsidRPr="000F7ED9" w:rsidRDefault="00644B26" w:rsidP="009F7355">
      <w:pPr>
        <w:pStyle w:val="ListParagraph"/>
        <w:numPr>
          <w:ilvl w:val="2"/>
          <w:numId w:val="44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i</w:t>
      </w:r>
      <w:r w:rsidR="0083157A" w:rsidRPr="000F7ED9">
        <w:rPr>
          <w:rFonts w:ascii="Book Antiqua" w:hAnsi="Book Antiqua"/>
          <w:sz w:val="24"/>
          <w:szCs w:val="24"/>
        </w:rPr>
        <w:t>n appropriate cases, filing and service of the summary of prosecution opening, statutory evidence notices, and defence responses to those documents</w:t>
      </w:r>
      <w:r w:rsidR="00DC3C6F" w:rsidRPr="000F7ED9">
        <w:rPr>
          <w:rFonts w:ascii="Book Antiqua" w:hAnsi="Book Antiqua"/>
          <w:sz w:val="24"/>
          <w:szCs w:val="24"/>
        </w:rPr>
        <w:t>; and</w:t>
      </w:r>
    </w:p>
    <w:p w14:paraId="0BA667B2" w14:textId="5F05C31A" w:rsidR="00DC3C6F" w:rsidRPr="000F7ED9" w:rsidRDefault="00644B26" w:rsidP="009F7355">
      <w:pPr>
        <w:pStyle w:val="ListParagraph"/>
        <w:numPr>
          <w:ilvl w:val="2"/>
          <w:numId w:val="44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a</w:t>
      </w:r>
      <w:r w:rsidR="00DC3C6F" w:rsidRPr="000F7ED9">
        <w:rPr>
          <w:rFonts w:ascii="Book Antiqua" w:hAnsi="Book Antiqua"/>
          <w:sz w:val="24"/>
          <w:szCs w:val="24"/>
        </w:rPr>
        <w:t xml:space="preserve">ny other necessary orders or directions </w:t>
      </w:r>
      <w:r w:rsidR="0023749B" w:rsidRPr="000F7ED9">
        <w:rPr>
          <w:rFonts w:ascii="Book Antiqua" w:hAnsi="Book Antiqua"/>
          <w:sz w:val="24"/>
          <w:szCs w:val="24"/>
        </w:rPr>
        <w:t>in accordance with</w:t>
      </w:r>
      <w:r w:rsidR="00DC3C6F" w:rsidRPr="000F7ED9">
        <w:rPr>
          <w:rFonts w:ascii="Book Antiqua" w:hAnsi="Book Antiqua"/>
          <w:sz w:val="24"/>
          <w:szCs w:val="24"/>
        </w:rPr>
        <w:t xml:space="preserve"> s 181 of the CPA to progress the proceeding. </w:t>
      </w:r>
    </w:p>
    <w:p w14:paraId="26B8B708" w14:textId="77777777" w:rsidR="00D900CE" w:rsidRPr="000F7ED9" w:rsidRDefault="00D900CE" w:rsidP="00D900CE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</w:p>
    <w:p w14:paraId="749AF59B" w14:textId="20A943E3" w:rsidR="00D716CD" w:rsidRPr="000F7ED9" w:rsidRDefault="0083157A" w:rsidP="009F7355">
      <w:pPr>
        <w:pStyle w:val="ListParagraph"/>
        <w:numPr>
          <w:ilvl w:val="1"/>
          <w:numId w:val="4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Court will otherwise make its usual pre-trial directions in accordance with s 181 of the CPA and </w:t>
      </w:r>
      <w:r w:rsidR="00D716CD" w:rsidRPr="000F7ED9">
        <w:rPr>
          <w:rFonts w:ascii="Book Antiqua" w:hAnsi="Book Antiqua"/>
          <w:sz w:val="24"/>
          <w:szCs w:val="24"/>
        </w:rPr>
        <w:t>c</w:t>
      </w:r>
      <w:r w:rsidRPr="000F7ED9">
        <w:rPr>
          <w:rFonts w:ascii="Book Antiqua" w:hAnsi="Book Antiqua"/>
          <w:sz w:val="24"/>
          <w:szCs w:val="24"/>
        </w:rPr>
        <w:t>ase management procedure</w:t>
      </w:r>
      <w:r w:rsidR="00D716CD" w:rsidRPr="000F7ED9">
        <w:rPr>
          <w:rFonts w:ascii="Book Antiqua" w:hAnsi="Book Antiqua"/>
          <w:sz w:val="24"/>
          <w:szCs w:val="24"/>
        </w:rPr>
        <w:t>s</w:t>
      </w:r>
      <w:r w:rsidRPr="000F7ED9">
        <w:rPr>
          <w:rFonts w:ascii="Book Antiqua" w:hAnsi="Book Antiqua"/>
          <w:sz w:val="24"/>
          <w:szCs w:val="24"/>
        </w:rPr>
        <w:t xml:space="preserve"> for criminal trials, at an appropriate time. </w:t>
      </w:r>
      <w:r w:rsidR="008221A0" w:rsidRPr="000F7ED9">
        <w:rPr>
          <w:rFonts w:ascii="Book Antiqua" w:hAnsi="Book Antiqua"/>
          <w:sz w:val="24"/>
          <w:szCs w:val="24"/>
        </w:rPr>
        <w:t>Such orders or directions</w:t>
      </w:r>
      <w:r w:rsidRPr="000F7ED9">
        <w:rPr>
          <w:rFonts w:ascii="Book Antiqua" w:hAnsi="Book Antiqua"/>
          <w:sz w:val="24"/>
          <w:szCs w:val="24"/>
        </w:rPr>
        <w:t xml:space="preserve"> may </w:t>
      </w:r>
      <w:r w:rsidR="008221A0" w:rsidRPr="000F7ED9">
        <w:rPr>
          <w:rFonts w:ascii="Book Antiqua" w:hAnsi="Book Antiqua"/>
          <w:sz w:val="24"/>
          <w:szCs w:val="24"/>
        </w:rPr>
        <w:t>be made at</w:t>
      </w:r>
      <w:r w:rsidRPr="000F7ED9">
        <w:rPr>
          <w:rFonts w:ascii="Book Antiqua" w:hAnsi="Book Antiqua"/>
          <w:sz w:val="24"/>
          <w:szCs w:val="24"/>
        </w:rPr>
        <w:t xml:space="preserve"> the PCDH or at subsequent directions hearings.</w:t>
      </w:r>
    </w:p>
    <w:p w14:paraId="73B667D8" w14:textId="77777777" w:rsidR="00FE0A54" w:rsidRPr="000F7ED9" w:rsidRDefault="00FE0A54" w:rsidP="00FE0A54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003DEC63" w14:textId="4EFAF3EA" w:rsidR="00FE0A54" w:rsidRPr="000F7ED9" w:rsidRDefault="00FE0A54" w:rsidP="009F7355">
      <w:pPr>
        <w:pStyle w:val="ListParagraph"/>
        <w:numPr>
          <w:ilvl w:val="1"/>
          <w:numId w:val="4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The parties should be in a position to advise the Court at the PCDH of any issues relating to disclosure, including</w:t>
      </w:r>
      <w:r w:rsidR="0023749B" w:rsidRPr="000F7ED9">
        <w:rPr>
          <w:rFonts w:ascii="Book Antiqua" w:hAnsi="Book Antiqua"/>
          <w:sz w:val="24"/>
          <w:szCs w:val="24"/>
        </w:rPr>
        <w:t xml:space="preserve"> from whom disclosure is sought, the estimated timeframes for the </w:t>
      </w:r>
      <w:r w:rsidR="00DE06D4" w:rsidRPr="000F7ED9">
        <w:rPr>
          <w:rFonts w:ascii="Book Antiqua" w:hAnsi="Book Antiqua"/>
          <w:sz w:val="24"/>
          <w:szCs w:val="24"/>
        </w:rPr>
        <w:t xml:space="preserve">service of the disclosure material, whether there is likely to be any claims </w:t>
      </w:r>
      <w:r w:rsidR="004E65D1" w:rsidRPr="000F7ED9">
        <w:rPr>
          <w:rFonts w:ascii="Book Antiqua" w:hAnsi="Book Antiqua"/>
          <w:sz w:val="24"/>
          <w:szCs w:val="24"/>
        </w:rPr>
        <w:t>for</w:t>
      </w:r>
      <w:r w:rsidR="00DE06D4" w:rsidRPr="000F7ED9">
        <w:rPr>
          <w:rFonts w:ascii="Book Antiqua" w:hAnsi="Book Antiqua"/>
          <w:sz w:val="24"/>
          <w:szCs w:val="24"/>
        </w:rPr>
        <w:t xml:space="preserve"> public interest immunity</w:t>
      </w:r>
      <w:r w:rsidR="004E65D1" w:rsidRPr="000F7ED9">
        <w:rPr>
          <w:rFonts w:ascii="Book Antiqua" w:hAnsi="Book Antiqua"/>
          <w:sz w:val="24"/>
          <w:szCs w:val="24"/>
        </w:rPr>
        <w:t>,</w:t>
      </w:r>
      <w:r w:rsidR="00DE06D4" w:rsidRPr="000F7ED9">
        <w:rPr>
          <w:rFonts w:ascii="Book Antiqua" w:hAnsi="Book Antiqua"/>
          <w:sz w:val="24"/>
          <w:szCs w:val="24"/>
        </w:rPr>
        <w:t xml:space="preserve"> </w:t>
      </w:r>
      <w:r w:rsidR="00DC1296" w:rsidRPr="000F7ED9">
        <w:rPr>
          <w:rFonts w:ascii="Book Antiqua" w:hAnsi="Book Antiqua"/>
          <w:sz w:val="24"/>
          <w:szCs w:val="24"/>
        </w:rPr>
        <w:t>privilege, or any application for non-disclosure orders</w:t>
      </w:r>
      <w:r w:rsidR="000F3EB3" w:rsidRPr="000F7ED9">
        <w:rPr>
          <w:rFonts w:ascii="Book Antiqua" w:hAnsi="Book Antiqua"/>
          <w:sz w:val="24"/>
          <w:szCs w:val="24"/>
        </w:rPr>
        <w:t xml:space="preserve"> by a party or third-party</w:t>
      </w:r>
      <w:r w:rsidR="00DC1296" w:rsidRPr="000F7ED9">
        <w:rPr>
          <w:rFonts w:ascii="Book Antiqua" w:hAnsi="Book Antiqua"/>
          <w:sz w:val="24"/>
          <w:szCs w:val="24"/>
        </w:rPr>
        <w:t xml:space="preserve"> (s </w:t>
      </w:r>
      <w:r w:rsidR="004A5BAB" w:rsidRPr="000F7ED9">
        <w:rPr>
          <w:rFonts w:ascii="Book Antiqua" w:hAnsi="Book Antiqua"/>
          <w:sz w:val="24"/>
          <w:szCs w:val="24"/>
        </w:rPr>
        <w:t>416</w:t>
      </w:r>
      <w:r w:rsidR="000F3EB3" w:rsidRPr="000F7ED9">
        <w:rPr>
          <w:rFonts w:ascii="Book Antiqua" w:hAnsi="Book Antiqua"/>
          <w:sz w:val="24"/>
          <w:szCs w:val="24"/>
        </w:rPr>
        <w:t>A of the CPA).</w:t>
      </w:r>
      <w:r w:rsidR="00DE06D4" w:rsidRPr="000F7ED9">
        <w:rPr>
          <w:rFonts w:ascii="Book Antiqua" w:hAnsi="Book Antiqua"/>
          <w:sz w:val="24"/>
          <w:szCs w:val="24"/>
        </w:rPr>
        <w:t xml:space="preserve"> </w:t>
      </w:r>
    </w:p>
    <w:p w14:paraId="4B0D60C9" w14:textId="77777777" w:rsidR="001E6FBA" w:rsidRPr="000F7ED9" w:rsidRDefault="001E6FBA" w:rsidP="001E6FB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4A00967D" w14:textId="6BC77C0D" w:rsidR="00AE1F39" w:rsidRPr="000F7ED9" w:rsidRDefault="00AE1F39" w:rsidP="009F7355">
      <w:pPr>
        <w:pStyle w:val="ListParagraph"/>
        <w:numPr>
          <w:ilvl w:val="1"/>
          <w:numId w:val="4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Requests for </w:t>
      </w:r>
      <w:r w:rsidR="001E6FBA" w:rsidRPr="000F7ED9">
        <w:rPr>
          <w:rFonts w:ascii="Book Antiqua" w:hAnsi="Book Antiqua"/>
          <w:sz w:val="24"/>
          <w:szCs w:val="24"/>
        </w:rPr>
        <w:t xml:space="preserve">additional </w:t>
      </w:r>
      <w:r w:rsidRPr="000F7ED9">
        <w:rPr>
          <w:rFonts w:ascii="Book Antiqua" w:hAnsi="Book Antiqua"/>
          <w:sz w:val="24"/>
          <w:szCs w:val="24"/>
        </w:rPr>
        <w:t xml:space="preserve">disclosure </w:t>
      </w:r>
      <w:r w:rsidR="00FF3083" w:rsidRPr="000F7ED9">
        <w:rPr>
          <w:rFonts w:ascii="Book Antiqua" w:hAnsi="Book Antiqua"/>
          <w:sz w:val="24"/>
          <w:szCs w:val="24"/>
        </w:rPr>
        <w:t xml:space="preserve">on behalf of the accused should be made at the earliest possible opportunity following service of the hand-up brief. The Court expects that the parties will work </w:t>
      </w:r>
      <w:r w:rsidR="001E6FBA" w:rsidRPr="000F7ED9">
        <w:rPr>
          <w:rFonts w:ascii="Book Antiqua" w:hAnsi="Book Antiqua"/>
          <w:sz w:val="24"/>
          <w:szCs w:val="24"/>
        </w:rPr>
        <w:t>proactively to address any issues relating to disclosur</w:t>
      </w:r>
      <w:r w:rsidR="004F4DD8" w:rsidRPr="000F7ED9">
        <w:rPr>
          <w:rFonts w:ascii="Book Antiqua" w:hAnsi="Book Antiqua"/>
          <w:sz w:val="24"/>
          <w:szCs w:val="24"/>
        </w:rPr>
        <w:t>e.</w:t>
      </w:r>
    </w:p>
    <w:p w14:paraId="046211B3" w14:textId="77777777" w:rsidR="00373294" w:rsidRPr="000F7ED9" w:rsidRDefault="00373294" w:rsidP="00A26150">
      <w:pPr>
        <w:spacing w:before="120"/>
        <w:jc w:val="both"/>
        <w:rPr>
          <w:rFonts w:ascii="Book Antiqua" w:hAnsi="Book Antiqua"/>
        </w:rPr>
      </w:pPr>
    </w:p>
    <w:p w14:paraId="2023AECE" w14:textId="2E7160D9" w:rsidR="0083157A" w:rsidRPr="000F7ED9" w:rsidRDefault="00372EDD" w:rsidP="00F54F52">
      <w:pPr>
        <w:pStyle w:val="Heading1"/>
      </w:pPr>
      <w:r w:rsidRPr="000F7ED9">
        <w:t>PREPARATORY CROSS-EXAMINATION</w:t>
      </w:r>
      <w:r w:rsidR="00FE0A54" w:rsidRPr="000F7ED9">
        <w:t xml:space="preserve"> OF WITNESSES</w:t>
      </w:r>
    </w:p>
    <w:p w14:paraId="3F20BB36" w14:textId="5E249244" w:rsidR="00D04058" w:rsidRPr="000F7ED9" w:rsidRDefault="00372EDD" w:rsidP="009F7355">
      <w:pPr>
        <w:pStyle w:val="ListParagraph"/>
        <w:numPr>
          <w:ilvl w:val="1"/>
          <w:numId w:val="45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accused may apply for </w:t>
      </w:r>
      <w:r w:rsidR="00D716CD" w:rsidRPr="000F7ED9">
        <w:rPr>
          <w:rFonts w:ascii="Book Antiqua" w:hAnsi="Book Antiqua"/>
          <w:sz w:val="24"/>
          <w:szCs w:val="24"/>
        </w:rPr>
        <w:t>an order</w:t>
      </w:r>
      <w:r w:rsidRPr="000F7ED9">
        <w:rPr>
          <w:rFonts w:ascii="Book Antiqua" w:hAnsi="Book Antiqua"/>
          <w:sz w:val="24"/>
          <w:szCs w:val="24"/>
        </w:rPr>
        <w:t xml:space="preserve"> to conduct preparatory cross-examination of prosecution witnesses, pursuant to s 198B of the CPA, in lieu of </w:t>
      </w:r>
      <w:r w:rsidR="004F4DD8" w:rsidRPr="000F7ED9">
        <w:rPr>
          <w:rFonts w:ascii="Book Antiqua" w:hAnsi="Book Antiqua"/>
          <w:sz w:val="24"/>
          <w:szCs w:val="24"/>
        </w:rPr>
        <w:t xml:space="preserve">seeking leave to </w:t>
      </w:r>
      <w:r w:rsidRPr="000F7ED9">
        <w:rPr>
          <w:rFonts w:ascii="Book Antiqua" w:hAnsi="Book Antiqua"/>
          <w:sz w:val="24"/>
          <w:szCs w:val="24"/>
        </w:rPr>
        <w:t>cross-examin</w:t>
      </w:r>
      <w:r w:rsidR="004F4DD8" w:rsidRPr="000F7ED9">
        <w:rPr>
          <w:rFonts w:ascii="Book Antiqua" w:hAnsi="Book Antiqua"/>
          <w:sz w:val="24"/>
          <w:szCs w:val="24"/>
        </w:rPr>
        <w:t>e witnesses</w:t>
      </w:r>
      <w:r w:rsidRPr="000F7ED9">
        <w:rPr>
          <w:rFonts w:ascii="Book Antiqua" w:hAnsi="Book Antiqua"/>
          <w:sz w:val="24"/>
          <w:szCs w:val="24"/>
        </w:rPr>
        <w:t xml:space="preserve"> at a committal hearing. This application must be made using the template application form, which is provided to the parties and is also available </w:t>
      </w:r>
      <w:r w:rsidR="00B55889" w:rsidRPr="000F7ED9">
        <w:rPr>
          <w:rFonts w:ascii="Book Antiqua" w:hAnsi="Book Antiqua"/>
          <w:sz w:val="24"/>
          <w:szCs w:val="24"/>
        </w:rPr>
        <w:t xml:space="preserve">to be downloaded </w:t>
      </w:r>
      <w:r w:rsidRPr="000F7ED9">
        <w:rPr>
          <w:rFonts w:ascii="Book Antiqua" w:hAnsi="Book Antiqua"/>
          <w:sz w:val="24"/>
          <w:szCs w:val="24"/>
        </w:rPr>
        <w:t>on the Supreme Court’s website.</w:t>
      </w:r>
    </w:p>
    <w:p w14:paraId="4BB50C06" w14:textId="77777777" w:rsidR="00D04058" w:rsidRPr="000F7ED9" w:rsidRDefault="00D04058" w:rsidP="00D04058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54366602" w14:textId="48447054" w:rsidR="00D04058" w:rsidRPr="000F7ED9" w:rsidRDefault="00372EDD" w:rsidP="009F7355">
      <w:pPr>
        <w:pStyle w:val="ListParagraph"/>
        <w:numPr>
          <w:ilvl w:val="1"/>
          <w:numId w:val="45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Any s 198B application should be </w:t>
      </w:r>
      <w:r w:rsidR="002B7165" w:rsidRPr="000F7ED9">
        <w:rPr>
          <w:rFonts w:ascii="Book Antiqua" w:hAnsi="Book Antiqua"/>
          <w:sz w:val="24"/>
          <w:szCs w:val="24"/>
        </w:rPr>
        <w:t>filed</w:t>
      </w:r>
      <w:r w:rsidRPr="000F7ED9">
        <w:rPr>
          <w:rFonts w:ascii="Book Antiqua" w:hAnsi="Book Antiqua"/>
          <w:sz w:val="24"/>
          <w:szCs w:val="24"/>
        </w:rPr>
        <w:t xml:space="preserve"> at least three </w:t>
      </w:r>
      <w:r w:rsidR="00BF6BA3" w:rsidRPr="000F7ED9">
        <w:rPr>
          <w:rFonts w:ascii="Book Antiqua" w:hAnsi="Book Antiqua"/>
          <w:sz w:val="24"/>
          <w:szCs w:val="24"/>
        </w:rPr>
        <w:t xml:space="preserve">(3) </w:t>
      </w:r>
      <w:r w:rsidRPr="000F7ED9">
        <w:rPr>
          <w:rFonts w:ascii="Book Antiqua" w:hAnsi="Book Antiqua"/>
          <w:sz w:val="24"/>
          <w:szCs w:val="24"/>
        </w:rPr>
        <w:t xml:space="preserve">business days prior to the PCDH, or as directed in the listing email. </w:t>
      </w:r>
      <w:r w:rsidR="00FD76F7" w:rsidRPr="000F7ED9">
        <w:rPr>
          <w:rFonts w:ascii="Book Antiqua" w:hAnsi="Book Antiqua"/>
          <w:sz w:val="24"/>
          <w:szCs w:val="24"/>
        </w:rPr>
        <w:t>P</w:t>
      </w:r>
      <w:r w:rsidRPr="000F7ED9">
        <w:rPr>
          <w:rFonts w:ascii="Book Antiqua" w:hAnsi="Book Antiqua"/>
          <w:sz w:val="24"/>
          <w:szCs w:val="24"/>
        </w:rPr>
        <w:t xml:space="preserve">arties </w:t>
      </w:r>
      <w:r w:rsidR="00FD76F7" w:rsidRPr="000F7ED9">
        <w:rPr>
          <w:rFonts w:ascii="Book Antiqua" w:hAnsi="Book Antiqua"/>
          <w:sz w:val="24"/>
          <w:szCs w:val="24"/>
        </w:rPr>
        <w:t xml:space="preserve">may seek directions for </w:t>
      </w:r>
      <w:r w:rsidR="00410401" w:rsidRPr="000F7ED9">
        <w:rPr>
          <w:rFonts w:ascii="Book Antiqua" w:hAnsi="Book Antiqua"/>
          <w:sz w:val="24"/>
          <w:szCs w:val="24"/>
        </w:rPr>
        <w:t xml:space="preserve">a alternate timeframe if </w:t>
      </w:r>
      <w:r w:rsidR="009D13D2" w:rsidRPr="000F7ED9">
        <w:rPr>
          <w:rFonts w:ascii="Book Antiqua" w:hAnsi="Book Antiqua"/>
          <w:sz w:val="24"/>
          <w:szCs w:val="24"/>
        </w:rPr>
        <w:t xml:space="preserve">they </w:t>
      </w:r>
      <w:r w:rsidRPr="000F7ED9">
        <w:rPr>
          <w:rFonts w:ascii="Book Antiqua" w:hAnsi="Book Antiqua"/>
          <w:sz w:val="24"/>
          <w:szCs w:val="24"/>
        </w:rPr>
        <w:t xml:space="preserve">are not </w:t>
      </w:r>
      <w:r w:rsidR="00550C50" w:rsidRPr="000F7ED9">
        <w:rPr>
          <w:rFonts w:ascii="Book Antiqua" w:hAnsi="Book Antiqua"/>
          <w:sz w:val="24"/>
          <w:szCs w:val="24"/>
        </w:rPr>
        <w:t xml:space="preserve">in a position </w:t>
      </w:r>
      <w:r w:rsidRPr="000F7ED9">
        <w:rPr>
          <w:rFonts w:ascii="Book Antiqua" w:hAnsi="Book Antiqua"/>
          <w:sz w:val="24"/>
          <w:szCs w:val="24"/>
        </w:rPr>
        <w:t xml:space="preserve">to </w:t>
      </w:r>
      <w:r w:rsidR="00B55889" w:rsidRPr="000F7ED9">
        <w:rPr>
          <w:rFonts w:ascii="Book Antiqua" w:hAnsi="Book Antiqua"/>
          <w:sz w:val="24"/>
          <w:szCs w:val="24"/>
        </w:rPr>
        <w:t>progress such</w:t>
      </w:r>
      <w:r w:rsidR="00BF6BA3" w:rsidRPr="000F7ED9">
        <w:rPr>
          <w:rFonts w:ascii="Book Antiqua" w:hAnsi="Book Antiqua"/>
          <w:sz w:val="24"/>
          <w:szCs w:val="24"/>
        </w:rPr>
        <w:t xml:space="preserve"> </w:t>
      </w:r>
      <w:r w:rsidR="009D13D2" w:rsidRPr="000F7ED9">
        <w:rPr>
          <w:rFonts w:ascii="Book Antiqua" w:hAnsi="Book Antiqua"/>
          <w:sz w:val="24"/>
          <w:szCs w:val="24"/>
        </w:rPr>
        <w:t>application</w:t>
      </w:r>
      <w:r w:rsidR="00421241" w:rsidRPr="000F7ED9">
        <w:rPr>
          <w:rFonts w:ascii="Book Antiqua" w:hAnsi="Book Antiqua"/>
          <w:sz w:val="24"/>
          <w:szCs w:val="24"/>
        </w:rPr>
        <w:t xml:space="preserve"> </w:t>
      </w:r>
      <w:r w:rsidRPr="000F7ED9">
        <w:rPr>
          <w:rFonts w:ascii="Book Antiqua" w:hAnsi="Book Antiqua"/>
          <w:sz w:val="24"/>
          <w:szCs w:val="24"/>
        </w:rPr>
        <w:t>at the PCDH.</w:t>
      </w:r>
    </w:p>
    <w:p w14:paraId="45F42B20" w14:textId="77777777" w:rsidR="00D04058" w:rsidRPr="000F7ED9" w:rsidRDefault="00D04058" w:rsidP="00D04058">
      <w:pPr>
        <w:pStyle w:val="ListParagraph"/>
        <w:rPr>
          <w:rFonts w:ascii="Book Antiqua" w:hAnsi="Book Antiqua"/>
          <w:sz w:val="24"/>
          <w:szCs w:val="24"/>
        </w:rPr>
      </w:pPr>
    </w:p>
    <w:p w14:paraId="229DD63A" w14:textId="46E7EAD7" w:rsidR="001340D4" w:rsidRPr="000F7ED9" w:rsidRDefault="00A14317" w:rsidP="009F7355">
      <w:pPr>
        <w:pStyle w:val="ListParagraph"/>
        <w:numPr>
          <w:ilvl w:val="1"/>
          <w:numId w:val="45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T</w:t>
      </w:r>
      <w:r w:rsidR="00372EDD" w:rsidRPr="000F7ED9">
        <w:rPr>
          <w:rFonts w:ascii="Book Antiqua" w:hAnsi="Book Antiqua"/>
          <w:sz w:val="24"/>
          <w:szCs w:val="24"/>
        </w:rPr>
        <w:t xml:space="preserve">he Court expects that counsel for the prosecution and the accused will have conferred prior to the filing of </w:t>
      </w:r>
      <w:r w:rsidRPr="000F7ED9">
        <w:rPr>
          <w:rFonts w:ascii="Book Antiqua" w:hAnsi="Book Antiqua"/>
          <w:sz w:val="24"/>
          <w:szCs w:val="24"/>
        </w:rPr>
        <w:t xml:space="preserve">any s 198B </w:t>
      </w:r>
      <w:r w:rsidR="00372EDD" w:rsidRPr="000F7ED9">
        <w:rPr>
          <w:rFonts w:ascii="Book Antiqua" w:hAnsi="Book Antiqua"/>
          <w:sz w:val="24"/>
          <w:szCs w:val="24"/>
        </w:rPr>
        <w:t xml:space="preserve">application in an endeavour to narrow </w:t>
      </w:r>
      <w:r w:rsidR="009349A2" w:rsidRPr="000F7ED9">
        <w:rPr>
          <w:rFonts w:ascii="Book Antiqua" w:hAnsi="Book Antiqua"/>
          <w:sz w:val="24"/>
          <w:szCs w:val="24"/>
        </w:rPr>
        <w:t>any</w:t>
      </w:r>
      <w:r w:rsidR="00372EDD" w:rsidRPr="000F7ED9">
        <w:rPr>
          <w:rFonts w:ascii="Book Antiqua" w:hAnsi="Book Antiqua"/>
          <w:sz w:val="24"/>
          <w:szCs w:val="24"/>
        </w:rPr>
        <w:t xml:space="preserve"> issues in dispute and/or resolve </w:t>
      </w:r>
      <w:r w:rsidR="009D13D2" w:rsidRPr="000F7ED9">
        <w:rPr>
          <w:rFonts w:ascii="Book Antiqua" w:hAnsi="Book Antiqua"/>
          <w:sz w:val="24"/>
          <w:szCs w:val="24"/>
        </w:rPr>
        <w:t xml:space="preserve">any </w:t>
      </w:r>
      <w:r w:rsidR="00372EDD" w:rsidRPr="000F7ED9">
        <w:rPr>
          <w:rFonts w:ascii="Book Antiqua" w:hAnsi="Book Antiqua"/>
          <w:sz w:val="24"/>
          <w:szCs w:val="24"/>
        </w:rPr>
        <w:t xml:space="preserve">contested aspects of </w:t>
      </w:r>
      <w:r w:rsidR="009349A2" w:rsidRPr="000F7ED9">
        <w:rPr>
          <w:rFonts w:ascii="Book Antiqua" w:hAnsi="Book Antiqua"/>
          <w:sz w:val="24"/>
          <w:szCs w:val="24"/>
        </w:rPr>
        <w:t>the</w:t>
      </w:r>
      <w:r w:rsidR="00372EDD" w:rsidRPr="000F7ED9">
        <w:rPr>
          <w:rFonts w:ascii="Book Antiqua" w:hAnsi="Book Antiqua"/>
          <w:sz w:val="24"/>
          <w:szCs w:val="24"/>
        </w:rPr>
        <w:t xml:space="preserve"> application. If, following those discussions, there remains contested aspects of the application, the Court may make further directions in order to deal with the </w:t>
      </w:r>
      <w:r w:rsidR="00372EDD" w:rsidRPr="000F7ED9">
        <w:rPr>
          <w:rFonts w:ascii="Book Antiqua" w:hAnsi="Book Antiqua"/>
          <w:sz w:val="24"/>
          <w:szCs w:val="24"/>
        </w:rPr>
        <w:lastRenderedPageBreak/>
        <w:t xml:space="preserve">application in an efficient way, including the filing of submissions by the parties. </w:t>
      </w:r>
    </w:p>
    <w:p w14:paraId="1C303C53" w14:textId="77777777" w:rsidR="001340D4" w:rsidRPr="000F7ED9" w:rsidRDefault="001340D4" w:rsidP="001340D4">
      <w:pPr>
        <w:pStyle w:val="ListParagraph"/>
        <w:rPr>
          <w:rFonts w:ascii="Book Antiqua" w:hAnsi="Book Antiqua"/>
          <w:sz w:val="24"/>
          <w:szCs w:val="24"/>
        </w:rPr>
      </w:pPr>
    </w:p>
    <w:p w14:paraId="6645E8CD" w14:textId="4DC94855" w:rsidR="00237975" w:rsidRPr="000F7ED9" w:rsidRDefault="00372EDD" w:rsidP="009F7355">
      <w:pPr>
        <w:pStyle w:val="ListParagraph"/>
        <w:numPr>
          <w:ilvl w:val="1"/>
          <w:numId w:val="45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hearing of preparatory cross-examination </w:t>
      </w:r>
      <w:r w:rsidR="001340D4" w:rsidRPr="000F7ED9">
        <w:rPr>
          <w:rFonts w:ascii="Book Antiqua" w:hAnsi="Book Antiqua"/>
          <w:sz w:val="24"/>
          <w:szCs w:val="24"/>
        </w:rPr>
        <w:t xml:space="preserve">of witnesses </w:t>
      </w:r>
      <w:r w:rsidRPr="000F7ED9">
        <w:rPr>
          <w:rFonts w:ascii="Book Antiqua" w:hAnsi="Book Antiqua"/>
          <w:sz w:val="24"/>
          <w:szCs w:val="24"/>
        </w:rPr>
        <w:t>will generally proceed before a Judicial Registrar, but may also proceed before a Judge.</w:t>
      </w:r>
      <w:r w:rsidR="00D900CE" w:rsidRPr="000F7ED9">
        <w:rPr>
          <w:rFonts w:ascii="Book Antiqua" w:hAnsi="Book Antiqua"/>
          <w:sz w:val="24"/>
          <w:szCs w:val="24"/>
        </w:rPr>
        <w:t xml:space="preserve"> </w:t>
      </w:r>
    </w:p>
    <w:p w14:paraId="40171593" w14:textId="77777777" w:rsidR="00C54DA2" w:rsidRPr="000F7ED9" w:rsidRDefault="00C54DA2" w:rsidP="00C54DA2">
      <w:pPr>
        <w:pStyle w:val="ListParagraph"/>
        <w:spacing w:before="120" w:after="120"/>
        <w:ind w:left="360"/>
        <w:jc w:val="both"/>
        <w:rPr>
          <w:rFonts w:ascii="Book Antiqua" w:hAnsi="Book Antiqua"/>
          <w:sz w:val="24"/>
          <w:szCs w:val="24"/>
        </w:rPr>
      </w:pPr>
    </w:p>
    <w:p w14:paraId="13F5E383" w14:textId="4A2A426D" w:rsidR="0083157A" w:rsidRPr="000F7ED9" w:rsidRDefault="009349A2" w:rsidP="009F7355">
      <w:pPr>
        <w:pStyle w:val="ListParagraph"/>
        <w:numPr>
          <w:ilvl w:val="1"/>
          <w:numId w:val="45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The hearing of preparatory cross-examination of prosecution witnesses</w:t>
      </w:r>
      <w:r w:rsidR="00D900CE" w:rsidRPr="000F7ED9">
        <w:rPr>
          <w:rFonts w:ascii="Book Antiqua" w:hAnsi="Book Antiqua"/>
          <w:sz w:val="24"/>
          <w:szCs w:val="24"/>
        </w:rPr>
        <w:t xml:space="preserve"> will generally </w:t>
      </w:r>
      <w:r w:rsidR="00066F7B" w:rsidRPr="000F7ED9">
        <w:rPr>
          <w:rFonts w:ascii="Book Antiqua" w:hAnsi="Book Antiqua"/>
          <w:sz w:val="24"/>
          <w:szCs w:val="24"/>
        </w:rPr>
        <w:t>be listed</w:t>
      </w:r>
      <w:r w:rsidR="00D900CE" w:rsidRPr="000F7ED9">
        <w:rPr>
          <w:rFonts w:ascii="Book Antiqua" w:hAnsi="Book Antiqua"/>
          <w:sz w:val="24"/>
          <w:szCs w:val="24"/>
        </w:rPr>
        <w:t xml:space="preserve"> in Melbourne</w:t>
      </w:r>
      <w:r w:rsidRPr="000F7ED9">
        <w:rPr>
          <w:rFonts w:ascii="Book Antiqua" w:hAnsi="Book Antiqua"/>
          <w:sz w:val="24"/>
          <w:szCs w:val="24"/>
        </w:rPr>
        <w:t xml:space="preserve">, </w:t>
      </w:r>
      <w:r w:rsidR="00066F7B" w:rsidRPr="000F7ED9">
        <w:rPr>
          <w:rFonts w:ascii="Book Antiqua" w:hAnsi="Book Antiqua"/>
          <w:sz w:val="24"/>
          <w:szCs w:val="24"/>
        </w:rPr>
        <w:t xml:space="preserve">even where the proper </w:t>
      </w:r>
      <w:r w:rsidR="00B061DC" w:rsidRPr="000F7ED9">
        <w:rPr>
          <w:rFonts w:ascii="Book Antiqua" w:hAnsi="Book Antiqua"/>
          <w:sz w:val="24"/>
          <w:szCs w:val="24"/>
        </w:rPr>
        <w:t>place</w:t>
      </w:r>
      <w:r w:rsidR="00066F7B" w:rsidRPr="000F7ED9">
        <w:rPr>
          <w:rFonts w:ascii="Book Antiqua" w:hAnsi="Book Antiqua"/>
          <w:sz w:val="24"/>
          <w:szCs w:val="24"/>
        </w:rPr>
        <w:t xml:space="preserve"> of the trial may be the Court sitting at a regional </w:t>
      </w:r>
      <w:r w:rsidR="00B061DC" w:rsidRPr="000F7ED9">
        <w:rPr>
          <w:rFonts w:ascii="Book Antiqua" w:hAnsi="Book Antiqua"/>
          <w:sz w:val="24"/>
          <w:szCs w:val="24"/>
        </w:rPr>
        <w:t>venu</w:t>
      </w:r>
      <w:r w:rsidRPr="000F7ED9">
        <w:rPr>
          <w:rFonts w:ascii="Book Antiqua" w:hAnsi="Book Antiqua"/>
          <w:sz w:val="24"/>
          <w:szCs w:val="24"/>
        </w:rPr>
        <w:t>e,</w:t>
      </w:r>
      <w:r w:rsidR="00B061DC" w:rsidRPr="000F7ED9">
        <w:rPr>
          <w:rFonts w:ascii="Book Antiqua" w:hAnsi="Book Antiqua"/>
          <w:sz w:val="24"/>
          <w:szCs w:val="24"/>
        </w:rPr>
        <w:t xml:space="preserve"> </w:t>
      </w:r>
      <w:r w:rsidR="00D900CE" w:rsidRPr="000F7ED9">
        <w:rPr>
          <w:rFonts w:ascii="Book Antiqua" w:hAnsi="Book Antiqua"/>
          <w:sz w:val="24"/>
          <w:szCs w:val="24"/>
        </w:rPr>
        <w:t xml:space="preserve">and directions will be given for the fair and efficient conduct of those hearings in accordance with s 181 of the CPA. </w:t>
      </w:r>
    </w:p>
    <w:p w14:paraId="45DFE18C" w14:textId="77777777" w:rsidR="00D900CE" w:rsidRPr="000F7ED9" w:rsidRDefault="00D900CE" w:rsidP="00D900CE">
      <w:pPr>
        <w:pStyle w:val="ListParagraph"/>
        <w:spacing w:before="120" w:after="120"/>
        <w:ind w:left="360"/>
        <w:jc w:val="both"/>
        <w:rPr>
          <w:rFonts w:ascii="Book Antiqua" w:hAnsi="Book Antiqua"/>
          <w:sz w:val="24"/>
          <w:szCs w:val="24"/>
        </w:rPr>
      </w:pPr>
    </w:p>
    <w:p w14:paraId="4BDAFCAD" w14:textId="5BA54123" w:rsidR="00D05D93" w:rsidRPr="000F7ED9" w:rsidRDefault="00D900CE" w:rsidP="009F7355">
      <w:pPr>
        <w:pStyle w:val="ListParagraph"/>
        <w:numPr>
          <w:ilvl w:val="1"/>
          <w:numId w:val="45"/>
        </w:numPr>
        <w:tabs>
          <w:tab w:val="left" w:pos="720"/>
        </w:tabs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Section 42E</w:t>
      </w:r>
      <w:r w:rsidR="00D05D93" w:rsidRPr="000F7ED9">
        <w:rPr>
          <w:rFonts w:ascii="Book Antiqua" w:hAnsi="Book Antiqua"/>
          <w:sz w:val="24"/>
          <w:szCs w:val="24"/>
        </w:rPr>
        <w:t xml:space="preserve"> of the </w:t>
      </w:r>
      <w:r w:rsidR="00D05D93" w:rsidRPr="000F7ED9">
        <w:rPr>
          <w:rFonts w:ascii="Book Antiqua" w:hAnsi="Book Antiqua"/>
          <w:i/>
          <w:sz w:val="24"/>
          <w:szCs w:val="24"/>
        </w:rPr>
        <w:t>Evidence (Miscellaneous Provisions) Act 1958</w:t>
      </w:r>
      <w:r w:rsidR="00D05D93" w:rsidRPr="000F7ED9">
        <w:rPr>
          <w:rFonts w:ascii="Book Antiqua" w:hAnsi="Book Antiqua"/>
          <w:sz w:val="24"/>
          <w:szCs w:val="24"/>
        </w:rPr>
        <w:t xml:space="preserve"> provides for the Court to direct the giving of evidence or appearance of persons by audio-visual link. The following is a practice direction </w:t>
      </w:r>
      <w:r w:rsidR="00B061DC" w:rsidRPr="000F7ED9">
        <w:rPr>
          <w:rFonts w:ascii="Book Antiqua" w:hAnsi="Book Antiqua"/>
          <w:sz w:val="24"/>
          <w:szCs w:val="24"/>
        </w:rPr>
        <w:t>for the purpose of</w:t>
      </w:r>
      <w:r w:rsidR="00D05D93" w:rsidRPr="000F7ED9">
        <w:rPr>
          <w:rFonts w:ascii="Book Antiqua" w:hAnsi="Book Antiqua"/>
          <w:sz w:val="24"/>
          <w:szCs w:val="24"/>
        </w:rPr>
        <w:t xml:space="preserve"> s 42UA</w:t>
      </w:r>
      <w:r w:rsidR="00B061DC" w:rsidRPr="000F7ED9">
        <w:rPr>
          <w:rFonts w:ascii="Book Antiqua" w:hAnsi="Book Antiqua"/>
          <w:sz w:val="24"/>
          <w:szCs w:val="24"/>
        </w:rPr>
        <w:t xml:space="preserve"> of that Act</w:t>
      </w:r>
      <w:r w:rsidR="00D05D93" w:rsidRPr="000F7ED9">
        <w:rPr>
          <w:rFonts w:ascii="Book Antiqua" w:hAnsi="Book Antiqua"/>
          <w:sz w:val="24"/>
          <w:szCs w:val="24"/>
        </w:rPr>
        <w:t xml:space="preserve">. </w:t>
      </w:r>
    </w:p>
    <w:p w14:paraId="2C4EBA5C" w14:textId="77777777" w:rsidR="00C54DA2" w:rsidRPr="000F7ED9" w:rsidRDefault="00C54DA2" w:rsidP="00C54DA2">
      <w:pPr>
        <w:pStyle w:val="ListParagraph"/>
        <w:spacing w:before="120" w:after="120"/>
        <w:ind w:left="360"/>
        <w:jc w:val="both"/>
        <w:rPr>
          <w:rFonts w:ascii="Book Antiqua" w:hAnsi="Book Antiqua"/>
          <w:sz w:val="24"/>
          <w:szCs w:val="24"/>
        </w:rPr>
      </w:pPr>
    </w:p>
    <w:p w14:paraId="1A85956B" w14:textId="0C6C2D34" w:rsidR="00D900CE" w:rsidRPr="000F7ED9" w:rsidRDefault="00D05D93" w:rsidP="009F7355">
      <w:pPr>
        <w:pStyle w:val="ListParagraph"/>
        <w:numPr>
          <w:ilvl w:val="2"/>
          <w:numId w:val="45"/>
        </w:numPr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In exercising </w:t>
      </w:r>
      <w:r w:rsidR="00451F6E" w:rsidRPr="000F7ED9">
        <w:rPr>
          <w:rFonts w:ascii="Book Antiqua" w:hAnsi="Book Antiqua"/>
          <w:sz w:val="24"/>
          <w:szCs w:val="24"/>
        </w:rPr>
        <w:t xml:space="preserve">the </w:t>
      </w:r>
      <w:r w:rsidRPr="000F7ED9">
        <w:rPr>
          <w:rFonts w:ascii="Book Antiqua" w:hAnsi="Book Antiqua"/>
          <w:sz w:val="24"/>
          <w:szCs w:val="24"/>
        </w:rPr>
        <w:t>discretion under s 42E in relation to a hearing under s</w:t>
      </w:r>
      <w:r w:rsidR="003C1BF0" w:rsidRPr="000F7ED9">
        <w:rPr>
          <w:rFonts w:ascii="Book Antiqua" w:hAnsi="Book Antiqua"/>
          <w:sz w:val="24"/>
          <w:szCs w:val="24"/>
        </w:rPr>
        <w:t> </w:t>
      </w:r>
      <w:r w:rsidRPr="000F7ED9">
        <w:rPr>
          <w:rFonts w:ascii="Book Antiqua" w:hAnsi="Book Antiqua"/>
          <w:sz w:val="24"/>
          <w:szCs w:val="24"/>
        </w:rPr>
        <w:t>198B of the CPA</w:t>
      </w:r>
      <w:r w:rsidR="00451F6E" w:rsidRPr="000F7ED9">
        <w:rPr>
          <w:rFonts w:ascii="Book Antiqua" w:hAnsi="Book Antiqua"/>
          <w:sz w:val="24"/>
          <w:szCs w:val="24"/>
        </w:rPr>
        <w:t>,</w:t>
      </w:r>
      <w:r w:rsidRPr="000F7ED9">
        <w:rPr>
          <w:rFonts w:ascii="Book Antiqua" w:hAnsi="Book Antiqua"/>
          <w:sz w:val="24"/>
          <w:szCs w:val="24"/>
        </w:rPr>
        <w:t xml:space="preserve"> the Court </w:t>
      </w:r>
      <w:r w:rsidR="00184274" w:rsidRPr="000F7ED9">
        <w:rPr>
          <w:rFonts w:ascii="Book Antiqua" w:hAnsi="Book Antiqua"/>
          <w:sz w:val="24"/>
          <w:szCs w:val="24"/>
        </w:rPr>
        <w:t>may</w:t>
      </w:r>
      <w:r w:rsidRPr="000F7ED9">
        <w:rPr>
          <w:rFonts w:ascii="Book Antiqua" w:hAnsi="Book Antiqua"/>
          <w:sz w:val="24"/>
          <w:szCs w:val="24"/>
        </w:rPr>
        <w:t xml:space="preserve"> have regard to:</w:t>
      </w:r>
    </w:p>
    <w:p w14:paraId="05AE8FB2" w14:textId="1D07ABD7" w:rsidR="00D05D93" w:rsidRPr="000F7ED9" w:rsidRDefault="00D05D93" w:rsidP="000A6CFC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The nature and purpose of s 198B hearings</w:t>
      </w:r>
      <w:r w:rsidR="00451F6E" w:rsidRPr="000F7ED9">
        <w:rPr>
          <w:rFonts w:ascii="Book Antiqua" w:hAnsi="Book Antiqua"/>
          <w:sz w:val="24"/>
          <w:szCs w:val="24"/>
        </w:rPr>
        <w:t>;</w:t>
      </w:r>
      <w:r w:rsidRPr="000F7ED9">
        <w:rPr>
          <w:rFonts w:ascii="Book Antiqua" w:hAnsi="Book Antiqua"/>
          <w:sz w:val="24"/>
          <w:szCs w:val="24"/>
        </w:rPr>
        <w:t xml:space="preserve"> </w:t>
      </w:r>
    </w:p>
    <w:p w14:paraId="0AB5F0FF" w14:textId="4A58149F" w:rsidR="00D05D93" w:rsidRPr="000F7ED9" w:rsidRDefault="00D05D93" w:rsidP="000A6CFC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The efficient conduct of the proceeding</w:t>
      </w:r>
      <w:r w:rsidR="00451F6E" w:rsidRPr="000F7ED9">
        <w:rPr>
          <w:rFonts w:ascii="Book Antiqua" w:hAnsi="Book Antiqua"/>
          <w:sz w:val="24"/>
          <w:szCs w:val="24"/>
        </w:rPr>
        <w:t>;</w:t>
      </w:r>
    </w:p>
    <w:p w14:paraId="55441272" w14:textId="27088A06" w:rsidR="00D05D93" w:rsidRPr="000F7ED9" w:rsidRDefault="00D05D93" w:rsidP="000A6CFC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</w:t>
      </w:r>
      <w:r w:rsidR="00C54DA2" w:rsidRPr="000F7ED9">
        <w:rPr>
          <w:rFonts w:ascii="Book Antiqua" w:hAnsi="Book Antiqua"/>
          <w:sz w:val="24"/>
          <w:szCs w:val="24"/>
        </w:rPr>
        <w:t xml:space="preserve">cost and inconvenience to witnesses if they </w:t>
      </w:r>
      <w:r w:rsidR="00451F6E" w:rsidRPr="000F7ED9">
        <w:rPr>
          <w:rFonts w:ascii="Book Antiqua" w:hAnsi="Book Antiqua"/>
          <w:sz w:val="24"/>
          <w:szCs w:val="24"/>
        </w:rPr>
        <w:t>are required to</w:t>
      </w:r>
      <w:r w:rsidR="00C54DA2" w:rsidRPr="000F7ED9">
        <w:rPr>
          <w:rFonts w:ascii="Book Antiqua" w:hAnsi="Book Antiqua"/>
          <w:sz w:val="24"/>
          <w:szCs w:val="24"/>
        </w:rPr>
        <w:t xml:space="preserve"> attend </w:t>
      </w:r>
      <w:r w:rsidR="00451F6E" w:rsidRPr="000F7ED9">
        <w:rPr>
          <w:rFonts w:ascii="Book Antiqua" w:hAnsi="Book Antiqua"/>
          <w:sz w:val="24"/>
          <w:szCs w:val="24"/>
        </w:rPr>
        <w:t xml:space="preserve">and give evidence </w:t>
      </w:r>
      <w:r w:rsidR="00C54DA2" w:rsidRPr="000F7ED9">
        <w:rPr>
          <w:rFonts w:ascii="Book Antiqua" w:hAnsi="Book Antiqua"/>
          <w:sz w:val="24"/>
          <w:szCs w:val="24"/>
        </w:rPr>
        <w:t>in</w:t>
      </w:r>
      <w:r w:rsidR="00451F6E" w:rsidRPr="000F7ED9">
        <w:rPr>
          <w:rFonts w:ascii="Book Antiqua" w:hAnsi="Book Antiqua"/>
          <w:sz w:val="24"/>
          <w:szCs w:val="24"/>
        </w:rPr>
        <w:t>-</w:t>
      </w:r>
      <w:r w:rsidR="00C54DA2" w:rsidRPr="000F7ED9">
        <w:rPr>
          <w:rFonts w:ascii="Book Antiqua" w:hAnsi="Book Antiqua"/>
          <w:sz w:val="24"/>
          <w:szCs w:val="24"/>
        </w:rPr>
        <w:t>person</w:t>
      </w:r>
      <w:r w:rsidR="00451F6E" w:rsidRPr="000F7ED9">
        <w:rPr>
          <w:rFonts w:ascii="Book Antiqua" w:hAnsi="Book Antiqua"/>
          <w:sz w:val="24"/>
          <w:szCs w:val="24"/>
        </w:rPr>
        <w:t xml:space="preserve"> at the Court;</w:t>
      </w:r>
    </w:p>
    <w:p w14:paraId="60DE059C" w14:textId="316326FB" w:rsidR="00451F6E" w:rsidRPr="000F7ED9" w:rsidRDefault="00451F6E" w:rsidP="000A6CFC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Any prejudice</w:t>
      </w:r>
      <w:r w:rsidR="008132BD" w:rsidRPr="000F7ED9">
        <w:rPr>
          <w:rFonts w:ascii="Book Antiqua" w:hAnsi="Book Antiqua"/>
          <w:sz w:val="24"/>
          <w:szCs w:val="24"/>
        </w:rPr>
        <w:t xml:space="preserve"> </w:t>
      </w:r>
      <w:r w:rsidRPr="000F7ED9">
        <w:rPr>
          <w:rFonts w:ascii="Book Antiqua" w:hAnsi="Book Antiqua"/>
          <w:sz w:val="24"/>
          <w:szCs w:val="24"/>
        </w:rPr>
        <w:t xml:space="preserve">to </w:t>
      </w:r>
      <w:r w:rsidR="008132BD" w:rsidRPr="000F7ED9">
        <w:rPr>
          <w:rFonts w:ascii="Book Antiqua" w:hAnsi="Book Antiqua"/>
          <w:sz w:val="24"/>
          <w:szCs w:val="24"/>
        </w:rPr>
        <w:t xml:space="preserve">a party </w:t>
      </w:r>
      <w:r w:rsidR="00C86603" w:rsidRPr="000F7ED9">
        <w:rPr>
          <w:rFonts w:ascii="Book Antiqua" w:hAnsi="Book Antiqua"/>
          <w:sz w:val="24"/>
          <w:szCs w:val="24"/>
        </w:rPr>
        <w:t xml:space="preserve">if </w:t>
      </w:r>
      <w:r w:rsidR="008132BD" w:rsidRPr="000F7ED9">
        <w:rPr>
          <w:rFonts w:ascii="Book Antiqua" w:hAnsi="Book Antiqua"/>
          <w:sz w:val="24"/>
          <w:szCs w:val="24"/>
        </w:rPr>
        <w:t>a witness giv</w:t>
      </w:r>
      <w:r w:rsidR="00C86603" w:rsidRPr="000F7ED9">
        <w:rPr>
          <w:rFonts w:ascii="Book Antiqua" w:hAnsi="Book Antiqua"/>
          <w:sz w:val="24"/>
          <w:szCs w:val="24"/>
        </w:rPr>
        <w:t>es</w:t>
      </w:r>
      <w:r w:rsidR="008132BD" w:rsidRPr="000F7ED9">
        <w:rPr>
          <w:rFonts w:ascii="Book Antiqua" w:hAnsi="Book Antiqua"/>
          <w:sz w:val="24"/>
          <w:szCs w:val="24"/>
        </w:rPr>
        <w:t xml:space="preserve"> evidence via </w:t>
      </w:r>
      <w:r w:rsidR="000A3A9B" w:rsidRPr="000F7ED9">
        <w:rPr>
          <w:rFonts w:ascii="Book Antiqua" w:hAnsi="Book Antiqua"/>
          <w:sz w:val="24"/>
          <w:szCs w:val="24"/>
        </w:rPr>
        <w:t>audio-visual link;</w:t>
      </w:r>
      <w:r w:rsidR="008132BD" w:rsidRPr="000F7ED9">
        <w:rPr>
          <w:rFonts w:ascii="Book Antiqua" w:hAnsi="Book Antiqua"/>
          <w:sz w:val="24"/>
          <w:szCs w:val="24"/>
        </w:rPr>
        <w:t xml:space="preserve"> </w:t>
      </w:r>
      <w:r w:rsidR="000A6CFC" w:rsidRPr="000F7ED9">
        <w:rPr>
          <w:rFonts w:ascii="Book Antiqua" w:hAnsi="Book Antiqua"/>
          <w:sz w:val="24"/>
          <w:szCs w:val="24"/>
        </w:rPr>
        <w:t>and</w:t>
      </w:r>
    </w:p>
    <w:p w14:paraId="7E3A66D1" w14:textId="1633BC9B" w:rsidR="00D05D93" w:rsidRPr="000F7ED9" w:rsidRDefault="00C54DA2" w:rsidP="000A6CFC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Any other matters relevant to the circumstance of the case</w:t>
      </w:r>
      <w:r w:rsidR="000A6CFC" w:rsidRPr="000F7ED9">
        <w:rPr>
          <w:rFonts w:ascii="Book Antiqua" w:hAnsi="Book Antiqua"/>
          <w:sz w:val="24"/>
          <w:szCs w:val="24"/>
        </w:rPr>
        <w:t>.</w:t>
      </w:r>
    </w:p>
    <w:p w14:paraId="3061AF43" w14:textId="77777777" w:rsidR="00D900CE" w:rsidRPr="000F7ED9" w:rsidRDefault="00D900CE" w:rsidP="00D900CE">
      <w:pPr>
        <w:pStyle w:val="ListParagraph"/>
        <w:spacing w:before="120" w:after="120"/>
        <w:ind w:left="360"/>
        <w:jc w:val="both"/>
        <w:rPr>
          <w:rFonts w:ascii="Book Antiqua" w:hAnsi="Book Antiqua"/>
          <w:sz w:val="24"/>
          <w:szCs w:val="24"/>
        </w:rPr>
      </w:pPr>
    </w:p>
    <w:p w14:paraId="290644A4" w14:textId="3D09D448" w:rsidR="0083157A" w:rsidRPr="000F7ED9" w:rsidRDefault="00372EDD" w:rsidP="00F54F52">
      <w:pPr>
        <w:pStyle w:val="Heading1"/>
      </w:pPr>
      <w:r w:rsidRPr="000F7ED9">
        <w:t>CASE CONFERENCES</w:t>
      </w:r>
    </w:p>
    <w:p w14:paraId="568E24F5" w14:textId="38BE77CF" w:rsidR="00C54DA2" w:rsidRPr="000F7ED9" w:rsidRDefault="00372EDD" w:rsidP="009F7355">
      <w:pPr>
        <w:pStyle w:val="ListParagraph"/>
        <w:numPr>
          <w:ilvl w:val="1"/>
          <w:numId w:val="46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Parties in fast-track matters may be offered </w:t>
      </w:r>
      <w:r w:rsidR="00452057" w:rsidRPr="000F7ED9">
        <w:rPr>
          <w:rFonts w:ascii="Book Antiqua" w:hAnsi="Book Antiqua"/>
          <w:sz w:val="24"/>
          <w:szCs w:val="24"/>
        </w:rPr>
        <w:t>the</w:t>
      </w:r>
      <w:r w:rsidRPr="000F7ED9">
        <w:rPr>
          <w:rFonts w:ascii="Book Antiqua" w:hAnsi="Book Antiqua"/>
          <w:sz w:val="24"/>
          <w:szCs w:val="24"/>
        </w:rPr>
        <w:t xml:space="preserve"> opportunity to participate in a confidential</w:t>
      </w:r>
      <w:r w:rsidR="00C54DA2" w:rsidRPr="000F7ED9">
        <w:rPr>
          <w:rFonts w:ascii="Book Antiqua" w:hAnsi="Book Antiqua"/>
          <w:sz w:val="24"/>
          <w:szCs w:val="24"/>
        </w:rPr>
        <w:t xml:space="preserve"> </w:t>
      </w:r>
      <w:r w:rsidRPr="000F7ED9">
        <w:rPr>
          <w:rFonts w:ascii="Book Antiqua" w:hAnsi="Book Antiqua"/>
          <w:sz w:val="24"/>
          <w:szCs w:val="24"/>
        </w:rPr>
        <w:t>case conference with the aim of resolving the matter or narrowing the issues in dispute.</w:t>
      </w:r>
    </w:p>
    <w:p w14:paraId="7083FF66" w14:textId="077A9047" w:rsidR="0083157A" w:rsidRPr="000F7ED9" w:rsidRDefault="000A3A9B" w:rsidP="009F7355">
      <w:pPr>
        <w:pStyle w:val="ListParagraph"/>
        <w:numPr>
          <w:ilvl w:val="1"/>
          <w:numId w:val="46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>A case conference can be held at</w:t>
      </w:r>
      <w:r w:rsidR="00372EDD" w:rsidRPr="000F7ED9">
        <w:rPr>
          <w:rFonts w:ascii="Book Antiqua" w:hAnsi="Book Antiqua"/>
          <w:sz w:val="24"/>
          <w:szCs w:val="24"/>
        </w:rPr>
        <w:t xml:space="preserve"> any time </w:t>
      </w:r>
      <w:r w:rsidRPr="000F7ED9">
        <w:rPr>
          <w:rFonts w:ascii="Book Antiqua" w:hAnsi="Book Antiqua"/>
          <w:sz w:val="24"/>
          <w:szCs w:val="24"/>
        </w:rPr>
        <w:t xml:space="preserve">during the proceeding </w:t>
      </w:r>
      <w:r w:rsidR="00372EDD" w:rsidRPr="000F7ED9">
        <w:rPr>
          <w:rFonts w:ascii="Book Antiqua" w:hAnsi="Book Antiqua"/>
          <w:sz w:val="24"/>
          <w:szCs w:val="24"/>
        </w:rPr>
        <w:t xml:space="preserve">but will often be offered </w:t>
      </w:r>
      <w:r w:rsidR="003A4B6E" w:rsidRPr="000F7ED9">
        <w:rPr>
          <w:rFonts w:ascii="Book Antiqua" w:hAnsi="Book Antiqua"/>
          <w:sz w:val="24"/>
          <w:szCs w:val="24"/>
        </w:rPr>
        <w:t xml:space="preserve">at an appropriate point </w:t>
      </w:r>
      <w:r w:rsidR="00372EDD" w:rsidRPr="000F7ED9">
        <w:rPr>
          <w:rFonts w:ascii="Book Antiqua" w:hAnsi="Book Antiqua"/>
          <w:sz w:val="24"/>
          <w:szCs w:val="24"/>
        </w:rPr>
        <w:t xml:space="preserve">after the conclusion of the </w:t>
      </w:r>
      <w:r w:rsidR="0018555D" w:rsidRPr="000F7ED9">
        <w:rPr>
          <w:rFonts w:ascii="Book Antiqua" w:hAnsi="Book Antiqua"/>
          <w:sz w:val="24"/>
          <w:szCs w:val="24"/>
        </w:rPr>
        <w:t xml:space="preserve">hearing of </w:t>
      </w:r>
      <w:r w:rsidR="00372EDD" w:rsidRPr="000F7ED9">
        <w:rPr>
          <w:rFonts w:ascii="Book Antiqua" w:hAnsi="Book Antiqua"/>
          <w:sz w:val="24"/>
          <w:szCs w:val="24"/>
        </w:rPr>
        <w:t>preparatory</w:t>
      </w:r>
      <w:r w:rsidR="00C54DA2" w:rsidRPr="000F7ED9">
        <w:rPr>
          <w:rFonts w:ascii="Book Antiqua" w:hAnsi="Book Antiqua"/>
          <w:sz w:val="24"/>
          <w:szCs w:val="24"/>
        </w:rPr>
        <w:t xml:space="preserve"> </w:t>
      </w:r>
      <w:r w:rsidR="00372EDD" w:rsidRPr="000F7ED9">
        <w:rPr>
          <w:rFonts w:ascii="Book Antiqua" w:hAnsi="Book Antiqua"/>
          <w:sz w:val="24"/>
          <w:szCs w:val="24"/>
        </w:rPr>
        <w:t>cross-examination of witnesses under s 198B of the CPA</w:t>
      </w:r>
      <w:r w:rsidR="00C54DA2" w:rsidRPr="000F7ED9">
        <w:rPr>
          <w:rFonts w:ascii="Book Antiqua" w:hAnsi="Book Antiqua"/>
          <w:sz w:val="24"/>
          <w:szCs w:val="24"/>
        </w:rPr>
        <w:t>.</w:t>
      </w:r>
    </w:p>
    <w:p w14:paraId="450D0176" w14:textId="77777777" w:rsidR="00C54DA2" w:rsidRPr="000F7ED9" w:rsidRDefault="00C54DA2" w:rsidP="003F0513">
      <w:pPr>
        <w:jc w:val="both"/>
        <w:rPr>
          <w:rFonts w:ascii="Book Antiqua" w:hAnsi="Book Antiqua"/>
        </w:rPr>
      </w:pPr>
    </w:p>
    <w:p w14:paraId="5DACA4A1" w14:textId="1EA18372" w:rsidR="004D4B9A" w:rsidRPr="000F7ED9" w:rsidRDefault="004D4B9A" w:rsidP="00F54F52">
      <w:pPr>
        <w:pStyle w:val="Heading1"/>
      </w:pPr>
      <w:r w:rsidRPr="000F7ED9">
        <w:t>LISTING TIMEFRAMES</w:t>
      </w:r>
    </w:p>
    <w:p w14:paraId="433498AB" w14:textId="70B7B617" w:rsidR="004D4B9A" w:rsidRPr="000F7ED9" w:rsidRDefault="004D4B9A" w:rsidP="009F7355">
      <w:pPr>
        <w:pStyle w:val="ListParagraph"/>
        <w:numPr>
          <w:ilvl w:val="1"/>
          <w:numId w:val="47"/>
        </w:numPr>
        <w:tabs>
          <w:tab w:val="left" w:pos="720"/>
        </w:tabs>
        <w:spacing w:before="120" w:after="120" w:line="276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In fast-track matters, the Court will generally </w:t>
      </w:r>
      <w:r w:rsidR="00796A91" w:rsidRPr="000F7ED9">
        <w:rPr>
          <w:rFonts w:ascii="Book Antiqua" w:hAnsi="Book Antiqua"/>
          <w:sz w:val="24"/>
          <w:szCs w:val="24"/>
        </w:rPr>
        <w:t>endeavour</w:t>
      </w:r>
      <w:r w:rsidRPr="000F7ED9">
        <w:rPr>
          <w:rFonts w:ascii="Book Antiqua" w:hAnsi="Book Antiqua"/>
          <w:sz w:val="24"/>
          <w:szCs w:val="24"/>
        </w:rPr>
        <w:t xml:space="preserve"> to list hearings in accordance with the following</w:t>
      </w:r>
      <w:r w:rsidR="00151922" w:rsidRPr="000F7ED9">
        <w:rPr>
          <w:rFonts w:ascii="Book Antiqua" w:hAnsi="Book Antiqua"/>
          <w:sz w:val="24"/>
          <w:szCs w:val="24"/>
        </w:rPr>
        <w:t xml:space="preserve"> tim</w:t>
      </w:r>
      <w:r w:rsidR="00087107" w:rsidRPr="000F7ED9">
        <w:rPr>
          <w:rFonts w:ascii="Book Antiqua" w:hAnsi="Book Antiqua"/>
          <w:sz w:val="24"/>
          <w:szCs w:val="24"/>
        </w:rPr>
        <w:t>e</w:t>
      </w:r>
      <w:r w:rsidR="00151922" w:rsidRPr="000F7ED9">
        <w:rPr>
          <w:rFonts w:ascii="Book Antiqua" w:hAnsi="Book Antiqua"/>
          <w:sz w:val="24"/>
          <w:szCs w:val="24"/>
        </w:rPr>
        <w:t>frames:</w:t>
      </w:r>
    </w:p>
    <w:p w14:paraId="2127764E" w14:textId="652C1533" w:rsidR="00151922" w:rsidRPr="000F7ED9" w:rsidRDefault="00151922" w:rsidP="009F7355">
      <w:pPr>
        <w:pStyle w:val="ListParagraph"/>
        <w:numPr>
          <w:ilvl w:val="2"/>
          <w:numId w:val="47"/>
        </w:numPr>
        <w:spacing w:before="120" w:after="120" w:line="276" w:lineRule="auto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i/>
          <w:iCs/>
          <w:sz w:val="24"/>
          <w:szCs w:val="24"/>
        </w:rPr>
        <w:t xml:space="preserve">The hearing of preparatory cross-examination of prosecution witnesses (s 198B) </w:t>
      </w:r>
      <w:r w:rsidRPr="000F7ED9">
        <w:rPr>
          <w:rFonts w:ascii="Book Antiqua" w:hAnsi="Book Antiqua"/>
          <w:sz w:val="24"/>
          <w:szCs w:val="24"/>
        </w:rPr>
        <w:t>– no more than 12 weeks from the date of the PCDH</w:t>
      </w:r>
      <w:r w:rsidR="00050D42" w:rsidRPr="000F7ED9">
        <w:rPr>
          <w:rFonts w:ascii="Book Antiqua" w:hAnsi="Book Antiqua"/>
          <w:sz w:val="24"/>
          <w:szCs w:val="24"/>
        </w:rPr>
        <w:t>; and</w:t>
      </w:r>
    </w:p>
    <w:p w14:paraId="6A221831" w14:textId="591623BD" w:rsidR="002B1982" w:rsidRPr="000F7ED9" w:rsidRDefault="006B7D85" w:rsidP="009F7355">
      <w:pPr>
        <w:pStyle w:val="ListParagraph"/>
        <w:numPr>
          <w:ilvl w:val="2"/>
          <w:numId w:val="47"/>
        </w:numPr>
        <w:spacing w:line="276" w:lineRule="auto"/>
        <w:ind w:left="144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i/>
          <w:iCs/>
          <w:sz w:val="24"/>
          <w:szCs w:val="24"/>
        </w:rPr>
        <w:t>The trial of the accused</w:t>
      </w:r>
      <w:r w:rsidRPr="000F7ED9">
        <w:rPr>
          <w:rFonts w:ascii="Book Antiqua" w:hAnsi="Book Antiqua"/>
          <w:sz w:val="24"/>
          <w:szCs w:val="24"/>
        </w:rPr>
        <w:t xml:space="preserve"> – no more than </w:t>
      </w:r>
      <w:r w:rsidR="00E17302" w:rsidRPr="000F7ED9">
        <w:rPr>
          <w:rFonts w:ascii="Book Antiqua" w:hAnsi="Book Antiqua"/>
          <w:sz w:val="24"/>
          <w:szCs w:val="24"/>
        </w:rPr>
        <w:t>12</w:t>
      </w:r>
      <w:r w:rsidRPr="000F7ED9">
        <w:rPr>
          <w:rFonts w:ascii="Book Antiqua" w:hAnsi="Book Antiqua"/>
          <w:sz w:val="24"/>
          <w:szCs w:val="24"/>
        </w:rPr>
        <w:t xml:space="preserve"> months from the date of the PCDH</w:t>
      </w:r>
      <w:r w:rsidR="00050D42" w:rsidRPr="000F7ED9">
        <w:rPr>
          <w:rFonts w:ascii="Book Antiqua" w:hAnsi="Book Antiqua"/>
          <w:sz w:val="24"/>
          <w:szCs w:val="24"/>
        </w:rPr>
        <w:t>.</w:t>
      </w:r>
    </w:p>
    <w:p w14:paraId="061988C9" w14:textId="77777777" w:rsidR="002B1982" w:rsidRPr="000F7ED9" w:rsidRDefault="002B1982" w:rsidP="002B1982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</w:p>
    <w:p w14:paraId="21DEE6B3" w14:textId="64A6568F" w:rsidR="007C7D90" w:rsidRPr="000F7ED9" w:rsidRDefault="00AC20F6" w:rsidP="009F7355">
      <w:pPr>
        <w:pStyle w:val="ListParagraph"/>
        <w:numPr>
          <w:ilvl w:val="1"/>
          <w:numId w:val="47"/>
        </w:numPr>
        <w:tabs>
          <w:tab w:val="left" w:pos="720"/>
        </w:tabs>
        <w:spacing w:before="120" w:after="120" w:line="276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Whilst the Court will consider the availability of counsel </w:t>
      </w:r>
      <w:r w:rsidR="000F1947" w:rsidRPr="000F7ED9">
        <w:rPr>
          <w:rFonts w:ascii="Book Antiqua" w:hAnsi="Book Antiqua"/>
          <w:sz w:val="24"/>
          <w:szCs w:val="24"/>
        </w:rPr>
        <w:t xml:space="preserve">for the purpose of listings, </w:t>
      </w:r>
      <w:r w:rsidR="002802EE" w:rsidRPr="000F7ED9">
        <w:rPr>
          <w:rFonts w:ascii="Book Antiqua" w:hAnsi="Book Antiqua"/>
          <w:sz w:val="24"/>
          <w:szCs w:val="24"/>
        </w:rPr>
        <w:t xml:space="preserve">the convenience of counsel is not an overriding consideration and it </w:t>
      </w:r>
      <w:r w:rsidR="002802EE" w:rsidRPr="000F7ED9">
        <w:rPr>
          <w:rFonts w:ascii="Book Antiqua" w:hAnsi="Book Antiqua"/>
          <w:sz w:val="24"/>
          <w:szCs w:val="24"/>
        </w:rPr>
        <w:lastRenderedPageBreak/>
        <w:t>may not always be possible for the Court to accommodate coun</w:t>
      </w:r>
      <w:r w:rsidR="000F40C2" w:rsidRPr="000F7ED9">
        <w:rPr>
          <w:rFonts w:ascii="Book Antiqua" w:hAnsi="Book Antiqua"/>
          <w:sz w:val="24"/>
          <w:szCs w:val="24"/>
        </w:rPr>
        <w:t xml:space="preserve">sel. </w:t>
      </w:r>
      <w:r w:rsidR="00674DF3" w:rsidRPr="000F7ED9">
        <w:rPr>
          <w:rFonts w:ascii="Book Antiqua" w:hAnsi="Book Antiqua"/>
          <w:sz w:val="24"/>
          <w:szCs w:val="24"/>
        </w:rPr>
        <w:t>Counsel should consider these listing timeframes prior to accepting</w:t>
      </w:r>
      <w:r w:rsidR="0003116D" w:rsidRPr="000F7ED9">
        <w:rPr>
          <w:rFonts w:ascii="Book Antiqua" w:hAnsi="Book Antiqua"/>
          <w:sz w:val="24"/>
          <w:szCs w:val="24"/>
        </w:rPr>
        <w:t xml:space="preserve"> </w:t>
      </w:r>
      <w:r w:rsidR="00211050" w:rsidRPr="000F7ED9">
        <w:rPr>
          <w:rFonts w:ascii="Book Antiqua" w:hAnsi="Book Antiqua"/>
          <w:sz w:val="24"/>
          <w:szCs w:val="24"/>
        </w:rPr>
        <w:t>a</w:t>
      </w:r>
      <w:r w:rsidR="0003116D" w:rsidRPr="000F7ED9">
        <w:rPr>
          <w:rFonts w:ascii="Book Antiqua" w:hAnsi="Book Antiqua"/>
          <w:sz w:val="24"/>
          <w:szCs w:val="24"/>
        </w:rPr>
        <w:t xml:space="preserve"> brief</w:t>
      </w:r>
      <w:r w:rsidR="00211050" w:rsidRPr="000F7ED9">
        <w:rPr>
          <w:rFonts w:ascii="Book Antiqua" w:hAnsi="Book Antiqua"/>
          <w:sz w:val="24"/>
          <w:szCs w:val="24"/>
        </w:rPr>
        <w:t xml:space="preserve"> to appear for an accused in a fast-track matter</w:t>
      </w:r>
      <w:r w:rsidR="0003116D" w:rsidRPr="000F7ED9">
        <w:rPr>
          <w:rFonts w:ascii="Book Antiqua" w:hAnsi="Book Antiqua"/>
          <w:sz w:val="24"/>
          <w:szCs w:val="24"/>
        </w:rPr>
        <w:t xml:space="preserve">. </w:t>
      </w:r>
      <w:r w:rsidR="000F1947" w:rsidRPr="000F7ED9">
        <w:rPr>
          <w:rFonts w:ascii="Book Antiqua" w:hAnsi="Book Antiqua"/>
          <w:sz w:val="24"/>
          <w:szCs w:val="24"/>
        </w:rPr>
        <w:t xml:space="preserve"> </w:t>
      </w:r>
    </w:p>
    <w:p w14:paraId="4E1B25A2" w14:textId="77777777" w:rsidR="007C7D90" w:rsidRPr="000F7ED9" w:rsidRDefault="007C7D90" w:rsidP="003C3601">
      <w:pPr>
        <w:pStyle w:val="ListParagraph"/>
        <w:tabs>
          <w:tab w:val="left" w:pos="720"/>
        </w:tabs>
        <w:spacing w:before="120" w:after="120" w:line="276" w:lineRule="auto"/>
        <w:jc w:val="both"/>
        <w:rPr>
          <w:rFonts w:ascii="Book Antiqua" w:hAnsi="Book Antiqua"/>
          <w:sz w:val="24"/>
          <w:szCs w:val="24"/>
        </w:rPr>
      </w:pPr>
    </w:p>
    <w:p w14:paraId="7581B419" w14:textId="43DB42B3" w:rsidR="006A25AB" w:rsidRPr="000F7ED9" w:rsidRDefault="007C7D90" w:rsidP="009F7355">
      <w:pPr>
        <w:pStyle w:val="ListParagraph"/>
        <w:numPr>
          <w:ilvl w:val="1"/>
          <w:numId w:val="47"/>
        </w:numPr>
        <w:tabs>
          <w:tab w:val="left" w:pos="720"/>
        </w:tabs>
        <w:spacing w:before="120" w:after="120" w:line="276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The Court will adopt a flexible approach in determining </w:t>
      </w:r>
      <w:r w:rsidR="00230B2F" w:rsidRPr="000F7ED9">
        <w:rPr>
          <w:rFonts w:ascii="Book Antiqua" w:hAnsi="Book Antiqua"/>
          <w:sz w:val="24"/>
          <w:szCs w:val="24"/>
        </w:rPr>
        <w:t>when</w:t>
      </w:r>
      <w:r w:rsidRPr="000F7ED9">
        <w:rPr>
          <w:rFonts w:ascii="Book Antiqua" w:hAnsi="Book Antiqua"/>
          <w:sz w:val="24"/>
          <w:szCs w:val="24"/>
        </w:rPr>
        <w:t xml:space="preserve"> </w:t>
      </w:r>
      <w:r w:rsidR="00C11A69" w:rsidRPr="000F7ED9">
        <w:rPr>
          <w:rFonts w:ascii="Book Antiqua" w:hAnsi="Book Antiqua"/>
          <w:sz w:val="24"/>
          <w:szCs w:val="24"/>
        </w:rPr>
        <w:t xml:space="preserve">to fix </w:t>
      </w:r>
      <w:r w:rsidRPr="000F7ED9">
        <w:rPr>
          <w:rFonts w:ascii="Book Antiqua" w:hAnsi="Book Antiqua"/>
          <w:sz w:val="24"/>
          <w:szCs w:val="24"/>
        </w:rPr>
        <w:t xml:space="preserve">trial dates for fast-track matters. In </w:t>
      </w:r>
      <w:r w:rsidR="00C11A69" w:rsidRPr="000F7ED9">
        <w:rPr>
          <w:rFonts w:ascii="Book Antiqua" w:hAnsi="Book Antiqua"/>
          <w:sz w:val="24"/>
          <w:szCs w:val="24"/>
        </w:rPr>
        <w:t>some</w:t>
      </w:r>
      <w:r w:rsidRPr="000F7ED9">
        <w:rPr>
          <w:rFonts w:ascii="Book Antiqua" w:hAnsi="Book Antiqua"/>
          <w:sz w:val="24"/>
          <w:szCs w:val="24"/>
        </w:rPr>
        <w:t xml:space="preserve"> instances, a trial date will be </w:t>
      </w:r>
      <w:r w:rsidR="00CF43E8" w:rsidRPr="000F7ED9">
        <w:rPr>
          <w:rFonts w:ascii="Book Antiqua" w:hAnsi="Book Antiqua"/>
          <w:sz w:val="24"/>
          <w:szCs w:val="24"/>
        </w:rPr>
        <w:t>fixed</w:t>
      </w:r>
      <w:r w:rsidRPr="000F7ED9">
        <w:rPr>
          <w:rFonts w:ascii="Book Antiqua" w:hAnsi="Book Antiqua"/>
          <w:sz w:val="24"/>
          <w:szCs w:val="24"/>
        </w:rPr>
        <w:t xml:space="preserve"> only upon the conclusion of the preparatory cross-examination of prosecution witnesses. </w:t>
      </w:r>
      <w:r w:rsidR="00CF43E8" w:rsidRPr="000F7ED9">
        <w:rPr>
          <w:rFonts w:ascii="Book Antiqua" w:hAnsi="Book Antiqua"/>
          <w:sz w:val="24"/>
          <w:szCs w:val="24"/>
        </w:rPr>
        <w:t xml:space="preserve">The </w:t>
      </w:r>
      <w:r w:rsidRPr="000F7ED9">
        <w:rPr>
          <w:rFonts w:ascii="Book Antiqua" w:hAnsi="Book Antiqua"/>
          <w:sz w:val="24"/>
          <w:szCs w:val="24"/>
        </w:rPr>
        <w:t xml:space="preserve">Court may, </w:t>
      </w:r>
      <w:r w:rsidR="00CF43E8" w:rsidRPr="000F7ED9">
        <w:rPr>
          <w:rFonts w:ascii="Book Antiqua" w:hAnsi="Book Antiqua"/>
          <w:sz w:val="24"/>
          <w:szCs w:val="24"/>
        </w:rPr>
        <w:t>however</w:t>
      </w:r>
      <w:r w:rsidRPr="000F7ED9">
        <w:rPr>
          <w:rFonts w:ascii="Book Antiqua" w:hAnsi="Book Antiqua"/>
          <w:sz w:val="24"/>
          <w:szCs w:val="24"/>
        </w:rPr>
        <w:t xml:space="preserve">, fix a trial date </w:t>
      </w:r>
      <w:r w:rsidR="00E17302" w:rsidRPr="000F7ED9">
        <w:rPr>
          <w:rFonts w:ascii="Book Antiqua" w:hAnsi="Book Antiqua"/>
          <w:sz w:val="24"/>
          <w:szCs w:val="24"/>
        </w:rPr>
        <w:t xml:space="preserve">at an </w:t>
      </w:r>
      <w:r w:rsidR="00C42D30" w:rsidRPr="000F7ED9">
        <w:rPr>
          <w:rFonts w:ascii="Book Antiqua" w:hAnsi="Book Antiqua"/>
          <w:sz w:val="24"/>
          <w:szCs w:val="24"/>
        </w:rPr>
        <w:t>earlier</w:t>
      </w:r>
      <w:r w:rsidR="00E17302" w:rsidRPr="000F7ED9">
        <w:rPr>
          <w:rFonts w:ascii="Book Antiqua" w:hAnsi="Book Antiqua"/>
          <w:sz w:val="24"/>
          <w:szCs w:val="24"/>
        </w:rPr>
        <w:t xml:space="preserve"> stage, </w:t>
      </w:r>
      <w:r w:rsidRPr="000F7ED9">
        <w:rPr>
          <w:rFonts w:ascii="Book Antiqua" w:hAnsi="Book Antiqua"/>
          <w:sz w:val="24"/>
          <w:szCs w:val="24"/>
        </w:rPr>
        <w:t xml:space="preserve">particularly where delays have arisen in </w:t>
      </w:r>
      <w:r w:rsidR="00C42D30" w:rsidRPr="000F7ED9">
        <w:rPr>
          <w:rFonts w:ascii="Book Antiqua" w:hAnsi="Book Antiqua"/>
          <w:sz w:val="24"/>
          <w:szCs w:val="24"/>
        </w:rPr>
        <w:t>t</w:t>
      </w:r>
      <w:r w:rsidR="00E17302" w:rsidRPr="000F7ED9">
        <w:rPr>
          <w:rFonts w:ascii="Book Antiqua" w:hAnsi="Book Antiqua"/>
          <w:sz w:val="24"/>
          <w:szCs w:val="24"/>
        </w:rPr>
        <w:t>he</w:t>
      </w:r>
      <w:r w:rsidRPr="000F7ED9">
        <w:rPr>
          <w:rFonts w:ascii="Book Antiqua" w:hAnsi="Book Antiqua"/>
          <w:sz w:val="24"/>
          <w:szCs w:val="24"/>
        </w:rPr>
        <w:t xml:space="preserve"> </w:t>
      </w:r>
      <w:r w:rsidR="003C3601" w:rsidRPr="000F7ED9">
        <w:rPr>
          <w:rFonts w:ascii="Book Antiqua" w:hAnsi="Book Antiqua"/>
          <w:sz w:val="24"/>
          <w:szCs w:val="24"/>
        </w:rPr>
        <w:t xml:space="preserve">listing </w:t>
      </w:r>
      <w:r w:rsidRPr="000F7ED9">
        <w:rPr>
          <w:rFonts w:ascii="Book Antiqua" w:hAnsi="Book Antiqua"/>
          <w:sz w:val="24"/>
          <w:szCs w:val="24"/>
        </w:rPr>
        <w:t>or completion</w:t>
      </w:r>
      <w:r w:rsidR="00E17302" w:rsidRPr="000F7ED9">
        <w:rPr>
          <w:rFonts w:ascii="Book Antiqua" w:hAnsi="Book Antiqua"/>
          <w:sz w:val="24"/>
          <w:szCs w:val="24"/>
        </w:rPr>
        <w:t xml:space="preserve"> o</w:t>
      </w:r>
      <w:r w:rsidR="006A739F" w:rsidRPr="000F7ED9">
        <w:rPr>
          <w:rFonts w:ascii="Book Antiqua" w:hAnsi="Book Antiqua"/>
          <w:sz w:val="24"/>
          <w:szCs w:val="24"/>
        </w:rPr>
        <w:t>f</w:t>
      </w:r>
      <w:r w:rsidR="00E17302" w:rsidRPr="000F7ED9">
        <w:rPr>
          <w:rFonts w:ascii="Book Antiqua" w:hAnsi="Book Antiqua"/>
          <w:sz w:val="24"/>
          <w:szCs w:val="24"/>
        </w:rPr>
        <w:t xml:space="preserve"> preparatory cross-examination</w:t>
      </w:r>
      <w:r w:rsidRPr="000F7ED9">
        <w:rPr>
          <w:rFonts w:ascii="Book Antiqua" w:hAnsi="Book Antiqua"/>
          <w:sz w:val="24"/>
          <w:szCs w:val="24"/>
        </w:rPr>
        <w:t xml:space="preserve">, or where the scale and complexity of the </w:t>
      </w:r>
      <w:r w:rsidR="00AF7F41" w:rsidRPr="000F7ED9">
        <w:rPr>
          <w:rFonts w:ascii="Book Antiqua" w:hAnsi="Book Antiqua"/>
          <w:sz w:val="24"/>
          <w:szCs w:val="24"/>
        </w:rPr>
        <w:t>matter</w:t>
      </w:r>
      <w:r w:rsidRPr="000F7ED9">
        <w:rPr>
          <w:rFonts w:ascii="Book Antiqua" w:hAnsi="Book Antiqua"/>
          <w:sz w:val="24"/>
          <w:szCs w:val="24"/>
        </w:rPr>
        <w:t xml:space="preserve"> warrant the early </w:t>
      </w:r>
      <w:r w:rsidR="003C3601" w:rsidRPr="000F7ED9">
        <w:rPr>
          <w:rFonts w:ascii="Book Antiqua" w:hAnsi="Book Antiqua"/>
          <w:sz w:val="24"/>
          <w:szCs w:val="24"/>
        </w:rPr>
        <w:t>fixing</w:t>
      </w:r>
      <w:r w:rsidRPr="000F7ED9">
        <w:rPr>
          <w:rFonts w:ascii="Book Antiqua" w:hAnsi="Book Antiqua"/>
          <w:sz w:val="24"/>
          <w:szCs w:val="24"/>
        </w:rPr>
        <w:t xml:space="preserve"> of a trial date to facilitate </w:t>
      </w:r>
      <w:r w:rsidR="00E17302" w:rsidRPr="000F7ED9">
        <w:rPr>
          <w:rFonts w:ascii="Book Antiqua" w:hAnsi="Book Antiqua"/>
          <w:sz w:val="24"/>
          <w:szCs w:val="24"/>
        </w:rPr>
        <w:t xml:space="preserve">more </w:t>
      </w:r>
      <w:r w:rsidRPr="000F7ED9">
        <w:rPr>
          <w:rFonts w:ascii="Book Antiqua" w:hAnsi="Book Antiqua"/>
          <w:sz w:val="24"/>
          <w:szCs w:val="24"/>
        </w:rPr>
        <w:t>effective case management.</w:t>
      </w:r>
      <w:r w:rsidR="00913D94" w:rsidRPr="000F7ED9">
        <w:rPr>
          <w:rFonts w:ascii="Book Antiqua" w:hAnsi="Book Antiqua"/>
          <w:sz w:val="24"/>
          <w:szCs w:val="24"/>
        </w:rPr>
        <w:t xml:space="preserve"> </w:t>
      </w:r>
    </w:p>
    <w:p w14:paraId="234F9FF5" w14:textId="77777777" w:rsidR="00050D42" w:rsidRPr="000F7ED9" w:rsidRDefault="00050D42" w:rsidP="00050D42">
      <w:pPr>
        <w:pStyle w:val="ListParagraph"/>
        <w:tabs>
          <w:tab w:val="left" w:pos="720"/>
        </w:tabs>
        <w:spacing w:before="120" w:after="120" w:line="276" w:lineRule="auto"/>
        <w:jc w:val="both"/>
        <w:rPr>
          <w:rFonts w:ascii="Book Antiqua" w:hAnsi="Book Antiqua"/>
          <w:sz w:val="24"/>
          <w:szCs w:val="24"/>
        </w:rPr>
      </w:pPr>
    </w:p>
    <w:p w14:paraId="424EA11B" w14:textId="41E659F9" w:rsidR="007C7D90" w:rsidRPr="000F7ED9" w:rsidRDefault="00E17302" w:rsidP="009F7355">
      <w:pPr>
        <w:pStyle w:val="ListParagraph"/>
        <w:numPr>
          <w:ilvl w:val="1"/>
          <w:numId w:val="47"/>
        </w:numPr>
        <w:tabs>
          <w:tab w:val="left" w:pos="720"/>
        </w:tabs>
        <w:spacing w:before="120" w:after="120" w:line="276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Trial </w:t>
      </w:r>
      <w:r w:rsidR="006A25AB" w:rsidRPr="000F7ED9">
        <w:rPr>
          <w:rFonts w:ascii="Book Antiqua" w:hAnsi="Book Antiqua"/>
          <w:sz w:val="24"/>
          <w:szCs w:val="24"/>
        </w:rPr>
        <w:t xml:space="preserve">dates for trials at </w:t>
      </w:r>
      <w:r w:rsidRPr="000F7ED9">
        <w:rPr>
          <w:rFonts w:ascii="Book Antiqua" w:hAnsi="Book Antiqua"/>
          <w:sz w:val="24"/>
          <w:szCs w:val="24"/>
        </w:rPr>
        <w:t>regional locati</w:t>
      </w:r>
      <w:r w:rsidR="006A25AB" w:rsidRPr="000F7ED9">
        <w:rPr>
          <w:rFonts w:ascii="Book Antiqua" w:hAnsi="Book Antiqua"/>
          <w:sz w:val="24"/>
          <w:szCs w:val="24"/>
        </w:rPr>
        <w:t>ons</w:t>
      </w:r>
      <w:r w:rsidRPr="000F7ED9">
        <w:rPr>
          <w:rFonts w:ascii="Book Antiqua" w:hAnsi="Book Antiqua"/>
          <w:sz w:val="24"/>
          <w:szCs w:val="24"/>
        </w:rPr>
        <w:t xml:space="preserve"> of the Court </w:t>
      </w:r>
      <w:r w:rsidR="006A25AB" w:rsidRPr="000F7ED9">
        <w:rPr>
          <w:rFonts w:ascii="Book Antiqua" w:hAnsi="Book Antiqua"/>
          <w:sz w:val="24"/>
          <w:szCs w:val="24"/>
        </w:rPr>
        <w:t xml:space="preserve">are likely to be fixed </w:t>
      </w:r>
      <w:r w:rsidR="0069710A" w:rsidRPr="000F7ED9">
        <w:rPr>
          <w:rFonts w:ascii="Book Antiqua" w:hAnsi="Book Antiqua"/>
          <w:sz w:val="24"/>
          <w:szCs w:val="24"/>
        </w:rPr>
        <w:t xml:space="preserve">at an early stage of the proceeding </w:t>
      </w:r>
      <w:r w:rsidR="001A7012" w:rsidRPr="000F7ED9">
        <w:rPr>
          <w:rFonts w:ascii="Book Antiqua" w:hAnsi="Book Antiqua"/>
          <w:sz w:val="24"/>
          <w:szCs w:val="24"/>
        </w:rPr>
        <w:t>in order to secure the necessary sitting time at the regional location in accordance with the timeframe</w:t>
      </w:r>
      <w:r w:rsidR="00AF7F41" w:rsidRPr="000F7ED9">
        <w:rPr>
          <w:rFonts w:ascii="Book Antiqua" w:hAnsi="Book Antiqua"/>
          <w:sz w:val="24"/>
          <w:szCs w:val="24"/>
        </w:rPr>
        <w:t xml:space="preserve"> referred to in paragraph </w:t>
      </w:r>
      <w:r w:rsidR="001427EB" w:rsidRPr="000F7ED9">
        <w:rPr>
          <w:rFonts w:ascii="Book Antiqua" w:hAnsi="Book Antiqua"/>
          <w:sz w:val="24"/>
          <w:szCs w:val="24"/>
        </w:rPr>
        <w:t>8</w:t>
      </w:r>
      <w:r w:rsidR="00AF7F41" w:rsidRPr="000F7ED9">
        <w:rPr>
          <w:rFonts w:ascii="Book Antiqua" w:hAnsi="Book Antiqua"/>
          <w:sz w:val="24"/>
          <w:szCs w:val="24"/>
        </w:rPr>
        <w:t>.</w:t>
      </w:r>
      <w:r w:rsidR="008D1E91" w:rsidRPr="000F7ED9">
        <w:rPr>
          <w:rFonts w:ascii="Book Antiqua" w:hAnsi="Book Antiqua"/>
          <w:sz w:val="24"/>
          <w:szCs w:val="24"/>
        </w:rPr>
        <w:t>1</w:t>
      </w:r>
      <w:r w:rsidR="00AF7F41" w:rsidRPr="000F7ED9">
        <w:rPr>
          <w:rFonts w:ascii="Book Antiqua" w:hAnsi="Book Antiqua"/>
          <w:sz w:val="24"/>
          <w:szCs w:val="24"/>
        </w:rPr>
        <w:t>.2.</w:t>
      </w:r>
      <w:r w:rsidRPr="000F7ED9">
        <w:rPr>
          <w:rFonts w:ascii="Book Antiqua" w:hAnsi="Book Antiqua"/>
          <w:sz w:val="24"/>
          <w:szCs w:val="24"/>
        </w:rPr>
        <w:t xml:space="preserve">  </w:t>
      </w:r>
    </w:p>
    <w:p w14:paraId="2A57254C" w14:textId="77777777" w:rsidR="00796A91" w:rsidRPr="000F7ED9" w:rsidRDefault="00796A91" w:rsidP="00796A91">
      <w:pPr>
        <w:pStyle w:val="ListParagraph"/>
        <w:tabs>
          <w:tab w:val="left" w:pos="720"/>
        </w:tabs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54276574" w14:textId="7E0704FB" w:rsidR="0083157A" w:rsidRPr="000F7ED9" w:rsidRDefault="00372EDD" w:rsidP="00F54F52">
      <w:pPr>
        <w:pStyle w:val="Heading1"/>
      </w:pPr>
      <w:r w:rsidRPr="000F7ED9">
        <w:t>CONTACT DETAILS</w:t>
      </w:r>
    </w:p>
    <w:p w14:paraId="4495F0ED" w14:textId="751F347C" w:rsidR="00372EDD" w:rsidRPr="000F7ED9" w:rsidRDefault="00372EDD" w:rsidP="009F7355">
      <w:pPr>
        <w:pStyle w:val="ListParagraph"/>
        <w:numPr>
          <w:ilvl w:val="1"/>
          <w:numId w:val="48"/>
        </w:numPr>
        <w:tabs>
          <w:tab w:val="left" w:pos="720"/>
        </w:tabs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Any enquiries </w:t>
      </w:r>
      <w:r w:rsidR="003A4B6E" w:rsidRPr="000F7ED9">
        <w:rPr>
          <w:rFonts w:ascii="Book Antiqua" w:hAnsi="Book Antiqua"/>
          <w:sz w:val="24"/>
          <w:szCs w:val="24"/>
        </w:rPr>
        <w:t>relating</w:t>
      </w:r>
      <w:r w:rsidRPr="000F7ED9">
        <w:rPr>
          <w:rFonts w:ascii="Book Antiqua" w:hAnsi="Book Antiqua"/>
          <w:sz w:val="24"/>
          <w:szCs w:val="24"/>
        </w:rPr>
        <w:t xml:space="preserve"> to </w:t>
      </w:r>
      <w:r w:rsidR="003A4B6E" w:rsidRPr="000F7ED9">
        <w:rPr>
          <w:rFonts w:ascii="Book Antiqua" w:hAnsi="Book Antiqua"/>
          <w:sz w:val="24"/>
          <w:szCs w:val="24"/>
        </w:rPr>
        <w:t xml:space="preserve">the </w:t>
      </w:r>
      <w:r w:rsidRPr="000F7ED9">
        <w:rPr>
          <w:rFonts w:ascii="Book Antiqua" w:hAnsi="Book Antiqua"/>
          <w:sz w:val="24"/>
          <w:szCs w:val="24"/>
        </w:rPr>
        <w:t>fast-track</w:t>
      </w:r>
      <w:r w:rsidR="003A4B6E" w:rsidRPr="000F7ED9">
        <w:rPr>
          <w:rFonts w:ascii="Book Antiqua" w:hAnsi="Book Antiqua"/>
          <w:sz w:val="24"/>
          <w:szCs w:val="24"/>
        </w:rPr>
        <w:t xml:space="preserve"> process</w:t>
      </w:r>
      <w:r w:rsidRPr="000F7ED9">
        <w:rPr>
          <w:rFonts w:ascii="Book Antiqua" w:hAnsi="Book Antiqua"/>
          <w:sz w:val="24"/>
          <w:szCs w:val="24"/>
        </w:rPr>
        <w:t xml:space="preserve"> can be directed to the Criminal Division case</w:t>
      </w:r>
      <w:r w:rsidR="00C54DA2" w:rsidRPr="000F7ED9">
        <w:rPr>
          <w:rFonts w:ascii="Book Antiqua" w:hAnsi="Book Antiqua"/>
          <w:sz w:val="24"/>
          <w:szCs w:val="24"/>
        </w:rPr>
        <w:t xml:space="preserve"> </w:t>
      </w:r>
      <w:r w:rsidRPr="000F7ED9">
        <w:rPr>
          <w:rFonts w:ascii="Book Antiqua" w:hAnsi="Book Antiqua"/>
          <w:sz w:val="24"/>
          <w:szCs w:val="24"/>
        </w:rPr>
        <w:t>management lawyers</w:t>
      </w:r>
      <w:r w:rsidR="00CB4B86" w:rsidRPr="000F7ED9">
        <w:rPr>
          <w:rFonts w:ascii="Book Antiqua" w:hAnsi="Book Antiqua"/>
          <w:sz w:val="24"/>
          <w:szCs w:val="24"/>
        </w:rPr>
        <w:t>:</w:t>
      </w:r>
    </w:p>
    <w:p w14:paraId="47489308" w14:textId="6517DDF4" w:rsidR="00372EDD" w:rsidRPr="000F7ED9" w:rsidRDefault="00CB4B86" w:rsidP="00C54DA2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E: </w:t>
      </w:r>
      <w:hyperlink r:id="rId14" w:history="1">
        <w:r w:rsidRPr="000F7ED9">
          <w:rPr>
            <w:rStyle w:val="Hyperlink"/>
            <w:rFonts w:ascii="Book Antiqua" w:hAnsi="Book Antiqua"/>
            <w:sz w:val="24"/>
            <w:szCs w:val="24"/>
          </w:rPr>
          <w:t>criminal.casemgmt@supcourt.vic.gov.au</w:t>
        </w:r>
      </w:hyperlink>
      <w:r w:rsidRPr="000F7ED9">
        <w:rPr>
          <w:rFonts w:ascii="Book Antiqua" w:hAnsi="Book Antiqua"/>
          <w:sz w:val="24"/>
          <w:szCs w:val="24"/>
        </w:rPr>
        <w:t xml:space="preserve"> </w:t>
      </w:r>
    </w:p>
    <w:p w14:paraId="066BFAD8" w14:textId="4DF0644E" w:rsidR="0083157A" w:rsidRPr="000F7ED9" w:rsidRDefault="00CB4B86" w:rsidP="00C54DA2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0F7ED9">
        <w:rPr>
          <w:rFonts w:ascii="Book Antiqua" w:hAnsi="Book Antiqua"/>
          <w:sz w:val="24"/>
          <w:szCs w:val="24"/>
        </w:rPr>
        <w:t xml:space="preserve">Ph: </w:t>
      </w:r>
      <w:r w:rsidR="00372EDD" w:rsidRPr="000F7ED9">
        <w:rPr>
          <w:rFonts w:ascii="Book Antiqua" w:hAnsi="Book Antiqua"/>
          <w:sz w:val="24"/>
          <w:szCs w:val="24"/>
        </w:rPr>
        <w:t xml:space="preserve">(03) 8600 2059 (Criminal Registry) </w:t>
      </w:r>
    </w:p>
    <w:p w14:paraId="3B32031B" w14:textId="77777777" w:rsidR="00DC24A7" w:rsidRPr="000F7ED9" w:rsidRDefault="00DC24A7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08ADE559" w14:textId="77777777" w:rsidR="003817CD" w:rsidRPr="000F7ED9" w:rsidRDefault="00277B7B" w:rsidP="00F54F52">
      <w:pPr>
        <w:pStyle w:val="Heading1"/>
      </w:pPr>
      <w:r w:rsidRPr="000F7ED9">
        <w:t>AMENDMENT HISTORY</w:t>
      </w:r>
    </w:p>
    <w:p w14:paraId="6045D536" w14:textId="3A0C2F8C" w:rsidR="00AB3FFA" w:rsidRPr="000F7ED9" w:rsidRDefault="000F7ED9" w:rsidP="00CD0331">
      <w:pPr>
        <w:spacing w:before="120" w:after="120"/>
        <w:jc w:val="both"/>
        <w:rPr>
          <w:rFonts w:ascii="Book Antiqua" w:hAnsi="Book Antiqua"/>
        </w:rPr>
      </w:pPr>
      <w:r w:rsidRPr="000F7ED9">
        <w:rPr>
          <w:rFonts w:ascii="Book Antiqua" w:hAnsi="Book Antiqua"/>
        </w:rPr>
        <w:t>2</w:t>
      </w:r>
      <w:r w:rsidR="00984810">
        <w:rPr>
          <w:rFonts w:ascii="Book Antiqua" w:hAnsi="Book Antiqua"/>
        </w:rPr>
        <w:t>9</w:t>
      </w:r>
      <w:r w:rsidRPr="000F7ED9">
        <w:rPr>
          <w:rFonts w:ascii="Book Antiqua" w:hAnsi="Book Antiqua"/>
        </w:rPr>
        <w:t xml:space="preserve"> May 2025:</w:t>
      </w:r>
      <w:r w:rsidR="00277B7B" w:rsidRPr="000F7ED9">
        <w:rPr>
          <w:rFonts w:ascii="Book Antiqua" w:hAnsi="Book Antiqua"/>
        </w:rPr>
        <w:t xml:space="preserve"> This Practice Note was issued on </w:t>
      </w:r>
      <w:r w:rsidRPr="000F7ED9">
        <w:rPr>
          <w:rFonts w:ascii="Book Antiqua" w:hAnsi="Book Antiqua"/>
        </w:rPr>
        <w:t>2</w:t>
      </w:r>
      <w:r w:rsidR="00984810">
        <w:rPr>
          <w:rFonts w:ascii="Book Antiqua" w:hAnsi="Book Antiqua"/>
        </w:rPr>
        <w:t>9</w:t>
      </w:r>
      <w:r w:rsidRPr="000F7ED9">
        <w:rPr>
          <w:rFonts w:ascii="Book Antiqua" w:hAnsi="Book Antiqua"/>
        </w:rPr>
        <w:t xml:space="preserve"> May 2025</w:t>
      </w:r>
      <w:r w:rsidR="00151C9C" w:rsidRPr="000F7ED9">
        <w:rPr>
          <w:rFonts w:ascii="Book Antiqua" w:hAnsi="Book Antiqua"/>
        </w:rPr>
        <w:t xml:space="preserve"> and replaces </w:t>
      </w:r>
      <w:r w:rsidR="00372EDD" w:rsidRPr="000F7ED9">
        <w:rPr>
          <w:rFonts w:ascii="Book Antiqua" w:hAnsi="Book Antiqua"/>
        </w:rPr>
        <w:t>a guide originally published 25 March 2020.</w:t>
      </w:r>
    </w:p>
    <w:p w14:paraId="72116BC7" w14:textId="77777777" w:rsidR="00277B7B" w:rsidRPr="000F7ED9" w:rsidRDefault="00277B7B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2160B877" w14:textId="77777777" w:rsidR="00AB3FFA" w:rsidRPr="000F7ED9" w:rsidRDefault="00AB3FFA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16917AC9" w14:textId="18908010" w:rsidR="00AB3FFA" w:rsidRPr="000F7ED9" w:rsidRDefault="00151C9C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0F7ED9">
        <w:rPr>
          <w:rFonts w:ascii="Book Antiqua" w:hAnsi="Book Antiqua"/>
        </w:rPr>
        <w:t>Viv Mahy</w:t>
      </w:r>
    </w:p>
    <w:p w14:paraId="6620246B" w14:textId="77777777" w:rsidR="00AB3FFA" w:rsidRPr="000F7ED9" w:rsidRDefault="00AB3FFA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0F7ED9">
        <w:rPr>
          <w:rFonts w:ascii="Book Antiqua" w:hAnsi="Book Antiqua"/>
        </w:rPr>
        <w:t>Executive Associate to the Chief Justice</w:t>
      </w:r>
    </w:p>
    <w:p w14:paraId="077D8DB4" w14:textId="61591656" w:rsidR="003639B5" w:rsidRPr="007917BE" w:rsidRDefault="000F7ED9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0F7ED9">
        <w:rPr>
          <w:rFonts w:ascii="Book Antiqua" w:hAnsi="Book Antiqua"/>
        </w:rPr>
        <w:t>2</w:t>
      </w:r>
      <w:r w:rsidR="00984810">
        <w:rPr>
          <w:rFonts w:ascii="Book Antiqua" w:hAnsi="Book Antiqua"/>
        </w:rPr>
        <w:t>9</w:t>
      </w:r>
      <w:r w:rsidRPr="000F7ED9">
        <w:rPr>
          <w:rFonts w:ascii="Book Antiqua" w:hAnsi="Book Antiqua"/>
        </w:rPr>
        <w:t xml:space="preserve"> May 2025</w:t>
      </w:r>
    </w:p>
    <w:sectPr w:rsidR="003639B5" w:rsidRPr="007917BE" w:rsidSect="003817C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1B0C" w14:textId="77777777" w:rsidR="00336D63" w:rsidRDefault="00336D63">
      <w:r>
        <w:separator/>
      </w:r>
    </w:p>
  </w:endnote>
  <w:endnote w:type="continuationSeparator" w:id="0">
    <w:p w14:paraId="0745C473" w14:textId="77777777" w:rsidR="00336D63" w:rsidRDefault="00336D63">
      <w:r>
        <w:continuationSeparator/>
      </w:r>
    </w:p>
  </w:endnote>
  <w:endnote w:type="continuationNotice" w:id="1">
    <w:p w14:paraId="5C49CAFF" w14:textId="77777777" w:rsidR="00336D63" w:rsidRDefault="00336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5C04" w14:textId="30950EB1" w:rsidR="002D6E79" w:rsidRDefault="002D6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7355">
      <w:rPr>
        <w:noProof/>
      </w:rPr>
      <w:t>5</w:t>
    </w:r>
    <w:r>
      <w:rPr>
        <w:noProof/>
      </w:rPr>
      <w:fldChar w:fldCharType="end"/>
    </w:r>
  </w:p>
  <w:p w14:paraId="48D6BFD2" w14:textId="77777777" w:rsidR="002D6E79" w:rsidRDefault="002D6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4489" w14:textId="77777777" w:rsidR="00336D63" w:rsidRDefault="00336D63">
      <w:r>
        <w:separator/>
      </w:r>
    </w:p>
  </w:footnote>
  <w:footnote w:type="continuationSeparator" w:id="0">
    <w:p w14:paraId="1954487C" w14:textId="77777777" w:rsidR="00336D63" w:rsidRDefault="00336D63">
      <w:r>
        <w:continuationSeparator/>
      </w:r>
    </w:p>
  </w:footnote>
  <w:footnote w:type="continuationNotice" w:id="1">
    <w:p w14:paraId="6E54986B" w14:textId="77777777" w:rsidR="00336D63" w:rsidRDefault="00336D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numStyleLink w:val="Style2"/>
  </w:abstractNum>
  <w:abstractNum w:abstractNumId="2" w15:restartNumberingAfterBreak="0">
    <w:nsid w:val="023555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C416B"/>
    <w:multiLevelType w:val="hybridMultilevel"/>
    <w:tmpl w:val="D22A1B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50D7D"/>
    <w:multiLevelType w:val="hybridMultilevel"/>
    <w:tmpl w:val="2A42A3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6128B"/>
    <w:multiLevelType w:val="multilevel"/>
    <w:tmpl w:val="12EA0B2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6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853D9A"/>
    <w:multiLevelType w:val="multilevel"/>
    <w:tmpl w:val="B868DF74"/>
    <w:styleLink w:val="Style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16552"/>
    <w:multiLevelType w:val="multilevel"/>
    <w:tmpl w:val="E1B0A9F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621FFD"/>
    <w:multiLevelType w:val="hybridMultilevel"/>
    <w:tmpl w:val="C24098C4"/>
    <w:lvl w:ilvl="0" w:tplc="A2E6C4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F23C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BD7FAF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C117DD"/>
    <w:multiLevelType w:val="multilevel"/>
    <w:tmpl w:val="C6425528"/>
    <w:styleLink w:val="Style1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FA78F9"/>
    <w:multiLevelType w:val="multilevel"/>
    <w:tmpl w:val="C6425528"/>
    <w:numStyleLink w:val="Style1"/>
  </w:abstractNum>
  <w:abstractNum w:abstractNumId="27" w15:restartNumberingAfterBreak="0">
    <w:nsid w:val="54C6660B"/>
    <w:multiLevelType w:val="multilevel"/>
    <w:tmpl w:val="617C719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8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E0645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5E45C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2054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01358B"/>
    <w:multiLevelType w:val="multilevel"/>
    <w:tmpl w:val="445E3E1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C60DB3"/>
    <w:multiLevelType w:val="multilevel"/>
    <w:tmpl w:val="257ED3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8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F35DE4"/>
    <w:multiLevelType w:val="multilevel"/>
    <w:tmpl w:val="386CD92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6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3B96"/>
    <w:multiLevelType w:val="hybridMultilevel"/>
    <w:tmpl w:val="248C8D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00168D"/>
    <w:multiLevelType w:val="hybridMultilevel"/>
    <w:tmpl w:val="9E0CAAB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3A3050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D37448"/>
    <w:multiLevelType w:val="multilevel"/>
    <w:tmpl w:val="7FDED9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C84AB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4965C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7571317">
    <w:abstractNumId w:val="38"/>
  </w:num>
  <w:num w:numId="2" w16cid:durableId="367678406">
    <w:abstractNumId w:val="14"/>
  </w:num>
  <w:num w:numId="3" w16cid:durableId="2144881107">
    <w:abstractNumId w:val="31"/>
  </w:num>
  <w:num w:numId="4" w16cid:durableId="1826705218">
    <w:abstractNumId w:val="46"/>
  </w:num>
  <w:num w:numId="5" w16cid:durableId="978802071">
    <w:abstractNumId w:val="12"/>
  </w:num>
  <w:num w:numId="6" w16cid:durableId="348457214">
    <w:abstractNumId w:val="35"/>
  </w:num>
  <w:num w:numId="7" w16cid:durableId="1971544534">
    <w:abstractNumId w:val="37"/>
  </w:num>
  <w:num w:numId="8" w16cid:durableId="174077096">
    <w:abstractNumId w:val="23"/>
  </w:num>
  <w:num w:numId="9" w16cid:durableId="1254129260">
    <w:abstractNumId w:val="3"/>
  </w:num>
  <w:num w:numId="10" w16cid:durableId="1973437307">
    <w:abstractNumId w:val="21"/>
  </w:num>
  <w:num w:numId="11" w16cid:durableId="1143695225">
    <w:abstractNumId w:val="30"/>
  </w:num>
  <w:num w:numId="12" w16cid:durableId="1506017955">
    <w:abstractNumId w:val="33"/>
  </w:num>
  <w:num w:numId="13" w16cid:durableId="1802577851">
    <w:abstractNumId w:val="5"/>
  </w:num>
  <w:num w:numId="14" w16cid:durableId="281227479">
    <w:abstractNumId w:val="4"/>
  </w:num>
  <w:num w:numId="15" w16cid:durableId="270942544">
    <w:abstractNumId w:val="15"/>
  </w:num>
  <w:num w:numId="16" w16cid:durableId="1885554372">
    <w:abstractNumId w:val="0"/>
  </w:num>
  <w:num w:numId="17" w16cid:durableId="297996531">
    <w:abstractNumId w:val="13"/>
  </w:num>
  <w:num w:numId="18" w16cid:durableId="236524991">
    <w:abstractNumId w:val="36"/>
  </w:num>
  <w:num w:numId="19" w16cid:durableId="151871443">
    <w:abstractNumId w:val="11"/>
  </w:num>
  <w:num w:numId="20" w16cid:durableId="705065753">
    <w:abstractNumId w:val="6"/>
  </w:num>
  <w:num w:numId="21" w16cid:durableId="1199204259">
    <w:abstractNumId w:val="20"/>
  </w:num>
  <w:num w:numId="22" w16cid:durableId="142239894">
    <w:abstractNumId w:val="19"/>
  </w:num>
  <w:num w:numId="23" w16cid:durableId="1143044520">
    <w:abstractNumId w:val="22"/>
  </w:num>
  <w:num w:numId="24" w16cid:durableId="915670635">
    <w:abstractNumId w:val="1"/>
  </w:num>
  <w:num w:numId="25" w16cid:durableId="383798541">
    <w:abstractNumId w:val="41"/>
  </w:num>
  <w:num w:numId="26" w16cid:durableId="1093090863">
    <w:abstractNumId w:val="7"/>
  </w:num>
  <w:num w:numId="27" w16cid:durableId="1551072705">
    <w:abstractNumId w:val="8"/>
  </w:num>
  <w:num w:numId="28" w16cid:durableId="258805183">
    <w:abstractNumId w:val="17"/>
  </w:num>
  <w:num w:numId="29" w16cid:durableId="943732461">
    <w:abstractNumId w:val="42"/>
  </w:num>
  <w:num w:numId="30" w16cid:durableId="1842544859">
    <w:abstractNumId w:val="24"/>
  </w:num>
  <w:num w:numId="31" w16cid:durableId="1929145112">
    <w:abstractNumId w:val="18"/>
  </w:num>
  <w:num w:numId="32" w16cid:durableId="1808278410">
    <w:abstractNumId w:val="44"/>
  </w:num>
  <w:num w:numId="33" w16cid:durableId="1821923813">
    <w:abstractNumId w:val="43"/>
  </w:num>
  <w:num w:numId="34" w16cid:durableId="1858301069">
    <w:abstractNumId w:val="45"/>
  </w:num>
  <w:num w:numId="35" w16cid:durableId="1366785041">
    <w:abstractNumId w:val="28"/>
  </w:num>
  <w:num w:numId="36" w16cid:durableId="88433782">
    <w:abstractNumId w:val="26"/>
  </w:num>
  <w:num w:numId="37" w16cid:durableId="530997178">
    <w:abstractNumId w:val="25"/>
  </w:num>
  <w:num w:numId="38" w16cid:durableId="1524051149">
    <w:abstractNumId w:val="10"/>
  </w:num>
  <w:num w:numId="39" w16cid:durableId="648049586">
    <w:abstractNumId w:val="47"/>
  </w:num>
  <w:num w:numId="40" w16cid:durableId="1756630216">
    <w:abstractNumId w:val="2"/>
  </w:num>
  <w:num w:numId="41" w16cid:durableId="490679534">
    <w:abstractNumId w:val="32"/>
  </w:num>
  <w:num w:numId="42" w16cid:durableId="145319000">
    <w:abstractNumId w:val="29"/>
  </w:num>
  <w:num w:numId="43" w16cid:durableId="444154248">
    <w:abstractNumId w:val="16"/>
  </w:num>
  <w:num w:numId="44" w16cid:durableId="1298486008">
    <w:abstractNumId w:val="34"/>
  </w:num>
  <w:num w:numId="45" w16cid:durableId="1865361581">
    <w:abstractNumId w:val="40"/>
  </w:num>
  <w:num w:numId="46" w16cid:durableId="655113898">
    <w:abstractNumId w:val="9"/>
  </w:num>
  <w:num w:numId="47" w16cid:durableId="1315527912">
    <w:abstractNumId w:val="39"/>
  </w:num>
  <w:num w:numId="48" w16cid:durableId="20941563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26514"/>
    <w:rsid w:val="000271C4"/>
    <w:rsid w:val="0003116D"/>
    <w:rsid w:val="0003171D"/>
    <w:rsid w:val="0003231E"/>
    <w:rsid w:val="0003306E"/>
    <w:rsid w:val="00034D85"/>
    <w:rsid w:val="00035057"/>
    <w:rsid w:val="00036894"/>
    <w:rsid w:val="00037D26"/>
    <w:rsid w:val="00043448"/>
    <w:rsid w:val="00050950"/>
    <w:rsid w:val="00050D42"/>
    <w:rsid w:val="00055F43"/>
    <w:rsid w:val="000566C3"/>
    <w:rsid w:val="000657F9"/>
    <w:rsid w:val="00066F7B"/>
    <w:rsid w:val="00070CA2"/>
    <w:rsid w:val="00070D66"/>
    <w:rsid w:val="00071A96"/>
    <w:rsid w:val="00071D70"/>
    <w:rsid w:val="00073139"/>
    <w:rsid w:val="00073769"/>
    <w:rsid w:val="00075AB6"/>
    <w:rsid w:val="00077863"/>
    <w:rsid w:val="00081A41"/>
    <w:rsid w:val="00087107"/>
    <w:rsid w:val="00090141"/>
    <w:rsid w:val="00095BA5"/>
    <w:rsid w:val="00096BB3"/>
    <w:rsid w:val="000A1DE7"/>
    <w:rsid w:val="000A31A0"/>
    <w:rsid w:val="000A3A9B"/>
    <w:rsid w:val="000A4F62"/>
    <w:rsid w:val="000A553C"/>
    <w:rsid w:val="000A6B76"/>
    <w:rsid w:val="000A6CFC"/>
    <w:rsid w:val="000B2E54"/>
    <w:rsid w:val="000B5F50"/>
    <w:rsid w:val="000C0998"/>
    <w:rsid w:val="000C1777"/>
    <w:rsid w:val="000C2CE1"/>
    <w:rsid w:val="000C5761"/>
    <w:rsid w:val="000C5F4B"/>
    <w:rsid w:val="000C75E1"/>
    <w:rsid w:val="000D07F1"/>
    <w:rsid w:val="000D3250"/>
    <w:rsid w:val="000D5395"/>
    <w:rsid w:val="000D5E28"/>
    <w:rsid w:val="000D7A64"/>
    <w:rsid w:val="000E12FA"/>
    <w:rsid w:val="000E524A"/>
    <w:rsid w:val="000E5EE8"/>
    <w:rsid w:val="000F1947"/>
    <w:rsid w:val="000F3B18"/>
    <w:rsid w:val="000F3EB3"/>
    <w:rsid w:val="000F40C2"/>
    <w:rsid w:val="000F6EA7"/>
    <w:rsid w:val="000F7ED9"/>
    <w:rsid w:val="00100006"/>
    <w:rsid w:val="00101EC5"/>
    <w:rsid w:val="001033CC"/>
    <w:rsid w:val="00121C72"/>
    <w:rsid w:val="00124E03"/>
    <w:rsid w:val="00125C07"/>
    <w:rsid w:val="00133A51"/>
    <w:rsid w:val="001340D4"/>
    <w:rsid w:val="001344BA"/>
    <w:rsid w:val="00140683"/>
    <w:rsid w:val="001427EB"/>
    <w:rsid w:val="00143136"/>
    <w:rsid w:val="00143818"/>
    <w:rsid w:val="00144DAA"/>
    <w:rsid w:val="00145C92"/>
    <w:rsid w:val="00145D28"/>
    <w:rsid w:val="0014603C"/>
    <w:rsid w:val="0015063E"/>
    <w:rsid w:val="00151922"/>
    <w:rsid w:val="00151C9C"/>
    <w:rsid w:val="00155A8E"/>
    <w:rsid w:val="0015650D"/>
    <w:rsid w:val="0016054E"/>
    <w:rsid w:val="00161B6C"/>
    <w:rsid w:val="00161CA2"/>
    <w:rsid w:val="00161D4C"/>
    <w:rsid w:val="001716EF"/>
    <w:rsid w:val="001803C3"/>
    <w:rsid w:val="0018061B"/>
    <w:rsid w:val="00184274"/>
    <w:rsid w:val="0018555D"/>
    <w:rsid w:val="00186E37"/>
    <w:rsid w:val="001913C5"/>
    <w:rsid w:val="00194089"/>
    <w:rsid w:val="00194217"/>
    <w:rsid w:val="00194A80"/>
    <w:rsid w:val="00197A2E"/>
    <w:rsid w:val="00197CA4"/>
    <w:rsid w:val="001A22B3"/>
    <w:rsid w:val="001A5036"/>
    <w:rsid w:val="001A5B39"/>
    <w:rsid w:val="001A667F"/>
    <w:rsid w:val="001A7012"/>
    <w:rsid w:val="001A7651"/>
    <w:rsid w:val="001B3484"/>
    <w:rsid w:val="001B4283"/>
    <w:rsid w:val="001B7E2C"/>
    <w:rsid w:val="001C116C"/>
    <w:rsid w:val="001C2F4B"/>
    <w:rsid w:val="001D08F1"/>
    <w:rsid w:val="001D64BC"/>
    <w:rsid w:val="001E0318"/>
    <w:rsid w:val="001E2C48"/>
    <w:rsid w:val="001E6FBA"/>
    <w:rsid w:val="001F3638"/>
    <w:rsid w:val="00207367"/>
    <w:rsid w:val="00211050"/>
    <w:rsid w:val="00216DCF"/>
    <w:rsid w:val="00217758"/>
    <w:rsid w:val="00217E88"/>
    <w:rsid w:val="002218C5"/>
    <w:rsid w:val="00222544"/>
    <w:rsid w:val="0022666D"/>
    <w:rsid w:val="00230B2F"/>
    <w:rsid w:val="0023426A"/>
    <w:rsid w:val="00234B7B"/>
    <w:rsid w:val="0023749B"/>
    <w:rsid w:val="00237975"/>
    <w:rsid w:val="00241A4E"/>
    <w:rsid w:val="00245746"/>
    <w:rsid w:val="00247F50"/>
    <w:rsid w:val="00256ACB"/>
    <w:rsid w:val="002572C2"/>
    <w:rsid w:val="0026005D"/>
    <w:rsid w:val="00261B0F"/>
    <w:rsid w:val="00264102"/>
    <w:rsid w:val="00265BF9"/>
    <w:rsid w:val="002668AB"/>
    <w:rsid w:val="00271B59"/>
    <w:rsid w:val="00275A5A"/>
    <w:rsid w:val="00277B7B"/>
    <w:rsid w:val="002802EE"/>
    <w:rsid w:val="002812B7"/>
    <w:rsid w:val="002812ED"/>
    <w:rsid w:val="0028130B"/>
    <w:rsid w:val="00291F12"/>
    <w:rsid w:val="002B0E6E"/>
    <w:rsid w:val="002B1982"/>
    <w:rsid w:val="002B465A"/>
    <w:rsid w:val="002B7165"/>
    <w:rsid w:val="002C1134"/>
    <w:rsid w:val="002C56E8"/>
    <w:rsid w:val="002D0AB0"/>
    <w:rsid w:val="002D0FD3"/>
    <w:rsid w:val="002D23D8"/>
    <w:rsid w:val="002D6E79"/>
    <w:rsid w:val="002E01D7"/>
    <w:rsid w:val="002E0F6B"/>
    <w:rsid w:val="002E6B43"/>
    <w:rsid w:val="002E7FD2"/>
    <w:rsid w:val="002F1BAA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4312"/>
    <w:rsid w:val="003166D1"/>
    <w:rsid w:val="00321C75"/>
    <w:rsid w:val="0032286C"/>
    <w:rsid w:val="00331046"/>
    <w:rsid w:val="00334DD3"/>
    <w:rsid w:val="00336D63"/>
    <w:rsid w:val="00340257"/>
    <w:rsid w:val="0034260E"/>
    <w:rsid w:val="00344A21"/>
    <w:rsid w:val="00346A2A"/>
    <w:rsid w:val="00350055"/>
    <w:rsid w:val="003500B9"/>
    <w:rsid w:val="003508E0"/>
    <w:rsid w:val="003526D0"/>
    <w:rsid w:val="003535A6"/>
    <w:rsid w:val="00353E4C"/>
    <w:rsid w:val="00356593"/>
    <w:rsid w:val="00356969"/>
    <w:rsid w:val="00356D2D"/>
    <w:rsid w:val="00357A0D"/>
    <w:rsid w:val="003612D5"/>
    <w:rsid w:val="003639B5"/>
    <w:rsid w:val="00365D0E"/>
    <w:rsid w:val="003676E0"/>
    <w:rsid w:val="00367AD0"/>
    <w:rsid w:val="00372EDD"/>
    <w:rsid w:val="00373294"/>
    <w:rsid w:val="00377999"/>
    <w:rsid w:val="003817CD"/>
    <w:rsid w:val="00381991"/>
    <w:rsid w:val="00381FDA"/>
    <w:rsid w:val="00382637"/>
    <w:rsid w:val="0038434D"/>
    <w:rsid w:val="00386C9F"/>
    <w:rsid w:val="00387DB3"/>
    <w:rsid w:val="00390751"/>
    <w:rsid w:val="00391CA0"/>
    <w:rsid w:val="003945D8"/>
    <w:rsid w:val="00396EF2"/>
    <w:rsid w:val="00397AAE"/>
    <w:rsid w:val="003A4B6E"/>
    <w:rsid w:val="003A7A5A"/>
    <w:rsid w:val="003A7E6C"/>
    <w:rsid w:val="003B7248"/>
    <w:rsid w:val="003C0190"/>
    <w:rsid w:val="003C07C2"/>
    <w:rsid w:val="003C1BF0"/>
    <w:rsid w:val="003C343E"/>
    <w:rsid w:val="003C3601"/>
    <w:rsid w:val="003C5C64"/>
    <w:rsid w:val="003C62F1"/>
    <w:rsid w:val="003D0A67"/>
    <w:rsid w:val="003D36A3"/>
    <w:rsid w:val="003D672F"/>
    <w:rsid w:val="003E4C44"/>
    <w:rsid w:val="003E53E4"/>
    <w:rsid w:val="003E6152"/>
    <w:rsid w:val="003E66CF"/>
    <w:rsid w:val="003F0513"/>
    <w:rsid w:val="003F0D9C"/>
    <w:rsid w:val="0040410A"/>
    <w:rsid w:val="00404CB0"/>
    <w:rsid w:val="00410401"/>
    <w:rsid w:val="00412FAF"/>
    <w:rsid w:val="00414B77"/>
    <w:rsid w:val="00421241"/>
    <w:rsid w:val="0042138B"/>
    <w:rsid w:val="00425A18"/>
    <w:rsid w:val="004270AB"/>
    <w:rsid w:val="00434BEE"/>
    <w:rsid w:val="004361F0"/>
    <w:rsid w:val="004376A4"/>
    <w:rsid w:val="00441431"/>
    <w:rsid w:val="00451F6E"/>
    <w:rsid w:val="00452057"/>
    <w:rsid w:val="00453A89"/>
    <w:rsid w:val="00454495"/>
    <w:rsid w:val="00454902"/>
    <w:rsid w:val="00455D46"/>
    <w:rsid w:val="00456739"/>
    <w:rsid w:val="00461361"/>
    <w:rsid w:val="00471414"/>
    <w:rsid w:val="00472802"/>
    <w:rsid w:val="004749DB"/>
    <w:rsid w:val="00474F94"/>
    <w:rsid w:val="004753A3"/>
    <w:rsid w:val="00475437"/>
    <w:rsid w:val="00481F29"/>
    <w:rsid w:val="00482EBE"/>
    <w:rsid w:val="004831B7"/>
    <w:rsid w:val="00483F1E"/>
    <w:rsid w:val="00486C95"/>
    <w:rsid w:val="004912F2"/>
    <w:rsid w:val="00492363"/>
    <w:rsid w:val="00493C2B"/>
    <w:rsid w:val="00494220"/>
    <w:rsid w:val="004946BD"/>
    <w:rsid w:val="0049669C"/>
    <w:rsid w:val="00496E62"/>
    <w:rsid w:val="00496F08"/>
    <w:rsid w:val="004A2C44"/>
    <w:rsid w:val="004A5BAB"/>
    <w:rsid w:val="004B116F"/>
    <w:rsid w:val="004B1AC7"/>
    <w:rsid w:val="004B2A72"/>
    <w:rsid w:val="004B4458"/>
    <w:rsid w:val="004B5756"/>
    <w:rsid w:val="004B6410"/>
    <w:rsid w:val="004B6E9A"/>
    <w:rsid w:val="004C1FFA"/>
    <w:rsid w:val="004C29B1"/>
    <w:rsid w:val="004D07F1"/>
    <w:rsid w:val="004D1112"/>
    <w:rsid w:val="004D2141"/>
    <w:rsid w:val="004D3E36"/>
    <w:rsid w:val="004D4B9A"/>
    <w:rsid w:val="004E1038"/>
    <w:rsid w:val="004E1052"/>
    <w:rsid w:val="004E10CA"/>
    <w:rsid w:val="004E284B"/>
    <w:rsid w:val="004E65D1"/>
    <w:rsid w:val="004F4DD8"/>
    <w:rsid w:val="004F61E8"/>
    <w:rsid w:val="004F7E81"/>
    <w:rsid w:val="0050429E"/>
    <w:rsid w:val="00506B52"/>
    <w:rsid w:val="00512025"/>
    <w:rsid w:val="005123B0"/>
    <w:rsid w:val="005158D2"/>
    <w:rsid w:val="005173D2"/>
    <w:rsid w:val="00517F14"/>
    <w:rsid w:val="005278A1"/>
    <w:rsid w:val="005310B9"/>
    <w:rsid w:val="00540E14"/>
    <w:rsid w:val="00541EAB"/>
    <w:rsid w:val="00542C86"/>
    <w:rsid w:val="00547600"/>
    <w:rsid w:val="00550871"/>
    <w:rsid w:val="00550C50"/>
    <w:rsid w:val="005534A5"/>
    <w:rsid w:val="00553534"/>
    <w:rsid w:val="00554A65"/>
    <w:rsid w:val="0055503D"/>
    <w:rsid w:val="00560A73"/>
    <w:rsid w:val="00561105"/>
    <w:rsid w:val="0056389E"/>
    <w:rsid w:val="00565B62"/>
    <w:rsid w:val="00565F6C"/>
    <w:rsid w:val="005674D2"/>
    <w:rsid w:val="00571E15"/>
    <w:rsid w:val="005734DA"/>
    <w:rsid w:val="00575849"/>
    <w:rsid w:val="005825BE"/>
    <w:rsid w:val="00582DAF"/>
    <w:rsid w:val="00593530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1130"/>
    <w:rsid w:val="005D3383"/>
    <w:rsid w:val="005E04B4"/>
    <w:rsid w:val="005E08CA"/>
    <w:rsid w:val="005E294D"/>
    <w:rsid w:val="005E3BB5"/>
    <w:rsid w:val="005E5273"/>
    <w:rsid w:val="005E704A"/>
    <w:rsid w:val="005E7DFD"/>
    <w:rsid w:val="005F02B1"/>
    <w:rsid w:val="005F067C"/>
    <w:rsid w:val="005F564F"/>
    <w:rsid w:val="00601C78"/>
    <w:rsid w:val="00607861"/>
    <w:rsid w:val="00607B05"/>
    <w:rsid w:val="006124C3"/>
    <w:rsid w:val="006135A6"/>
    <w:rsid w:val="00613FA8"/>
    <w:rsid w:val="00620D68"/>
    <w:rsid w:val="00623D51"/>
    <w:rsid w:val="00625C50"/>
    <w:rsid w:val="0062755D"/>
    <w:rsid w:val="00634832"/>
    <w:rsid w:val="00635413"/>
    <w:rsid w:val="00636D64"/>
    <w:rsid w:val="00637EE8"/>
    <w:rsid w:val="0064057F"/>
    <w:rsid w:val="0064143C"/>
    <w:rsid w:val="00644B26"/>
    <w:rsid w:val="00650D7B"/>
    <w:rsid w:val="006513DD"/>
    <w:rsid w:val="00655347"/>
    <w:rsid w:val="006613C4"/>
    <w:rsid w:val="0066494E"/>
    <w:rsid w:val="00665EDD"/>
    <w:rsid w:val="00666E4A"/>
    <w:rsid w:val="00666F54"/>
    <w:rsid w:val="006676CA"/>
    <w:rsid w:val="006710C3"/>
    <w:rsid w:val="00674DF3"/>
    <w:rsid w:val="006763E3"/>
    <w:rsid w:val="00676B57"/>
    <w:rsid w:val="00676CE9"/>
    <w:rsid w:val="0067716A"/>
    <w:rsid w:val="0068364B"/>
    <w:rsid w:val="00686402"/>
    <w:rsid w:val="0069029C"/>
    <w:rsid w:val="00691BC6"/>
    <w:rsid w:val="006921D0"/>
    <w:rsid w:val="00695864"/>
    <w:rsid w:val="0069710A"/>
    <w:rsid w:val="006A25AB"/>
    <w:rsid w:val="006A29AF"/>
    <w:rsid w:val="006A34BA"/>
    <w:rsid w:val="006A386D"/>
    <w:rsid w:val="006A4CCD"/>
    <w:rsid w:val="006A5DA3"/>
    <w:rsid w:val="006A739F"/>
    <w:rsid w:val="006A74CE"/>
    <w:rsid w:val="006B6D97"/>
    <w:rsid w:val="006B7D85"/>
    <w:rsid w:val="006C550C"/>
    <w:rsid w:val="006C55DA"/>
    <w:rsid w:val="006D0F84"/>
    <w:rsid w:val="006D1A77"/>
    <w:rsid w:val="006E6E2F"/>
    <w:rsid w:val="006F0255"/>
    <w:rsid w:val="006F0430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24E"/>
    <w:rsid w:val="00715F27"/>
    <w:rsid w:val="0071797E"/>
    <w:rsid w:val="00720BE1"/>
    <w:rsid w:val="00722648"/>
    <w:rsid w:val="00722C5D"/>
    <w:rsid w:val="00724250"/>
    <w:rsid w:val="007258CD"/>
    <w:rsid w:val="00737442"/>
    <w:rsid w:val="00741D9B"/>
    <w:rsid w:val="007453B3"/>
    <w:rsid w:val="00746CB2"/>
    <w:rsid w:val="0074724C"/>
    <w:rsid w:val="00750944"/>
    <w:rsid w:val="007513AE"/>
    <w:rsid w:val="0075230A"/>
    <w:rsid w:val="00752628"/>
    <w:rsid w:val="00753A2F"/>
    <w:rsid w:val="00755325"/>
    <w:rsid w:val="00756FE4"/>
    <w:rsid w:val="00757C27"/>
    <w:rsid w:val="007602AF"/>
    <w:rsid w:val="00767B98"/>
    <w:rsid w:val="00767E01"/>
    <w:rsid w:val="00771C95"/>
    <w:rsid w:val="0077374B"/>
    <w:rsid w:val="0077444B"/>
    <w:rsid w:val="00780A47"/>
    <w:rsid w:val="00780F23"/>
    <w:rsid w:val="00784717"/>
    <w:rsid w:val="007910A8"/>
    <w:rsid w:val="007917BE"/>
    <w:rsid w:val="007951CA"/>
    <w:rsid w:val="00796A91"/>
    <w:rsid w:val="00796E2E"/>
    <w:rsid w:val="007A0780"/>
    <w:rsid w:val="007A1449"/>
    <w:rsid w:val="007A1D8C"/>
    <w:rsid w:val="007B1869"/>
    <w:rsid w:val="007B3902"/>
    <w:rsid w:val="007B3F76"/>
    <w:rsid w:val="007C0A8F"/>
    <w:rsid w:val="007C6118"/>
    <w:rsid w:val="007C657A"/>
    <w:rsid w:val="007C7D90"/>
    <w:rsid w:val="007D0506"/>
    <w:rsid w:val="007D1D95"/>
    <w:rsid w:val="007D42ED"/>
    <w:rsid w:val="007E24CA"/>
    <w:rsid w:val="007E2608"/>
    <w:rsid w:val="007E5564"/>
    <w:rsid w:val="007F1253"/>
    <w:rsid w:val="007F7938"/>
    <w:rsid w:val="007F7C28"/>
    <w:rsid w:val="007F7F97"/>
    <w:rsid w:val="00802FC4"/>
    <w:rsid w:val="00804B57"/>
    <w:rsid w:val="008119D2"/>
    <w:rsid w:val="008127B0"/>
    <w:rsid w:val="008132BD"/>
    <w:rsid w:val="008221A0"/>
    <w:rsid w:val="00823AB4"/>
    <w:rsid w:val="0082465E"/>
    <w:rsid w:val="0082476F"/>
    <w:rsid w:val="0083157A"/>
    <w:rsid w:val="00831C35"/>
    <w:rsid w:val="00831D0F"/>
    <w:rsid w:val="00833403"/>
    <w:rsid w:val="00834079"/>
    <w:rsid w:val="00834D1B"/>
    <w:rsid w:val="00835C7C"/>
    <w:rsid w:val="00836099"/>
    <w:rsid w:val="008429C5"/>
    <w:rsid w:val="008434C3"/>
    <w:rsid w:val="00843503"/>
    <w:rsid w:val="008445D3"/>
    <w:rsid w:val="00845000"/>
    <w:rsid w:val="00845023"/>
    <w:rsid w:val="00850A46"/>
    <w:rsid w:val="008515EE"/>
    <w:rsid w:val="00854FD4"/>
    <w:rsid w:val="0086055D"/>
    <w:rsid w:val="00872BAD"/>
    <w:rsid w:val="00880069"/>
    <w:rsid w:val="0088136E"/>
    <w:rsid w:val="008846D6"/>
    <w:rsid w:val="00887D33"/>
    <w:rsid w:val="00892D21"/>
    <w:rsid w:val="00892FF7"/>
    <w:rsid w:val="008942F1"/>
    <w:rsid w:val="008A4768"/>
    <w:rsid w:val="008A636D"/>
    <w:rsid w:val="008B0EC2"/>
    <w:rsid w:val="008B1575"/>
    <w:rsid w:val="008B2632"/>
    <w:rsid w:val="008B3490"/>
    <w:rsid w:val="008B47EA"/>
    <w:rsid w:val="008B4F7D"/>
    <w:rsid w:val="008C027C"/>
    <w:rsid w:val="008C41FA"/>
    <w:rsid w:val="008C6448"/>
    <w:rsid w:val="008D1E91"/>
    <w:rsid w:val="008D6EBF"/>
    <w:rsid w:val="008E2F41"/>
    <w:rsid w:val="008F6719"/>
    <w:rsid w:val="0091164B"/>
    <w:rsid w:val="00913D94"/>
    <w:rsid w:val="00916516"/>
    <w:rsid w:val="0092369B"/>
    <w:rsid w:val="009251C5"/>
    <w:rsid w:val="00934959"/>
    <w:rsid w:val="009349A2"/>
    <w:rsid w:val="00940734"/>
    <w:rsid w:val="00940F1D"/>
    <w:rsid w:val="00940F44"/>
    <w:rsid w:val="00941002"/>
    <w:rsid w:val="00945AFD"/>
    <w:rsid w:val="00947689"/>
    <w:rsid w:val="0095377B"/>
    <w:rsid w:val="00955CBF"/>
    <w:rsid w:val="009579B5"/>
    <w:rsid w:val="0096128D"/>
    <w:rsid w:val="00963A32"/>
    <w:rsid w:val="00970632"/>
    <w:rsid w:val="00971150"/>
    <w:rsid w:val="00975561"/>
    <w:rsid w:val="0098076E"/>
    <w:rsid w:val="00984810"/>
    <w:rsid w:val="00984A84"/>
    <w:rsid w:val="00987FD8"/>
    <w:rsid w:val="00990B3C"/>
    <w:rsid w:val="00993D8D"/>
    <w:rsid w:val="009956C6"/>
    <w:rsid w:val="00996710"/>
    <w:rsid w:val="00996F81"/>
    <w:rsid w:val="00997863"/>
    <w:rsid w:val="009A01FE"/>
    <w:rsid w:val="009A16DD"/>
    <w:rsid w:val="009A45B0"/>
    <w:rsid w:val="009A48FE"/>
    <w:rsid w:val="009B1B66"/>
    <w:rsid w:val="009B2788"/>
    <w:rsid w:val="009B3159"/>
    <w:rsid w:val="009B56F3"/>
    <w:rsid w:val="009B57C8"/>
    <w:rsid w:val="009B7708"/>
    <w:rsid w:val="009C3906"/>
    <w:rsid w:val="009C393F"/>
    <w:rsid w:val="009C6988"/>
    <w:rsid w:val="009C6B44"/>
    <w:rsid w:val="009D13D2"/>
    <w:rsid w:val="009D1753"/>
    <w:rsid w:val="009D2D47"/>
    <w:rsid w:val="009E07C8"/>
    <w:rsid w:val="009E19D2"/>
    <w:rsid w:val="009E4836"/>
    <w:rsid w:val="009E4C0D"/>
    <w:rsid w:val="009E5E09"/>
    <w:rsid w:val="009E714C"/>
    <w:rsid w:val="009F27F0"/>
    <w:rsid w:val="009F587A"/>
    <w:rsid w:val="009F7355"/>
    <w:rsid w:val="009F7C7A"/>
    <w:rsid w:val="00A02D5F"/>
    <w:rsid w:val="00A03CC1"/>
    <w:rsid w:val="00A04BF1"/>
    <w:rsid w:val="00A13D3C"/>
    <w:rsid w:val="00A14317"/>
    <w:rsid w:val="00A16095"/>
    <w:rsid w:val="00A1734D"/>
    <w:rsid w:val="00A222B3"/>
    <w:rsid w:val="00A26150"/>
    <w:rsid w:val="00A32EE1"/>
    <w:rsid w:val="00A33C4B"/>
    <w:rsid w:val="00A34F3C"/>
    <w:rsid w:val="00A421F7"/>
    <w:rsid w:val="00A4259B"/>
    <w:rsid w:val="00A563A4"/>
    <w:rsid w:val="00A57023"/>
    <w:rsid w:val="00A60364"/>
    <w:rsid w:val="00A63A60"/>
    <w:rsid w:val="00A64EE1"/>
    <w:rsid w:val="00A67FC3"/>
    <w:rsid w:val="00A715A8"/>
    <w:rsid w:val="00A7773B"/>
    <w:rsid w:val="00A7779A"/>
    <w:rsid w:val="00A86757"/>
    <w:rsid w:val="00A91F29"/>
    <w:rsid w:val="00A9278B"/>
    <w:rsid w:val="00A937DF"/>
    <w:rsid w:val="00AA0705"/>
    <w:rsid w:val="00AA1164"/>
    <w:rsid w:val="00AA1568"/>
    <w:rsid w:val="00AA1A45"/>
    <w:rsid w:val="00AA1BA4"/>
    <w:rsid w:val="00AA5A1E"/>
    <w:rsid w:val="00AB0464"/>
    <w:rsid w:val="00AB1CA9"/>
    <w:rsid w:val="00AB3FFA"/>
    <w:rsid w:val="00AB61BD"/>
    <w:rsid w:val="00AB6B2D"/>
    <w:rsid w:val="00AB6B88"/>
    <w:rsid w:val="00AC20F6"/>
    <w:rsid w:val="00AC2F4D"/>
    <w:rsid w:val="00AD32C4"/>
    <w:rsid w:val="00AE1F39"/>
    <w:rsid w:val="00AE263C"/>
    <w:rsid w:val="00AE3228"/>
    <w:rsid w:val="00AE3CE5"/>
    <w:rsid w:val="00AE783C"/>
    <w:rsid w:val="00AF29CC"/>
    <w:rsid w:val="00AF4AE1"/>
    <w:rsid w:val="00AF6338"/>
    <w:rsid w:val="00AF72F1"/>
    <w:rsid w:val="00AF7BEA"/>
    <w:rsid w:val="00AF7F41"/>
    <w:rsid w:val="00B0217A"/>
    <w:rsid w:val="00B03FB3"/>
    <w:rsid w:val="00B061DC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B82"/>
    <w:rsid w:val="00B54D68"/>
    <w:rsid w:val="00B55889"/>
    <w:rsid w:val="00B55DDD"/>
    <w:rsid w:val="00B57556"/>
    <w:rsid w:val="00B6220E"/>
    <w:rsid w:val="00B624B9"/>
    <w:rsid w:val="00B6502C"/>
    <w:rsid w:val="00B65F05"/>
    <w:rsid w:val="00B709D9"/>
    <w:rsid w:val="00B72C47"/>
    <w:rsid w:val="00B84551"/>
    <w:rsid w:val="00B86CFD"/>
    <w:rsid w:val="00B91665"/>
    <w:rsid w:val="00B92511"/>
    <w:rsid w:val="00B97019"/>
    <w:rsid w:val="00BA467D"/>
    <w:rsid w:val="00BA4AA3"/>
    <w:rsid w:val="00BA536E"/>
    <w:rsid w:val="00BB025F"/>
    <w:rsid w:val="00BB103A"/>
    <w:rsid w:val="00BB1CFE"/>
    <w:rsid w:val="00BB3539"/>
    <w:rsid w:val="00BB44DE"/>
    <w:rsid w:val="00BB6A06"/>
    <w:rsid w:val="00BB7F3F"/>
    <w:rsid w:val="00BC00FB"/>
    <w:rsid w:val="00BC63FD"/>
    <w:rsid w:val="00BC7826"/>
    <w:rsid w:val="00BD0D77"/>
    <w:rsid w:val="00BD4E3C"/>
    <w:rsid w:val="00BD53FE"/>
    <w:rsid w:val="00BE1071"/>
    <w:rsid w:val="00BE5C36"/>
    <w:rsid w:val="00BE5E45"/>
    <w:rsid w:val="00BE6133"/>
    <w:rsid w:val="00BF054A"/>
    <w:rsid w:val="00BF2411"/>
    <w:rsid w:val="00BF5F87"/>
    <w:rsid w:val="00BF6922"/>
    <w:rsid w:val="00BF6BA3"/>
    <w:rsid w:val="00BF764E"/>
    <w:rsid w:val="00BF7EB5"/>
    <w:rsid w:val="00C02583"/>
    <w:rsid w:val="00C02EEF"/>
    <w:rsid w:val="00C02F5C"/>
    <w:rsid w:val="00C03C6C"/>
    <w:rsid w:val="00C0512F"/>
    <w:rsid w:val="00C11278"/>
    <w:rsid w:val="00C11A69"/>
    <w:rsid w:val="00C12C64"/>
    <w:rsid w:val="00C15B6C"/>
    <w:rsid w:val="00C16227"/>
    <w:rsid w:val="00C16638"/>
    <w:rsid w:val="00C16789"/>
    <w:rsid w:val="00C21817"/>
    <w:rsid w:val="00C25E34"/>
    <w:rsid w:val="00C27E6B"/>
    <w:rsid w:val="00C310B9"/>
    <w:rsid w:val="00C32E39"/>
    <w:rsid w:val="00C342D5"/>
    <w:rsid w:val="00C3791B"/>
    <w:rsid w:val="00C401CD"/>
    <w:rsid w:val="00C4035A"/>
    <w:rsid w:val="00C40AC5"/>
    <w:rsid w:val="00C41952"/>
    <w:rsid w:val="00C42B04"/>
    <w:rsid w:val="00C42D30"/>
    <w:rsid w:val="00C53183"/>
    <w:rsid w:val="00C54DA2"/>
    <w:rsid w:val="00C55128"/>
    <w:rsid w:val="00C56DF5"/>
    <w:rsid w:val="00C570CC"/>
    <w:rsid w:val="00C60BB4"/>
    <w:rsid w:val="00C65F24"/>
    <w:rsid w:val="00C719FC"/>
    <w:rsid w:val="00C80B5E"/>
    <w:rsid w:val="00C862C4"/>
    <w:rsid w:val="00C86603"/>
    <w:rsid w:val="00C92881"/>
    <w:rsid w:val="00C96FB5"/>
    <w:rsid w:val="00C979D7"/>
    <w:rsid w:val="00CA0DDC"/>
    <w:rsid w:val="00CA6C57"/>
    <w:rsid w:val="00CB2437"/>
    <w:rsid w:val="00CB2EDD"/>
    <w:rsid w:val="00CB4B86"/>
    <w:rsid w:val="00CC2810"/>
    <w:rsid w:val="00CC6705"/>
    <w:rsid w:val="00CC70B1"/>
    <w:rsid w:val="00CD0331"/>
    <w:rsid w:val="00CD4B75"/>
    <w:rsid w:val="00CD791D"/>
    <w:rsid w:val="00CE0037"/>
    <w:rsid w:val="00CE4442"/>
    <w:rsid w:val="00CE46FB"/>
    <w:rsid w:val="00CE520C"/>
    <w:rsid w:val="00CF07B3"/>
    <w:rsid w:val="00CF18F8"/>
    <w:rsid w:val="00CF3D4C"/>
    <w:rsid w:val="00CF4218"/>
    <w:rsid w:val="00CF43E8"/>
    <w:rsid w:val="00CF4BEC"/>
    <w:rsid w:val="00CF5F3A"/>
    <w:rsid w:val="00CF6054"/>
    <w:rsid w:val="00CF6947"/>
    <w:rsid w:val="00D005FF"/>
    <w:rsid w:val="00D00C1F"/>
    <w:rsid w:val="00D04058"/>
    <w:rsid w:val="00D04813"/>
    <w:rsid w:val="00D05D93"/>
    <w:rsid w:val="00D16016"/>
    <w:rsid w:val="00D1679C"/>
    <w:rsid w:val="00D2048A"/>
    <w:rsid w:val="00D218A6"/>
    <w:rsid w:val="00D23722"/>
    <w:rsid w:val="00D23C64"/>
    <w:rsid w:val="00D244E3"/>
    <w:rsid w:val="00D25933"/>
    <w:rsid w:val="00D26B29"/>
    <w:rsid w:val="00D3340C"/>
    <w:rsid w:val="00D34F9C"/>
    <w:rsid w:val="00D37B73"/>
    <w:rsid w:val="00D44645"/>
    <w:rsid w:val="00D51EA8"/>
    <w:rsid w:val="00D54B74"/>
    <w:rsid w:val="00D62946"/>
    <w:rsid w:val="00D62C14"/>
    <w:rsid w:val="00D636CD"/>
    <w:rsid w:val="00D66FF2"/>
    <w:rsid w:val="00D716CD"/>
    <w:rsid w:val="00D71E39"/>
    <w:rsid w:val="00D73DB3"/>
    <w:rsid w:val="00D77286"/>
    <w:rsid w:val="00D77D53"/>
    <w:rsid w:val="00D809E3"/>
    <w:rsid w:val="00D80FEA"/>
    <w:rsid w:val="00D85336"/>
    <w:rsid w:val="00D86A6A"/>
    <w:rsid w:val="00D900CE"/>
    <w:rsid w:val="00D961E3"/>
    <w:rsid w:val="00D97628"/>
    <w:rsid w:val="00DA0491"/>
    <w:rsid w:val="00DA1E21"/>
    <w:rsid w:val="00DA284A"/>
    <w:rsid w:val="00DA56E9"/>
    <w:rsid w:val="00DA7430"/>
    <w:rsid w:val="00DB304D"/>
    <w:rsid w:val="00DB54F3"/>
    <w:rsid w:val="00DB6F51"/>
    <w:rsid w:val="00DB7EBE"/>
    <w:rsid w:val="00DC0370"/>
    <w:rsid w:val="00DC0ABE"/>
    <w:rsid w:val="00DC1296"/>
    <w:rsid w:val="00DC1D8A"/>
    <w:rsid w:val="00DC24A7"/>
    <w:rsid w:val="00DC3601"/>
    <w:rsid w:val="00DC3C6F"/>
    <w:rsid w:val="00DC5BE7"/>
    <w:rsid w:val="00DC66BB"/>
    <w:rsid w:val="00DD1823"/>
    <w:rsid w:val="00DE06D4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071A7"/>
    <w:rsid w:val="00E11319"/>
    <w:rsid w:val="00E15CF5"/>
    <w:rsid w:val="00E16169"/>
    <w:rsid w:val="00E17302"/>
    <w:rsid w:val="00E20381"/>
    <w:rsid w:val="00E2055A"/>
    <w:rsid w:val="00E23A7E"/>
    <w:rsid w:val="00E25646"/>
    <w:rsid w:val="00E26D86"/>
    <w:rsid w:val="00E27289"/>
    <w:rsid w:val="00E2776C"/>
    <w:rsid w:val="00E27982"/>
    <w:rsid w:val="00E31343"/>
    <w:rsid w:val="00E47BB0"/>
    <w:rsid w:val="00E52E8C"/>
    <w:rsid w:val="00E54AD4"/>
    <w:rsid w:val="00E61AA5"/>
    <w:rsid w:val="00E62BC4"/>
    <w:rsid w:val="00E66EDC"/>
    <w:rsid w:val="00E74D52"/>
    <w:rsid w:val="00E806C6"/>
    <w:rsid w:val="00E85CBE"/>
    <w:rsid w:val="00E90334"/>
    <w:rsid w:val="00E92054"/>
    <w:rsid w:val="00E92A97"/>
    <w:rsid w:val="00E966E8"/>
    <w:rsid w:val="00EA0DB8"/>
    <w:rsid w:val="00EA141C"/>
    <w:rsid w:val="00EA2EB9"/>
    <w:rsid w:val="00EA6CDF"/>
    <w:rsid w:val="00EC0977"/>
    <w:rsid w:val="00EC4A6A"/>
    <w:rsid w:val="00EC6B3A"/>
    <w:rsid w:val="00ED25C1"/>
    <w:rsid w:val="00ED61FE"/>
    <w:rsid w:val="00ED79BA"/>
    <w:rsid w:val="00EE6009"/>
    <w:rsid w:val="00EF154D"/>
    <w:rsid w:val="00EF1683"/>
    <w:rsid w:val="00EF2F58"/>
    <w:rsid w:val="00EF5C7D"/>
    <w:rsid w:val="00F0009F"/>
    <w:rsid w:val="00F05330"/>
    <w:rsid w:val="00F0621A"/>
    <w:rsid w:val="00F0792B"/>
    <w:rsid w:val="00F07C59"/>
    <w:rsid w:val="00F2412B"/>
    <w:rsid w:val="00F2473D"/>
    <w:rsid w:val="00F24E6E"/>
    <w:rsid w:val="00F25EF5"/>
    <w:rsid w:val="00F33797"/>
    <w:rsid w:val="00F43E4D"/>
    <w:rsid w:val="00F43EC5"/>
    <w:rsid w:val="00F46E20"/>
    <w:rsid w:val="00F521A3"/>
    <w:rsid w:val="00F52A10"/>
    <w:rsid w:val="00F54F52"/>
    <w:rsid w:val="00F630C6"/>
    <w:rsid w:val="00F66463"/>
    <w:rsid w:val="00F67628"/>
    <w:rsid w:val="00F80F7B"/>
    <w:rsid w:val="00F85CC5"/>
    <w:rsid w:val="00F86F72"/>
    <w:rsid w:val="00F91566"/>
    <w:rsid w:val="00FA4F36"/>
    <w:rsid w:val="00FA51CA"/>
    <w:rsid w:val="00FA7259"/>
    <w:rsid w:val="00FA726D"/>
    <w:rsid w:val="00FA7381"/>
    <w:rsid w:val="00FA7B26"/>
    <w:rsid w:val="00FA7F8A"/>
    <w:rsid w:val="00FB43CA"/>
    <w:rsid w:val="00FB60BC"/>
    <w:rsid w:val="00FC0EA9"/>
    <w:rsid w:val="00FC350B"/>
    <w:rsid w:val="00FC4A80"/>
    <w:rsid w:val="00FC697E"/>
    <w:rsid w:val="00FC7E16"/>
    <w:rsid w:val="00FD0B7E"/>
    <w:rsid w:val="00FD2962"/>
    <w:rsid w:val="00FD2DBF"/>
    <w:rsid w:val="00FD3908"/>
    <w:rsid w:val="00FD41F1"/>
    <w:rsid w:val="00FD4655"/>
    <w:rsid w:val="00FD6D10"/>
    <w:rsid w:val="00FD72DE"/>
    <w:rsid w:val="00FD76F7"/>
    <w:rsid w:val="00FE0A54"/>
    <w:rsid w:val="00FE13F6"/>
    <w:rsid w:val="00FE2DE4"/>
    <w:rsid w:val="00FE3DB0"/>
    <w:rsid w:val="00FE744B"/>
    <w:rsid w:val="00FF1CE7"/>
    <w:rsid w:val="00FF1DE7"/>
    <w:rsid w:val="00FF3083"/>
    <w:rsid w:val="00FF32AD"/>
    <w:rsid w:val="00FF49BC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D0EA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F54F52"/>
    <w:pPr>
      <w:widowControl w:val="0"/>
      <w:numPr>
        <w:numId w:val="32"/>
      </w:numPr>
      <w:spacing w:after="240"/>
      <w:ind w:left="720" w:hanging="720"/>
      <w:outlineLvl w:val="0"/>
    </w:pPr>
    <w:rPr>
      <w:b/>
      <w:bCs/>
      <w:kern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F54F52"/>
    <w:rPr>
      <w:b/>
      <w:bCs/>
      <w:kern w:val="32"/>
      <w:sz w:val="24"/>
      <w:szCs w:val="24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  <w:style w:type="paragraph" w:styleId="Revision">
    <w:name w:val="Revision"/>
    <w:hidden/>
    <w:uiPriority w:val="99"/>
    <w:semiHidden/>
    <w:rsid w:val="009A01FE"/>
    <w:rPr>
      <w:sz w:val="24"/>
      <w:szCs w:val="24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B86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161D4C"/>
    <w:pPr>
      <w:numPr>
        <w:numId w:val="37"/>
      </w:numPr>
    </w:pPr>
  </w:style>
  <w:style w:type="numbering" w:customStyle="1" w:styleId="Style2">
    <w:name w:val="Style2"/>
    <w:uiPriority w:val="99"/>
    <w:rsid w:val="00161D4C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riminal.casemgmt@supcourt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84356EB05BA48A782C06D5CE0C944" ma:contentTypeVersion="13" ma:contentTypeDescription="Create a new document." ma:contentTypeScope="" ma:versionID="d452b8243b4b6423d97fa13f4e2ab309">
  <xsd:schema xmlns:xsd="http://www.w3.org/2001/XMLSchema" xmlns:xs="http://www.w3.org/2001/XMLSchema" xmlns:p="http://schemas.microsoft.com/office/2006/metadata/properties" xmlns:ns2="5464e00b-0b32-4156-8404-d5d411511567" xmlns:ns3="c1cf93c2-ef2b-4781-9f58-1c6d5f95bff6" targetNamespace="http://schemas.microsoft.com/office/2006/metadata/properties" ma:root="true" ma:fieldsID="e8dd2f8118a48db466f88d90126da1b5" ns2:_="" ns3:_="">
    <xsd:import namespace="5464e00b-0b32-4156-8404-d5d411511567"/>
    <xsd:import namespace="c1cf93c2-ef2b-4781-9f58-1c6d5f95bff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Completion" minOccurs="0"/>
                <xsd:element ref="ns2:Not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4e00b-0b32-4156-8404-d5d4115115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ion" ma:index="11" nillable="true" ma:displayName="Completion" ma:format="Dropdown" ma:internalName="Completion">
      <xsd:simpleType>
        <xsd:restriction base="dms:Choice">
          <xsd:enumeration value="CJ final"/>
          <xsd:enumeration value="For CJ Review"/>
          <xsd:enumeration value="CJ Amendments please check"/>
          <xsd:enumeration value="Choice 4"/>
        </xsd:restriction>
      </xsd:simpleType>
    </xsd:element>
    <xsd:element name="Notes" ma:index="12" nillable="true" ma:displayName="Notes" ma:description="For anything of note" ma:format="Dropdown" ma:internalName="Notes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f2ef30-a054-4c42-9272-10236ffb8550}" ma:internalName="TaxCatchAll" ma:showField="CatchAllData" ma:web="c1cf93c2-ef2b-4781-9f58-1c6d5f95b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3c2-ef2b-4781-9f58-1c6d5f95bff6" xsi:nil="true"/>
    <lcf76f155ced4ddcb4097134ff3c332f xmlns="5464e00b-0b32-4156-8404-d5d411511567">
      <Terms xmlns="http://schemas.microsoft.com/office/infopath/2007/PartnerControls"/>
    </lcf76f155ced4ddcb4097134ff3c332f>
    <Notes xmlns="5464e00b-0b32-4156-8404-d5d411511567" xsi:nil="true"/>
    <Completion xmlns="5464e00b-0b32-4156-8404-d5d411511567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BC787-482C-4B8B-B65E-46579CA8F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4e00b-0b32-4156-8404-d5d411511567"/>
    <ds:schemaRef ds:uri="c1cf93c2-ef2b-4781-9f58-1c6d5f95b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A5BAD-D8FB-4C33-9A99-458747448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1E014A-69EA-4D3C-929A-0D9E92402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C5FFA-8516-4FEC-A1E4-38241312D513}">
  <ds:schemaRefs>
    <ds:schemaRef ds:uri="http://schemas.microsoft.com/office/2006/metadata/properties"/>
    <ds:schemaRef ds:uri="http://schemas.microsoft.com/office/infopath/2007/PartnerControls"/>
    <ds:schemaRef ds:uri="c1cf93c2-ef2b-4781-9f58-1c6d5f95bff6"/>
    <ds:schemaRef ds:uri="5464e00b-0b32-4156-8404-d5d411511567"/>
  </ds:schemaRefs>
</ds:datastoreItem>
</file>

<file path=customXml/itemProps5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Viv Mahy</cp:lastModifiedBy>
  <cp:revision>6</cp:revision>
  <cp:lastPrinted>2015-02-18T22:34:00Z</cp:lastPrinted>
  <dcterms:created xsi:type="dcterms:W3CDTF">2025-04-15T09:41:00Z</dcterms:created>
  <dcterms:modified xsi:type="dcterms:W3CDTF">2025-05-30T00:16:00Z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0x01010021784356EB05BA48A782C06D5CE0C944</vt:lpwstr>
  </property>
  <property fmtid="{D5CDD505-2E9C-101B-9397-08002B2CF9AE}" pid="4" name="MediaServiceImageTags">
    <vt:lpwstr/>
  </property>
</Properties>
</file>