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874A" w14:textId="01D99793" w:rsidR="00137A1A" w:rsidRDefault="00D20CF7" w:rsidP="00CE674B">
      <w:pPr>
        <w:pStyle w:val="Body"/>
        <w:spacing w:before="120" w:line="276" w:lineRule="auto"/>
        <w:jc w:val="both"/>
      </w:pPr>
      <w:r>
        <w:rPr>
          <w:noProof/>
          <w:lang w:val="en-AU" w:eastAsia="en-AU"/>
        </w:rPr>
        <w:t xml:space="preserve">August </w:t>
      </w:r>
      <w:r w:rsidR="00137A1A">
        <w:rPr>
          <w:noProof/>
          <w:lang w:val="en-AU" w:eastAsia="en-AU"/>
        </w:rPr>
        <w:t>2025</w:t>
      </w:r>
    </w:p>
    <w:p w14:paraId="5EBA05D6" w14:textId="77777777" w:rsidR="00137A1A" w:rsidRPr="00F64C6C" w:rsidRDefault="00137A1A" w:rsidP="00137A1A">
      <w:pPr>
        <w:jc w:val="both"/>
        <w:rPr>
          <w:i/>
          <w:iCs/>
          <w:sz w:val="21"/>
          <w:szCs w:val="21"/>
        </w:rPr>
      </w:pPr>
      <w:r w:rsidRPr="003727E7">
        <w:rPr>
          <w:i/>
          <w:iCs/>
          <w:sz w:val="21"/>
          <w:szCs w:val="21"/>
        </w:rPr>
        <w:t xml:space="preserve">This checklist outlines the kinds of </w:t>
      </w:r>
      <w:r>
        <w:rPr>
          <w:i/>
          <w:iCs/>
          <w:sz w:val="21"/>
          <w:szCs w:val="21"/>
        </w:rPr>
        <w:t>information and material</w:t>
      </w:r>
      <w:r w:rsidRPr="003727E7">
        <w:rPr>
          <w:i/>
          <w:iCs/>
          <w:sz w:val="21"/>
          <w:szCs w:val="21"/>
        </w:rPr>
        <w:t xml:space="preserve"> expected to be included in </w:t>
      </w:r>
      <w:r>
        <w:rPr>
          <w:i/>
          <w:iCs/>
          <w:sz w:val="21"/>
          <w:szCs w:val="21"/>
        </w:rPr>
        <w:t>support of</w:t>
      </w:r>
      <w:r w:rsidRPr="003727E7">
        <w:rPr>
          <w:i/>
          <w:iCs/>
          <w:sz w:val="21"/>
          <w:szCs w:val="21"/>
        </w:rPr>
        <w:t xml:space="preserve"> Supreme Court bail application</w:t>
      </w:r>
      <w:r>
        <w:rPr>
          <w:i/>
          <w:iCs/>
          <w:sz w:val="21"/>
          <w:szCs w:val="21"/>
        </w:rPr>
        <w:t>s</w:t>
      </w:r>
      <w:r w:rsidRPr="003727E7">
        <w:rPr>
          <w:i/>
          <w:iCs/>
          <w:sz w:val="21"/>
          <w:szCs w:val="21"/>
        </w:rPr>
        <w:t>. It has been created</w:t>
      </w:r>
      <w:r>
        <w:rPr>
          <w:i/>
          <w:iCs/>
          <w:sz w:val="21"/>
          <w:szCs w:val="21"/>
        </w:rPr>
        <w:t xml:space="preserve"> to address issues </w:t>
      </w:r>
      <w:r w:rsidRPr="003727E7">
        <w:rPr>
          <w:i/>
          <w:iCs/>
          <w:sz w:val="21"/>
          <w:szCs w:val="21"/>
        </w:rPr>
        <w:t>with inadequate information and supporting evidence</w:t>
      </w:r>
      <w:r>
        <w:rPr>
          <w:i/>
          <w:iCs/>
          <w:sz w:val="21"/>
          <w:szCs w:val="21"/>
        </w:rPr>
        <w:t xml:space="preserve"> in Supreme Court bail applications</w:t>
      </w:r>
      <w:r w:rsidRPr="003727E7">
        <w:rPr>
          <w:i/>
          <w:iCs/>
          <w:sz w:val="21"/>
          <w:szCs w:val="21"/>
        </w:rPr>
        <w:t xml:space="preserve">. The court notes it is the responsibility of the </w:t>
      </w:r>
      <w:r>
        <w:rPr>
          <w:i/>
          <w:iCs/>
          <w:sz w:val="21"/>
          <w:szCs w:val="21"/>
        </w:rPr>
        <w:t>applicant’s solicitor</w:t>
      </w:r>
      <w:r w:rsidRPr="003727E7">
        <w:rPr>
          <w:i/>
          <w:iCs/>
          <w:sz w:val="21"/>
          <w:szCs w:val="21"/>
        </w:rPr>
        <w:t xml:space="preserve"> to gather</w:t>
      </w:r>
      <w:r>
        <w:rPr>
          <w:i/>
          <w:iCs/>
          <w:sz w:val="21"/>
          <w:szCs w:val="21"/>
        </w:rPr>
        <w:t xml:space="preserve"> relevant</w:t>
      </w:r>
      <w:r w:rsidRPr="003727E7">
        <w:rPr>
          <w:i/>
          <w:iCs/>
          <w:sz w:val="21"/>
          <w:szCs w:val="21"/>
        </w:rPr>
        <w:t xml:space="preserve"> material </w:t>
      </w:r>
      <w:r>
        <w:rPr>
          <w:i/>
          <w:iCs/>
          <w:sz w:val="21"/>
          <w:szCs w:val="21"/>
        </w:rPr>
        <w:t>to</w:t>
      </w:r>
      <w:r w:rsidRPr="003727E7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file</w:t>
      </w:r>
      <w:r w:rsidRPr="003727E7">
        <w:rPr>
          <w:i/>
          <w:iCs/>
          <w:sz w:val="21"/>
          <w:szCs w:val="21"/>
        </w:rPr>
        <w:t xml:space="preserve"> in support of any application for bail</w:t>
      </w:r>
      <w:r>
        <w:rPr>
          <w:i/>
          <w:iCs/>
          <w:sz w:val="21"/>
          <w:szCs w:val="21"/>
        </w:rPr>
        <w:t xml:space="preserve"> they intend to make</w:t>
      </w:r>
      <w:r w:rsidRPr="003727E7">
        <w:rPr>
          <w:i/>
          <w:iCs/>
          <w:sz w:val="21"/>
          <w:szCs w:val="21"/>
        </w:rPr>
        <w:t xml:space="preserve">. Applications which are not prepared in accordance with the Practice Note may have listings delayed </w:t>
      </w:r>
      <w:r>
        <w:rPr>
          <w:i/>
          <w:iCs/>
          <w:sz w:val="21"/>
          <w:szCs w:val="21"/>
        </w:rPr>
        <w:t>so that</w:t>
      </w:r>
      <w:r w:rsidRPr="003727E7">
        <w:rPr>
          <w:i/>
          <w:iCs/>
          <w:sz w:val="21"/>
          <w:szCs w:val="21"/>
        </w:rPr>
        <w:t xml:space="preserve"> further material </w:t>
      </w:r>
      <w:r>
        <w:rPr>
          <w:i/>
          <w:iCs/>
          <w:sz w:val="21"/>
          <w:szCs w:val="21"/>
        </w:rPr>
        <w:t>can be</w:t>
      </w:r>
      <w:r w:rsidRPr="003727E7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obtained and </w:t>
      </w:r>
      <w:r w:rsidRPr="003727E7">
        <w:rPr>
          <w:i/>
          <w:iCs/>
          <w:sz w:val="21"/>
          <w:szCs w:val="21"/>
        </w:rPr>
        <w:t>filed.</w:t>
      </w:r>
      <w:r>
        <w:rPr>
          <w:i/>
          <w:iCs/>
          <w:sz w:val="21"/>
          <w:szCs w:val="21"/>
        </w:rPr>
        <w:t xml:space="preserve"> </w:t>
      </w:r>
      <w:r>
        <w:rPr>
          <w:b/>
          <w:bCs/>
          <w:i/>
          <w:iCs/>
          <w:sz w:val="21"/>
          <w:szCs w:val="21"/>
        </w:rPr>
        <w:t>Note:</w:t>
      </w:r>
      <w:r>
        <w:rPr>
          <w:i/>
          <w:iCs/>
          <w:sz w:val="21"/>
          <w:szCs w:val="21"/>
        </w:rPr>
        <w:t xml:space="preserve"> it is not necessary to add to, remove from, or make comments on the checklist items. Please review the checklist and complete the acknowledgement at the end before filing on </w:t>
      </w:r>
      <w:proofErr w:type="spellStart"/>
      <w:r>
        <w:rPr>
          <w:i/>
          <w:iCs/>
          <w:sz w:val="21"/>
          <w:szCs w:val="21"/>
        </w:rPr>
        <w:t>RedCrest</w:t>
      </w:r>
      <w:proofErr w:type="spellEnd"/>
      <w:r>
        <w:rPr>
          <w:i/>
          <w:iCs/>
          <w:sz w:val="21"/>
          <w:szCs w:val="21"/>
        </w:rPr>
        <w:t>.</w:t>
      </w:r>
    </w:p>
    <w:p w14:paraId="217EC86C" w14:textId="77777777" w:rsidR="00137A1A" w:rsidRPr="00E155EA" w:rsidRDefault="00137A1A" w:rsidP="00137A1A">
      <w:pPr>
        <w:jc w:val="both"/>
        <w:rPr>
          <w:i/>
          <w:iCs/>
          <w:sz w:val="21"/>
          <w:szCs w:val="21"/>
        </w:rPr>
      </w:pPr>
    </w:p>
    <w:p w14:paraId="17DB9D5F" w14:textId="77777777" w:rsidR="00137A1A" w:rsidRPr="00E155EA" w:rsidRDefault="00137A1A" w:rsidP="00137A1A">
      <w:pPr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Remand date stated</w:t>
      </w:r>
    </w:p>
    <w:p w14:paraId="5F30F996" w14:textId="77777777" w:rsidR="00137A1A" w:rsidRPr="00E155EA" w:rsidRDefault="00137A1A" w:rsidP="00137A1A">
      <w:pPr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Stated if the applicant is in custody for the first time</w:t>
      </w:r>
    </w:p>
    <w:p w14:paraId="74E3D28B" w14:textId="77777777" w:rsidR="00137A1A" w:rsidRPr="00E155EA" w:rsidRDefault="00137A1A" w:rsidP="00137A1A">
      <w:pPr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Next listing dates, nature of next listing dates, and court locations stated and accurate for all remand and outstanding bail or summons matters</w:t>
      </w:r>
    </w:p>
    <w:p w14:paraId="631123A4" w14:textId="77777777" w:rsidR="00137A1A" w:rsidRPr="00E155EA" w:rsidRDefault="00137A1A" w:rsidP="00137A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If there are co-accused and parity is relied upon, the relevant information that is relied on to support parity is outlined (e.g. co-accused bail/remand status, criminal history, role in allegations, personal circumstances relevant to bail)</w:t>
      </w:r>
    </w:p>
    <w:p w14:paraId="2391423E" w14:textId="77777777" w:rsidR="00137A1A" w:rsidRPr="00E155EA" w:rsidRDefault="00137A1A" w:rsidP="00137A1A">
      <w:pPr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Any proposed accommodation outlined</w:t>
      </w:r>
    </w:p>
    <w:p w14:paraId="16A6FB13" w14:textId="77777777" w:rsidR="00137A1A" w:rsidRPr="00E155EA" w:rsidRDefault="00137A1A" w:rsidP="00137A1A">
      <w:pPr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Proposed bail conditions outlined</w:t>
      </w:r>
    </w:p>
    <w:p w14:paraId="1EFAC45F" w14:textId="77777777" w:rsidR="00137A1A" w:rsidRPr="00E155EA" w:rsidRDefault="00137A1A" w:rsidP="00137A1A">
      <w:pPr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Special vulnerabilities outlined and current supporting material provided</w:t>
      </w:r>
    </w:p>
    <w:p w14:paraId="154C3A65" w14:textId="77777777" w:rsidR="00137A1A" w:rsidRPr="00E155EA" w:rsidRDefault="00137A1A" w:rsidP="00137A1A">
      <w:pPr>
        <w:numPr>
          <w:ilvl w:val="1"/>
          <w:numId w:val="1"/>
        </w:numPr>
        <w:spacing w:after="160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First Nations</w:t>
      </w:r>
    </w:p>
    <w:p w14:paraId="2868EBEA" w14:textId="77777777" w:rsidR="00137A1A" w:rsidRPr="00E155EA" w:rsidRDefault="00137A1A" w:rsidP="00137A1A">
      <w:pPr>
        <w:numPr>
          <w:ilvl w:val="1"/>
          <w:numId w:val="1"/>
        </w:numPr>
        <w:spacing w:after="160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Child or young adult/youth</w:t>
      </w:r>
    </w:p>
    <w:p w14:paraId="5C2F44D3" w14:textId="77777777" w:rsidR="00137A1A" w:rsidRPr="00E155EA" w:rsidRDefault="00137A1A" w:rsidP="00137A1A">
      <w:pPr>
        <w:numPr>
          <w:ilvl w:val="1"/>
          <w:numId w:val="1"/>
        </w:numPr>
        <w:spacing w:after="160"/>
        <w:jc w:val="both"/>
        <w:rPr>
          <w:sz w:val="21"/>
          <w:szCs w:val="21"/>
        </w:rPr>
      </w:pPr>
      <w:r w:rsidRPr="00E155EA">
        <w:rPr>
          <w:sz w:val="21"/>
          <w:szCs w:val="21"/>
        </w:rPr>
        <w:t xml:space="preserve">Elderly </w:t>
      </w:r>
    </w:p>
    <w:p w14:paraId="1C70442C" w14:textId="77777777" w:rsidR="00137A1A" w:rsidRPr="00E155EA" w:rsidRDefault="00137A1A" w:rsidP="00137A1A">
      <w:pPr>
        <w:numPr>
          <w:ilvl w:val="1"/>
          <w:numId w:val="1"/>
        </w:numPr>
        <w:spacing w:after="160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Disability</w:t>
      </w:r>
    </w:p>
    <w:p w14:paraId="19F40695" w14:textId="77777777" w:rsidR="00137A1A" w:rsidRPr="00E155EA" w:rsidRDefault="00137A1A" w:rsidP="00137A1A">
      <w:pPr>
        <w:numPr>
          <w:ilvl w:val="1"/>
          <w:numId w:val="1"/>
        </w:numPr>
        <w:spacing w:after="160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Mental health condition</w:t>
      </w:r>
    </w:p>
    <w:p w14:paraId="41AD3741" w14:textId="77777777" w:rsidR="00137A1A" w:rsidRPr="00E155EA" w:rsidRDefault="00137A1A" w:rsidP="00137A1A">
      <w:pPr>
        <w:numPr>
          <w:ilvl w:val="1"/>
          <w:numId w:val="1"/>
        </w:numPr>
        <w:spacing w:after="160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Physical health condition</w:t>
      </w:r>
    </w:p>
    <w:p w14:paraId="2D2D8A23" w14:textId="77777777" w:rsidR="00137A1A" w:rsidRPr="00E155EA" w:rsidRDefault="00137A1A" w:rsidP="00137A1A">
      <w:pPr>
        <w:numPr>
          <w:ilvl w:val="1"/>
          <w:numId w:val="1"/>
        </w:numPr>
        <w:spacing w:after="160"/>
        <w:jc w:val="both"/>
        <w:rPr>
          <w:sz w:val="21"/>
          <w:szCs w:val="21"/>
        </w:rPr>
      </w:pPr>
      <w:r w:rsidRPr="00E155EA">
        <w:rPr>
          <w:sz w:val="21"/>
          <w:szCs w:val="21"/>
        </w:rPr>
        <w:t xml:space="preserve">Other </w:t>
      </w:r>
    </w:p>
    <w:p w14:paraId="47192C2B" w14:textId="77777777" w:rsidR="00137A1A" w:rsidRPr="00E155EA" w:rsidRDefault="00137A1A" w:rsidP="00137A1A">
      <w:pPr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 xml:space="preserve">Treatment or support services outlined and current supporting material provided or arranged </w:t>
      </w:r>
      <w:r w:rsidRPr="00D20CF7">
        <w:rPr>
          <w:sz w:val="21"/>
          <w:szCs w:val="21"/>
        </w:rPr>
        <w:t>(</w:t>
      </w:r>
      <w:r w:rsidRPr="00D20CF7">
        <w:rPr>
          <w:b/>
          <w:bCs/>
          <w:i/>
          <w:iCs/>
          <w:sz w:val="21"/>
          <w:szCs w:val="21"/>
        </w:rPr>
        <w:t>Note:</w:t>
      </w:r>
      <w:r w:rsidRPr="00D20CF7">
        <w:rPr>
          <w:i/>
          <w:iCs/>
          <w:sz w:val="21"/>
          <w:szCs w:val="21"/>
        </w:rPr>
        <w:t xml:space="preserve"> it is expected that appropriate support services are considered by applicants when preparing Supreme Court bail applications to ensure any proposal includes sufficient supports.)</w:t>
      </w:r>
    </w:p>
    <w:p w14:paraId="2BC04417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CISP</w:t>
      </w:r>
    </w:p>
    <w:p w14:paraId="0A00F15D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First Nations referral</w:t>
      </w:r>
    </w:p>
    <w:p w14:paraId="61382971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Youth Justice report</w:t>
      </w:r>
    </w:p>
    <w:p w14:paraId="429AB7C8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Disability support services</w:t>
      </w:r>
    </w:p>
    <w:p w14:paraId="4489446E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Mental health support services</w:t>
      </w:r>
    </w:p>
    <w:p w14:paraId="61130275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lastRenderedPageBreak/>
        <w:t>AOD support services</w:t>
      </w:r>
    </w:p>
    <w:p w14:paraId="31521BD2" w14:textId="77777777" w:rsidR="00137A1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Housing support services</w:t>
      </w:r>
    </w:p>
    <w:p w14:paraId="07F4E0BD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Other</w:t>
      </w:r>
    </w:p>
    <w:p w14:paraId="585E57E6" w14:textId="77777777" w:rsidR="00137A1A" w:rsidRPr="00E155EA" w:rsidRDefault="00137A1A" w:rsidP="00137A1A">
      <w:pPr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The following are exhibited to the affidavit in support:</w:t>
      </w:r>
    </w:p>
    <w:p w14:paraId="365EF6F6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Charges and summaries for all matters (remand and outstanding bail and summons)</w:t>
      </w:r>
    </w:p>
    <w:p w14:paraId="7434FE20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Relevant lower court bail orders (bail refusals and bail revocations)</w:t>
      </w:r>
    </w:p>
    <w:p w14:paraId="30060BC2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Relevant bail orders and/or undertakings for bail matters</w:t>
      </w:r>
    </w:p>
    <w:p w14:paraId="72FDEE4F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 xml:space="preserve">Family violence intervention orders </w:t>
      </w:r>
    </w:p>
    <w:p w14:paraId="12AC4EED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 xml:space="preserve">Personal safety intervention orders </w:t>
      </w:r>
    </w:p>
    <w:p w14:paraId="775CA83F" w14:textId="77777777" w:rsidR="00137A1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 xml:space="preserve">Criminal history </w:t>
      </w:r>
    </w:p>
    <w:p w14:paraId="38AF6409" w14:textId="77777777" w:rsidR="00137A1A" w:rsidRPr="00D20CF7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D20CF7">
        <w:rPr>
          <w:sz w:val="21"/>
          <w:szCs w:val="21"/>
        </w:rPr>
        <w:t>Sentence/remand history or indent report</w:t>
      </w:r>
    </w:p>
    <w:p w14:paraId="3B9D7D85" w14:textId="77777777" w:rsidR="00137A1A" w:rsidRPr="00E155EA" w:rsidRDefault="00137A1A" w:rsidP="00137A1A">
      <w:pPr>
        <w:numPr>
          <w:ilvl w:val="0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If a bail guarantee is relied on:</w:t>
      </w:r>
    </w:p>
    <w:p w14:paraId="23E51F66" w14:textId="77777777" w:rsidR="00137A1A" w:rsidRPr="00E155EA" w:rsidRDefault="00137A1A" w:rsidP="00137A1A">
      <w:pPr>
        <w:numPr>
          <w:ilvl w:val="1"/>
          <w:numId w:val="1"/>
        </w:numPr>
        <w:spacing w:after="160" w:line="259" w:lineRule="auto"/>
        <w:jc w:val="both"/>
        <w:rPr>
          <w:sz w:val="21"/>
          <w:szCs w:val="21"/>
        </w:rPr>
      </w:pPr>
      <w:r w:rsidRPr="00E155EA">
        <w:rPr>
          <w:sz w:val="21"/>
          <w:szCs w:val="21"/>
        </w:rPr>
        <w:t>Details of the proposed bail guarantee (including amount and form) and bail guarantor (including relationship to the applicant) stated in filed materials or communicated to the Criminal Registry</w:t>
      </w:r>
    </w:p>
    <w:p w14:paraId="27F25BDB" w14:textId="77777777" w:rsidR="00137A1A" w:rsidRPr="005A4E5A" w:rsidRDefault="00137A1A" w:rsidP="00137A1A">
      <w:pPr>
        <w:pStyle w:val="Heading1"/>
        <w:jc w:val="both"/>
      </w:pPr>
      <w:r>
        <w:t>Acknowledgement</w:t>
      </w:r>
    </w:p>
    <w:p w14:paraId="17BAA532" w14:textId="77777777" w:rsidR="00137A1A" w:rsidRPr="00A5304D" w:rsidRDefault="00137A1A" w:rsidP="00137A1A">
      <w:pPr>
        <w:jc w:val="both"/>
        <w:rPr>
          <w:b/>
          <w:bCs/>
          <w:szCs w:val="22"/>
        </w:rPr>
      </w:pPr>
      <w:r w:rsidRPr="00A5304D">
        <w:rPr>
          <w:b/>
          <w:bCs/>
          <w:szCs w:val="22"/>
        </w:rPr>
        <w:t xml:space="preserve">Proceeding name: </w:t>
      </w:r>
    </w:p>
    <w:p w14:paraId="6E603153" w14:textId="77777777" w:rsidR="00137A1A" w:rsidRPr="00A5304D" w:rsidRDefault="00137A1A" w:rsidP="00137A1A">
      <w:pPr>
        <w:jc w:val="both"/>
        <w:rPr>
          <w:b/>
          <w:bCs/>
          <w:szCs w:val="22"/>
        </w:rPr>
      </w:pPr>
      <w:r w:rsidRPr="00A5304D">
        <w:rPr>
          <w:b/>
          <w:bCs/>
          <w:szCs w:val="22"/>
        </w:rPr>
        <w:t>Proceeding number:</w:t>
      </w:r>
    </w:p>
    <w:p w14:paraId="7B5125E6" w14:textId="77777777" w:rsidR="00137A1A" w:rsidRDefault="00137A1A" w:rsidP="00137A1A">
      <w:pPr>
        <w:jc w:val="both"/>
      </w:pPr>
    </w:p>
    <w:p w14:paraId="7327E65B" w14:textId="77777777" w:rsidR="00137A1A" w:rsidRDefault="00137A1A" w:rsidP="00137A1A">
      <w:pPr>
        <w:jc w:val="both"/>
        <w:rPr>
          <w:b/>
          <w:bCs/>
        </w:rPr>
      </w:pPr>
      <w:r w:rsidRPr="008E16A2">
        <w:rPr>
          <w:b/>
          <w:bCs/>
        </w:rPr>
        <w:t xml:space="preserve">I have had regard to this checklist and confirm that </w:t>
      </w:r>
    </w:p>
    <w:p w14:paraId="5CBD305C" w14:textId="77777777" w:rsidR="00137A1A" w:rsidRDefault="00137A1A" w:rsidP="00137A1A">
      <w:pPr>
        <w:jc w:val="both"/>
        <w:rPr>
          <w:b/>
          <w:bCs/>
        </w:rPr>
      </w:pPr>
    </w:p>
    <w:p w14:paraId="60F52AA3" w14:textId="77777777" w:rsidR="00137A1A" w:rsidRPr="008E16A2" w:rsidRDefault="00137A1A" w:rsidP="00137A1A">
      <w:pPr>
        <w:jc w:val="both"/>
        <w:rPr>
          <w:b/>
          <w:bCs/>
        </w:rPr>
      </w:pPr>
      <w:r w:rsidRPr="00141057">
        <w:rPr>
          <w:b/>
          <w:bCs/>
          <w:i/>
          <w:iCs/>
        </w:rPr>
        <w:t>[</w:t>
      </w:r>
      <w:r w:rsidRPr="00A5304D">
        <w:rPr>
          <w:b/>
          <w:bCs/>
          <w:i/>
          <w:iCs/>
          <w:highlight w:val="yellow"/>
        </w:rPr>
        <w:t>delete the inapplicable bullet point</w:t>
      </w:r>
      <w:r>
        <w:rPr>
          <w:b/>
          <w:bCs/>
          <w:i/>
          <w:iCs/>
        </w:rPr>
        <w:t>]</w:t>
      </w:r>
    </w:p>
    <w:p w14:paraId="38719AAA" w14:textId="77777777" w:rsidR="00137A1A" w:rsidRPr="00D76A78" w:rsidRDefault="00137A1A" w:rsidP="00137A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/>
          <w:bCs/>
        </w:rPr>
      </w:pPr>
      <w:r w:rsidRPr="00D76A78">
        <w:rPr>
          <w:b/>
          <w:bCs/>
        </w:rPr>
        <w:t xml:space="preserve">all matters outlined above (as applicable to my client’s application) are included in the filed material </w:t>
      </w:r>
      <w:r>
        <w:rPr>
          <w:b/>
          <w:bCs/>
        </w:rPr>
        <w:t xml:space="preserve">for this application </w:t>
      </w:r>
      <w:r w:rsidRPr="00A5304D">
        <w:rPr>
          <w:b/>
          <w:bCs/>
          <w:i/>
          <w:iCs/>
          <w:highlight w:val="yellow"/>
        </w:rPr>
        <w:t>or</w:t>
      </w:r>
    </w:p>
    <w:p w14:paraId="7947315D" w14:textId="77777777" w:rsidR="00137A1A" w:rsidRPr="00D76A78" w:rsidRDefault="00137A1A" w:rsidP="00137A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/>
          <w:bCs/>
        </w:rPr>
      </w:pPr>
      <w:r w:rsidRPr="00D76A78">
        <w:rPr>
          <w:b/>
          <w:bCs/>
        </w:rPr>
        <w:t xml:space="preserve">I intend to file a supplementary affidavit in support to </w:t>
      </w:r>
      <w:r>
        <w:rPr>
          <w:b/>
          <w:bCs/>
        </w:rPr>
        <w:t xml:space="preserve">address </w:t>
      </w:r>
      <w:r w:rsidRPr="00D76A78">
        <w:rPr>
          <w:b/>
          <w:bCs/>
        </w:rPr>
        <w:t>outstanding matters within 2 business days</w:t>
      </w:r>
      <w:r>
        <w:rPr>
          <w:b/>
          <w:bCs/>
        </w:rPr>
        <w:t>,</w:t>
      </w:r>
      <w:r w:rsidRPr="00D76A78">
        <w:rPr>
          <w:b/>
          <w:bCs/>
        </w:rPr>
        <w:t xml:space="preserve"> unless a longer period is </w:t>
      </w:r>
      <w:r>
        <w:rPr>
          <w:b/>
          <w:bCs/>
        </w:rPr>
        <w:t xml:space="preserve">set </w:t>
      </w:r>
      <w:r w:rsidRPr="00D76A78">
        <w:rPr>
          <w:b/>
          <w:bCs/>
        </w:rPr>
        <w:t xml:space="preserve">by the Criminal Registry </w:t>
      </w:r>
    </w:p>
    <w:p w14:paraId="3B3DB32C" w14:textId="77777777" w:rsidR="00137A1A" w:rsidRDefault="00137A1A" w:rsidP="00137A1A">
      <w:pPr>
        <w:jc w:val="both"/>
        <w:rPr>
          <w:b/>
          <w:bCs/>
        </w:rPr>
      </w:pPr>
    </w:p>
    <w:p w14:paraId="490F7886" w14:textId="77777777" w:rsidR="00137A1A" w:rsidRDefault="00137A1A" w:rsidP="00137A1A">
      <w:pPr>
        <w:jc w:val="both"/>
        <w:rPr>
          <w:b/>
          <w:bCs/>
        </w:rPr>
      </w:pPr>
      <w:r>
        <w:rPr>
          <w:b/>
          <w:bCs/>
        </w:rPr>
        <w:t>Name of solicitor:</w:t>
      </w:r>
    </w:p>
    <w:p w14:paraId="718F88D7" w14:textId="77777777" w:rsidR="00137A1A" w:rsidRPr="00141057" w:rsidRDefault="00137A1A" w:rsidP="00137A1A">
      <w:pPr>
        <w:jc w:val="both"/>
        <w:rPr>
          <w:b/>
          <w:bCs/>
        </w:rPr>
      </w:pPr>
      <w:r>
        <w:rPr>
          <w:b/>
          <w:bCs/>
        </w:rPr>
        <w:t>Date:</w:t>
      </w:r>
    </w:p>
    <w:p w14:paraId="007366E6" w14:textId="77777777" w:rsidR="00137A1A" w:rsidRDefault="00137A1A"/>
    <w:sectPr w:rsidR="00137A1A" w:rsidSect="00F86757">
      <w:headerReference w:type="default" r:id="rId7"/>
      <w:footerReference w:type="default" r:id="rId8"/>
      <w:footerReference w:type="first" r:id="rId9"/>
      <w:pgSz w:w="11906" w:h="16838"/>
      <w:pgMar w:top="29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D6A7" w14:textId="77777777" w:rsidR="00D20CF7" w:rsidRDefault="00D20CF7">
      <w:r>
        <w:separator/>
      </w:r>
    </w:p>
  </w:endnote>
  <w:endnote w:type="continuationSeparator" w:id="0">
    <w:p w14:paraId="083C08A9" w14:textId="77777777" w:rsidR="00D20CF7" w:rsidRDefault="00D2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5764" w14:textId="2A68BB28" w:rsidR="001A6A7A" w:rsidRPr="0094257B" w:rsidRDefault="00D20CF7" w:rsidP="003A0621">
    <w:pPr>
      <w:pStyle w:val="Footer"/>
      <w:tabs>
        <w:tab w:val="clear" w:pos="4320"/>
        <w:tab w:val="clear" w:pos="8640"/>
        <w:tab w:val="right" w:pos="9072"/>
        <w:tab w:val="right" w:pos="9639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406029F5" wp14:editId="44366B47">
              <wp:simplePos x="0" y="0"/>
              <wp:positionH relativeFrom="page">
                <wp:posOffset>349250</wp:posOffset>
              </wp:positionH>
              <wp:positionV relativeFrom="page">
                <wp:posOffset>9901555</wp:posOffset>
              </wp:positionV>
              <wp:extent cx="6858000" cy="0"/>
              <wp:effectExtent l="6350" t="14605" r="12700" b="13970"/>
              <wp:wrapTight wrapText="bothSides">
                <wp:wrapPolygon edited="0">
                  <wp:start x="2" y="-2147483648"/>
                  <wp:lineTo x="722" y="-2147483648"/>
                  <wp:lineTo x="722" y="-2147483648"/>
                  <wp:lineTo x="2" y="-2147483648"/>
                  <wp:lineTo x="2" y="-2147483648"/>
                </wp:wrapPolygon>
              </wp:wrapTight>
              <wp:docPr id="125703496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0773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779.65pt" to="567.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>
      <w:t>Supreme Court of Victoria – Bail application checklist</w:t>
    </w:r>
    <w:r w:rsidRPr="0094257B">
      <w:tab/>
    </w:r>
    <w:r w:rsidRPr="0094257B">
      <w:rPr>
        <w:rStyle w:val="PageNumber"/>
      </w:rPr>
      <w:fldChar w:fldCharType="begin"/>
    </w:r>
    <w:r w:rsidRPr="0094257B">
      <w:rPr>
        <w:rStyle w:val="PageNumber"/>
      </w:rPr>
      <w:instrText xml:space="preserve"> PAGE </w:instrText>
    </w:r>
    <w:r w:rsidRPr="0094257B">
      <w:rPr>
        <w:rStyle w:val="PageNumber"/>
      </w:rPr>
      <w:fldChar w:fldCharType="separate"/>
    </w:r>
    <w:r>
      <w:rPr>
        <w:rStyle w:val="PageNumber"/>
        <w:noProof/>
      </w:rPr>
      <w:t>1</w:t>
    </w:r>
    <w:r w:rsidRPr="0094257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635F" w14:textId="77777777" w:rsidR="001A6A7A" w:rsidRDefault="00D20CF7" w:rsidP="00C77769">
    <w:pPr>
      <w:pStyle w:val="Footer"/>
      <w:tabs>
        <w:tab w:val="clear" w:pos="4320"/>
        <w:tab w:val="clear" w:pos="8640"/>
        <w:tab w:val="right" w:pos="9639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274E1C3B" wp14:editId="7A9DCD03">
              <wp:simplePos x="0" y="0"/>
              <wp:positionH relativeFrom="page">
                <wp:align>center</wp:align>
              </wp:positionH>
              <wp:positionV relativeFrom="page">
                <wp:posOffset>10009505</wp:posOffset>
              </wp:positionV>
              <wp:extent cx="6858000" cy="0"/>
              <wp:effectExtent l="12700" t="15240" r="15875" b="13335"/>
              <wp:wrapTight wrapText="bothSides">
                <wp:wrapPolygon edited="0">
                  <wp:start x="0" y="-2147483648"/>
                  <wp:lineTo x="0" y="-2147483648"/>
                  <wp:lineTo x="722" y="-2147483648"/>
                  <wp:lineTo x="722" y="-2147483648"/>
                  <wp:lineTo x="0" y="-2147483648"/>
                </wp:wrapPolygon>
              </wp:wrapTight>
              <wp:docPr id="184761641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5E0B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15pt" to="540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Pr="00056DE6">
      <w:tab/>
    </w:r>
    <w:r w:rsidRPr="00056DE6">
      <w:t>Supreme Court Victoria</w:t>
    </w:r>
    <w:r>
      <w:tab/>
    </w:r>
    <w:r w:rsidRPr="00D65C7F">
      <w:rPr>
        <w:rStyle w:val="PageNumber"/>
      </w:rPr>
      <w:fldChar w:fldCharType="begin"/>
    </w:r>
    <w:r w:rsidRPr="00D65C7F">
      <w:rPr>
        <w:rStyle w:val="PageNumber"/>
      </w:rPr>
      <w:instrText xml:space="preserve"> PAGE </w:instrText>
    </w:r>
    <w:r w:rsidRPr="00D65C7F">
      <w:rPr>
        <w:rStyle w:val="PageNumber"/>
      </w:rPr>
      <w:fldChar w:fldCharType="separate"/>
    </w:r>
    <w:r>
      <w:rPr>
        <w:rStyle w:val="PageNumber"/>
        <w:noProof/>
      </w:rPr>
      <w:t>1</w:t>
    </w:r>
    <w:r w:rsidRPr="00D65C7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52020" w14:textId="77777777" w:rsidR="00D20CF7" w:rsidRDefault="00D20CF7">
      <w:r>
        <w:separator/>
      </w:r>
    </w:p>
  </w:footnote>
  <w:footnote w:type="continuationSeparator" w:id="0">
    <w:p w14:paraId="17E49F13" w14:textId="77777777" w:rsidR="00D20CF7" w:rsidRDefault="00D2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89FB" w14:textId="6F38FA07" w:rsidR="001A6A7A" w:rsidRPr="00FD17FB" w:rsidRDefault="00D20CF7" w:rsidP="00A5304D">
    <w:pPr>
      <w:pStyle w:val="FactsheetTitle"/>
      <w:spacing w:line="276" w:lineRule="auto"/>
    </w:pPr>
    <w:r>
      <w:t xml:space="preserve">Supreme Court of Victoria </w:t>
    </w:r>
    <w:r>
      <w:br/>
      <w:t>B</w:t>
    </w:r>
    <w:r>
      <w:t xml:space="preserve">ail </w:t>
    </w:r>
    <w:r>
      <w:t>application checklist</w:t>
    </w:r>
  </w:p>
  <w:p w14:paraId="46972EFC" w14:textId="77777777" w:rsidR="001A6A7A" w:rsidRDefault="00D20CF7">
    <w:r>
      <w:rPr>
        <w:noProof/>
        <w:lang w:eastAsia="en-AU"/>
      </w:rPr>
      <w:drawing>
        <wp:anchor distT="0" distB="0" distL="114300" distR="114300" simplePos="0" relativeHeight="251656704" behindDoc="1" locked="1" layoutInCell="1" allowOverlap="0" wp14:anchorId="5C81229C" wp14:editId="6119946F">
          <wp:simplePos x="0" y="0"/>
          <wp:positionH relativeFrom="page">
            <wp:align>center</wp:align>
          </wp:positionH>
          <wp:positionV relativeFrom="page">
            <wp:posOffset>297815</wp:posOffset>
          </wp:positionV>
          <wp:extent cx="6845300" cy="1435100"/>
          <wp:effectExtent l="0" t="0" r="0" b="0"/>
          <wp:wrapNone/>
          <wp:docPr id="6477262" name="Picture 6477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D3028"/>
    <w:multiLevelType w:val="multilevel"/>
    <w:tmpl w:val="3258D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9D6D51"/>
    <w:multiLevelType w:val="hybridMultilevel"/>
    <w:tmpl w:val="39782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10557">
    <w:abstractNumId w:val="0"/>
  </w:num>
  <w:num w:numId="2" w16cid:durableId="193574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1A"/>
    <w:rsid w:val="00137A1A"/>
    <w:rsid w:val="001A6A7A"/>
    <w:rsid w:val="006A1EBD"/>
    <w:rsid w:val="00B8582A"/>
    <w:rsid w:val="00CE674B"/>
    <w:rsid w:val="00D20CF7"/>
    <w:rsid w:val="00F86757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4B03"/>
  <w15:chartTrackingRefBased/>
  <w15:docId w15:val="{378DACF8-1BE5-4D88-AE04-751C5F89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A1A"/>
    <w:pPr>
      <w:spacing w:after="0" w:line="240" w:lineRule="auto"/>
    </w:pPr>
    <w:rPr>
      <w:rFonts w:ascii="Arial" w:eastAsia="Cambria" w:hAnsi="Arial" w:cs="Times New Roman"/>
      <w:color w:val="404040"/>
      <w:kern w:val="0"/>
      <w:sz w:val="22"/>
      <w14:ligatures w14:val="none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137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A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A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A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A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basedOn w:val="DefaultParagraphFont"/>
    <w:link w:val="Heading1"/>
    <w:rsid w:val="00137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A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A1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137A1A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styleId="Footer">
    <w:name w:val="footer"/>
    <w:basedOn w:val="Normal"/>
    <w:link w:val="FooterChar"/>
    <w:semiHidden/>
    <w:rsid w:val="00137A1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137A1A"/>
    <w:rPr>
      <w:rFonts w:ascii="Arial" w:eastAsia="Cambria" w:hAnsi="Arial" w:cs="Times New Roman"/>
      <w:color w:val="404040"/>
      <w:kern w:val="0"/>
      <w:sz w:val="20"/>
      <w14:ligatures w14:val="none"/>
    </w:rPr>
  </w:style>
  <w:style w:type="paragraph" w:customStyle="1" w:styleId="FactsheetTitle">
    <w:name w:val="Factsheet Title"/>
    <w:basedOn w:val="Normal"/>
    <w:rsid w:val="00137A1A"/>
    <w:pPr>
      <w:outlineLvl w:val="0"/>
    </w:pPr>
    <w:rPr>
      <w:noProof/>
      <w:color w:val="981E32"/>
      <w:sz w:val="44"/>
      <w:lang w:val="en-US"/>
    </w:rPr>
  </w:style>
  <w:style w:type="character" w:styleId="PageNumber">
    <w:name w:val="page number"/>
    <w:rsid w:val="00137A1A"/>
    <w:rPr>
      <w:rFonts w:ascii="Arial" w:hAnsi="Arial" w:cs="Times New Roman"/>
      <w:color w:val="404040"/>
      <w:sz w:val="20"/>
    </w:rPr>
  </w:style>
  <w:style w:type="paragraph" w:styleId="Header">
    <w:name w:val="header"/>
    <w:basedOn w:val="Normal"/>
    <w:link w:val="HeaderChar"/>
    <w:uiPriority w:val="99"/>
    <w:unhideWhenUsed/>
    <w:rsid w:val="00D20C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CF7"/>
    <w:rPr>
      <w:rFonts w:ascii="Arial" w:eastAsia="Cambria" w:hAnsi="Arial" w:cs="Times New Roman"/>
      <w:color w:val="404040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4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 Bain</dc:creator>
  <cp:keywords/>
  <dc:description/>
  <cp:lastModifiedBy>Dannielle McKinnon</cp:lastModifiedBy>
  <cp:revision>2</cp:revision>
  <dcterms:created xsi:type="dcterms:W3CDTF">2025-08-18T22:57:00Z</dcterms:created>
  <dcterms:modified xsi:type="dcterms:W3CDTF">2025-08-18T22:57:00Z</dcterms:modified>
</cp:coreProperties>
</file>