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6325" w14:textId="77777777" w:rsidR="00D85336" w:rsidRPr="00771C95" w:rsidRDefault="00CD0331" w:rsidP="00CD0331">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F758B34" wp14:editId="00FB05C7">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94414" w14:textId="77777777" w:rsidR="00D85336" w:rsidRPr="00771C95" w:rsidRDefault="00D85336" w:rsidP="00CD0331">
      <w:pPr>
        <w:autoSpaceDE w:val="0"/>
        <w:autoSpaceDN w:val="0"/>
        <w:adjustRightInd w:val="0"/>
        <w:spacing w:before="120" w:after="120"/>
        <w:jc w:val="center"/>
        <w:rPr>
          <w:b/>
          <w:bCs/>
          <w:color w:val="000000"/>
        </w:rPr>
      </w:pPr>
    </w:p>
    <w:p w14:paraId="0C85919B" w14:textId="77777777" w:rsidR="00D85336" w:rsidRPr="00771C95" w:rsidRDefault="00D85336" w:rsidP="00CD0331">
      <w:pPr>
        <w:autoSpaceDE w:val="0"/>
        <w:autoSpaceDN w:val="0"/>
        <w:adjustRightInd w:val="0"/>
        <w:spacing w:before="120" w:after="120"/>
        <w:jc w:val="center"/>
        <w:rPr>
          <w:b/>
          <w:bCs/>
          <w:color w:val="000000"/>
        </w:rPr>
      </w:pPr>
    </w:p>
    <w:p w14:paraId="7B2F8EB8" w14:textId="77777777"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6A831783" w14:textId="77777777" w:rsidR="00271B59" w:rsidRPr="007917BE" w:rsidRDefault="003817CD" w:rsidP="00CD0331">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4229E15E" w14:textId="77777777" w:rsidR="00271B59" w:rsidRPr="007917BE" w:rsidRDefault="00271B59" w:rsidP="00CD0331">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747C5F">
        <w:rPr>
          <w:rFonts w:ascii="Book Antiqua" w:hAnsi="Book Antiqua"/>
          <w:b/>
          <w:color w:val="000000"/>
          <w:sz w:val="28"/>
        </w:rPr>
        <w:t>SC</w:t>
      </w:r>
      <w:r w:rsidR="00325AC6">
        <w:rPr>
          <w:rFonts w:ascii="Book Antiqua" w:hAnsi="Book Antiqua"/>
          <w:b/>
          <w:color w:val="000000"/>
          <w:sz w:val="28"/>
        </w:rPr>
        <w:t xml:space="preserve"> Gen 6</w:t>
      </w:r>
    </w:p>
    <w:p w14:paraId="5BB7B8C0" w14:textId="77777777" w:rsidR="00271B59" w:rsidRDefault="00443A6B" w:rsidP="00CD0331">
      <w:pPr>
        <w:autoSpaceDE w:val="0"/>
        <w:autoSpaceDN w:val="0"/>
        <w:adjustRightInd w:val="0"/>
        <w:spacing w:before="120" w:after="120"/>
        <w:jc w:val="center"/>
        <w:rPr>
          <w:rFonts w:ascii="Book Antiqua" w:hAnsi="Book Antiqua"/>
          <w:b/>
          <w:color w:val="000000"/>
          <w:sz w:val="28"/>
        </w:rPr>
      </w:pPr>
      <w:r>
        <w:rPr>
          <w:rFonts w:ascii="Book Antiqua" w:hAnsi="Book Antiqua"/>
          <w:b/>
          <w:color w:val="000000"/>
          <w:sz w:val="28"/>
        </w:rPr>
        <w:t>Judicial Mediation Guidelines</w:t>
      </w:r>
    </w:p>
    <w:p w14:paraId="32378347" w14:textId="77777777" w:rsidR="00CD0331" w:rsidRPr="007917BE" w:rsidRDefault="00CD0331" w:rsidP="00CD0331">
      <w:pPr>
        <w:autoSpaceDE w:val="0"/>
        <w:autoSpaceDN w:val="0"/>
        <w:adjustRightInd w:val="0"/>
        <w:spacing w:before="120" w:after="120"/>
        <w:jc w:val="center"/>
        <w:rPr>
          <w:rFonts w:ascii="Book Antiqua" w:hAnsi="Book Antiqua"/>
          <w:b/>
          <w:color w:val="000000"/>
          <w:sz w:val="28"/>
        </w:rPr>
      </w:pPr>
    </w:p>
    <w:p w14:paraId="16B4195B" w14:textId="77777777" w:rsidR="008515EE" w:rsidRPr="007917BE" w:rsidRDefault="00C02583" w:rsidP="00CD0331">
      <w:pPr>
        <w:pStyle w:val="Heading1"/>
        <w:spacing w:before="120" w:after="120"/>
        <w:rPr>
          <w:rFonts w:ascii="Book Antiqua" w:hAnsi="Book Antiqua"/>
          <w:szCs w:val="24"/>
        </w:rPr>
      </w:pPr>
      <w:r w:rsidRPr="007917BE">
        <w:rPr>
          <w:rFonts w:ascii="Book Antiqua" w:hAnsi="Book Antiqua"/>
          <w:szCs w:val="24"/>
        </w:rPr>
        <w:t>INTRODUCTION</w:t>
      </w:r>
    </w:p>
    <w:p w14:paraId="163D7461" w14:textId="0218C562" w:rsidR="00B72C47" w:rsidRDefault="00B72C47" w:rsidP="00F03565">
      <w:pPr>
        <w:pStyle w:val="ListParagraph"/>
        <w:numPr>
          <w:ilvl w:val="1"/>
          <w:numId w:val="23"/>
        </w:numPr>
        <w:spacing w:before="120" w:after="120"/>
        <w:jc w:val="both"/>
        <w:rPr>
          <w:rFonts w:ascii="Book Antiqua" w:hAnsi="Book Antiqua"/>
          <w:sz w:val="24"/>
          <w:szCs w:val="24"/>
        </w:rPr>
      </w:pPr>
      <w:r w:rsidRPr="007917BE">
        <w:rPr>
          <w:rFonts w:ascii="Book Antiqua" w:hAnsi="Book Antiqua"/>
          <w:sz w:val="24"/>
          <w:szCs w:val="24"/>
        </w:rPr>
        <w:t xml:space="preserve">The Chief Justice has </w:t>
      </w:r>
      <w:r w:rsidR="008445D3">
        <w:rPr>
          <w:rFonts w:ascii="Book Antiqua" w:hAnsi="Book Antiqua"/>
          <w:sz w:val="24"/>
          <w:szCs w:val="24"/>
        </w:rPr>
        <w:t>authorised</w:t>
      </w:r>
      <w:r w:rsidRPr="007917BE">
        <w:rPr>
          <w:rFonts w:ascii="Book Antiqua" w:hAnsi="Book Antiqua"/>
          <w:sz w:val="24"/>
          <w:szCs w:val="24"/>
        </w:rPr>
        <w:t xml:space="preserve"> the </w:t>
      </w:r>
      <w:r w:rsidR="008445D3">
        <w:rPr>
          <w:rFonts w:ascii="Book Antiqua" w:hAnsi="Book Antiqua"/>
          <w:sz w:val="24"/>
          <w:szCs w:val="24"/>
        </w:rPr>
        <w:t>issue</w:t>
      </w:r>
      <w:r w:rsidRPr="007917BE">
        <w:rPr>
          <w:rFonts w:ascii="Book Antiqua" w:hAnsi="Book Antiqua"/>
          <w:sz w:val="24"/>
          <w:szCs w:val="24"/>
        </w:rPr>
        <w:t xml:space="preserve"> of the following Practice Note.</w:t>
      </w:r>
    </w:p>
    <w:p w14:paraId="4EA6692E" w14:textId="577418F0" w:rsidR="00B72C47" w:rsidRPr="00443A6B" w:rsidRDefault="00992FAF" w:rsidP="00F03565">
      <w:pPr>
        <w:pStyle w:val="ListParagraph"/>
        <w:numPr>
          <w:ilvl w:val="1"/>
          <w:numId w:val="23"/>
        </w:numPr>
        <w:spacing w:before="120" w:after="120"/>
        <w:jc w:val="both"/>
        <w:rPr>
          <w:rFonts w:ascii="Book Antiqua" w:hAnsi="Book Antiqua"/>
          <w:sz w:val="24"/>
          <w:szCs w:val="24"/>
        </w:rPr>
      </w:pPr>
      <w:r>
        <w:rPr>
          <w:rFonts w:ascii="Book Antiqua" w:hAnsi="Book Antiqua"/>
          <w:sz w:val="24"/>
          <w:szCs w:val="24"/>
        </w:rPr>
        <w:t>The purpose of this Practice N</w:t>
      </w:r>
      <w:r w:rsidR="00443A6B" w:rsidRPr="00443A6B">
        <w:rPr>
          <w:rFonts w:ascii="Book Antiqua" w:hAnsi="Book Antiqua"/>
          <w:sz w:val="24"/>
          <w:szCs w:val="24"/>
        </w:rPr>
        <w:t xml:space="preserve">ote is to set out the guidelines for the referral of </w:t>
      </w:r>
      <w:r w:rsidR="0085295F">
        <w:rPr>
          <w:rFonts w:ascii="Book Antiqua" w:hAnsi="Book Antiqua"/>
          <w:sz w:val="24"/>
          <w:szCs w:val="24"/>
        </w:rPr>
        <w:t>civil proceedings</w:t>
      </w:r>
      <w:r w:rsidR="00443A6B" w:rsidRPr="00443A6B">
        <w:rPr>
          <w:rFonts w:ascii="Book Antiqua" w:hAnsi="Book Antiqua"/>
          <w:sz w:val="24"/>
          <w:szCs w:val="24"/>
        </w:rPr>
        <w:t xml:space="preserve"> to judicial mediation</w:t>
      </w:r>
      <w:r w:rsidR="00443A6B">
        <w:rPr>
          <w:rFonts w:ascii="Book Antiqua" w:hAnsi="Book Antiqua"/>
          <w:sz w:val="24"/>
          <w:szCs w:val="24"/>
        </w:rPr>
        <w:t xml:space="preserve"> </w:t>
      </w:r>
      <w:r w:rsidR="00443A6B" w:rsidRPr="00443A6B">
        <w:rPr>
          <w:rFonts w:ascii="Book Antiqua" w:hAnsi="Book Antiqua"/>
          <w:sz w:val="24"/>
          <w:szCs w:val="24"/>
        </w:rPr>
        <w:t>and the procedures for the conduct of judicial mediations.</w:t>
      </w:r>
      <w:r w:rsidR="000C6C0C">
        <w:rPr>
          <w:rStyle w:val="FootnoteReference"/>
          <w:rFonts w:ascii="Book Antiqua" w:hAnsi="Book Antiqua"/>
          <w:sz w:val="24"/>
          <w:szCs w:val="24"/>
        </w:rPr>
        <w:footnoteReference w:id="2"/>
      </w:r>
      <w:r w:rsidR="000C6C0C">
        <w:rPr>
          <w:rFonts w:ascii="Book Antiqua" w:hAnsi="Book Antiqua"/>
          <w:sz w:val="24"/>
          <w:szCs w:val="24"/>
        </w:rPr>
        <w:t xml:space="preserve"> </w:t>
      </w:r>
    </w:p>
    <w:p w14:paraId="611DEF89" w14:textId="77777777" w:rsidR="00277B7B" w:rsidRPr="00CD0331" w:rsidRDefault="00277B7B" w:rsidP="00CD0331">
      <w:pPr>
        <w:pStyle w:val="Heading1"/>
        <w:keepNext w:val="0"/>
        <w:widowControl w:val="0"/>
        <w:numPr>
          <w:ilvl w:val="0"/>
          <w:numId w:val="0"/>
        </w:numPr>
        <w:spacing w:before="120" w:after="120"/>
        <w:ind w:left="720"/>
        <w:rPr>
          <w:rFonts w:ascii="Book Antiqua" w:hAnsi="Book Antiqua"/>
          <w:b w:val="0"/>
          <w:szCs w:val="24"/>
        </w:rPr>
      </w:pPr>
    </w:p>
    <w:p w14:paraId="547B5534" w14:textId="77777777" w:rsidR="00277B7B" w:rsidRPr="00277B7B" w:rsidRDefault="00277B7B" w:rsidP="00CD0331">
      <w:pPr>
        <w:pStyle w:val="Heading1"/>
        <w:spacing w:before="120" w:after="120"/>
        <w:rPr>
          <w:rFonts w:ascii="Book Antiqua" w:hAnsi="Book Antiqua"/>
          <w:szCs w:val="24"/>
        </w:rPr>
      </w:pPr>
      <w:r>
        <w:rPr>
          <w:rFonts w:ascii="Book Antiqua" w:hAnsi="Book Antiqua"/>
          <w:szCs w:val="24"/>
        </w:rPr>
        <w:t>COMMENCEMENT</w:t>
      </w:r>
    </w:p>
    <w:p w14:paraId="1A807E17" w14:textId="2F500665" w:rsidR="00FD72DE" w:rsidRPr="00277B7B" w:rsidRDefault="00B72C47" w:rsidP="003321E3">
      <w:pPr>
        <w:pStyle w:val="ListParagraph"/>
        <w:numPr>
          <w:ilvl w:val="1"/>
          <w:numId w:val="24"/>
        </w:numPr>
        <w:spacing w:before="120" w:after="120"/>
        <w:ind w:left="720" w:hanging="720"/>
        <w:jc w:val="both"/>
        <w:rPr>
          <w:rFonts w:ascii="Book Antiqua" w:hAnsi="Book Antiqua"/>
          <w:sz w:val="24"/>
          <w:szCs w:val="24"/>
        </w:rPr>
      </w:pPr>
      <w:r w:rsidRPr="00277B7B">
        <w:rPr>
          <w:rFonts w:ascii="Book Antiqua" w:hAnsi="Book Antiqua"/>
          <w:sz w:val="24"/>
          <w:szCs w:val="24"/>
        </w:rPr>
        <w:t xml:space="preserve">This Practice Note </w:t>
      </w:r>
      <w:r w:rsidR="001F01A1">
        <w:rPr>
          <w:rFonts w:ascii="Book Antiqua" w:hAnsi="Book Antiqua"/>
          <w:sz w:val="24"/>
          <w:szCs w:val="24"/>
        </w:rPr>
        <w:t xml:space="preserve">was issued </w:t>
      </w:r>
      <w:r w:rsidR="00277B7B">
        <w:rPr>
          <w:rFonts w:ascii="Book Antiqua" w:hAnsi="Book Antiqua"/>
          <w:sz w:val="24"/>
          <w:szCs w:val="24"/>
        </w:rPr>
        <w:t xml:space="preserve">and </w:t>
      </w:r>
      <w:r w:rsidR="001F01A1">
        <w:rPr>
          <w:rFonts w:ascii="Book Antiqua" w:hAnsi="Book Antiqua"/>
          <w:sz w:val="24"/>
          <w:szCs w:val="24"/>
        </w:rPr>
        <w:t xml:space="preserve">commences on </w:t>
      </w:r>
      <w:r w:rsidR="008F2908">
        <w:rPr>
          <w:rFonts w:ascii="Book Antiqua" w:hAnsi="Book Antiqua"/>
          <w:sz w:val="24"/>
          <w:szCs w:val="24"/>
        </w:rPr>
        <w:t xml:space="preserve">1 December </w:t>
      </w:r>
      <w:r w:rsidR="00BD32CE">
        <w:rPr>
          <w:rFonts w:ascii="Book Antiqua" w:hAnsi="Book Antiqua"/>
          <w:sz w:val="24"/>
          <w:szCs w:val="24"/>
        </w:rPr>
        <w:t>2025</w:t>
      </w:r>
      <w:r w:rsidR="00036665">
        <w:rPr>
          <w:rFonts w:ascii="Book Antiqua" w:hAnsi="Book Antiqua"/>
          <w:sz w:val="24"/>
          <w:szCs w:val="24"/>
        </w:rPr>
        <w:t xml:space="preserve"> </w:t>
      </w:r>
      <w:r w:rsidRPr="00277B7B">
        <w:rPr>
          <w:rFonts w:ascii="Book Antiqua" w:hAnsi="Book Antiqua"/>
          <w:sz w:val="24"/>
          <w:szCs w:val="24"/>
        </w:rPr>
        <w:t xml:space="preserve">and will apply to </w:t>
      </w:r>
      <w:r w:rsidR="00443A6B">
        <w:rPr>
          <w:rFonts w:ascii="Book Antiqua" w:hAnsi="Book Antiqua"/>
          <w:sz w:val="24"/>
          <w:szCs w:val="24"/>
        </w:rPr>
        <w:t>all referrals to judicial mediation made on or after that date.</w:t>
      </w:r>
    </w:p>
    <w:p w14:paraId="4E71F5CC" w14:textId="77777777" w:rsidR="006C550C" w:rsidRPr="007917BE" w:rsidRDefault="006C550C" w:rsidP="00CD0331">
      <w:pPr>
        <w:spacing w:before="120" w:after="120"/>
        <w:ind w:left="720" w:hanging="720"/>
        <w:jc w:val="both"/>
        <w:rPr>
          <w:rFonts w:ascii="Book Antiqua" w:hAnsi="Book Antiqua"/>
        </w:rPr>
      </w:pPr>
    </w:p>
    <w:p w14:paraId="04EF6ADB" w14:textId="77777777" w:rsidR="00B72C47" w:rsidRPr="007917BE" w:rsidRDefault="00B72C47" w:rsidP="00CD0331">
      <w:pPr>
        <w:pStyle w:val="Heading1"/>
        <w:spacing w:before="120" w:after="120"/>
        <w:rPr>
          <w:rFonts w:ascii="Book Antiqua" w:hAnsi="Book Antiqua"/>
          <w:szCs w:val="24"/>
        </w:rPr>
      </w:pPr>
      <w:r w:rsidRPr="007917BE">
        <w:rPr>
          <w:rFonts w:ascii="Book Antiqua" w:hAnsi="Book Antiqua"/>
          <w:szCs w:val="24"/>
        </w:rPr>
        <w:t>DEFINITIONS</w:t>
      </w:r>
    </w:p>
    <w:p w14:paraId="59FF3872" w14:textId="77777777" w:rsidR="007E19F6" w:rsidRDefault="006F60CF" w:rsidP="007E19F6">
      <w:pPr>
        <w:pStyle w:val="ListParagraph"/>
        <w:numPr>
          <w:ilvl w:val="1"/>
          <w:numId w:val="24"/>
        </w:numPr>
        <w:spacing w:before="120" w:after="120"/>
        <w:ind w:left="720" w:hanging="720"/>
        <w:jc w:val="both"/>
        <w:rPr>
          <w:rFonts w:ascii="Book Antiqua" w:hAnsi="Book Antiqua"/>
          <w:sz w:val="24"/>
          <w:szCs w:val="24"/>
        </w:rPr>
      </w:pPr>
      <w:r>
        <w:rPr>
          <w:rFonts w:ascii="Book Antiqua" w:hAnsi="Book Antiqua"/>
          <w:sz w:val="24"/>
          <w:szCs w:val="24"/>
        </w:rPr>
        <w:t>In this Practice Note:</w:t>
      </w:r>
    </w:p>
    <w:p w14:paraId="71D9E9BA" w14:textId="0EAB130D" w:rsidR="0091552B" w:rsidRPr="001C4658" w:rsidRDefault="0091552B" w:rsidP="001C4658">
      <w:pPr>
        <w:pStyle w:val="ListParagraph"/>
        <w:spacing w:before="120" w:after="120"/>
        <w:jc w:val="both"/>
        <w:rPr>
          <w:rFonts w:ascii="Book Antiqua" w:hAnsi="Book Antiqua"/>
          <w:sz w:val="24"/>
          <w:szCs w:val="24"/>
        </w:rPr>
      </w:pPr>
      <w:r w:rsidRPr="001C4658">
        <w:rPr>
          <w:rFonts w:ascii="Book Antiqua" w:hAnsi="Book Antiqua"/>
          <w:sz w:val="24"/>
          <w:szCs w:val="24"/>
        </w:rPr>
        <w:t>Judicial officer includes a Judge of the Court, Associate Judge, or Judicial Registrar</w:t>
      </w:r>
      <w:r w:rsidR="00B36C72" w:rsidRPr="001C4658">
        <w:rPr>
          <w:rFonts w:ascii="Book Antiqua" w:hAnsi="Book Antiqua"/>
          <w:sz w:val="24"/>
          <w:szCs w:val="24"/>
        </w:rPr>
        <w:t>.</w:t>
      </w:r>
    </w:p>
    <w:p w14:paraId="4FE86EBE" w14:textId="77777777" w:rsidR="0091552B" w:rsidRPr="00747D4C" w:rsidRDefault="0091552B" w:rsidP="00747D4C">
      <w:pPr>
        <w:spacing w:before="120" w:after="120"/>
        <w:ind w:left="720" w:hanging="720"/>
        <w:jc w:val="both"/>
        <w:rPr>
          <w:rFonts w:ascii="Book Antiqua" w:hAnsi="Book Antiqua"/>
        </w:rPr>
      </w:pPr>
    </w:p>
    <w:p w14:paraId="22ED57B3" w14:textId="77777777" w:rsidR="00C02583" w:rsidRPr="007917BE" w:rsidRDefault="00443A6B" w:rsidP="00CD0331">
      <w:pPr>
        <w:pStyle w:val="Heading1"/>
        <w:spacing w:before="120" w:after="120"/>
        <w:rPr>
          <w:rFonts w:ascii="Book Antiqua" w:hAnsi="Book Antiqua"/>
          <w:szCs w:val="24"/>
        </w:rPr>
      </w:pPr>
      <w:r>
        <w:rPr>
          <w:rFonts w:ascii="Book Antiqua" w:hAnsi="Book Antiqua"/>
          <w:szCs w:val="24"/>
        </w:rPr>
        <w:t>REFERRAL TO JUDICIAL MEDIATION</w:t>
      </w:r>
    </w:p>
    <w:p w14:paraId="064A3E5B" w14:textId="358CCEFD" w:rsidR="00443A6B"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The Supreme Court of Victoria is committed to resolving disputes in the most efficient manner possible, including the use of non-adjudicative processes.</w:t>
      </w:r>
      <w:r w:rsidR="00992FAF">
        <w:rPr>
          <w:rFonts w:ascii="Book Antiqua" w:hAnsi="Book Antiqua"/>
          <w:sz w:val="24"/>
          <w:szCs w:val="24"/>
        </w:rPr>
        <w:t xml:space="preserve"> </w:t>
      </w:r>
      <w:r w:rsidRPr="00443A6B">
        <w:rPr>
          <w:rFonts w:ascii="Book Antiqua" w:hAnsi="Book Antiqua"/>
          <w:sz w:val="24"/>
          <w:szCs w:val="24"/>
        </w:rPr>
        <w:t xml:space="preserve"> The use of private mediation practitioners has been and remains critical to the administration of justice in Victoria. </w:t>
      </w:r>
      <w:r w:rsidR="00992FAF">
        <w:rPr>
          <w:rFonts w:ascii="Book Antiqua" w:hAnsi="Book Antiqua"/>
          <w:sz w:val="24"/>
          <w:szCs w:val="24"/>
        </w:rPr>
        <w:t xml:space="preserve"> </w:t>
      </w:r>
      <w:r w:rsidR="0085295F">
        <w:rPr>
          <w:rFonts w:ascii="Book Antiqua" w:hAnsi="Book Antiqua"/>
          <w:sz w:val="24"/>
          <w:szCs w:val="24"/>
        </w:rPr>
        <w:t>The Court</w:t>
      </w:r>
      <w:r w:rsidRPr="00443A6B">
        <w:rPr>
          <w:rFonts w:ascii="Book Antiqua" w:hAnsi="Book Antiqua"/>
          <w:sz w:val="24"/>
          <w:szCs w:val="24"/>
        </w:rPr>
        <w:t xml:space="preserve"> will continue to encourage, and where appropriate direct, parties to engage in private mediation in the majority of civil proceedings coming before the Supreme Court.</w:t>
      </w:r>
    </w:p>
    <w:p w14:paraId="6946D1BE" w14:textId="4F940790" w:rsidR="00443A6B" w:rsidRPr="00443A6B"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 xml:space="preserve">Under s 66 of the </w:t>
      </w:r>
      <w:r w:rsidRPr="00443A6B">
        <w:rPr>
          <w:rFonts w:ascii="Book Antiqua" w:hAnsi="Book Antiqua"/>
          <w:i/>
          <w:sz w:val="24"/>
          <w:szCs w:val="24"/>
        </w:rPr>
        <w:t>Civil Procedure Act 2010</w:t>
      </w:r>
      <w:r w:rsidRPr="00443A6B">
        <w:rPr>
          <w:rFonts w:ascii="Book Antiqua" w:hAnsi="Book Antiqua"/>
          <w:sz w:val="24"/>
          <w:szCs w:val="24"/>
        </w:rPr>
        <w:t xml:space="preserve"> the Court is authorised to</w:t>
      </w:r>
      <w:r>
        <w:rPr>
          <w:rFonts w:ascii="Book Antiqua" w:hAnsi="Book Antiqua"/>
          <w:sz w:val="24"/>
          <w:szCs w:val="24"/>
        </w:rPr>
        <w:t xml:space="preserve"> </w:t>
      </w:r>
      <w:r w:rsidR="009D5BAD">
        <w:rPr>
          <w:rFonts w:ascii="Book Antiqua" w:hAnsi="Book Antiqua"/>
          <w:sz w:val="24"/>
          <w:szCs w:val="24"/>
        </w:rPr>
        <w:t>refer a proceeding to appropriate dispute resolution which includes a judicial resolution conference, often refer</w:t>
      </w:r>
      <w:r w:rsidR="00B36C72">
        <w:rPr>
          <w:rFonts w:ascii="Book Antiqua" w:hAnsi="Book Antiqua"/>
          <w:sz w:val="24"/>
          <w:szCs w:val="24"/>
        </w:rPr>
        <w:t>red to as a judicial mediation</w:t>
      </w:r>
      <w:r w:rsidRPr="00443A6B">
        <w:rPr>
          <w:rFonts w:ascii="Book Antiqua" w:hAnsi="Book Antiqua"/>
          <w:sz w:val="24"/>
          <w:szCs w:val="24"/>
        </w:rPr>
        <w:t>.</w:t>
      </w:r>
    </w:p>
    <w:p w14:paraId="774E4FAA" w14:textId="41D5CE27" w:rsidR="00F03565" w:rsidRPr="00747D4C" w:rsidRDefault="00443A6B" w:rsidP="00CA4587">
      <w:pPr>
        <w:pStyle w:val="ListParagraph"/>
        <w:numPr>
          <w:ilvl w:val="1"/>
          <w:numId w:val="24"/>
        </w:numPr>
        <w:spacing w:before="120" w:after="120"/>
        <w:ind w:left="720" w:hanging="720"/>
        <w:jc w:val="both"/>
        <w:rPr>
          <w:rFonts w:ascii="Book Antiqua" w:hAnsi="Book Antiqua"/>
          <w:sz w:val="24"/>
          <w:szCs w:val="24"/>
        </w:rPr>
      </w:pPr>
      <w:r w:rsidRPr="00747C5F">
        <w:rPr>
          <w:rFonts w:ascii="Book Antiqua" w:hAnsi="Book Antiqua"/>
          <w:sz w:val="24"/>
          <w:szCs w:val="24"/>
        </w:rPr>
        <w:lastRenderedPageBreak/>
        <w:t>Judicial mediation is not a substitute for mediation by appropriately qualified private mediators, rather it is another option that may be</w:t>
      </w:r>
      <w:r w:rsidR="00B36C72" w:rsidRPr="00747C5F">
        <w:rPr>
          <w:rFonts w:ascii="Book Antiqua" w:hAnsi="Book Antiqua"/>
          <w:sz w:val="24"/>
          <w:szCs w:val="24"/>
        </w:rPr>
        <w:t xml:space="preserve"> employed in appropriate cases.</w:t>
      </w:r>
    </w:p>
    <w:p w14:paraId="5AB838D5" w14:textId="71C51D14" w:rsidR="00F03565" w:rsidRPr="00747D4C"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 xml:space="preserve">Under s 68(1) of the </w:t>
      </w:r>
      <w:r w:rsidRPr="00443A6B">
        <w:rPr>
          <w:rFonts w:ascii="Book Antiqua" w:hAnsi="Book Antiqua"/>
          <w:i/>
          <w:sz w:val="24"/>
          <w:szCs w:val="24"/>
        </w:rPr>
        <w:t>Civil Procedure Act 2010</w:t>
      </w:r>
      <w:r w:rsidRPr="00443A6B">
        <w:rPr>
          <w:rFonts w:ascii="Book Antiqua" w:hAnsi="Book Antiqua"/>
          <w:sz w:val="24"/>
          <w:szCs w:val="24"/>
        </w:rPr>
        <w:t xml:space="preserve">, a </w:t>
      </w:r>
      <w:r w:rsidR="0085295F">
        <w:rPr>
          <w:rFonts w:ascii="Book Antiqua" w:hAnsi="Book Antiqua"/>
          <w:sz w:val="24"/>
          <w:szCs w:val="24"/>
        </w:rPr>
        <w:t>judicial officer</w:t>
      </w:r>
      <w:r w:rsidRPr="00443A6B">
        <w:rPr>
          <w:rFonts w:ascii="Book Antiqua" w:hAnsi="Book Antiqua"/>
          <w:sz w:val="24"/>
          <w:szCs w:val="24"/>
        </w:rPr>
        <w:t xml:space="preserve"> acting as a</w:t>
      </w:r>
      <w:r>
        <w:rPr>
          <w:rFonts w:ascii="Book Antiqua" w:hAnsi="Book Antiqua"/>
          <w:sz w:val="24"/>
          <w:szCs w:val="24"/>
        </w:rPr>
        <w:t xml:space="preserve"> </w:t>
      </w:r>
      <w:r w:rsidRPr="00443A6B">
        <w:rPr>
          <w:rFonts w:ascii="Book Antiqua" w:hAnsi="Book Antiqua"/>
          <w:sz w:val="24"/>
          <w:szCs w:val="24"/>
        </w:rPr>
        <w:t>judicial mediator has the same immunity as a judge acting judicially.</w:t>
      </w:r>
    </w:p>
    <w:p w14:paraId="16D87515" w14:textId="77777777" w:rsidR="00443A6B" w:rsidRPr="00B36C72"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A matter referred to</w:t>
      </w:r>
      <w:r>
        <w:rPr>
          <w:rFonts w:ascii="Book Antiqua" w:hAnsi="Book Antiqua"/>
          <w:sz w:val="24"/>
          <w:szCs w:val="24"/>
        </w:rPr>
        <w:t xml:space="preserve"> judicial</w:t>
      </w:r>
      <w:r w:rsidRPr="00443A6B">
        <w:rPr>
          <w:rFonts w:ascii="Book Antiqua" w:hAnsi="Book Antiqua"/>
          <w:sz w:val="24"/>
          <w:szCs w:val="24"/>
        </w:rPr>
        <w:t xml:space="preserve"> mediation will usually have one or more of the</w:t>
      </w:r>
      <w:r>
        <w:rPr>
          <w:rFonts w:ascii="Book Antiqua" w:hAnsi="Book Antiqua"/>
          <w:sz w:val="24"/>
          <w:szCs w:val="24"/>
        </w:rPr>
        <w:t xml:space="preserve"> </w:t>
      </w:r>
      <w:r w:rsidRPr="00443A6B">
        <w:rPr>
          <w:rFonts w:ascii="Book Antiqua" w:hAnsi="Book Antiqua"/>
          <w:sz w:val="24"/>
          <w:szCs w:val="24"/>
        </w:rPr>
        <w:t>following features:</w:t>
      </w:r>
    </w:p>
    <w:p w14:paraId="0910546A" w14:textId="77777777" w:rsidR="00443A6B" w:rsidRPr="00443A6B" w:rsidRDefault="00443A6B" w:rsidP="00CA4587">
      <w:pPr>
        <w:pStyle w:val="ListParagraph"/>
        <w:numPr>
          <w:ilvl w:val="0"/>
          <w:numId w:val="25"/>
        </w:numPr>
        <w:spacing w:before="120" w:after="120"/>
        <w:jc w:val="both"/>
        <w:rPr>
          <w:rFonts w:ascii="Book Antiqua" w:hAnsi="Book Antiqua"/>
          <w:sz w:val="24"/>
          <w:szCs w:val="24"/>
        </w:rPr>
      </w:pPr>
      <w:r w:rsidRPr="00443A6B">
        <w:rPr>
          <w:rFonts w:ascii="Book Antiqua" w:hAnsi="Book Antiqua"/>
          <w:sz w:val="24"/>
          <w:szCs w:val="24"/>
        </w:rPr>
        <w:t>one or more parties with limited resources;</w:t>
      </w:r>
    </w:p>
    <w:p w14:paraId="5283194F" w14:textId="77777777" w:rsidR="00443A6B" w:rsidRDefault="00443A6B" w:rsidP="00CA4587">
      <w:pPr>
        <w:pStyle w:val="ListParagraph"/>
        <w:numPr>
          <w:ilvl w:val="0"/>
          <w:numId w:val="25"/>
        </w:numPr>
        <w:spacing w:before="120" w:after="120"/>
        <w:jc w:val="both"/>
        <w:rPr>
          <w:rFonts w:ascii="Book Antiqua" w:hAnsi="Book Antiqua"/>
          <w:sz w:val="24"/>
          <w:szCs w:val="24"/>
        </w:rPr>
      </w:pPr>
      <w:r w:rsidRPr="00443A6B">
        <w:rPr>
          <w:rFonts w:ascii="Book Antiqua" w:hAnsi="Book Antiqua"/>
          <w:sz w:val="24"/>
          <w:szCs w:val="24"/>
        </w:rPr>
        <w:t>a substantial risk that the costs and time of a trial would be</w:t>
      </w:r>
      <w:r>
        <w:rPr>
          <w:rFonts w:ascii="Book Antiqua" w:hAnsi="Book Antiqua"/>
          <w:sz w:val="24"/>
          <w:szCs w:val="24"/>
        </w:rPr>
        <w:t xml:space="preserve"> </w:t>
      </w:r>
      <w:r w:rsidRPr="00443A6B">
        <w:rPr>
          <w:rFonts w:ascii="Book Antiqua" w:hAnsi="Book Antiqua"/>
          <w:sz w:val="24"/>
          <w:szCs w:val="24"/>
        </w:rPr>
        <w:t>disproportionately high compared to the amount in dispute or the</w:t>
      </w:r>
      <w:r>
        <w:rPr>
          <w:rFonts w:ascii="Book Antiqua" w:hAnsi="Book Antiqua"/>
          <w:sz w:val="24"/>
          <w:szCs w:val="24"/>
        </w:rPr>
        <w:t xml:space="preserve"> </w:t>
      </w:r>
      <w:r w:rsidRPr="00443A6B">
        <w:rPr>
          <w:rFonts w:ascii="Book Antiqua" w:hAnsi="Book Antiqua"/>
          <w:sz w:val="24"/>
          <w:szCs w:val="24"/>
        </w:rPr>
        <w:t>subject matter of the dispute;</w:t>
      </w:r>
      <w:r>
        <w:rPr>
          <w:rFonts w:ascii="Book Antiqua" w:hAnsi="Book Antiqua"/>
          <w:sz w:val="24"/>
          <w:szCs w:val="24"/>
        </w:rPr>
        <w:t xml:space="preserve"> </w:t>
      </w:r>
    </w:p>
    <w:p w14:paraId="0A6ECB63" w14:textId="77777777" w:rsidR="00443A6B" w:rsidRPr="00443A6B" w:rsidRDefault="00443A6B" w:rsidP="00CA4587">
      <w:pPr>
        <w:pStyle w:val="ListParagraph"/>
        <w:numPr>
          <w:ilvl w:val="0"/>
          <w:numId w:val="25"/>
        </w:numPr>
        <w:spacing w:before="120" w:after="120"/>
        <w:jc w:val="both"/>
        <w:rPr>
          <w:rFonts w:ascii="Book Antiqua" w:hAnsi="Book Antiqua"/>
          <w:sz w:val="24"/>
          <w:szCs w:val="24"/>
        </w:rPr>
      </w:pPr>
      <w:r w:rsidRPr="00443A6B">
        <w:rPr>
          <w:rFonts w:ascii="Book Antiqua" w:hAnsi="Book Antiqua"/>
          <w:sz w:val="24"/>
          <w:szCs w:val="24"/>
        </w:rPr>
        <w:t>an estimated trial length that would occupy substantial judicial</w:t>
      </w:r>
      <w:r>
        <w:rPr>
          <w:rFonts w:ascii="Book Antiqua" w:hAnsi="Book Antiqua"/>
          <w:sz w:val="24"/>
          <w:szCs w:val="24"/>
        </w:rPr>
        <w:t xml:space="preserve"> </w:t>
      </w:r>
      <w:r w:rsidRPr="00443A6B">
        <w:rPr>
          <w:rFonts w:ascii="Book Antiqua" w:hAnsi="Book Antiqua"/>
          <w:sz w:val="24"/>
          <w:szCs w:val="24"/>
        </w:rPr>
        <w:t>and other court resources; or</w:t>
      </w:r>
    </w:p>
    <w:p w14:paraId="14CD6A03" w14:textId="65FCF508" w:rsidR="00747D4C" w:rsidRPr="00747D4C" w:rsidRDefault="00443A6B" w:rsidP="00CA4587">
      <w:pPr>
        <w:pStyle w:val="ListParagraph"/>
        <w:numPr>
          <w:ilvl w:val="0"/>
          <w:numId w:val="25"/>
        </w:numPr>
        <w:spacing w:before="120" w:after="120"/>
        <w:jc w:val="both"/>
        <w:rPr>
          <w:rFonts w:ascii="Book Antiqua" w:hAnsi="Book Antiqua"/>
          <w:sz w:val="24"/>
          <w:szCs w:val="24"/>
        </w:rPr>
      </w:pPr>
      <w:r w:rsidRPr="00443A6B">
        <w:rPr>
          <w:rFonts w:ascii="Book Antiqua" w:hAnsi="Book Antiqua"/>
          <w:sz w:val="24"/>
          <w:szCs w:val="24"/>
        </w:rPr>
        <w:t>aspects that otherwise make it in the interests of justice that the</w:t>
      </w:r>
      <w:r>
        <w:rPr>
          <w:rFonts w:ascii="Book Antiqua" w:hAnsi="Book Antiqua"/>
          <w:sz w:val="24"/>
          <w:szCs w:val="24"/>
        </w:rPr>
        <w:t xml:space="preserve"> </w:t>
      </w:r>
      <w:r w:rsidRPr="00443A6B">
        <w:rPr>
          <w:rFonts w:ascii="Book Antiqua" w:hAnsi="Book Antiqua"/>
          <w:sz w:val="24"/>
          <w:szCs w:val="24"/>
        </w:rPr>
        <w:t>matter be referred to judicial mediation.</w:t>
      </w:r>
    </w:p>
    <w:p w14:paraId="7C0ECBB2" w14:textId="77777777" w:rsidR="00443A6B" w:rsidRPr="00443A6B"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 xml:space="preserve">There are proceedings which, as a matter of policy, may not be appropriate for </w:t>
      </w:r>
      <w:r>
        <w:rPr>
          <w:rFonts w:ascii="Book Antiqua" w:hAnsi="Book Antiqua"/>
          <w:sz w:val="24"/>
          <w:szCs w:val="24"/>
        </w:rPr>
        <w:t xml:space="preserve">judicial </w:t>
      </w:r>
      <w:r w:rsidRPr="00443A6B">
        <w:rPr>
          <w:rFonts w:ascii="Book Antiqua" w:hAnsi="Book Antiqua"/>
          <w:sz w:val="24"/>
          <w:szCs w:val="24"/>
        </w:rPr>
        <w:t xml:space="preserve">mediation. </w:t>
      </w:r>
      <w:r w:rsidR="00992FAF">
        <w:rPr>
          <w:rFonts w:ascii="Book Antiqua" w:hAnsi="Book Antiqua"/>
          <w:sz w:val="24"/>
          <w:szCs w:val="24"/>
        </w:rPr>
        <w:t xml:space="preserve"> </w:t>
      </w:r>
      <w:r w:rsidRPr="00443A6B">
        <w:rPr>
          <w:rFonts w:ascii="Book Antiqua" w:hAnsi="Book Antiqua"/>
          <w:sz w:val="24"/>
          <w:szCs w:val="24"/>
        </w:rPr>
        <w:t>The following disputes will not ordinarily be</w:t>
      </w:r>
      <w:r>
        <w:rPr>
          <w:rFonts w:ascii="Book Antiqua" w:hAnsi="Book Antiqua"/>
          <w:sz w:val="24"/>
          <w:szCs w:val="24"/>
        </w:rPr>
        <w:t xml:space="preserve"> </w:t>
      </w:r>
      <w:r w:rsidRPr="00443A6B">
        <w:rPr>
          <w:rFonts w:ascii="Book Antiqua" w:hAnsi="Book Antiqua"/>
          <w:sz w:val="24"/>
          <w:szCs w:val="24"/>
        </w:rPr>
        <w:t xml:space="preserve">referred for </w:t>
      </w:r>
      <w:r>
        <w:rPr>
          <w:rFonts w:ascii="Book Antiqua" w:hAnsi="Book Antiqua"/>
          <w:sz w:val="24"/>
          <w:szCs w:val="24"/>
        </w:rPr>
        <w:t xml:space="preserve">judicial </w:t>
      </w:r>
      <w:r w:rsidRPr="00443A6B">
        <w:rPr>
          <w:rFonts w:ascii="Book Antiqua" w:hAnsi="Book Antiqua"/>
          <w:sz w:val="24"/>
          <w:szCs w:val="24"/>
        </w:rPr>
        <w:t>mediation:</w:t>
      </w:r>
    </w:p>
    <w:p w14:paraId="5EA9571C" w14:textId="77777777" w:rsidR="00443A6B" w:rsidRPr="00443A6B" w:rsidRDefault="00443A6B" w:rsidP="00CA4587">
      <w:pPr>
        <w:pStyle w:val="ListParagraph"/>
        <w:numPr>
          <w:ilvl w:val="0"/>
          <w:numId w:val="32"/>
        </w:numPr>
        <w:spacing w:before="120" w:after="120"/>
        <w:jc w:val="both"/>
        <w:rPr>
          <w:rFonts w:ascii="Book Antiqua" w:hAnsi="Book Antiqua"/>
          <w:sz w:val="24"/>
          <w:szCs w:val="24"/>
        </w:rPr>
      </w:pPr>
      <w:r w:rsidRPr="00443A6B">
        <w:rPr>
          <w:rFonts w:ascii="Book Antiqua" w:hAnsi="Book Antiqua"/>
          <w:sz w:val="24"/>
          <w:szCs w:val="24"/>
        </w:rPr>
        <w:t>cases involving the resolution of a matter of public importance</w:t>
      </w:r>
      <w:r>
        <w:rPr>
          <w:rFonts w:ascii="Book Antiqua" w:hAnsi="Book Antiqua"/>
          <w:sz w:val="24"/>
          <w:szCs w:val="24"/>
        </w:rPr>
        <w:t xml:space="preserve"> </w:t>
      </w:r>
      <w:r w:rsidRPr="00443A6B">
        <w:rPr>
          <w:rFonts w:ascii="Book Antiqua" w:hAnsi="Book Antiqua"/>
          <w:sz w:val="24"/>
          <w:szCs w:val="24"/>
        </w:rPr>
        <w:t>which, in the public interest, ought to be heard in open court;</w:t>
      </w:r>
      <w:r w:rsidR="00097AC3">
        <w:rPr>
          <w:rFonts w:ascii="Book Antiqua" w:hAnsi="Book Antiqua"/>
          <w:sz w:val="24"/>
          <w:szCs w:val="24"/>
        </w:rPr>
        <w:t xml:space="preserve"> and</w:t>
      </w:r>
    </w:p>
    <w:p w14:paraId="217FB94C" w14:textId="77777777" w:rsidR="00443A6B" w:rsidRPr="00B36C72" w:rsidRDefault="00443A6B" w:rsidP="00CA4587">
      <w:pPr>
        <w:pStyle w:val="ListParagraph"/>
        <w:numPr>
          <w:ilvl w:val="0"/>
          <w:numId w:val="32"/>
        </w:numPr>
        <w:spacing w:before="120" w:after="120"/>
        <w:jc w:val="both"/>
        <w:rPr>
          <w:rFonts w:ascii="Book Antiqua" w:hAnsi="Book Antiqua"/>
          <w:sz w:val="24"/>
          <w:szCs w:val="24"/>
        </w:rPr>
      </w:pPr>
      <w:r w:rsidRPr="00443A6B">
        <w:rPr>
          <w:rFonts w:ascii="Book Antiqua" w:hAnsi="Book Antiqua"/>
          <w:sz w:val="24"/>
          <w:szCs w:val="24"/>
        </w:rPr>
        <w:t>cases in which the commission of a crime or serious misconduct</w:t>
      </w:r>
      <w:r>
        <w:rPr>
          <w:rFonts w:ascii="Book Antiqua" w:hAnsi="Book Antiqua"/>
          <w:sz w:val="24"/>
          <w:szCs w:val="24"/>
        </w:rPr>
        <w:t xml:space="preserve"> </w:t>
      </w:r>
      <w:r w:rsidRPr="00443A6B">
        <w:rPr>
          <w:rFonts w:ascii="Book Antiqua" w:hAnsi="Book Antiqua"/>
          <w:sz w:val="24"/>
          <w:szCs w:val="24"/>
        </w:rPr>
        <w:t>is alleged in the context of a civil proceeding</w:t>
      </w:r>
      <w:r w:rsidR="00097AC3">
        <w:rPr>
          <w:rFonts w:ascii="Book Antiqua" w:hAnsi="Book Antiqua"/>
          <w:sz w:val="24"/>
          <w:szCs w:val="24"/>
        </w:rPr>
        <w:t>.</w:t>
      </w:r>
    </w:p>
    <w:p w14:paraId="3BF45035" w14:textId="77777777" w:rsidR="0091552B" w:rsidRPr="00443A6B" w:rsidRDefault="0091552B" w:rsidP="0091552B">
      <w:pPr>
        <w:pStyle w:val="ListParagraph"/>
        <w:spacing w:before="120" w:after="120"/>
        <w:ind w:left="1080"/>
        <w:jc w:val="both"/>
        <w:rPr>
          <w:rFonts w:ascii="Book Antiqua" w:hAnsi="Book Antiqua"/>
          <w:sz w:val="24"/>
          <w:szCs w:val="24"/>
        </w:rPr>
      </w:pPr>
    </w:p>
    <w:p w14:paraId="1DD86A0E" w14:textId="42BFBB2B" w:rsidR="00A41891" w:rsidRDefault="00A41891" w:rsidP="00443A6B">
      <w:pPr>
        <w:pStyle w:val="Heading1"/>
        <w:spacing w:before="120" w:after="120"/>
        <w:rPr>
          <w:rFonts w:ascii="Book Antiqua" w:hAnsi="Book Antiqua"/>
          <w:szCs w:val="24"/>
        </w:rPr>
      </w:pPr>
      <w:r>
        <w:rPr>
          <w:rFonts w:ascii="Book Antiqua" w:hAnsi="Book Antiqua"/>
          <w:szCs w:val="24"/>
        </w:rPr>
        <w:t>DETERMINING THE MODE OF MEDIATION</w:t>
      </w:r>
    </w:p>
    <w:p w14:paraId="6A254C4B" w14:textId="7CFF1DE4"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The following process will be adopted to determine the mode of judicial mediations and mediations conducted by Deputy Prothonotaries.</w:t>
      </w:r>
    </w:p>
    <w:p w14:paraId="1F704D2F" w14:textId="7C076348"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Parties should consider how the mediation is to be conducted (in-person, online or hybrid), and if they agree about the mode of mediation, notify the chambers of the judicial officer who will be making the mediation order.</w:t>
      </w:r>
    </w:p>
    <w:p w14:paraId="6FBA5204" w14:textId="3B9641D5"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If the mediation order does not provide for the mode of mediation, the Court’s ADR Centre (ADR Centre) will list the mediation as an in-person mediation.</w:t>
      </w:r>
    </w:p>
    <w:p w14:paraId="6554073C" w14:textId="79AB4675"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 xml:space="preserve">If, after the mediation order is made, the parties agree that the mediation is to be conducted in a way that differs from in-person mediation (that is, online or hybrid), they should inform the ADR Centre by sending an email to </w:t>
      </w:r>
      <w:hyperlink r:id="rId14" w:history="1">
        <w:r w:rsidR="00A862B7" w:rsidRPr="00526697">
          <w:rPr>
            <w:rStyle w:val="Hyperlink"/>
            <w:rFonts w:ascii="Book Antiqua" w:hAnsi="Book Antiqua"/>
            <w:sz w:val="24"/>
            <w:szCs w:val="24"/>
          </w:rPr>
          <w:t>adrcentre@supcourt.vic.gov.au</w:t>
        </w:r>
      </w:hyperlink>
      <w:r w:rsidR="00A862B7">
        <w:rPr>
          <w:rFonts w:ascii="Book Antiqua" w:hAnsi="Book Antiqua"/>
          <w:sz w:val="24"/>
          <w:szCs w:val="24"/>
        </w:rPr>
        <w:t xml:space="preserve"> </w:t>
      </w:r>
      <w:r w:rsidRPr="00A41891">
        <w:rPr>
          <w:rFonts w:ascii="Book Antiqua" w:hAnsi="Book Antiqua"/>
          <w:sz w:val="24"/>
          <w:szCs w:val="24"/>
        </w:rPr>
        <w:t xml:space="preserve">as soon as agreement is reached. The parties should give reasons for the proposed change to the mode of mediation. Where there is no agreement, any party wishing to have the mediation conducted other than in-person should notify the ADR Centre by sending an email to </w:t>
      </w:r>
      <w:hyperlink r:id="rId15" w:history="1">
        <w:r w:rsidR="00990DE2" w:rsidRPr="00526697">
          <w:rPr>
            <w:rStyle w:val="Hyperlink"/>
            <w:rFonts w:ascii="Book Antiqua" w:hAnsi="Book Antiqua"/>
            <w:sz w:val="24"/>
            <w:szCs w:val="24"/>
          </w:rPr>
          <w:t>adrcentre@supcourt.vic.gov.au</w:t>
        </w:r>
      </w:hyperlink>
      <w:r w:rsidRPr="00A41891">
        <w:rPr>
          <w:rFonts w:ascii="Book Antiqua" w:hAnsi="Book Antiqua"/>
          <w:sz w:val="24"/>
          <w:szCs w:val="24"/>
        </w:rPr>
        <w:t>.</w:t>
      </w:r>
      <w:r w:rsidR="006E5D28">
        <w:rPr>
          <w:rFonts w:ascii="Book Antiqua" w:hAnsi="Book Antiqua"/>
          <w:sz w:val="24"/>
          <w:szCs w:val="24"/>
        </w:rPr>
        <w:t xml:space="preserve"> </w:t>
      </w:r>
      <w:r w:rsidRPr="00A41891">
        <w:rPr>
          <w:rFonts w:ascii="Book Antiqua" w:hAnsi="Book Antiqua"/>
          <w:sz w:val="24"/>
          <w:szCs w:val="24"/>
        </w:rPr>
        <w:t>The party should give reasons for the proposed change to the mode of mediation.</w:t>
      </w:r>
      <w:r w:rsidR="00B0091C">
        <w:rPr>
          <w:rFonts w:ascii="Book Antiqua" w:hAnsi="Book Antiqua"/>
          <w:sz w:val="24"/>
          <w:szCs w:val="24"/>
        </w:rPr>
        <w:t xml:space="preserve">   Whether there is agreement or not, the Court will then make a determination as to the mode of the mediation. </w:t>
      </w:r>
    </w:p>
    <w:p w14:paraId="01E3703A" w14:textId="10C9C5CF"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 xml:space="preserve">The matters that may be taken into account when determining the appropriate mode of mediation include: agreement by the parties as to the mode of mediation; </w:t>
      </w:r>
      <w:r w:rsidR="00B0091C">
        <w:rPr>
          <w:rFonts w:ascii="Book Antiqua" w:hAnsi="Book Antiqua"/>
          <w:sz w:val="24"/>
          <w:szCs w:val="24"/>
        </w:rPr>
        <w:t xml:space="preserve">the view of the mediator; </w:t>
      </w:r>
      <w:r w:rsidRPr="00A41891">
        <w:rPr>
          <w:rFonts w:ascii="Book Antiqua" w:hAnsi="Book Antiqua"/>
          <w:sz w:val="24"/>
          <w:szCs w:val="24"/>
        </w:rPr>
        <w:t xml:space="preserve">the complexity of the matter; whether there has been a previous mediation (and whether the mediation was </w:t>
      </w:r>
      <w:r w:rsidRPr="00A41891">
        <w:rPr>
          <w:rFonts w:ascii="Book Antiqua" w:hAnsi="Book Antiqua"/>
          <w:sz w:val="24"/>
          <w:szCs w:val="24"/>
        </w:rPr>
        <w:lastRenderedPageBreak/>
        <w:t>conducted online, in-person or a hybrid of the two); relevant considerations specific to the mediation participants including as to health special needs, mobility and geographical location; and if mediation is urgent.</w:t>
      </w:r>
    </w:p>
    <w:p w14:paraId="12CE7E60" w14:textId="55DB1214"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Usually the mode of mediation will be determined on the papers. Any dispute concerning the mode of mediation will be determined by the judicial officer who made the mediation order or, if not available, another judicial officer (other than the judicial officer before whom the mediation is listed).</w:t>
      </w:r>
    </w:p>
    <w:p w14:paraId="101E58F5" w14:textId="314AE622"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The following process will be adopted to determine the mode of Costs Court mediations.</w:t>
      </w:r>
    </w:p>
    <w:p w14:paraId="08D077E7" w14:textId="2089276B"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Where a summons for taxation of costs involves a party/party claim for costs over $100,000, the summons shall be endorsed with a return date for a mediation which is to be held online, unless the parties are otherwise advised.</w:t>
      </w:r>
    </w:p>
    <w:p w14:paraId="1D9013BA" w14:textId="7E28B781"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If, after the summons for taxation has been served on the respondent, the parties agree that the mediation is to be conducted in a way that differs from an online meditation (that is, an in-person mediation or a hybrid model), they should inform the taxing officer before whom the mediation is listed by sending an email to the Costs Court on costs.court@supcourt.vic.gov.au as soon as agreement is reached. The parties should give reasons for the proposed change to the mode of mediation.</w:t>
      </w:r>
    </w:p>
    <w:p w14:paraId="4441BC4D" w14:textId="35CBF798"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 xml:space="preserve">Where there is no agreement, any party wishing to have the mediation conducted other than online should notify the taxing officer before whom the mediation is listed by sending an email to the Costs Court on </w:t>
      </w:r>
      <w:hyperlink r:id="rId16" w:history="1">
        <w:r w:rsidR="00FE6DA6" w:rsidRPr="00526697">
          <w:rPr>
            <w:rStyle w:val="Hyperlink"/>
            <w:rFonts w:ascii="Book Antiqua" w:hAnsi="Book Antiqua"/>
            <w:sz w:val="24"/>
            <w:szCs w:val="24"/>
          </w:rPr>
          <w:t>costs.court@supcourt.vic.gov.au</w:t>
        </w:r>
      </w:hyperlink>
      <w:r w:rsidRPr="00A41891">
        <w:rPr>
          <w:rFonts w:ascii="Book Antiqua" w:hAnsi="Book Antiqua"/>
          <w:sz w:val="24"/>
          <w:szCs w:val="24"/>
        </w:rPr>
        <w:t>. The party should give reasons for the proposed change to the mode of mediation.</w:t>
      </w:r>
    </w:p>
    <w:p w14:paraId="753F4EF0" w14:textId="10F55126"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The matters that may be taken into account when determining the appropriate mode of mediation include: agreement by the parties as to the mode of mediation; the complexity of the matter; whether there has been a previous mediation (and whether the mediation was conducted on-line, in-person or a hybrid of the two); relevant considerations specific to the mediation participants including as to health special needs, mobility and geographical location; and if mediation is urgent.</w:t>
      </w:r>
    </w:p>
    <w:p w14:paraId="3D5B4CC4" w14:textId="4FE59F27"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Usually the mode of mediation will be determined on the papers. Any dispute concerning the mode of mediation will be determined by a judicial officer or Costs Registrar other than the judicial officer or Costs Registrar before whom the mediation is listed.</w:t>
      </w:r>
    </w:p>
    <w:p w14:paraId="4B6AF50D" w14:textId="10896565" w:rsidR="00A41891" w:rsidRPr="00A41891" w:rsidRDefault="00A41891" w:rsidP="00A41891">
      <w:pPr>
        <w:pStyle w:val="ListParagraph"/>
        <w:numPr>
          <w:ilvl w:val="1"/>
          <w:numId w:val="24"/>
        </w:numPr>
        <w:spacing w:before="120" w:after="120"/>
        <w:ind w:left="720" w:hanging="720"/>
        <w:jc w:val="both"/>
        <w:rPr>
          <w:rFonts w:ascii="Book Antiqua" w:hAnsi="Book Antiqua"/>
          <w:sz w:val="24"/>
          <w:szCs w:val="24"/>
        </w:rPr>
      </w:pPr>
      <w:r w:rsidRPr="00A41891">
        <w:rPr>
          <w:rFonts w:ascii="Book Antiqua" w:hAnsi="Book Antiqua"/>
          <w:sz w:val="24"/>
          <w:szCs w:val="24"/>
        </w:rPr>
        <w:t>Online participants are required to participate in the mediation with an appropriate device such as a desktop computer or laptop computer with a camera and a reliable internet connection. One device per person is encouraged. Participants must be in a confidential environment with no distractions.</w:t>
      </w:r>
    </w:p>
    <w:p w14:paraId="26B5D28E" w14:textId="29AE46A1" w:rsidR="00443A6B" w:rsidRPr="00443A6B" w:rsidRDefault="008D4AE8" w:rsidP="00443A6B">
      <w:pPr>
        <w:pStyle w:val="Heading1"/>
        <w:spacing w:before="120" w:after="120"/>
        <w:rPr>
          <w:rFonts w:ascii="Book Antiqua" w:hAnsi="Book Antiqua"/>
          <w:szCs w:val="24"/>
        </w:rPr>
      </w:pPr>
      <w:r>
        <w:rPr>
          <w:rFonts w:ascii="Book Antiqua" w:hAnsi="Book Antiqua"/>
          <w:szCs w:val="24"/>
        </w:rPr>
        <w:t>PREPARATION</w:t>
      </w:r>
    </w:p>
    <w:p w14:paraId="602A63D8" w14:textId="77777777" w:rsidR="00EE14B8" w:rsidRDefault="00443A6B" w:rsidP="00EE14B8">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 xml:space="preserve">Directions regarding preparation for </w:t>
      </w:r>
      <w:r w:rsidR="003321E3">
        <w:rPr>
          <w:rFonts w:ascii="Book Antiqua" w:hAnsi="Book Antiqua"/>
          <w:sz w:val="24"/>
          <w:szCs w:val="24"/>
        </w:rPr>
        <w:t xml:space="preserve">a judicial </w:t>
      </w:r>
      <w:r w:rsidRPr="00443A6B">
        <w:rPr>
          <w:rFonts w:ascii="Book Antiqua" w:hAnsi="Book Antiqua"/>
          <w:sz w:val="24"/>
          <w:szCs w:val="24"/>
        </w:rPr>
        <w:t xml:space="preserve">mediation </w:t>
      </w:r>
      <w:r w:rsidR="00AE174A">
        <w:rPr>
          <w:rFonts w:ascii="Book Antiqua" w:hAnsi="Book Antiqua"/>
          <w:sz w:val="24"/>
          <w:szCs w:val="24"/>
        </w:rPr>
        <w:t xml:space="preserve">may </w:t>
      </w:r>
      <w:r w:rsidR="00AE174A" w:rsidRPr="00443A6B">
        <w:rPr>
          <w:rFonts w:ascii="Book Antiqua" w:hAnsi="Book Antiqua"/>
          <w:sz w:val="24"/>
          <w:szCs w:val="24"/>
        </w:rPr>
        <w:t>be</w:t>
      </w:r>
      <w:r w:rsidRPr="00443A6B">
        <w:rPr>
          <w:rFonts w:ascii="Book Antiqua" w:hAnsi="Book Antiqua"/>
          <w:sz w:val="24"/>
          <w:szCs w:val="24"/>
        </w:rPr>
        <w:t xml:space="preserve"> made at a</w:t>
      </w:r>
      <w:r w:rsidR="008D4AE8">
        <w:rPr>
          <w:rFonts w:ascii="Book Antiqua" w:hAnsi="Book Antiqua"/>
          <w:sz w:val="24"/>
          <w:szCs w:val="24"/>
        </w:rPr>
        <w:t xml:space="preserve"> </w:t>
      </w:r>
      <w:r w:rsidR="00695D63">
        <w:rPr>
          <w:rFonts w:ascii="Book Antiqua" w:hAnsi="Book Antiqua"/>
          <w:sz w:val="24"/>
          <w:szCs w:val="24"/>
        </w:rPr>
        <w:t>directions hearing</w:t>
      </w:r>
      <w:r w:rsidRPr="008D4AE8">
        <w:rPr>
          <w:rFonts w:ascii="Book Antiqua" w:hAnsi="Book Antiqua"/>
          <w:sz w:val="24"/>
          <w:szCs w:val="24"/>
        </w:rPr>
        <w:t xml:space="preserve"> or conveyed to the parties by a court officer.</w:t>
      </w:r>
    </w:p>
    <w:p w14:paraId="251354F3" w14:textId="59282941" w:rsidR="0005739D" w:rsidRPr="00EE14B8" w:rsidRDefault="00443A6B" w:rsidP="00EE14B8">
      <w:pPr>
        <w:pStyle w:val="ListParagraph"/>
        <w:numPr>
          <w:ilvl w:val="1"/>
          <w:numId w:val="24"/>
        </w:numPr>
        <w:spacing w:before="120" w:after="120"/>
        <w:ind w:left="720" w:hanging="720"/>
        <w:jc w:val="both"/>
        <w:rPr>
          <w:rFonts w:ascii="Book Antiqua" w:hAnsi="Book Antiqua"/>
          <w:sz w:val="24"/>
          <w:szCs w:val="24"/>
        </w:rPr>
      </w:pPr>
      <w:r w:rsidRPr="00EE14B8">
        <w:rPr>
          <w:rFonts w:ascii="Book Antiqua" w:hAnsi="Book Antiqua"/>
          <w:sz w:val="24"/>
          <w:szCs w:val="24"/>
        </w:rPr>
        <w:t>Parties will be informed prior to the commencement of a mediation of</w:t>
      </w:r>
      <w:r w:rsidR="008D4AE8" w:rsidRPr="00EE14B8">
        <w:rPr>
          <w:rFonts w:ascii="Book Antiqua" w:hAnsi="Book Antiqua"/>
          <w:sz w:val="24"/>
          <w:szCs w:val="24"/>
        </w:rPr>
        <w:t xml:space="preserve"> </w:t>
      </w:r>
      <w:r w:rsidRPr="00EE14B8">
        <w:rPr>
          <w:rFonts w:ascii="Book Antiqua" w:hAnsi="Book Antiqua"/>
          <w:sz w:val="24"/>
          <w:szCs w:val="24"/>
        </w:rPr>
        <w:t>any pre-conditions, expectations or particular requirements.</w:t>
      </w:r>
      <w:r w:rsidR="000E5F64" w:rsidRPr="00EE14B8">
        <w:rPr>
          <w:rFonts w:ascii="Book Antiqua" w:hAnsi="Book Antiqua"/>
          <w:sz w:val="24"/>
          <w:szCs w:val="24"/>
        </w:rPr>
        <w:t xml:space="preserve"> </w:t>
      </w:r>
      <w:r w:rsidRPr="00EE14B8">
        <w:rPr>
          <w:rFonts w:ascii="Book Antiqua" w:hAnsi="Book Antiqua"/>
          <w:sz w:val="24"/>
          <w:szCs w:val="24"/>
        </w:rPr>
        <w:t>These may</w:t>
      </w:r>
      <w:r w:rsidR="008D4AE8" w:rsidRPr="00EE14B8">
        <w:rPr>
          <w:rFonts w:ascii="Book Antiqua" w:hAnsi="Book Antiqua"/>
          <w:sz w:val="24"/>
          <w:szCs w:val="24"/>
        </w:rPr>
        <w:t xml:space="preserve"> </w:t>
      </w:r>
      <w:r w:rsidRPr="00EE14B8">
        <w:rPr>
          <w:rFonts w:ascii="Book Antiqua" w:hAnsi="Book Antiqua"/>
          <w:sz w:val="24"/>
          <w:szCs w:val="24"/>
        </w:rPr>
        <w:t xml:space="preserve">include a </w:t>
      </w:r>
      <w:r w:rsidRPr="00EE14B8">
        <w:rPr>
          <w:rFonts w:ascii="Book Antiqua" w:hAnsi="Book Antiqua"/>
          <w:sz w:val="24"/>
          <w:szCs w:val="24"/>
        </w:rPr>
        <w:lastRenderedPageBreak/>
        <w:t>requirement to provide specified documents and other</w:t>
      </w:r>
      <w:r w:rsidR="008D4AE8" w:rsidRPr="00EE14B8">
        <w:rPr>
          <w:rFonts w:ascii="Book Antiqua" w:hAnsi="Book Antiqua"/>
          <w:sz w:val="24"/>
          <w:szCs w:val="24"/>
        </w:rPr>
        <w:t xml:space="preserve"> </w:t>
      </w:r>
      <w:r w:rsidRPr="00EE14B8">
        <w:rPr>
          <w:rFonts w:ascii="Book Antiqua" w:hAnsi="Book Antiqua"/>
          <w:sz w:val="24"/>
          <w:szCs w:val="24"/>
        </w:rPr>
        <w:t>information, position papers or confidential offers.</w:t>
      </w:r>
    </w:p>
    <w:p w14:paraId="2152ED3A" w14:textId="77777777" w:rsidR="0091552B" w:rsidRPr="00747D4C" w:rsidRDefault="0091552B" w:rsidP="00747D4C">
      <w:pPr>
        <w:spacing w:before="120" w:after="120"/>
        <w:jc w:val="both"/>
        <w:rPr>
          <w:rFonts w:ascii="Book Antiqua" w:hAnsi="Book Antiqua"/>
        </w:rPr>
      </w:pPr>
    </w:p>
    <w:p w14:paraId="05639EE5" w14:textId="77777777" w:rsidR="00443A6B" w:rsidRPr="00443A6B" w:rsidRDefault="008D4AE8" w:rsidP="00443A6B">
      <w:pPr>
        <w:pStyle w:val="Heading1"/>
        <w:spacing w:before="120" w:after="120"/>
        <w:rPr>
          <w:rFonts w:ascii="Book Antiqua" w:hAnsi="Book Antiqua"/>
          <w:szCs w:val="24"/>
        </w:rPr>
      </w:pPr>
      <w:r>
        <w:rPr>
          <w:rFonts w:ascii="Book Antiqua" w:hAnsi="Book Antiqua"/>
          <w:szCs w:val="24"/>
        </w:rPr>
        <w:t>CONFIDENTIALITY</w:t>
      </w:r>
    </w:p>
    <w:p w14:paraId="569286CF" w14:textId="77777777" w:rsidR="00F03565" w:rsidRDefault="00443A6B" w:rsidP="00CA4587">
      <w:pPr>
        <w:pStyle w:val="ListParagraph"/>
        <w:numPr>
          <w:ilvl w:val="1"/>
          <w:numId w:val="24"/>
        </w:numPr>
        <w:spacing w:before="120" w:after="120"/>
        <w:ind w:left="720" w:hanging="720"/>
        <w:jc w:val="both"/>
        <w:rPr>
          <w:rFonts w:ascii="Book Antiqua" w:hAnsi="Book Antiqua"/>
          <w:sz w:val="24"/>
          <w:szCs w:val="24"/>
        </w:rPr>
      </w:pPr>
      <w:r w:rsidRPr="00F03565">
        <w:rPr>
          <w:rFonts w:ascii="Book Antiqua" w:hAnsi="Book Antiqua"/>
          <w:sz w:val="24"/>
          <w:szCs w:val="24"/>
        </w:rPr>
        <w:t>Parties and other participants are to protect the confidentiality of all that</w:t>
      </w:r>
      <w:r w:rsidR="006174B6" w:rsidRPr="00F03565">
        <w:rPr>
          <w:rFonts w:ascii="Book Antiqua" w:hAnsi="Book Antiqua"/>
          <w:sz w:val="24"/>
          <w:szCs w:val="24"/>
        </w:rPr>
        <w:t xml:space="preserve"> </w:t>
      </w:r>
      <w:r w:rsidRPr="00F03565">
        <w:rPr>
          <w:rFonts w:ascii="Book Antiqua" w:hAnsi="Book Antiqua"/>
          <w:sz w:val="24"/>
          <w:szCs w:val="24"/>
        </w:rPr>
        <w:t>is said and done by any person in the course of the conduct of a</w:t>
      </w:r>
      <w:r w:rsidR="006174B6" w:rsidRPr="00F03565">
        <w:rPr>
          <w:rFonts w:ascii="Book Antiqua" w:hAnsi="Book Antiqua"/>
          <w:sz w:val="24"/>
          <w:szCs w:val="24"/>
        </w:rPr>
        <w:t xml:space="preserve"> </w:t>
      </w:r>
      <w:r w:rsidRPr="00F03565">
        <w:rPr>
          <w:rFonts w:ascii="Book Antiqua" w:hAnsi="Book Antiqua"/>
          <w:sz w:val="24"/>
          <w:szCs w:val="24"/>
        </w:rPr>
        <w:t>mediation.</w:t>
      </w:r>
      <w:r w:rsidR="000E5F64" w:rsidRPr="00F03565">
        <w:rPr>
          <w:rFonts w:ascii="Book Antiqua" w:hAnsi="Book Antiqua"/>
          <w:sz w:val="24"/>
          <w:szCs w:val="24"/>
        </w:rPr>
        <w:t xml:space="preserve"> </w:t>
      </w:r>
      <w:r w:rsidRPr="00F03565">
        <w:rPr>
          <w:rFonts w:ascii="Book Antiqua" w:hAnsi="Book Antiqua"/>
          <w:sz w:val="24"/>
          <w:szCs w:val="24"/>
        </w:rPr>
        <w:t xml:space="preserve"> Parties and practitioners are also referred to </w:t>
      </w:r>
      <w:proofErr w:type="spellStart"/>
      <w:r w:rsidRPr="00F03565">
        <w:rPr>
          <w:rFonts w:ascii="Book Antiqua" w:hAnsi="Book Antiqua"/>
          <w:sz w:val="24"/>
          <w:szCs w:val="24"/>
        </w:rPr>
        <w:t>s</w:t>
      </w:r>
      <w:proofErr w:type="spellEnd"/>
      <w:r w:rsidRPr="00F03565">
        <w:rPr>
          <w:rFonts w:ascii="Book Antiqua" w:hAnsi="Book Antiqua"/>
          <w:sz w:val="24"/>
          <w:szCs w:val="24"/>
        </w:rPr>
        <w:t xml:space="preserve"> 131 of the</w:t>
      </w:r>
      <w:r w:rsidR="006174B6" w:rsidRPr="00F03565">
        <w:rPr>
          <w:rFonts w:ascii="Book Antiqua" w:hAnsi="Book Antiqua"/>
          <w:sz w:val="24"/>
          <w:szCs w:val="24"/>
        </w:rPr>
        <w:t xml:space="preserve"> </w:t>
      </w:r>
      <w:r w:rsidRPr="00F03565">
        <w:rPr>
          <w:rFonts w:ascii="Book Antiqua" w:hAnsi="Book Antiqua"/>
          <w:i/>
          <w:sz w:val="24"/>
          <w:szCs w:val="24"/>
        </w:rPr>
        <w:t>Evidence Act 2008</w:t>
      </w:r>
      <w:r w:rsidRPr="00F03565">
        <w:rPr>
          <w:rFonts w:ascii="Book Antiqua" w:hAnsi="Book Antiqua"/>
          <w:sz w:val="24"/>
          <w:szCs w:val="24"/>
        </w:rPr>
        <w:t xml:space="preserve"> and s 67 of the </w:t>
      </w:r>
      <w:r w:rsidRPr="00F03565">
        <w:rPr>
          <w:rFonts w:ascii="Book Antiqua" w:hAnsi="Book Antiqua"/>
          <w:i/>
          <w:sz w:val="24"/>
          <w:szCs w:val="24"/>
        </w:rPr>
        <w:t>Civil Procedure Act 2010</w:t>
      </w:r>
      <w:r w:rsidRPr="00F03565">
        <w:rPr>
          <w:rFonts w:ascii="Book Antiqua" w:hAnsi="Book Antiqua"/>
          <w:sz w:val="24"/>
          <w:szCs w:val="24"/>
        </w:rPr>
        <w:t>.</w:t>
      </w:r>
    </w:p>
    <w:p w14:paraId="1C7C8D25" w14:textId="1882375C" w:rsidR="00443A6B" w:rsidRPr="00F03565" w:rsidRDefault="00443A6B" w:rsidP="00CA4587">
      <w:pPr>
        <w:pStyle w:val="ListParagraph"/>
        <w:numPr>
          <w:ilvl w:val="1"/>
          <w:numId w:val="24"/>
        </w:numPr>
        <w:spacing w:before="120" w:after="120"/>
        <w:ind w:left="720" w:hanging="720"/>
        <w:jc w:val="both"/>
        <w:rPr>
          <w:rFonts w:ascii="Book Antiqua" w:hAnsi="Book Antiqua"/>
          <w:sz w:val="24"/>
          <w:szCs w:val="24"/>
        </w:rPr>
      </w:pPr>
      <w:r w:rsidRPr="00F03565">
        <w:rPr>
          <w:rFonts w:ascii="Book Antiqua" w:hAnsi="Book Antiqua"/>
          <w:sz w:val="24"/>
          <w:szCs w:val="24"/>
        </w:rPr>
        <w:t>It will be the usual practice of the mediator to destroy all materials</w:t>
      </w:r>
      <w:r w:rsidR="006174B6" w:rsidRPr="00F03565">
        <w:rPr>
          <w:rFonts w:ascii="Book Antiqua" w:hAnsi="Book Antiqua"/>
          <w:sz w:val="24"/>
          <w:szCs w:val="24"/>
        </w:rPr>
        <w:t xml:space="preserve"> </w:t>
      </w:r>
      <w:r w:rsidRPr="00F03565">
        <w:rPr>
          <w:rFonts w:ascii="Book Antiqua" w:hAnsi="Book Antiqua"/>
          <w:sz w:val="24"/>
          <w:szCs w:val="24"/>
        </w:rPr>
        <w:t>provided to or prepared by the mediator and any other court officer</w:t>
      </w:r>
      <w:r w:rsidR="006174B6" w:rsidRPr="00F03565">
        <w:rPr>
          <w:rFonts w:ascii="Book Antiqua" w:hAnsi="Book Antiqua"/>
          <w:sz w:val="24"/>
          <w:szCs w:val="24"/>
        </w:rPr>
        <w:t xml:space="preserve"> </w:t>
      </w:r>
      <w:r w:rsidRPr="00F03565">
        <w:rPr>
          <w:rFonts w:ascii="Book Antiqua" w:hAnsi="Book Antiqua"/>
          <w:sz w:val="24"/>
          <w:szCs w:val="24"/>
        </w:rPr>
        <w:t>participating in the mediation, following completion of the mediation,</w:t>
      </w:r>
      <w:r w:rsidR="006174B6" w:rsidRPr="00F03565">
        <w:rPr>
          <w:rFonts w:ascii="Book Antiqua" w:hAnsi="Book Antiqua"/>
          <w:sz w:val="24"/>
          <w:szCs w:val="24"/>
        </w:rPr>
        <w:t xml:space="preserve"> </w:t>
      </w:r>
      <w:r w:rsidRPr="00F03565">
        <w:rPr>
          <w:rFonts w:ascii="Book Antiqua" w:hAnsi="Book Antiqua"/>
          <w:sz w:val="24"/>
          <w:szCs w:val="24"/>
        </w:rPr>
        <w:t>whether successful or not.</w:t>
      </w:r>
    </w:p>
    <w:p w14:paraId="713F7990" w14:textId="77777777" w:rsidR="0091552B" w:rsidRPr="006174B6" w:rsidRDefault="0091552B" w:rsidP="0091552B">
      <w:pPr>
        <w:pStyle w:val="ListParagraph"/>
        <w:spacing w:before="120" w:after="120"/>
        <w:ind w:left="360"/>
        <w:jc w:val="both"/>
        <w:rPr>
          <w:rFonts w:ascii="Book Antiqua" w:hAnsi="Book Antiqua"/>
          <w:sz w:val="24"/>
          <w:szCs w:val="24"/>
        </w:rPr>
      </w:pPr>
    </w:p>
    <w:p w14:paraId="2B278133" w14:textId="77777777" w:rsidR="00443A6B" w:rsidRPr="00443A6B" w:rsidRDefault="006174B6" w:rsidP="006174B6">
      <w:pPr>
        <w:pStyle w:val="Heading1"/>
        <w:spacing w:before="120" w:after="120"/>
        <w:rPr>
          <w:rFonts w:ascii="Book Antiqua" w:hAnsi="Book Antiqua"/>
          <w:szCs w:val="24"/>
        </w:rPr>
      </w:pPr>
      <w:r>
        <w:rPr>
          <w:rFonts w:ascii="Book Antiqua" w:hAnsi="Book Antiqua"/>
          <w:szCs w:val="24"/>
        </w:rPr>
        <w:t>ATTENDANCE AT MEDIATIONS</w:t>
      </w:r>
    </w:p>
    <w:p w14:paraId="0DEF5E6A" w14:textId="77777777" w:rsidR="00747D4C" w:rsidRDefault="00443A6B" w:rsidP="00CA4587">
      <w:pPr>
        <w:pStyle w:val="ListParagraph"/>
        <w:numPr>
          <w:ilvl w:val="1"/>
          <w:numId w:val="24"/>
        </w:numPr>
        <w:spacing w:before="120" w:after="120"/>
        <w:ind w:left="720" w:hanging="720"/>
        <w:jc w:val="both"/>
        <w:rPr>
          <w:rFonts w:ascii="Book Antiqua" w:hAnsi="Book Antiqua"/>
          <w:sz w:val="24"/>
          <w:szCs w:val="24"/>
        </w:rPr>
      </w:pPr>
      <w:r w:rsidRPr="00F03565">
        <w:rPr>
          <w:rFonts w:ascii="Book Antiqua" w:hAnsi="Book Antiqua"/>
          <w:sz w:val="24"/>
          <w:szCs w:val="24"/>
        </w:rPr>
        <w:t>A mediator may authorise the attendance at a mediation of persons</w:t>
      </w:r>
      <w:r w:rsidR="006174B6" w:rsidRPr="00F03565">
        <w:rPr>
          <w:rFonts w:ascii="Book Antiqua" w:hAnsi="Book Antiqua"/>
          <w:sz w:val="24"/>
          <w:szCs w:val="24"/>
        </w:rPr>
        <w:t xml:space="preserve"> </w:t>
      </w:r>
      <w:r w:rsidRPr="00F03565">
        <w:rPr>
          <w:rFonts w:ascii="Book Antiqua" w:hAnsi="Book Antiqua"/>
          <w:sz w:val="24"/>
          <w:szCs w:val="24"/>
        </w:rPr>
        <w:t xml:space="preserve">other than the parties and their legal representatives. </w:t>
      </w:r>
      <w:r w:rsidR="000E5F64" w:rsidRPr="00F03565">
        <w:rPr>
          <w:rFonts w:ascii="Book Antiqua" w:hAnsi="Book Antiqua"/>
          <w:sz w:val="24"/>
          <w:szCs w:val="24"/>
        </w:rPr>
        <w:t xml:space="preserve"> </w:t>
      </w:r>
      <w:r w:rsidRPr="00F03565">
        <w:rPr>
          <w:rFonts w:ascii="Book Antiqua" w:hAnsi="Book Antiqua"/>
          <w:sz w:val="24"/>
          <w:szCs w:val="24"/>
        </w:rPr>
        <w:t>Participation of all</w:t>
      </w:r>
      <w:r w:rsidR="006174B6" w:rsidRPr="00F03565">
        <w:rPr>
          <w:rFonts w:ascii="Book Antiqua" w:hAnsi="Book Antiqua"/>
          <w:sz w:val="24"/>
          <w:szCs w:val="24"/>
        </w:rPr>
        <w:t xml:space="preserve"> </w:t>
      </w:r>
      <w:r w:rsidRPr="00F03565">
        <w:rPr>
          <w:rFonts w:ascii="Book Antiqua" w:hAnsi="Book Antiqua"/>
          <w:sz w:val="24"/>
          <w:szCs w:val="24"/>
        </w:rPr>
        <w:t>persons in the mediation will be under the direction and control of the</w:t>
      </w:r>
      <w:r w:rsidR="006174B6" w:rsidRPr="00F03565">
        <w:rPr>
          <w:rFonts w:ascii="Book Antiqua" w:hAnsi="Book Antiqua"/>
          <w:sz w:val="24"/>
          <w:szCs w:val="24"/>
        </w:rPr>
        <w:t xml:space="preserve"> </w:t>
      </w:r>
      <w:r w:rsidRPr="00F03565">
        <w:rPr>
          <w:rFonts w:ascii="Book Antiqua" w:hAnsi="Book Antiqua"/>
          <w:sz w:val="24"/>
          <w:szCs w:val="24"/>
        </w:rPr>
        <w:t>mediator.</w:t>
      </w:r>
    </w:p>
    <w:p w14:paraId="455A0FA7" w14:textId="6DAE6031" w:rsidR="00443A6B" w:rsidRPr="00747D4C" w:rsidRDefault="000C6C0C" w:rsidP="00CA4587">
      <w:pPr>
        <w:pStyle w:val="ListParagraph"/>
        <w:numPr>
          <w:ilvl w:val="1"/>
          <w:numId w:val="24"/>
        </w:numPr>
        <w:spacing w:before="120" w:after="120"/>
        <w:ind w:left="720" w:hanging="720"/>
        <w:jc w:val="both"/>
        <w:rPr>
          <w:rFonts w:ascii="Book Antiqua" w:hAnsi="Book Antiqua"/>
          <w:sz w:val="24"/>
          <w:szCs w:val="24"/>
        </w:rPr>
      </w:pPr>
      <w:r>
        <w:rPr>
          <w:rFonts w:ascii="Book Antiqua" w:hAnsi="Book Antiqua"/>
          <w:sz w:val="24"/>
          <w:szCs w:val="24"/>
        </w:rPr>
        <w:t xml:space="preserve">The </w:t>
      </w:r>
      <w:r w:rsidR="00443A6B" w:rsidRPr="00747D4C">
        <w:rPr>
          <w:rFonts w:ascii="Book Antiqua" w:hAnsi="Book Antiqua"/>
          <w:sz w:val="24"/>
          <w:szCs w:val="24"/>
        </w:rPr>
        <w:t>mediation</w:t>
      </w:r>
      <w:r>
        <w:rPr>
          <w:rFonts w:ascii="Book Antiqua" w:hAnsi="Book Antiqua"/>
          <w:sz w:val="24"/>
          <w:szCs w:val="24"/>
        </w:rPr>
        <w:t xml:space="preserve"> must be</w:t>
      </w:r>
      <w:r w:rsidR="00443A6B" w:rsidRPr="00747D4C">
        <w:rPr>
          <w:rFonts w:ascii="Book Antiqua" w:hAnsi="Book Antiqua"/>
          <w:sz w:val="24"/>
          <w:szCs w:val="24"/>
        </w:rPr>
        <w:t xml:space="preserve"> attended by parties or</w:t>
      </w:r>
      <w:r w:rsidR="006174B6" w:rsidRPr="00747D4C">
        <w:rPr>
          <w:rFonts w:ascii="Book Antiqua" w:hAnsi="Book Antiqua"/>
          <w:sz w:val="24"/>
          <w:szCs w:val="24"/>
        </w:rPr>
        <w:t xml:space="preserve"> </w:t>
      </w:r>
      <w:r w:rsidR="00443A6B" w:rsidRPr="00747D4C">
        <w:rPr>
          <w:rFonts w:ascii="Book Antiqua" w:hAnsi="Book Antiqua"/>
          <w:sz w:val="24"/>
          <w:szCs w:val="24"/>
        </w:rPr>
        <w:t>representatives of the parties who have full authority to settle the</w:t>
      </w:r>
      <w:r w:rsidR="006174B6" w:rsidRPr="00747D4C">
        <w:rPr>
          <w:rFonts w:ascii="Book Antiqua" w:hAnsi="Book Antiqua"/>
          <w:sz w:val="24"/>
          <w:szCs w:val="24"/>
        </w:rPr>
        <w:t xml:space="preserve"> </w:t>
      </w:r>
      <w:r w:rsidR="00443A6B" w:rsidRPr="00747D4C">
        <w:rPr>
          <w:rFonts w:ascii="Book Antiqua" w:hAnsi="Book Antiqua"/>
          <w:sz w:val="24"/>
          <w:szCs w:val="24"/>
        </w:rPr>
        <w:t xml:space="preserve">proceeding. </w:t>
      </w:r>
      <w:r w:rsidR="000E5F64" w:rsidRPr="00747D4C">
        <w:rPr>
          <w:rFonts w:ascii="Book Antiqua" w:hAnsi="Book Antiqua"/>
          <w:sz w:val="24"/>
          <w:szCs w:val="24"/>
        </w:rPr>
        <w:t xml:space="preserve"> </w:t>
      </w:r>
    </w:p>
    <w:p w14:paraId="2B1744AC" w14:textId="44A231FF" w:rsidR="00443A6B"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The mediator will inform the parties of the identity of all attendees prior</w:t>
      </w:r>
      <w:r w:rsidR="006174B6">
        <w:rPr>
          <w:rFonts w:ascii="Book Antiqua" w:hAnsi="Book Antiqua"/>
          <w:sz w:val="24"/>
          <w:szCs w:val="24"/>
        </w:rPr>
        <w:t xml:space="preserve"> </w:t>
      </w:r>
      <w:r w:rsidRPr="006174B6">
        <w:rPr>
          <w:rFonts w:ascii="Book Antiqua" w:hAnsi="Book Antiqua"/>
          <w:sz w:val="24"/>
          <w:szCs w:val="24"/>
        </w:rPr>
        <w:t>to the commencement of the mediation.</w:t>
      </w:r>
    </w:p>
    <w:p w14:paraId="36B24D81" w14:textId="77777777" w:rsidR="0091552B" w:rsidRPr="006174B6" w:rsidRDefault="0091552B" w:rsidP="0091552B">
      <w:pPr>
        <w:pStyle w:val="ListParagraph"/>
        <w:spacing w:before="120" w:after="120"/>
        <w:ind w:left="360"/>
        <w:jc w:val="both"/>
        <w:rPr>
          <w:rFonts w:ascii="Book Antiqua" w:hAnsi="Book Antiqua"/>
          <w:sz w:val="24"/>
          <w:szCs w:val="24"/>
        </w:rPr>
      </w:pPr>
    </w:p>
    <w:p w14:paraId="71543197" w14:textId="77777777" w:rsidR="00443A6B" w:rsidRPr="00443A6B" w:rsidRDefault="008D4AE8" w:rsidP="00443A6B">
      <w:pPr>
        <w:pStyle w:val="Heading1"/>
        <w:spacing w:before="120" w:after="120"/>
        <w:rPr>
          <w:rFonts w:ascii="Book Antiqua" w:hAnsi="Book Antiqua"/>
          <w:szCs w:val="24"/>
        </w:rPr>
      </w:pPr>
      <w:r>
        <w:rPr>
          <w:rFonts w:ascii="Book Antiqua" w:hAnsi="Book Antiqua"/>
          <w:szCs w:val="24"/>
        </w:rPr>
        <w:t>LEGAL ADVICE OR ASSISTANCE</w:t>
      </w:r>
    </w:p>
    <w:p w14:paraId="45FF64FE" w14:textId="77777777" w:rsidR="00443A6B" w:rsidRDefault="00443A6B" w:rsidP="003321E3">
      <w:pPr>
        <w:pStyle w:val="ListParagraph"/>
        <w:numPr>
          <w:ilvl w:val="1"/>
          <w:numId w:val="24"/>
        </w:numPr>
        <w:spacing w:before="120" w:after="120"/>
        <w:ind w:left="720" w:hanging="720"/>
        <w:jc w:val="both"/>
        <w:rPr>
          <w:rFonts w:ascii="Book Antiqua" w:hAnsi="Book Antiqua"/>
          <w:sz w:val="24"/>
          <w:szCs w:val="24"/>
        </w:rPr>
      </w:pPr>
      <w:r w:rsidRPr="006174B6">
        <w:rPr>
          <w:rFonts w:ascii="Book Antiqua" w:hAnsi="Book Antiqua"/>
          <w:sz w:val="24"/>
          <w:szCs w:val="24"/>
        </w:rPr>
        <w:t>A mediator will not evaluate issues in dispute or provide legal advice to</w:t>
      </w:r>
      <w:r w:rsidR="006174B6" w:rsidRPr="006174B6">
        <w:rPr>
          <w:rFonts w:ascii="Book Antiqua" w:hAnsi="Book Antiqua"/>
          <w:sz w:val="24"/>
          <w:szCs w:val="24"/>
        </w:rPr>
        <w:t xml:space="preserve"> </w:t>
      </w:r>
      <w:r w:rsidRPr="006174B6">
        <w:rPr>
          <w:rFonts w:ascii="Book Antiqua" w:hAnsi="Book Antiqua"/>
          <w:sz w:val="24"/>
          <w:szCs w:val="24"/>
        </w:rPr>
        <w:t>parties, and will not</w:t>
      </w:r>
      <w:r w:rsidR="00097AC3">
        <w:rPr>
          <w:rFonts w:ascii="Book Antiqua" w:hAnsi="Book Antiqua"/>
          <w:sz w:val="24"/>
          <w:szCs w:val="24"/>
        </w:rPr>
        <w:t xml:space="preserve"> generally</w:t>
      </w:r>
      <w:r w:rsidRPr="006174B6">
        <w:rPr>
          <w:rFonts w:ascii="Book Antiqua" w:hAnsi="Book Antiqua"/>
          <w:sz w:val="24"/>
          <w:szCs w:val="24"/>
        </w:rPr>
        <w:t xml:space="preserve"> assist with the preparation of any terms of</w:t>
      </w:r>
      <w:r w:rsidR="006174B6">
        <w:rPr>
          <w:rFonts w:ascii="Book Antiqua" w:hAnsi="Book Antiqua"/>
          <w:sz w:val="24"/>
          <w:szCs w:val="24"/>
        </w:rPr>
        <w:t xml:space="preserve"> </w:t>
      </w:r>
      <w:r w:rsidRPr="006174B6">
        <w:rPr>
          <w:rFonts w:ascii="Book Antiqua" w:hAnsi="Book Antiqua"/>
          <w:sz w:val="24"/>
          <w:szCs w:val="24"/>
        </w:rPr>
        <w:t>settlement.</w:t>
      </w:r>
    </w:p>
    <w:p w14:paraId="71D236EB" w14:textId="77777777" w:rsidR="0091552B" w:rsidRPr="006174B6" w:rsidRDefault="0091552B" w:rsidP="0091552B">
      <w:pPr>
        <w:pStyle w:val="ListParagraph"/>
        <w:spacing w:before="120" w:after="120"/>
        <w:ind w:left="360"/>
        <w:jc w:val="both"/>
        <w:rPr>
          <w:rFonts w:ascii="Book Antiqua" w:hAnsi="Book Antiqua"/>
          <w:sz w:val="24"/>
          <w:szCs w:val="24"/>
        </w:rPr>
      </w:pPr>
    </w:p>
    <w:p w14:paraId="2891BCA0" w14:textId="77777777" w:rsidR="00443A6B" w:rsidRPr="00443A6B" w:rsidRDefault="008D4AE8" w:rsidP="00443A6B">
      <w:pPr>
        <w:pStyle w:val="Heading1"/>
        <w:spacing w:before="120" w:after="120"/>
        <w:rPr>
          <w:rFonts w:ascii="Book Antiqua" w:hAnsi="Book Antiqua"/>
          <w:szCs w:val="24"/>
        </w:rPr>
      </w:pPr>
      <w:r>
        <w:rPr>
          <w:rFonts w:ascii="Book Antiqua" w:hAnsi="Book Antiqua"/>
          <w:szCs w:val="24"/>
        </w:rPr>
        <w:t>MEETING SEPARATELY WITH THE PARTIES- CAUCUSING</w:t>
      </w:r>
    </w:p>
    <w:p w14:paraId="212C273F" w14:textId="16357BE2" w:rsidR="00F03565" w:rsidRPr="00747D4C" w:rsidRDefault="00443A6B" w:rsidP="00CA4587">
      <w:pPr>
        <w:pStyle w:val="ListParagraph"/>
        <w:numPr>
          <w:ilvl w:val="1"/>
          <w:numId w:val="24"/>
        </w:numPr>
        <w:spacing w:before="120" w:after="120"/>
        <w:ind w:left="720" w:hanging="720"/>
        <w:jc w:val="both"/>
        <w:rPr>
          <w:rFonts w:ascii="Book Antiqua" w:hAnsi="Book Antiqua"/>
          <w:sz w:val="24"/>
          <w:szCs w:val="24"/>
        </w:rPr>
      </w:pPr>
      <w:r w:rsidRPr="006174B6">
        <w:rPr>
          <w:rFonts w:ascii="Book Antiqua" w:hAnsi="Book Antiqua"/>
          <w:sz w:val="24"/>
          <w:szCs w:val="24"/>
        </w:rPr>
        <w:t>Mediation styles and practices will differ between judicial mediators.</w:t>
      </w:r>
      <w:r w:rsidR="006174B6" w:rsidRPr="006174B6">
        <w:rPr>
          <w:rFonts w:ascii="Book Antiqua" w:hAnsi="Book Antiqua"/>
          <w:sz w:val="24"/>
          <w:szCs w:val="24"/>
        </w:rPr>
        <w:t xml:space="preserve"> </w:t>
      </w:r>
      <w:r w:rsidR="000E5F64">
        <w:rPr>
          <w:rFonts w:ascii="Book Antiqua" w:hAnsi="Book Antiqua"/>
          <w:sz w:val="24"/>
          <w:szCs w:val="24"/>
        </w:rPr>
        <w:t xml:space="preserve"> </w:t>
      </w:r>
      <w:r w:rsidRPr="006174B6">
        <w:rPr>
          <w:rFonts w:ascii="Book Antiqua" w:hAnsi="Book Antiqua"/>
          <w:sz w:val="24"/>
          <w:szCs w:val="24"/>
        </w:rPr>
        <w:t>Some mediators may be prepared to caucus, depending on the nature</w:t>
      </w:r>
      <w:r w:rsidR="006174B6" w:rsidRPr="006174B6">
        <w:rPr>
          <w:rFonts w:ascii="Book Antiqua" w:hAnsi="Book Antiqua"/>
          <w:sz w:val="24"/>
          <w:szCs w:val="24"/>
        </w:rPr>
        <w:t xml:space="preserve"> </w:t>
      </w:r>
      <w:r w:rsidRPr="006174B6">
        <w:rPr>
          <w:rFonts w:ascii="Book Antiqua" w:hAnsi="Book Antiqua"/>
          <w:sz w:val="24"/>
          <w:szCs w:val="24"/>
        </w:rPr>
        <w:t xml:space="preserve">and circumstances of the case. </w:t>
      </w:r>
      <w:r w:rsidR="000E5F64">
        <w:rPr>
          <w:rFonts w:ascii="Book Antiqua" w:hAnsi="Book Antiqua"/>
          <w:sz w:val="24"/>
          <w:szCs w:val="24"/>
        </w:rPr>
        <w:t xml:space="preserve"> </w:t>
      </w:r>
      <w:r w:rsidRPr="006174B6">
        <w:rPr>
          <w:rFonts w:ascii="Book Antiqua" w:hAnsi="Book Antiqua"/>
          <w:sz w:val="24"/>
          <w:szCs w:val="24"/>
        </w:rPr>
        <w:t>Other mediators may not be prepared</w:t>
      </w:r>
      <w:r w:rsidR="006174B6">
        <w:rPr>
          <w:rFonts w:ascii="Book Antiqua" w:hAnsi="Book Antiqua"/>
          <w:sz w:val="24"/>
          <w:szCs w:val="24"/>
        </w:rPr>
        <w:t xml:space="preserve"> </w:t>
      </w:r>
      <w:r w:rsidRPr="006174B6">
        <w:rPr>
          <w:rFonts w:ascii="Book Antiqua" w:hAnsi="Book Antiqua"/>
          <w:sz w:val="24"/>
          <w:szCs w:val="24"/>
        </w:rPr>
        <w:t>to do so.</w:t>
      </w:r>
    </w:p>
    <w:p w14:paraId="211DC672" w14:textId="49F6EE98" w:rsidR="00443A6B" w:rsidRDefault="00443A6B" w:rsidP="00CA4587">
      <w:pPr>
        <w:pStyle w:val="ListParagraph"/>
        <w:numPr>
          <w:ilvl w:val="1"/>
          <w:numId w:val="24"/>
        </w:numPr>
        <w:spacing w:before="120" w:after="120"/>
        <w:ind w:left="720" w:hanging="720"/>
        <w:jc w:val="both"/>
        <w:rPr>
          <w:rFonts w:ascii="Book Antiqua" w:hAnsi="Book Antiqua"/>
          <w:sz w:val="24"/>
          <w:szCs w:val="24"/>
        </w:rPr>
      </w:pPr>
      <w:r w:rsidRPr="006174B6">
        <w:rPr>
          <w:rFonts w:ascii="Book Antiqua" w:hAnsi="Book Antiqua"/>
          <w:sz w:val="24"/>
          <w:szCs w:val="24"/>
        </w:rPr>
        <w:t>Information provided by a party to a mediator in a separate session will</w:t>
      </w:r>
      <w:r w:rsidR="006174B6" w:rsidRPr="006174B6">
        <w:rPr>
          <w:rFonts w:ascii="Book Antiqua" w:hAnsi="Book Antiqua"/>
          <w:sz w:val="24"/>
          <w:szCs w:val="24"/>
        </w:rPr>
        <w:t xml:space="preserve"> </w:t>
      </w:r>
      <w:r w:rsidRPr="006174B6">
        <w:rPr>
          <w:rFonts w:ascii="Book Antiqua" w:hAnsi="Book Antiqua"/>
          <w:sz w:val="24"/>
          <w:szCs w:val="24"/>
        </w:rPr>
        <w:t>not be disclosed to any other party unless the mediator has been</w:t>
      </w:r>
      <w:r w:rsidR="006174B6" w:rsidRPr="006174B6">
        <w:rPr>
          <w:rFonts w:ascii="Book Antiqua" w:hAnsi="Book Antiqua"/>
          <w:sz w:val="24"/>
          <w:szCs w:val="24"/>
        </w:rPr>
        <w:t xml:space="preserve"> </w:t>
      </w:r>
      <w:r w:rsidRPr="006174B6">
        <w:rPr>
          <w:rFonts w:ascii="Book Antiqua" w:hAnsi="Book Antiqua"/>
          <w:sz w:val="24"/>
          <w:szCs w:val="24"/>
        </w:rPr>
        <w:t xml:space="preserve">expressly authorised to do so. </w:t>
      </w:r>
      <w:r w:rsidR="000E5F64">
        <w:rPr>
          <w:rFonts w:ascii="Book Antiqua" w:hAnsi="Book Antiqua"/>
          <w:sz w:val="24"/>
          <w:szCs w:val="24"/>
        </w:rPr>
        <w:t xml:space="preserve"> </w:t>
      </w:r>
      <w:r w:rsidRPr="006174B6">
        <w:rPr>
          <w:rFonts w:ascii="Book Antiqua" w:hAnsi="Book Antiqua"/>
          <w:sz w:val="24"/>
          <w:szCs w:val="24"/>
        </w:rPr>
        <w:t>This will not restrict the mediator from</w:t>
      </w:r>
      <w:r w:rsidR="006174B6" w:rsidRPr="006174B6">
        <w:rPr>
          <w:rFonts w:ascii="Book Antiqua" w:hAnsi="Book Antiqua"/>
          <w:sz w:val="24"/>
          <w:szCs w:val="24"/>
        </w:rPr>
        <w:t xml:space="preserve"> </w:t>
      </w:r>
      <w:r w:rsidRPr="006174B6">
        <w:rPr>
          <w:rFonts w:ascii="Book Antiqua" w:hAnsi="Book Antiqua"/>
          <w:sz w:val="24"/>
          <w:szCs w:val="24"/>
        </w:rPr>
        <w:t>terminating the mediation upon receiving information which by its</w:t>
      </w:r>
      <w:r w:rsidR="006174B6" w:rsidRPr="006174B6">
        <w:rPr>
          <w:rFonts w:ascii="Book Antiqua" w:hAnsi="Book Antiqua"/>
          <w:sz w:val="24"/>
          <w:szCs w:val="24"/>
        </w:rPr>
        <w:t xml:space="preserve"> </w:t>
      </w:r>
      <w:r w:rsidRPr="006174B6">
        <w:rPr>
          <w:rFonts w:ascii="Book Antiqua" w:hAnsi="Book Antiqua"/>
          <w:sz w:val="24"/>
          <w:szCs w:val="24"/>
        </w:rPr>
        <w:t>nature is open to an interpretation of illegal, improper or unethical</w:t>
      </w:r>
      <w:r w:rsidR="006174B6">
        <w:rPr>
          <w:rFonts w:ascii="Book Antiqua" w:hAnsi="Book Antiqua"/>
          <w:sz w:val="24"/>
          <w:szCs w:val="24"/>
        </w:rPr>
        <w:t xml:space="preserve"> </w:t>
      </w:r>
      <w:r w:rsidRPr="006174B6">
        <w:rPr>
          <w:rFonts w:ascii="Book Antiqua" w:hAnsi="Book Antiqua"/>
          <w:sz w:val="24"/>
          <w:szCs w:val="24"/>
        </w:rPr>
        <w:t>conduct.</w:t>
      </w:r>
    </w:p>
    <w:p w14:paraId="0E52BFE2" w14:textId="77777777" w:rsidR="0091552B" w:rsidRPr="006174B6" w:rsidRDefault="0091552B" w:rsidP="0091552B">
      <w:pPr>
        <w:pStyle w:val="ListParagraph"/>
        <w:spacing w:before="120" w:after="120"/>
        <w:ind w:left="360"/>
        <w:jc w:val="both"/>
        <w:rPr>
          <w:rFonts w:ascii="Book Antiqua" w:hAnsi="Book Antiqua"/>
          <w:sz w:val="24"/>
          <w:szCs w:val="24"/>
        </w:rPr>
      </w:pPr>
    </w:p>
    <w:p w14:paraId="17980AFC" w14:textId="77777777" w:rsidR="00443A6B" w:rsidRPr="00443A6B" w:rsidRDefault="008D4AE8" w:rsidP="00443A6B">
      <w:pPr>
        <w:pStyle w:val="Heading1"/>
        <w:spacing w:before="120" w:after="120"/>
        <w:rPr>
          <w:rFonts w:ascii="Book Antiqua" w:hAnsi="Book Antiqua"/>
          <w:szCs w:val="24"/>
        </w:rPr>
      </w:pPr>
      <w:r>
        <w:rPr>
          <w:rFonts w:ascii="Book Antiqua" w:hAnsi="Book Antiqua"/>
          <w:szCs w:val="24"/>
        </w:rPr>
        <w:t>ADJOURNMENT</w:t>
      </w:r>
    </w:p>
    <w:p w14:paraId="58C9606C" w14:textId="222C080A" w:rsidR="00F03565" w:rsidRPr="00747D4C" w:rsidRDefault="00443A6B" w:rsidP="00CA4587">
      <w:pPr>
        <w:pStyle w:val="ListParagraph"/>
        <w:numPr>
          <w:ilvl w:val="1"/>
          <w:numId w:val="24"/>
        </w:numPr>
        <w:spacing w:before="120" w:after="120"/>
        <w:ind w:left="720" w:hanging="720"/>
        <w:jc w:val="both"/>
        <w:rPr>
          <w:rFonts w:ascii="Book Antiqua" w:hAnsi="Book Antiqua"/>
          <w:sz w:val="24"/>
          <w:szCs w:val="24"/>
        </w:rPr>
      </w:pPr>
      <w:r w:rsidRPr="00443A6B">
        <w:rPr>
          <w:rFonts w:ascii="Book Antiqua" w:hAnsi="Book Antiqua"/>
          <w:sz w:val="24"/>
          <w:szCs w:val="24"/>
        </w:rPr>
        <w:t>A mediator may adjourn the mediation to continue at a later date, either</w:t>
      </w:r>
      <w:r w:rsidR="006174B6">
        <w:rPr>
          <w:rFonts w:ascii="Book Antiqua" w:hAnsi="Book Antiqua"/>
          <w:sz w:val="24"/>
          <w:szCs w:val="24"/>
        </w:rPr>
        <w:t xml:space="preserve"> </w:t>
      </w:r>
      <w:r w:rsidRPr="006174B6">
        <w:rPr>
          <w:rFonts w:ascii="Book Antiqua" w:hAnsi="Book Antiqua"/>
          <w:sz w:val="24"/>
          <w:szCs w:val="24"/>
        </w:rPr>
        <w:t>under the conduct of the same or a different mediator.</w:t>
      </w:r>
    </w:p>
    <w:p w14:paraId="365E8663" w14:textId="77777777" w:rsidR="00325AC6" w:rsidRPr="00325AC6" w:rsidRDefault="00443A6B" w:rsidP="00CA4587">
      <w:pPr>
        <w:pStyle w:val="ListParagraph"/>
        <w:numPr>
          <w:ilvl w:val="1"/>
          <w:numId w:val="24"/>
        </w:numPr>
        <w:spacing w:before="120" w:after="120"/>
        <w:ind w:left="720" w:hanging="720"/>
        <w:jc w:val="both"/>
        <w:rPr>
          <w:rFonts w:ascii="Book Antiqua" w:hAnsi="Book Antiqua"/>
          <w:sz w:val="24"/>
          <w:szCs w:val="24"/>
        </w:rPr>
      </w:pPr>
      <w:r w:rsidRPr="006174B6">
        <w:rPr>
          <w:rFonts w:ascii="Book Antiqua" w:hAnsi="Book Antiqua"/>
          <w:sz w:val="24"/>
          <w:szCs w:val="24"/>
        </w:rPr>
        <w:t>If the proceeding fails to settle at mediation, the mediator may give</w:t>
      </w:r>
      <w:r w:rsidR="006174B6" w:rsidRPr="006174B6">
        <w:rPr>
          <w:rFonts w:ascii="Book Antiqua" w:hAnsi="Book Antiqua"/>
          <w:sz w:val="24"/>
          <w:szCs w:val="24"/>
        </w:rPr>
        <w:t xml:space="preserve"> </w:t>
      </w:r>
      <w:r w:rsidRPr="006174B6">
        <w:rPr>
          <w:rFonts w:ascii="Book Antiqua" w:hAnsi="Book Antiqua"/>
          <w:sz w:val="24"/>
          <w:szCs w:val="24"/>
        </w:rPr>
        <w:t xml:space="preserve">directions for the further conduct of the proceeding in </w:t>
      </w:r>
      <w:r w:rsidR="00862355">
        <w:rPr>
          <w:rFonts w:ascii="Book Antiqua" w:hAnsi="Book Antiqua"/>
          <w:sz w:val="24"/>
          <w:szCs w:val="24"/>
        </w:rPr>
        <w:t>her/his</w:t>
      </w:r>
      <w:r w:rsidRPr="006174B6">
        <w:rPr>
          <w:rFonts w:ascii="Book Antiqua" w:hAnsi="Book Antiqua"/>
          <w:sz w:val="24"/>
          <w:szCs w:val="24"/>
        </w:rPr>
        <w:t xml:space="preserve"> capacity as</w:t>
      </w:r>
      <w:r w:rsidR="006174B6">
        <w:rPr>
          <w:rFonts w:ascii="Book Antiqua" w:hAnsi="Book Antiqua"/>
          <w:sz w:val="24"/>
          <w:szCs w:val="24"/>
        </w:rPr>
        <w:t xml:space="preserve"> </w:t>
      </w:r>
      <w:r w:rsidR="000E5F64">
        <w:rPr>
          <w:rFonts w:ascii="Book Antiqua" w:hAnsi="Book Antiqua"/>
          <w:sz w:val="24"/>
          <w:szCs w:val="24"/>
        </w:rPr>
        <w:t>a J</w:t>
      </w:r>
      <w:r w:rsidRPr="006174B6">
        <w:rPr>
          <w:rFonts w:ascii="Book Antiqua" w:hAnsi="Book Antiqua"/>
          <w:sz w:val="24"/>
          <w:szCs w:val="24"/>
        </w:rPr>
        <w:t>udge</w:t>
      </w:r>
      <w:r w:rsidR="0091552B">
        <w:rPr>
          <w:rFonts w:ascii="Book Antiqua" w:hAnsi="Book Antiqua"/>
          <w:sz w:val="24"/>
          <w:szCs w:val="24"/>
        </w:rPr>
        <w:t>,</w:t>
      </w:r>
      <w:r w:rsidR="000E5F64">
        <w:rPr>
          <w:rFonts w:ascii="Book Antiqua" w:hAnsi="Book Antiqua"/>
          <w:sz w:val="24"/>
          <w:szCs w:val="24"/>
        </w:rPr>
        <w:t xml:space="preserve"> Associate J</w:t>
      </w:r>
      <w:r w:rsidRPr="006174B6">
        <w:rPr>
          <w:rFonts w:ascii="Book Antiqua" w:hAnsi="Book Antiqua"/>
          <w:sz w:val="24"/>
          <w:szCs w:val="24"/>
        </w:rPr>
        <w:t>udge</w:t>
      </w:r>
      <w:r w:rsidR="000E5F64">
        <w:rPr>
          <w:rFonts w:ascii="Book Antiqua" w:hAnsi="Book Antiqua"/>
          <w:sz w:val="24"/>
          <w:szCs w:val="24"/>
        </w:rPr>
        <w:t xml:space="preserve"> or Judicial R</w:t>
      </w:r>
      <w:r w:rsidR="0091552B">
        <w:rPr>
          <w:rFonts w:ascii="Book Antiqua" w:hAnsi="Book Antiqua"/>
          <w:sz w:val="24"/>
          <w:szCs w:val="24"/>
        </w:rPr>
        <w:t>egistrar</w:t>
      </w:r>
      <w:r w:rsidR="009D5BAD">
        <w:rPr>
          <w:rFonts w:ascii="Book Antiqua" w:hAnsi="Book Antiqua"/>
          <w:sz w:val="24"/>
          <w:szCs w:val="24"/>
        </w:rPr>
        <w:t xml:space="preserve">, by consent or at the request of the parties. </w:t>
      </w:r>
      <w:r w:rsidR="00325AC6" w:rsidRPr="00325AC6">
        <w:rPr>
          <w:rFonts w:ascii="Book Antiqua" w:hAnsi="Book Antiqua"/>
          <w:sz w:val="24"/>
          <w:szCs w:val="24"/>
        </w:rPr>
        <w:br/>
      </w:r>
    </w:p>
    <w:p w14:paraId="63564F1E" w14:textId="77777777" w:rsidR="001F1D76" w:rsidRPr="00B36C72" w:rsidRDefault="001F1D76" w:rsidP="00325AC6">
      <w:pPr>
        <w:pStyle w:val="Heading1"/>
        <w:spacing w:before="120" w:after="120"/>
        <w:rPr>
          <w:rFonts w:ascii="Book Antiqua" w:hAnsi="Book Antiqua"/>
        </w:rPr>
      </w:pPr>
      <w:r w:rsidRPr="00B36C72">
        <w:rPr>
          <w:rFonts w:ascii="Book Antiqua" w:hAnsi="Book Antiqua"/>
        </w:rPr>
        <w:lastRenderedPageBreak/>
        <w:t xml:space="preserve">FINALISATION </w:t>
      </w:r>
    </w:p>
    <w:p w14:paraId="012612DC" w14:textId="038409FD" w:rsidR="001F1D76" w:rsidRPr="00B36C72" w:rsidRDefault="001F1D76" w:rsidP="00325AC6">
      <w:pPr>
        <w:spacing w:before="120" w:after="120"/>
        <w:ind w:left="720" w:hanging="720"/>
        <w:rPr>
          <w:rFonts w:ascii="Book Antiqua" w:hAnsi="Book Antiqua"/>
        </w:rPr>
      </w:pPr>
      <w:r w:rsidRPr="00B36C72">
        <w:rPr>
          <w:rFonts w:ascii="Book Antiqua" w:hAnsi="Book Antiqua"/>
        </w:rPr>
        <w:t>1</w:t>
      </w:r>
      <w:r w:rsidR="007512DD">
        <w:rPr>
          <w:rFonts w:ascii="Book Antiqua" w:hAnsi="Book Antiqua"/>
        </w:rPr>
        <w:t>2</w:t>
      </w:r>
      <w:r w:rsidRPr="00B36C72">
        <w:rPr>
          <w:rFonts w:ascii="Book Antiqua" w:hAnsi="Book Antiqua"/>
        </w:rPr>
        <w:t>.1</w:t>
      </w:r>
      <w:r w:rsidRPr="00B36C72">
        <w:rPr>
          <w:rFonts w:ascii="Book Antiqua" w:hAnsi="Book Antiqua"/>
        </w:rPr>
        <w:tab/>
        <w:t xml:space="preserve">If the matter resolves at mediation, and the parties consent, the mediator can make orders finalising the matter. </w:t>
      </w:r>
    </w:p>
    <w:p w14:paraId="2CAE370C" w14:textId="77777777" w:rsidR="0091552B" w:rsidRPr="00B36C72" w:rsidRDefault="0091552B" w:rsidP="00B36C72">
      <w:pPr>
        <w:spacing w:before="120" w:after="120"/>
        <w:jc w:val="both"/>
        <w:rPr>
          <w:rFonts w:ascii="Book Antiqua" w:hAnsi="Book Antiqua"/>
        </w:rPr>
      </w:pPr>
    </w:p>
    <w:p w14:paraId="328298E2" w14:textId="77777777" w:rsidR="00443A6B" w:rsidRPr="00443A6B" w:rsidRDefault="009D5BAD" w:rsidP="00443A6B">
      <w:pPr>
        <w:pStyle w:val="Heading1"/>
        <w:spacing w:before="120" w:after="120"/>
        <w:rPr>
          <w:rFonts w:ascii="Book Antiqua" w:hAnsi="Book Antiqua"/>
          <w:szCs w:val="24"/>
        </w:rPr>
      </w:pPr>
      <w:r>
        <w:rPr>
          <w:rFonts w:ascii="Book Antiqua" w:hAnsi="Book Antiqua"/>
          <w:szCs w:val="24"/>
        </w:rPr>
        <w:t xml:space="preserve">FURTHER COURSE OF PROCEEDINGS POST MEDIATION </w:t>
      </w:r>
    </w:p>
    <w:p w14:paraId="572FED0E" w14:textId="77777777" w:rsidR="00C01D2D" w:rsidRPr="00325AC6" w:rsidRDefault="009D5BAD" w:rsidP="002D6454">
      <w:pPr>
        <w:pStyle w:val="ListParagraph"/>
        <w:numPr>
          <w:ilvl w:val="1"/>
          <w:numId w:val="24"/>
        </w:numPr>
        <w:spacing w:before="120" w:after="120"/>
        <w:ind w:left="720" w:hanging="720"/>
        <w:jc w:val="both"/>
      </w:pPr>
      <w:r w:rsidRPr="00C01D2D">
        <w:rPr>
          <w:rFonts w:ascii="Book Antiqua" w:hAnsi="Book Antiqua"/>
          <w:sz w:val="24"/>
          <w:szCs w:val="24"/>
        </w:rPr>
        <w:t>Subject to paragraph</w:t>
      </w:r>
      <w:r w:rsidR="001F1D76" w:rsidRPr="00C01D2D">
        <w:rPr>
          <w:rFonts w:ascii="Book Antiqua" w:hAnsi="Book Antiqua"/>
          <w:sz w:val="24"/>
          <w:szCs w:val="24"/>
        </w:rPr>
        <w:t>s</w:t>
      </w:r>
      <w:r w:rsidRPr="00C01D2D">
        <w:rPr>
          <w:rFonts w:ascii="Book Antiqua" w:hAnsi="Book Antiqua"/>
          <w:sz w:val="24"/>
          <w:szCs w:val="24"/>
        </w:rPr>
        <w:t xml:space="preserve"> 10.2</w:t>
      </w:r>
      <w:r w:rsidR="001F1D76" w:rsidRPr="00C01D2D">
        <w:rPr>
          <w:rFonts w:ascii="Book Antiqua" w:hAnsi="Book Antiqua"/>
          <w:sz w:val="24"/>
          <w:szCs w:val="24"/>
        </w:rPr>
        <w:t xml:space="preserve"> and 11.1</w:t>
      </w:r>
      <w:r w:rsidRPr="00C01D2D">
        <w:rPr>
          <w:rFonts w:ascii="Book Antiqua" w:hAnsi="Book Antiqua"/>
          <w:sz w:val="24"/>
          <w:szCs w:val="24"/>
        </w:rPr>
        <w:t>, n</w:t>
      </w:r>
      <w:r w:rsidR="00443A6B" w:rsidRPr="00C01D2D">
        <w:rPr>
          <w:rFonts w:ascii="Book Antiqua" w:hAnsi="Book Antiqua"/>
          <w:sz w:val="24"/>
          <w:szCs w:val="24"/>
        </w:rPr>
        <w:t>o member of the Court will hear and determine an issue in a</w:t>
      </w:r>
      <w:r w:rsidR="006174B6" w:rsidRPr="00C01D2D">
        <w:rPr>
          <w:rFonts w:ascii="Book Antiqua" w:hAnsi="Book Antiqua"/>
          <w:sz w:val="24"/>
          <w:szCs w:val="24"/>
        </w:rPr>
        <w:t xml:space="preserve"> </w:t>
      </w:r>
      <w:r w:rsidR="00443A6B" w:rsidRPr="00C01D2D">
        <w:rPr>
          <w:rFonts w:ascii="Book Antiqua" w:hAnsi="Book Antiqua"/>
          <w:sz w:val="24"/>
          <w:szCs w:val="24"/>
        </w:rPr>
        <w:t>proceeding in which that person acted as a mediator, or where he or</w:t>
      </w:r>
      <w:r w:rsidR="006174B6" w:rsidRPr="00C01D2D">
        <w:rPr>
          <w:rFonts w:ascii="Book Antiqua" w:hAnsi="Book Antiqua"/>
          <w:sz w:val="24"/>
          <w:szCs w:val="24"/>
        </w:rPr>
        <w:t xml:space="preserve"> </w:t>
      </w:r>
      <w:r w:rsidR="00443A6B" w:rsidRPr="00C01D2D">
        <w:rPr>
          <w:rFonts w:ascii="Book Antiqua" w:hAnsi="Book Antiqua"/>
          <w:sz w:val="24"/>
          <w:szCs w:val="24"/>
        </w:rPr>
        <w:t>she has become acquainted with any confidential inform</w:t>
      </w:r>
      <w:r w:rsidR="006174B6" w:rsidRPr="00C01D2D">
        <w:rPr>
          <w:rFonts w:ascii="Book Antiqua" w:hAnsi="Book Antiqua"/>
          <w:sz w:val="24"/>
          <w:szCs w:val="24"/>
        </w:rPr>
        <w:t xml:space="preserve">ation relating </w:t>
      </w:r>
      <w:r w:rsidR="00443A6B" w:rsidRPr="00C01D2D">
        <w:rPr>
          <w:rFonts w:ascii="Book Antiqua" w:hAnsi="Book Antiqua"/>
          <w:sz w:val="24"/>
          <w:szCs w:val="24"/>
        </w:rPr>
        <w:t>to the medi</w:t>
      </w:r>
      <w:r w:rsidR="00443A6B" w:rsidRPr="00325AC6">
        <w:rPr>
          <w:rFonts w:ascii="Book Antiqua" w:hAnsi="Book Antiqua"/>
          <w:sz w:val="24"/>
          <w:szCs w:val="24"/>
        </w:rPr>
        <w:t>ation of the dispute (e.g. where confidential information was</w:t>
      </w:r>
      <w:r w:rsidR="006174B6" w:rsidRPr="00325AC6">
        <w:rPr>
          <w:rFonts w:ascii="Book Antiqua" w:hAnsi="Book Antiqua"/>
          <w:sz w:val="24"/>
          <w:szCs w:val="24"/>
        </w:rPr>
        <w:t xml:space="preserve"> </w:t>
      </w:r>
      <w:r w:rsidR="00443A6B" w:rsidRPr="00325AC6">
        <w:rPr>
          <w:rFonts w:ascii="Book Antiqua" w:hAnsi="Book Antiqua"/>
          <w:sz w:val="24"/>
          <w:szCs w:val="24"/>
        </w:rPr>
        <w:t>provided in preparation for a mediation that was subsequently</w:t>
      </w:r>
      <w:r w:rsidR="006174B6" w:rsidRPr="00325AC6">
        <w:rPr>
          <w:rFonts w:ascii="Book Antiqua" w:hAnsi="Book Antiqua"/>
          <w:sz w:val="24"/>
          <w:szCs w:val="24"/>
        </w:rPr>
        <w:t xml:space="preserve"> </w:t>
      </w:r>
      <w:r w:rsidR="00443A6B" w:rsidRPr="00325AC6">
        <w:rPr>
          <w:rFonts w:ascii="Book Antiqua" w:hAnsi="Book Antiqua"/>
          <w:sz w:val="24"/>
          <w:szCs w:val="24"/>
        </w:rPr>
        <w:t>conducted by another judicial officer).</w:t>
      </w:r>
    </w:p>
    <w:p w14:paraId="64A61733" w14:textId="77777777" w:rsidR="00C01D2D" w:rsidRPr="00325AC6" w:rsidRDefault="00C01D2D" w:rsidP="00C01D2D">
      <w:pPr>
        <w:pStyle w:val="Heading1"/>
        <w:numPr>
          <w:ilvl w:val="0"/>
          <w:numId w:val="0"/>
        </w:numPr>
        <w:ind w:left="720"/>
      </w:pPr>
    </w:p>
    <w:p w14:paraId="52D4F145" w14:textId="77777777" w:rsidR="00C01D2D" w:rsidRPr="00325AC6" w:rsidRDefault="00C01D2D" w:rsidP="00C01D2D">
      <w:pPr>
        <w:pStyle w:val="Heading1"/>
        <w:numPr>
          <w:ilvl w:val="0"/>
          <w:numId w:val="0"/>
        </w:numPr>
        <w:spacing w:before="120" w:after="120"/>
        <w:ind w:left="720" w:hanging="720"/>
        <w:rPr>
          <w:rFonts w:ascii="Book Antiqua" w:hAnsi="Book Antiqua"/>
          <w:szCs w:val="24"/>
        </w:rPr>
      </w:pPr>
      <w:r w:rsidRPr="00325AC6">
        <w:rPr>
          <w:rFonts w:ascii="Book Antiqua" w:hAnsi="Book Antiqua"/>
          <w:szCs w:val="24"/>
        </w:rPr>
        <w:t>AMENDMENT HISTORY</w:t>
      </w:r>
    </w:p>
    <w:p w14:paraId="4E38B391" w14:textId="77777777" w:rsidR="00C01D2D" w:rsidRDefault="00C01D2D" w:rsidP="00C01D2D">
      <w:pPr>
        <w:spacing w:before="120" w:after="120"/>
        <w:jc w:val="both"/>
        <w:rPr>
          <w:rFonts w:ascii="Book Antiqua" w:hAnsi="Book Antiqua"/>
        </w:rPr>
      </w:pPr>
      <w:r w:rsidRPr="00325AC6">
        <w:rPr>
          <w:rFonts w:ascii="Book Antiqua" w:hAnsi="Book Antiqua"/>
        </w:rPr>
        <w:t>30 January 2017: This Practice Note was issued on 30 January 2017 and replaced Practice Note No 2 of 2012.</w:t>
      </w:r>
    </w:p>
    <w:p w14:paraId="155CEC6D" w14:textId="77777777" w:rsidR="00B76266" w:rsidRDefault="00036665" w:rsidP="00325AC6">
      <w:pPr>
        <w:tabs>
          <w:tab w:val="center" w:pos="4513"/>
        </w:tabs>
        <w:spacing w:before="120" w:after="120"/>
        <w:jc w:val="both"/>
        <w:rPr>
          <w:rFonts w:ascii="Book Antiqua" w:hAnsi="Book Antiqua"/>
        </w:rPr>
      </w:pPr>
      <w:r>
        <w:rPr>
          <w:rFonts w:ascii="Book Antiqua" w:hAnsi="Book Antiqua"/>
        </w:rPr>
        <w:t>1 December 2019</w:t>
      </w:r>
      <w:r w:rsidR="00325AC6">
        <w:rPr>
          <w:rFonts w:ascii="Book Antiqua" w:hAnsi="Book Antiqua"/>
        </w:rPr>
        <w:t xml:space="preserve">: Amendments to paragraphs 2, 4, 8, 9, 10, 11 and 12. </w:t>
      </w:r>
    </w:p>
    <w:p w14:paraId="704D90CC" w14:textId="2E381245" w:rsidR="00325AC6" w:rsidRPr="00277B7B" w:rsidRDefault="00B76266" w:rsidP="00325AC6">
      <w:pPr>
        <w:tabs>
          <w:tab w:val="center" w:pos="4513"/>
        </w:tabs>
        <w:spacing w:before="120" w:after="120"/>
        <w:jc w:val="both"/>
        <w:rPr>
          <w:rFonts w:ascii="Book Antiqua" w:hAnsi="Book Antiqua"/>
        </w:rPr>
      </w:pPr>
      <w:r>
        <w:rPr>
          <w:rFonts w:ascii="Book Antiqua" w:hAnsi="Book Antiqua"/>
        </w:rPr>
        <w:t xml:space="preserve">21 September 2023: Amendments to paragraphs </w:t>
      </w:r>
      <w:r w:rsidR="0008327A">
        <w:rPr>
          <w:rFonts w:ascii="Book Antiqua" w:hAnsi="Book Antiqua"/>
        </w:rPr>
        <w:t>1 and 7.</w:t>
      </w:r>
      <w:r w:rsidR="00325AC6">
        <w:rPr>
          <w:rFonts w:ascii="Book Antiqua" w:hAnsi="Book Antiqua"/>
        </w:rPr>
        <w:tab/>
      </w:r>
    </w:p>
    <w:p w14:paraId="6AB8DB1E" w14:textId="268E47F2" w:rsidR="00C01D2D" w:rsidRPr="00C01D2D" w:rsidRDefault="008F2908" w:rsidP="00C01D2D">
      <w:r>
        <w:t xml:space="preserve">1 December </w:t>
      </w:r>
      <w:r w:rsidR="00753CA7">
        <w:t xml:space="preserve">2025 : This </w:t>
      </w:r>
      <w:r w:rsidR="009B6A1B">
        <w:t>P</w:t>
      </w:r>
      <w:r w:rsidR="00753CA7">
        <w:t xml:space="preserve">ractice </w:t>
      </w:r>
      <w:r w:rsidR="009B6A1B">
        <w:t>N</w:t>
      </w:r>
      <w:r w:rsidR="00753CA7">
        <w:t xml:space="preserve">ote was reissued on </w:t>
      </w:r>
      <w:r>
        <w:t xml:space="preserve">1 December </w:t>
      </w:r>
      <w:r w:rsidR="009B6A1B">
        <w:t xml:space="preserve">2025 </w:t>
      </w:r>
      <w:r w:rsidR="0002737E">
        <w:t xml:space="preserve">and incorporates information previously set out in the Notice to the Profession dated </w:t>
      </w:r>
      <w:r w:rsidR="00E4315E">
        <w:t>21 April 2023.</w:t>
      </w:r>
    </w:p>
    <w:p w14:paraId="50BAF539" w14:textId="77777777" w:rsidR="00DC24A7" w:rsidRPr="007917BE" w:rsidRDefault="00DC24A7" w:rsidP="00CD0331">
      <w:pPr>
        <w:spacing w:before="120" w:after="120"/>
        <w:ind w:left="720" w:hanging="720"/>
        <w:jc w:val="both"/>
        <w:rPr>
          <w:rFonts w:ascii="Book Antiqua" w:hAnsi="Book Antiqua"/>
        </w:rPr>
      </w:pPr>
    </w:p>
    <w:p w14:paraId="2F5E780E" w14:textId="77777777" w:rsidR="00AB3FFA" w:rsidRPr="007917BE" w:rsidRDefault="00AB3FFA" w:rsidP="00CD0331">
      <w:pPr>
        <w:spacing w:before="120" w:after="120"/>
        <w:ind w:left="720" w:hanging="720"/>
        <w:jc w:val="both"/>
        <w:rPr>
          <w:rFonts w:ascii="Book Antiqua" w:hAnsi="Book Antiqua"/>
        </w:rPr>
      </w:pPr>
    </w:p>
    <w:p w14:paraId="56307D96" w14:textId="247E7BD3" w:rsidR="00AB3FFA" w:rsidRPr="007917BE" w:rsidRDefault="0091552B" w:rsidP="00CD0331">
      <w:pPr>
        <w:spacing w:before="120" w:after="120"/>
        <w:ind w:left="720" w:hanging="720"/>
        <w:jc w:val="right"/>
        <w:rPr>
          <w:rFonts w:ascii="Book Antiqua" w:hAnsi="Book Antiqua"/>
        </w:rPr>
      </w:pPr>
      <w:r>
        <w:rPr>
          <w:rFonts w:ascii="Book Antiqua" w:hAnsi="Book Antiqua"/>
        </w:rPr>
        <w:t>Vivienne Ma</w:t>
      </w:r>
      <w:r w:rsidR="00B76266">
        <w:rPr>
          <w:rFonts w:ascii="Book Antiqua" w:hAnsi="Book Antiqua"/>
        </w:rPr>
        <w:t>hy</w:t>
      </w:r>
    </w:p>
    <w:p w14:paraId="1D4ECECB" w14:textId="77777777" w:rsidR="00AB3FFA" w:rsidRDefault="00AB3FFA" w:rsidP="00CD0331">
      <w:pPr>
        <w:spacing w:before="120" w:after="120"/>
        <w:ind w:left="720" w:hanging="720"/>
        <w:jc w:val="right"/>
        <w:rPr>
          <w:rFonts w:ascii="Book Antiqua" w:hAnsi="Book Antiqua"/>
        </w:rPr>
      </w:pPr>
      <w:r w:rsidRPr="007917BE">
        <w:rPr>
          <w:rFonts w:ascii="Book Antiqua" w:hAnsi="Book Antiqua"/>
        </w:rPr>
        <w:t>Executive Associate to the Chief Justice</w:t>
      </w:r>
    </w:p>
    <w:p w14:paraId="735FF96A" w14:textId="4AFB3AFC" w:rsidR="00325AC6" w:rsidRPr="007917BE" w:rsidRDefault="008F2908" w:rsidP="00CD0331">
      <w:pPr>
        <w:spacing w:before="120" w:after="120"/>
        <w:ind w:left="720" w:hanging="720"/>
        <w:jc w:val="right"/>
        <w:rPr>
          <w:rFonts w:ascii="Book Antiqua" w:hAnsi="Book Antiqua"/>
        </w:rPr>
      </w:pPr>
      <w:r>
        <w:rPr>
          <w:rFonts w:ascii="Book Antiqua" w:hAnsi="Book Antiqua"/>
        </w:rPr>
        <w:t xml:space="preserve"> 1 December </w:t>
      </w:r>
      <w:r w:rsidR="00E4315E">
        <w:rPr>
          <w:rFonts w:ascii="Book Antiqua" w:hAnsi="Book Antiqua"/>
        </w:rPr>
        <w:t>2025</w:t>
      </w:r>
      <w:r w:rsidR="00036665" w:rsidRPr="00036665">
        <w:rPr>
          <w:rFonts w:ascii="Book Antiqua" w:hAnsi="Book Antiqua"/>
        </w:rPr>
        <w:t xml:space="preserve"> </w:t>
      </w:r>
    </w:p>
    <w:sectPr w:rsidR="00325AC6" w:rsidRPr="007917BE" w:rsidSect="003817C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9F7A" w14:textId="77777777" w:rsidR="00AF5FDF" w:rsidRDefault="00AF5FDF">
      <w:r>
        <w:separator/>
      </w:r>
    </w:p>
  </w:endnote>
  <w:endnote w:type="continuationSeparator" w:id="0">
    <w:p w14:paraId="4451267A" w14:textId="77777777" w:rsidR="00AF5FDF" w:rsidRDefault="00AF5FDF">
      <w:r>
        <w:continuationSeparator/>
      </w:r>
    </w:p>
  </w:endnote>
  <w:endnote w:type="continuationNotice" w:id="1">
    <w:p w14:paraId="7941DCF0" w14:textId="77777777" w:rsidR="00AF5FDF" w:rsidRDefault="00AF5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D5FC" w14:textId="77777777" w:rsidR="0032645A" w:rsidRDefault="0032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88FF" w14:textId="4D2ACD53" w:rsidR="002D6E79" w:rsidRDefault="002D6E79">
    <w:pPr>
      <w:pStyle w:val="Footer"/>
      <w:jc w:val="right"/>
    </w:pPr>
    <w:r>
      <w:fldChar w:fldCharType="begin"/>
    </w:r>
    <w:r>
      <w:instrText xml:space="preserve"> PAGE   \* MERGEFORMAT </w:instrText>
    </w:r>
    <w:r>
      <w:fldChar w:fldCharType="separate"/>
    </w:r>
    <w:r w:rsidR="00036665">
      <w:rPr>
        <w:noProof/>
      </w:rPr>
      <w:t>1</w:t>
    </w:r>
    <w:r>
      <w:rPr>
        <w:noProof/>
      </w:rPr>
      <w:fldChar w:fldCharType="end"/>
    </w:r>
  </w:p>
  <w:p w14:paraId="21C683CB" w14:textId="77777777" w:rsidR="002D6E79" w:rsidRDefault="002D6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696D" w14:textId="77777777" w:rsidR="0032645A" w:rsidRDefault="00326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7E75" w14:textId="77777777" w:rsidR="00AF5FDF" w:rsidRDefault="00AF5FDF">
      <w:r>
        <w:separator/>
      </w:r>
    </w:p>
  </w:footnote>
  <w:footnote w:type="continuationSeparator" w:id="0">
    <w:p w14:paraId="73461386" w14:textId="77777777" w:rsidR="00AF5FDF" w:rsidRDefault="00AF5FDF">
      <w:r>
        <w:continuationSeparator/>
      </w:r>
    </w:p>
  </w:footnote>
  <w:footnote w:type="continuationNotice" w:id="1">
    <w:p w14:paraId="480657FE" w14:textId="77777777" w:rsidR="00AF5FDF" w:rsidRDefault="00AF5FDF"/>
  </w:footnote>
  <w:footnote w:id="2">
    <w:p w14:paraId="2CF6FCD1" w14:textId="3F8B2962" w:rsidR="000C6C0C" w:rsidRDefault="000C6C0C">
      <w:pPr>
        <w:pStyle w:val="FootnoteText"/>
      </w:pPr>
      <w:r>
        <w:rPr>
          <w:rStyle w:val="FootnoteReference"/>
        </w:rPr>
        <w:footnoteRef/>
      </w:r>
      <w:r>
        <w:t xml:space="preserve"> This Practice Note also applies to mediations conducted by a Prothonotary or a Deputy Prothonotary.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55A7" w14:textId="77777777" w:rsidR="0032645A" w:rsidRDefault="0032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1D4" w14:textId="77777777" w:rsidR="0032645A" w:rsidRDefault="0032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6BE5" w14:textId="77777777" w:rsidR="0032645A" w:rsidRDefault="00326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477CE0C6"/>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ascii="Book Antiqua" w:hAnsi="Book Antiqua"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C68E3"/>
    <w:multiLevelType w:val="hybridMultilevel"/>
    <w:tmpl w:val="165A03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4" w15:restartNumberingAfterBreak="0">
    <w:nsid w:val="3DF766F8"/>
    <w:multiLevelType w:val="hybridMultilevel"/>
    <w:tmpl w:val="1A6619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2105179736">
    <w:abstractNumId w:val="24"/>
  </w:num>
  <w:num w:numId="2" w16cid:durableId="685864553">
    <w:abstractNumId w:val="10"/>
  </w:num>
  <w:num w:numId="3" w16cid:durableId="648170682">
    <w:abstractNumId w:val="19"/>
  </w:num>
  <w:num w:numId="4" w16cid:durableId="505559546">
    <w:abstractNumId w:val="25"/>
  </w:num>
  <w:num w:numId="5" w16cid:durableId="1989894321">
    <w:abstractNumId w:val="8"/>
  </w:num>
  <w:num w:numId="6" w16cid:durableId="1063288786">
    <w:abstractNumId w:val="21"/>
  </w:num>
  <w:num w:numId="7" w16cid:durableId="2089686507">
    <w:abstractNumId w:val="23"/>
  </w:num>
  <w:num w:numId="8" w16cid:durableId="1601601343">
    <w:abstractNumId w:val="17"/>
  </w:num>
  <w:num w:numId="9" w16cid:durableId="1551266715">
    <w:abstractNumId w:val="2"/>
  </w:num>
  <w:num w:numId="10" w16cid:durableId="441918424">
    <w:abstractNumId w:val="15"/>
  </w:num>
  <w:num w:numId="11" w16cid:durableId="1955213430">
    <w:abstractNumId w:val="18"/>
  </w:num>
  <w:num w:numId="12" w16cid:durableId="187374601">
    <w:abstractNumId w:val="20"/>
  </w:num>
  <w:num w:numId="13" w16cid:durableId="1423061908">
    <w:abstractNumId w:val="4"/>
  </w:num>
  <w:num w:numId="14" w16cid:durableId="2119179911">
    <w:abstractNumId w:val="3"/>
  </w:num>
  <w:num w:numId="15" w16cid:durableId="1751387241">
    <w:abstractNumId w:val="11"/>
  </w:num>
  <w:num w:numId="16" w16cid:durableId="1397243638">
    <w:abstractNumId w:val="0"/>
  </w:num>
  <w:num w:numId="17" w16cid:durableId="833687804">
    <w:abstractNumId w:val="9"/>
  </w:num>
  <w:num w:numId="18" w16cid:durableId="1873765142">
    <w:abstractNumId w:val="22"/>
  </w:num>
  <w:num w:numId="19" w16cid:durableId="1650675389">
    <w:abstractNumId w:val="7"/>
  </w:num>
  <w:num w:numId="20" w16cid:durableId="1433210465">
    <w:abstractNumId w:val="5"/>
  </w:num>
  <w:num w:numId="21" w16cid:durableId="1124428682">
    <w:abstractNumId w:val="13"/>
  </w:num>
  <w:num w:numId="22" w16cid:durableId="65803946">
    <w:abstractNumId w:val="12"/>
  </w:num>
  <w:num w:numId="23" w16cid:durableId="1158301548">
    <w:abstractNumId w:val="16"/>
  </w:num>
  <w:num w:numId="24" w16cid:durableId="648899272">
    <w:abstractNumId w:val="1"/>
  </w:num>
  <w:num w:numId="25" w16cid:durableId="1034816918">
    <w:abstractNumId w:val="14"/>
  </w:num>
  <w:num w:numId="26" w16cid:durableId="1298562110">
    <w:abstractNumId w:val="1"/>
  </w:num>
  <w:num w:numId="27" w16cid:durableId="210776633">
    <w:abstractNumId w:val="1"/>
  </w:num>
  <w:num w:numId="28" w16cid:durableId="1250970796">
    <w:abstractNumId w:val="1"/>
  </w:num>
  <w:num w:numId="29" w16cid:durableId="1277180816">
    <w:abstractNumId w:val="1"/>
  </w:num>
  <w:num w:numId="30" w16cid:durableId="1342007381">
    <w:abstractNumId w:val="1"/>
  </w:num>
  <w:num w:numId="31" w16cid:durableId="2126001981">
    <w:abstractNumId w:val="1"/>
  </w:num>
  <w:num w:numId="32" w16cid:durableId="1128666405">
    <w:abstractNumId w:val="6"/>
  </w:num>
  <w:num w:numId="33" w16cid:durableId="132666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36"/>
    <w:rsid w:val="00000850"/>
    <w:rsid w:val="00007DBA"/>
    <w:rsid w:val="000118DD"/>
    <w:rsid w:val="0001288E"/>
    <w:rsid w:val="000128D0"/>
    <w:rsid w:val="00013D3B"/>
    <w:rsid w:val="00014B10"/>
    <w:rsid w:val="000158B7"/>
    <w:rsid w:val="0002737E"/>
    <w:rsid w:val="0003306E"/>
    <w:rsid w:val="00034D85"/>
    <w:rsid w:val="00035057"/>
    <w:rsid w:val="00036665"/>
    <w:rsid w:val="00036894"/>
    <w:rsid w:val="00037D26"/>
    <w:rsid w:val="00043448"/>
    <w:rsid w:val="00055F43"/>
    <w:rsid w:val="000566C3"/>
    <w:rsid w:val="0005739D"/>
    <w:rsid w:val="00064FB2"/>
    <w:rsid w:val="00070CA2"/>
    <w:rsid w:val="00070D66"/>
    <w:rsid w:val="00071A96"/>
    <w:rsid w:val="00073139"/>
    <w:rsid w:val="00073769"/>
    <w:rsid w:val="00077863"/>
    <w:rsid w:val="00081A41"/>
    <w:rsid w:val="0008327A"/>
    <w:rsid w:val="00095BA5"/>
    <w:rsid w:val="00097AC3"/>
    <w:rsid w:val="000A1DE7"/>
    <w:rsid w:val="000A4BE7"/>
    <w:rsid w:val="000A4F62"/>
    <w:rsid w:val="000A553C"/>
    <w:rsid w:val="000A6B76"/>
    <w:rsid w:val="000B2E54"/>
    <w:rsid w:val="000B5F50"/>
    <w:rsid w:val="000B6C22"/>
    <w:rsid w:val="000C0998"/>
    <w:rsid w:val="000C1777"/>
    <w:rsid w:val="000C2CE1"/>
    <w:rsid w:val="000C5F4B"/>
    <w:rsid w:val="000C6C0C"/>
    <w:rsid w:val="000C75E1"/>
    <w:rsid w:val="000D07F1"/>
    <w:rsid w:val="000D3250"/>
    <w:rsid w:val="000D5E28"/>
    <w:rsid w:val="000D7A64"/>
    <w:rsid w:val="000E12FA"/>
    <w:rsid w:val="000E2EE6"/>
    <w:rsid w:val="000E524A"/>
    <w:rsid w:val="000E5F64"/>
    <w:rsid w:val="000F1398"/>
    <w:rsid w:val="000F3B18"/>
    <w:rsid w:val="000F6EA7"/>
    <w:rsid w:val="00100006"/>
    <w:rsid w:val="00101EC5"/>
    <w:rsid w:val="001033CC"/>
    <w:rsid w:val="00121C72"/>
    <w:rsid w:val="00125C07"/>
    <w:rsid w:val="001267DC"/>
    <w:rsid w:val="001329B8"/>
    <w:rsid w:val="00133A51"/>
    <w:rsid w:val="001344BA"/>
    <w:rsid w:val="00140683"/>
    <w:rsid w:val="00143136"/>
    <w:rsid w:val="00143818"/>
    <w:rsid w:val="00144DAA"/>
    <w:rsid w:val="00145C92"/>
    <w:rsid w:val="00145D28"/>
    <w:rsid w:val="00145F65"/>
    <w:rsid w:val="0014603C"/>
    <w:rsid w:val="0015063E"/>
    <w:rsid w:val="00155A8E"/>
    <w:rsid w:val="0015650D"/>
    <w:rsid w:val="0016054E"/>
    <w:rsid w:val="00161B6C"/>
    <w:rsid w:val="00161CA2"/>
    <w:rsid w:val="001716EF"/>
    <w:rsid w:val="001723D4"/>
    <w:rsid w:val="0018061B"/>
    <w:rsid w:val="00186E37"/>
    <w:rsid w:val="001913C5"/>
    <w:rsid w:val="00194089"/>
    <w:rsid w:val="00194A80"/>
    <w:rsid w:val="00197CA4"/>
    <w:rsid w:val="001A22B3"/>
    <w:rsid w:val="001A5036"/>
    <w:rsid w:val="001A5B39"/>
    <w:rsid w:val="001A667F"/>
    <w:rsid w:val="001A7651"/>
    <w:rsid w:val="001B1FF3"/>
    <w:rsid w:val="001B3484"/>
    <w:rsid w:val="001B4283"/>
    <w:rsid w:val="001B7E2C"/>
    <w:rsid w:val="001C116C"/>
    <w:rsid w:val="001C2F4B"/>
    <w:rsid w:val="001C4658"/>
    <w:rsid w:val="001C634B"/>
    <w:rsid w:val="001E0318"/>
    <w:rsid w:val="001F01A1"/>
    <w:rsid w:val="001F1D76"/>
    <w:rsid w:val="0020733C"/>
    <w:rsid w:val="00207367"/>
    <w:rsid w:val="00216DCF"/>
    <w:rsid w:val="00217758"/>
    <w:rsid w:val="00217E88"/>
    <w:rsid w:val="002218C5"/>
    <w:rsid w:val="00222544"/>
    <w:rsid w:val="0022666D"/>
    <w:rsid w:val="0023426A"/>
    <w:rsid w:val="00234B7B"/>
    <w:rsid w:val="00241A4E"/>
    <w:rsid w:val="00245746"/>
    <w:rsid w:val="00247EA1"/>
    <w:rsid w:val="00247F50"/>
    <w:rsid w:val="002572C2"/>
    <w:rsid w:val="0026005D"/>
    <w:rsid w:val="00265BF9"/>
    <w:rsid w:val="00271B59"/>
    <w:rsid w:val="00275A5A"/>
    <w:rsid w:val="00277B7B"/>
    <w:rsid w:val="002812ED"/>
    <w:rsid w:val="0028130B"/>
    <w:rsid w:val="002A3D9C"/>
    <w:rsid w:val="002B465A"/>
    <w:rsid w:val="002C1134"/>
    <w:rsid w:val="002C56E8"/>
    <w:rsid w:val="002D0AB0"/>
    <w:rsid w:val="002D0FD3"/>
    <w:rsid w:val="002D23D8"/>
    <w:rsid w:val="002D6E79"/>
    <w:rsid w:val="002E0F6B"/>
    <w:rsid w:val="002E6B43"/>
    <w:rsid w:val="002E7FD2"/>
    <w:rsid w:val="002F4D7F"/>
    <w:rsid w:val="00300F4B"/>
    <w:rsid w:val="00302981"/>
    <w:rsid w:val="0030352D"/>
    <w:rsid w:val="00305761"/>
    <w:rsid w:val="00307B60"/>
    <w:rsid w:val="00310655"/>
    <w:rsid w:val="00310A32"/>
    <w:rsid w:val="00311051"/>
    <w:rsid w:val="0031222C"/>
    <w:rsid w:val="003166D1"/>
    <w:rsid w:val="00321C75"/>
    <w:rsid w:val="0032286C"/>
    <w:rsid w:val="00325AC6"/>
    <w:rsid w:val="0032645A"/>
    <w:rsid w:val="003321E3"/>
    <w:rsid w:val="00334DD3"/>
    <w:rsid w:val="00340257"/>
    <w:rsid w:val="0034260E"/>
    <w:rsid w:val="00350055"/>
    <w:rsid w:val="003500B9"/>
    <w:rsid w:val="003508E0"/>
    <w:rsid w:val="00353E4C"/>
    <w:rsid w:val="00356593"/>
    <w:rsid w:val="00356969"/>
    <w:rsid w:val="00357A0D"/>
    <w:rsid w:val="003639B5"/>
    <w:rsid w:val="00365D0E"/>
    <w:rsid w:val="00367AD0"/>
    <w:rsid w:val="00377999"/>
    <w:rsid w:val="003817CD"/>
    <w:rsid w:val="00381991"/>
    <w:rsid w:val="00381FDA"/>
    <w:rsid w:val="00383511"/>
    <w:rsid w:val="00386C9F"/>
    <w:rsid w:val="00387DB3"/>
    <w:rsid w:val="00391CA0"/>
    <w:rsid w:val="003945D8"/>
    <w:rsid w:val="00396EF2"/>
    <w:rsid w:val="00397AAE"/>
    <w:rsid w:val="003A7A5A"/>
    <w:rsid w:val="003A7E6C"/>
    <w:rsid w:val="003B4BED"/>
    <w:rsid w:val="003B7248"/>
    <w:rsid w:val="003C07C2"/>
    <w:rsid w:val="003C343E"/>
    <w:rsid w:val="003C5C64"/>
    <w:rsid w:val="003C62F1"/>
    <w:rsid w:val="003D0A67"/>
    <w:rsid w:val="003D672F"/>
    <w:rsid w:val="003E2E56"/>
    <w:rsid w:val="003E4C44"/>
    <w:rsid w:val="003E5EFA"/>
    <w:rsid w:val="003E6152"/>
    <w:rsid w:val="003E66CF"/>
    <w:rsid w:val="003F0D9C"/>
    <w:rsid w:val="0040410A"/>
    <w:rsid w:val="00404CB0"/>
    <w:rsid w:val="00414B77"/>
    <w:rsid w:val="0042138B"/>
    <w:rsid w:val="00434BEE"/>
    <w:rsid w:val="004361F0"/>
    <w:rsid w:val="00441431"/>
    <w:rsid w:val="00443A6B"/>
    <w:rsid w:val="00454495"/>
    <w:rsid w:val="00455D46"/>
    <w:rsid w:val="00461361"/>
    <w:rsid w:val="00471414"/>
    <w:rsid w:val="00474F94"/>
    <w:rsid w:val="00482EBE"/>
    <w:rsid w:val="00483F1E"/>
    <w:rsid w:val="004912F2"/>
    <w:rsid w:val="00492363"/>
    <w:rsid w:val="00494220"/>
    <w:rsid w:val="004946BD"/>
    <w:rsid w:val="0049669C"/>
    <w:rsid w:val="00496F08"/>
    <w:rsid w:val="004B1AC7"/>
    <w:rsid w:val="004B2A72"/>
    <w:rsid w:val="004B2DCA"/>
    <w:rsid w:val="004B4458"/>
    <w:rsid w:val="004B5756"/>
    <w:rsid w:val="004B6E9A"/>
    <w:rsid w:val="004C1FFA"/>
    <w:rsid w:val="004C29B1"/>
    <w:rsid w:val="004D07F1"/>
    <w:rsid w:val="004D1112"/>
    <w:rsid w:val="004D2141"/>
    <w:rsid w:val="004E1038"/>
    <w:rsid w:val="004E1052"/>
    <w:rsid w:val="004E10CA"/>
    <w:rsid w:val="004E284B"/>
    <w:rsid w:val="004F61E8"/>
    <w:rsid w:val="004F7E81"/>
    <w:rsid w:val="0050429E"/>
    <w:rsid w:val="00506B52"/>
    <w:rsid w:val="005115F4"/>
    <w:rsid w:val="00512025"/>
    <w:rsid w:val="005123B0"/>
    <w:rsid w:val="005158D2"/>
    <w:rsid w:val="005173D2"/>
    <w:rsid w:val="005278A1"/>
    <w:rsid w:val="00540E14"/>
    <w:rsid w:val="00541EAB"/>
    <w:rsid w:val="00547600"/>
    <w:rsid w:val="00550871"/>
    <w:rsid w:val="005534A5"/>
    <w:rsid w:val="00553534"/>
    <w:rsid w:val="00554A65"/>
    <w:rsid w:val="0055503D"/>
    <w:rsid w:val="00561105"/>
    <w:rsid w:val="0056389E"/>
    <w:rsid w:val="00565B62"/>
    <w:rsid w:val="00571E15"/>
    <w:rsid w:val="005734DA"/>
    <w:rsid w:val="00575849"/>
    <w:rsid w:val="005825BE"/>
    <w:rsid w:val="00582DAF"/>
    <w:rsid w:val="00593530"/>
    <w:rsid w:val="005A291A"/>
    <w:rsid w:val="005A386C"/>
    <w:rsid w:val="005A4134"/>
    <w:rsid w:val="005A59BA"/>
    <w:rsid w:val="005A68BF"/>
    <w:rsid w:val="005A6984"/>
    <w:rsid w:val="005B3FF4"/>
    <w:rsid w:val="005B499F"/>
    <w:rsid w:val="005B5CFE"/>
    <w:rsid w:val="005B7E00"/>
    <w:rsid w:val="005C542A"/>
    <w:rsid w:val="005C7F57"/>
    <w:rsid w:val="005D3383"/>
    <w:rsid w:val="005E04B4"/>
    <w:rsid w:val="005E3BB5"/>
    <w:rsid w:val="005E5273"/>
    <w:rsid w:val="005E704A"/>
    <w:rsid w:val="005F02B1"/>
    <w:rsid w:val="005F067C"/>
    <w:rsid w:val="005F781E"/>
    <w:rsid w:val="00607B05"/>
    <w:rsid w:val="006124C3"/>
    <w:rsid w:val="006135A6"/>
    <w:rsid w:val="00613FA8"/>
    <w:rsid w:val="006174B6"/>
    <w:rsid w:val="00620D68"/>
    <w:rsid w:val="00625C50"/>
    <w:rsid w:val="0062755D"/>
    <w:rsid w:val="006328C6"/>
    <w:rsid w:val="00634832"/>
    <w:rsid w:val="00635413"/>
    <w:rsid w:val="00636D64"/>
    <w:rsid w:val="00637EE8"/>
    <w:rsid w:val="0064057F"/>
    <w:rsid w:val="0064143C"/>
    <w:rsid w:val="006513DD"/>
    <w:rsid w:val="00655347"/>
    <w:rsid w:val="00655748"/>
    <w:rsid w:val="006613C4"/>
    <w:rsid w:val="00666E4A"/>
    <w:rsid w:val="00666F54"/>
    <w:rsid w:val="006676CA"/>
    <w:rsid w:val="006710C3"/>
    <w:rsid w:val="006763E3"/>
    <w:rsid w:val="00676B57"/>
    <w:rsid w:val="00676CE9"/>
    <w:rsid w:val="0067716A"/>
    <w:rsid w:val="0068364B"/>
    <w:rsid w:val="00686402"/>
    <w:rsid w:val="0069029C"/>
    <w:rsid w:val="00691BC6"/>
    <w:rsid w:val="006921D0"/>
    <w:rsid w:val="00695864"/>
    <w:rsid w:val="00695D63"/>
    <w:rsid w:val="006A29AF"/>
    <w:rsid w:val="006A34BA"/>
    <w:rsid w:val="006A386D"/>
    <w:rsid w:val="006A4CCD"/>
    <w:rsid w:val="006A5DA3"/>
    <w:rsid w:val="006A74CE"/>
    <w:rsid w:val="006B5888"/>
    <w:rsid w:val="006B6D97"/>
    <w:rsid w:val="006C550C"/>
    <w:rsid w:val="006C55DA"/>
    <w:rsid w:val="006D0F84"/>
    <w:rsid w:val="006E260B"/>
    <w:rsid w:val="006E5D28"/>
    <w:rsid w:val="006E6E2F"/>
    <w:rsid w:val="006F0255"/>
    <w:rsid w:val="006F0430"/>
    <w:rsid w:val="006F3E76"/>
    <w:rsid w:val="006F3FAF"/>
    <w:rsid w:val="006F5F1C"/>
    <w:rsid w:val="006F60CF"/>
    <w:rsid w:val="006F6748"/>
    <w:rsid w:val="006F75BC"/>
    <w:rsid w:val="00702F63"/>
    <w:rsid w:val="00704897"/>
    <w:rsid w:val="007068FC"/>
    <w:rsid w:val="007107C6"/>
    <w:rsid w:val="007109D8"/>
    <w:rsid w:val="00715F27"/>
    <w:rsid w:val="0071797E"/>
    <w:rsid w:val="00720BE1"/>
    <w:rsid w:val="00722648"/>
    <w:rsid w:val="00737442"/>
    <w:rsid w:val="00741D9B"/>
    <w:rsid w:val="007453B3"/>
    <w:rsid w:val="00746CB2"/>
    <w:rsid w:val="0074724C"/>
    <w:rsid w:val="00747C5F"/>
    <w:rsid w:val="00747D4C"/>
    <w:rsid w:val="007512DD"/>
    <w:rsid w:val="007513AE"/>
    <w:rsid w:val="0075230A"/>
    <w:rsid w:val="00752628"/>
    <w:rsid w:val="00753CA7"/>
    <w:rsid w:val="00755325"/>
    <w:rsid w:val="00756FE4"/>
    <w:rsid w:val="00757DCA"/>
    <w:rsid w:val="007602AF"/>
    <w:rsid w:val="00763581"/>
    <w:rsid w:val="00767B98"/>
    <w:rsid w:val="00767E01"/>
    <w:rsid w:val="00771C95"/>
    <w:rsid w:val="00780A47"/>
    <w:rsid w:val="00780F23"/>
    <w:rsid w:val="00784717"/>
    <w:rsid w:val="007910AC"/>
    <w:rsid w:val="007917BE"/>
    <w:rsid w:val="007951CA"/>
    <w:rsid w:val="00796E2E"/>
    <w:rsid w:val="007A0780"/>
    <w:rsid w:val="007A1449"/>
    <w:rsid w:val="007A1D8C"/>
    <w:rsid w:val="007B1869"/>
    <w:rsid w:val="007B3902"/>
    <w:rsid w:val="007C0A8F"/>
    <w:rsid w:val="007C6118"/>
    <w:rsid w:val="007D0506"/>
    <w:rsid w:val="007D1D95"/>
    <w:rsid w:val="007D42ED"/>
    <w:rsid w:val="007E19F6"/>
    <w:rsid w:val="007E24CA"/>
    <w:rsid w:val="007E2608"/>
    <w:rsid w:val="007E5564"/>
    <w:rsid w:val="007F1253"/>
    <w:rsid w:val="007F7938"/>
    <w:rsid w:val="007F7C28"/>
    <w:rsid w:val="007F7F97"/>
    <w:rsid w:val="00802FC4"/>
    <w:rsid w:val="00804B57"/>
    <w:rsid w:val="008119D2"/>
    <w:rsid w:val="008127B0"/>
    <w:rsid w:val="00823AB4"/>
    <w:rsid w:val="0082465E"/>
    <w:rsid w:val="0082476F"/>
    <w:rsid w:val="00831D0F"/>
    <w:rsid w:val="00834079"/>
    <w:rsid w:val="00835C7C"/>
    <w:rsid w:val="00836099"/>
    <w:rsid w:val="008429C5"/>
    <w:rsid w:val="008434C3"/>
    <w:rsid w:val="00843503"/>
    <w:rsid w:val="008445D3"/>
    <w:rsid w:val="00845023"/>
    <w:rsid w:val="00850A46"/>
    <w:rsid w:val="008515EE"/>
    <w:rsid w:val="0085295F"/>
    <w:rsid w:val="00854AC0"/>
    <w:rsid w:val="00854FD4"/>
    <w:rsid w:val="0086055D"/>
    <w:rsid w:val="00862355"/>
    <w:rsid w:val="00872BAD"/>
    <w:rsid w:val="00880069"/>
    <w:rsid w:val="0088136E"/>
    <w:rsid w:val="0088194F"/>
    <w:rsid w:val="008846D6"/>
    <w:rsid w:val="00892D21"/>
    <w:rsid w:val="00892FF7"/>
    <w:rsid w:val="008942F1"/>
    <w:rsid w:val="008A4768"/>
    <w:rsid w:val="008A636D"/>
    <w:rsid w:val="008B0EC2"/>
    <w:rsid w:val="008B1575"/>
    <w:rsid w:val="008B3490"/>
    <w:rsid w:val="008B47EA"/>
    <w:rsid w:val="008C027C"/>
    <w:rsid w:val="008C41FA"/>
    <w:rsid w:val="008D4AE8"/>
    <w:rsid w:val="008D6EBF"/>
    <w:rsid w:val="008E2F41"/>
    <w:rsid w:val="008E6737"/>
    <w:rsid w:val="008F2908"/>
    <w:rsid w:val="0091164B"/>
    <w:rsid w:val="0091552B"/>
    <w:rsid w:val="00916516"/>
    <w:rsid w:val="0092369B"/>
    <w:rsid w:val="009251C5"/>
    <w:rsid w:val="00927AD0"/>
    <w:rsid w:val="00934959"/>
    <w:rsid w:val="00936C65"/>
    <w:rsid w:val="00940734"/>
    <w:rsid w:val="00940F44"/>
    <w:rsid w:val="00941002"/>
    <w:rsid w:val="00947689"/>
    <w:rsid w:val="0095377B"/>
    <w:rsid w:val="00955CBF"/>
    <w:rsid w:val="009579B5"/>
    <w:rsid w:val="0096128D"/>
    <w:rsid w:val="00963A32"/>
    <w:rsid w:val="00970632"/>
    <w:rsid w:val="00971150"/>
    <w:rsid w:val="00975561"/>
    <w:rsid w:val="0098076E"/>
    <w:rsid w:val="00984A84"/>
    <w:rsid w:val="00987FD8"/>
    <w:rsid w:val="00990B3C"/>
    <w:rsid w:val="00990DE2"/>
    <w:rsid w:val="00992FAF"/>
    <w:rsid w:val="00993D8D"/>
    <w:rsid w:val="009956C6"/>
    <w:rsid w:val="00996F81"/>
    <w:rsid w:val="009A16DD"/>
    <w:rsid w:val="009A45B0"/>
    <w:rsid w:val="009B1B66"/>
    <w:rsid w:val="009B3159"/>
    <w:rsid w:val="009B6A1B"/>
    <w:rsid w:val="009B7708"/>
    <w:rsid w:val="009C3906"/>
    <w:rsid w:val="009C393F"/>
    <w:rsid w:val="009C6B44"/>
    <w:rsid w:val="009D1753"/>
    <w:rsid w:val="009D5BAD"/>
    <w:rsid w:val="009E06E1"/>
    <w:rsid w:val="009E4C0D"/>
    <w:rsid w:val="009E5E09"/>
    <w:rsid w:val="009E714C"/>
    <w:rsid w:val="009F27F0"/>
    <w:rsid w:val="009F587A"/>
    <w:rsid w:val="009F7C7A"/>
    <w:rsid w:val="00A02D5F"/>
    <w:rsid w:val="00A03CC1"/>
    <w:rsid w:val="00A04BF1"/>
    <w:rsid w:val="00A13D3C"/>
    <w:rsid w:val="00A16095"/>
    <w:rsid w:val="00A1734D"/>
    <w:rsid w:val="00A222B3"/>
    <w:rsid w:val="00A41891"/>
    <w:rsid w:val="00A64EE1"/>
    <w:rsid w:val="00A67FC3"/>
    <w:rsid w:val="00A715A8"/>
    <w:rsid w:val="00A7773B"/>
    <w:rsid w:val="00A7779A"/>
    <w:rsid w:val="00A862B7"/>
    <w:rsid w:val="00A86757"/>
    <w:rsid w:val="00A9278B"/>
    <w:rsid w:val="00A937DF"/>
    <w:rsid w:val="00AA0705"/>
    <w:rsid w:val="00AA1164"/>
    <w:rsid w:val="00AA1568"/>
    <w:rsid w:val="00AA1BA4"/>
    <w:rsid w:val="00AA5A1E"/>
    <w:rsid w:val="00AB0464"/>
    <w:rsid w:val="00AB3FFA"/>
    <w:rsid w:val="00AB61BD"/>
    <w:rsid w:val="00AB6B2D"/>
    <w:rsid w:val="00AB6B88"/>
    <w:rsid w:val="00AC2F4D"/>
    <w:rsid w:val="00AC7495"/>
    <w:rsid w:val="00AD32C4"/>
    <w:rsid w:val="00AE174A"/>
    <w:rsid w:val="00AE3228"/>
    <w:rsid w:val="00AE3CE5"/>
    <w:rsid w:val="00AF29CC"/>
    <w:rsid w:val="00AF5FDF"/>
    <w:rsid w:val="00AF72F1"/>
    <w:rsid w:val="00AF7BEA"/>
    <w:rsid w:val="00B0091C"/>
    <w:rsid w:val="00B0217A"/>
    <w:rsid w:val="00B03FB3"/>
    <w:rsid w:val="00B120B9"/>
    <w:rsid w:val="00B210B9"/>
    <w:rsid w:val="00B2533E"/>
    <w:rsid w:val="00B26EE9"/>
    <w:rsid w:val="00B27212"/>
    <w:rsid w:val="00B31D34"/>
    <w:rsid w:val="00B323E2"/>
    <w:rsid w:val="00B366E1"/>
    <w:rsid w:val="00B36C72"/>
    <w:rsid w:val="00B37F5F"/>
    <w:rsid w:val="00B40971"/>
    <w:rsid w:val="00B41CB2"/>
    <w:rsid w:val="00B43CA5"/>
    <w:rsid w:val="00B445A4"/>
    <w:rsid w:val="00B50C4E"/>
    <w:rsid w:val="00B53468"/>
    <w:rsid w:val="00B54563"/>
    <w:rsid w:val="00B54D68"/>
    <w:rsid w:val="00B55DDD"/>
    <w:rsid w:val="00B57556"/>
    <w:rsid w:val="00B6220E"/>
    <w:rsid w:val="00B65F05"/>
    <w:rsid w:val="00B72C47"/>
    <w:rsid w:val="00B76266"/>
    <w:rsid w:val="00B84551"/>
    <w:rsid w:val="00B86CFD"/>
    <w:rsid w:val="00B91665"/>
    <w:rsid w:val="00B92511"/>
    <w:rsid w:val="00B97019"/>
    <w:rsid w:val="00BA467D"/>
    <w:rsid w:val="00BA4AA3"/>
    <w:rsid w:val="00BA536E"/>
    <w:rsid w:val="00BB025F"/>
    <w:rsid w:val="00BB1CFE"/>
    <w:rsid w:val="00BB3539"/>
    <w:rsid w:val="00BB44DE"/>
    <w:rsid w:val="00BB6A06"/>
    <w:rsid w:val="00BC00FB"/>
    <w:rsid w:val="00BC4BB6"/>
    <w:rsid w:val="00BC53C8"/>
    <w:rsid w:val="00BC63FD"/>
    <w:rsid w:val="00BC7826"/>
    <w:rsid w:val="00BD0D77"/>
    <w:rsid w:val="00BD32CE"/>
    <w:rsid w:val="00BD4E3C"/>
    <w:rsid w:val="00BD53FE"/>
    <w:rsid w:val="00BD7537"/>
    <w:rsid w:val="00BE1071"/>
    <w:rsid w:val="00BE5E45"/>
    <w:rsid w:val="00BE6133"/>
    <w:rsid w:val="00BF054A"/>
    <w:rsid w:val="00BF2411"/>
    <w:rsid w:val="00BF5F87"/>
    <w:rsid w:val="00BF6922"/>
    <w:rsid w:val="00BF764E"/>
    <w:rsid w:val="00BF7EB5"/>
    <w:rsid w:val="00C01D2D"/>
    <w:rsid w:val="00C02583"/>
    <w:rsid w:val="00C02EEF"/>
    <w:rsid w:val="00C02F5C"/>
    <w:rsid w:val="00C03C6C"/>
    <w:rsid w:val="00C16227"/>
    <w:rsid w:val="00C16789"/>
    <w:rsid w:val="00C25E34"/>
    <w:rsid w:val="00C27E6B"/>
    <w:rsid w:val="00C310B9"/>
    <w:rsid w:val="00C342D5"/>
    <w:rsid w:val="00C401CD"/>
    <w:rsid w:val="00C4035A"/>
    <w:rsid w:val="00C41952"/>
    <w:rsid w:val="00C42B04"/>
    <w:rsid w:val="00C53183"/>
    <w:rsid w:val="00C55128"/>
    <w:rsid w:val="00C56DF5"/>
    <w:rsid w:val="00C570CC"/>
    <w:rsid w:val="00C60BB4"/>
    <w:rsid w:val="00C65F24"/>
    <w:rsid w:val="00C719FC"/>
    <w:rsid w:val="00C92881"/>
    <w:rsid w:val="00C96FB5"/>
    <w:rsid w:val="00C979D7"/>
    <w:rsid w:val="00CA4587"/>
    <w:rsid w:val="00CB2437"/>
    <w:rsid w:val="00CB2EDD"/>
    <w:rsid w:val="00CC2810"/>
    <w:rsid w:val="00CC6705"/>
    <w:rsid w:val="00CD0331"/>
    <w:rsid w:val="00CD20CF"/>
    <w:rsid w:val="00CD4B75"/>
    <w:rsid w:val="00CD791D"/>
    <w:rsid w:val="00CE0037"/>
    <w:rsid w:val="00CE4442"/>
    <w:rsid w:val="00CE46FB"/>
    <w:rsid w:val="00CE520C"/>
    <w:rsid w:val="00CE7ECA"/>
    <w:rsid w:val="00CF07B3"/>
    <w:rsid w:val="00CF18F8"/>
    <w:rsid w:val="00CF4BEC"/>
    <w:rsid w:val="00CF5F3A"/>
    <w:rsid w:val="00CF6054"/>
    <w:rsid w:val="00CF6947"/>
    <w:rsid w:val="00D005FF"/>
    <w:rsid w:val="00D00C1F"/>
    <w:rsid w:val="00D16016"/>
    <w:rsid w:val="00D1679C"/>
    <w:rsid w:val="00D218A6"/>
    <w:rsid w:val="00D23722"/>
    <w:rsid w:val="00D23C64"/>
    <w:rsid w:val="00D244E3"/>
    <w:rsid w:val="00D25933"/>
    <w:rsid w:val="00D26B29"/>
    <w:rsid w:val="00D3340C"/>
    <w:rsid w:val="00D37B73"/>
    <w:rsid w:val="00D44645"/>
    <w:rsid w:val="00D54B74"/>
    <w:rsid w:val="00D62946"/>
    <w:rsid w:val="00D62C14"/>
    <w:rsid w:val="00D636CD"/>
    <w:rsid w:val="00D66FF2"/>
    <w:rsid w:val="00D71E39"/>
    <w:rsid w:val="00D77286"/>
    <w:rsid w:val="00D77D53"/>
    <w:rsid w:val="00D809E3"/>
    <w:rsid w:val="00D80FEA"/>
    <w:rsid w:val="00D85336"/>
    <w:rsid w:val="00D86A6A"/>
    <w:rsid w:val="00D90FA6"/>
    <w:rsid w:val="00D961E3"/>
    <w:rsid w:val="00D97628"/>
    <w:rsid w:val="00DA0491"/>
    <w:rsid w:val="00DA1E21"/>
    <w:rsid w:val="00DA284A"/>
    <w:rsid w:val="00DA56E9"/>
    <w:rsid w:val="00DA791C"/>
    <w:rsid w:val="00DB304D"/>
    <w:rsid w:val="00DB6F51"/>
    <w:rsid w:val="00DB7EBE"/>
    <w:rsid w:val="00DC0370"/>
    <w:rsid w:val="00DC0ABE"/>
    <w:rsid w:val="00DC1D8A"/>
    <w:rsid w:val="00DC24A7"/>
    <w:rsid w:val="00DC3601"/>
    <w:rsid w:val="00DC5BE7"/>
    <w:rsid w:val="00DC66BB"/>
    <w:rsid w:val="00DD1823"/>
    <w:rsid w:val="00DE2909"/>
    <w:rsid w:val="00DE6424"/>
    <w:rsid w:val="00DE6CBB"/>
    <w:rsid w:val="00DF032B"/>
    <w:rsid w:val="00DF1F28"/>
    <w:rsid w:val="00DF4878"/>
    <w:rsid w:val="00DF52D4"/>
    <w:rsid w:val="00E05506"/>
    <w:rsid w:val="00E0551B"/>
    <w:rsid w:val="00E11319"/>
    <w:rsid w:val="00E15CF5"/>
    <w:rsid w:val="00E16169"/>
    <w:rsid w:val="00E20381"/>
    <w:rsid w:val="00E2055A"/>
    <w:rsid w:val="00E23A7E"/>
    <w:rsid w:val="00E25646"/>
    <w:rsid w:val="00E27289"/>
    <w:rsid w:val="00E2776C"/>
    <w:rsid w:val="00E27982"/>
    <w:rsid w:val="00E30BEE"/>
    <w:rsid w:val="00E4315E"/>
    <w:rsid w:val="00E52E8C"/>
    <w:rsid w:val="00E54AD4"/>
    <w:rsid w:val="00E61AA5"/>
    <w:rsid w:val="00E62BC4"/>
    <w:rsid w:val="00E66EDC"/>
    <w:rsid w:val="00E74D52"/>
    <w:rsid w:val="00E90334"/>
    <w:rsid w:val="00EA0DB8"/>
    <w:rsid w:val="00EA141C"/>
    <w:rsid w:val="00EA292F"/>
    <w:rsid w:val="00EA2EB9"/>
    <w:rsid w:val="00EA6CDF"/>
    <w:rsid w:val="00EC0977"/>
    <w:rsid w:val="00EC4A6A"/>
    <w:rsid w:val="00EC6B3A"/>
    <w:rsid w:val="00ED0344"/>
    <w:rsid w:val="00ED25C1"/>
    <w:rsid w:val="00ED61FE"/>
    <w:rsid w:val="00EE14B8"/>
    <w:rsid w:val="00EE6009"/>
    <w:rsid w:val="00EF154D"/>
    <w:rsid w:val="00EF1683"/>
    <w:rsid w:val="00EF2F58"/>
    <w:rsid w:val="00EF5C7D"/>
    <w:rsid w:val="00F0009F"/>
    <w:rsid w:val="00F03565"/>
    <w:rsid w:val="00F0621A"/>
    <w:rsid w:val="00F07C59"/>
    <w:rsid w:val="00F24E6E"/>
    <w:rsid w:val="00F25BD5"/>
    <w:rsid w:val="00F25EF5"/>
    <w:rsid w:val="00F33797"/>
    <w:rsid w:val="00F43EC5"/>
    <w:rsid w:val="00F521A3"/>
    <w:rsid w:val="00F52A10"/>
    <w:rsid w:val="00F630C6"/>
    <w:rsid w:val="00F66463"/>
    <w:rsid w:val="00F80F7B"/>
    <w:rsid w:val="00F85CC5"/>
    <w:rsid w:val="00F94864"/>
    <w:rsid w:val="00FA51CA"/>
    <w:rsid w:val="00FA7259"/>
    <w:rsid w:val="00FA726D"/>
    <w:rsid w:val="00FA7381"/>
    <w:rsid w:val="00FA7B26"/>
    <w:rsid w:val="00FB60BC"/>
    <w:rsid w:val="00FC0EA9"/>
    <w:rsid w:val="00FC350B"/>
    <w:rsid w:val="00FC4A80"/>
    <w:rsid w:val="00FC697E"/>
    <w:rsid w:val="00FC7E16"/>
    <w:rsid w:val="00FD0B7E"/>
    <w:rsid w:val="00FD2962"/>
    <w:rsid w:val="00FD2DBF"/>
    <w:rsid w:val="00FD41F1"/>
    <w:rsid w:val="00FD4655"/>
    <w:rsid w:val="00FD6D10"/>
    <w:rsid w:val="00FD72DE"/>
    <w:rsid w:val="00FE13F6"/>
    <w:rsid w:val="00FE2DE4"/>
    <w:rsid w:val="00FE3DB0"/>
    <w:rsid w:val="00FE6DA6"/>
    <w:rsid w:val="00FE744B"/>
    <w:rsid w:val="00FF1DE7"/>
    <w:rsid w:val="00FF32AD"/>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D0EA5"/>
  <w15:docId w15:val="{1E115C3E-0256-4555-8B76-79FA58DC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B72C47"/>
    <w:pPr>
      <w:keepNext/>
      <w:numPr>
        <w:numId w:val="24"/>
      </w:numPr>
      <w:spacing w:before="240" w:after="6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semiHidden/>
    <w:rsid w:val="00635413"/>
    <w:rPr>
      <w:sz w:val="20"/>
      <w:szCs w:val="20"/>
    </w:rPr>
  </w:style>
  <w:style w:type="character" w:styleId="FootnoteReference">
    <w:name w:val="footnote reference"/>
    <w:semiHidden/>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B72C47"/>
    <w:rPr>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paragraph" w:styleId="Revision">
    <w:name w:val="Revision"/>
    <w:hidden/>
    <w:uiPriority w:val="99"/>
    <w:semiHidden/>
    <w:rsid w:val="000C6C0C"/>
    <w:rPr>
      <w:sz w:val="24"/>
      <w:szCs w:val="24"/>
      <w:lang w:val="en-AU" w:eastAsia="en-AU"/>
    </w:rPr>
  </w:style>
  <w:style w:type="character" w:styleId="UnresolvedMention">
    <w:name w:val="Unresolved Mention"/>
    <w:basedOn w:val="DefaultParagraphFont"/>
    <w:uiPriority w:val="99"/>
    <w:semiHidden/>
    <w:unhideWhenUsed/>
    <w:rsid w:val="000E2EE6"/>
    <w:rPr>
      <w:color w:val="605E5C"/>
      <w:shd w:val="clear" w:color="auto" w:fill="E1DFDD"/>
    </w:rPr>
  </w:style>
  <w:style w:type="character" w:styleId="FollowedHyperlink">
    <w:name w:val="FollowedHyperlink"/>
    <w:basedOn w:val="DefaultParagraphFont"/>
    <w:semiHidden/>
    <w:unhideWhenUsed/>
    <w:rsid w:val="000E2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90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sts.court@supcourt.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drcentre@supcourt.vic.gov.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rcentre@supcourt.vi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Completion xmlns="5464e00b-0b32-4156-8404-d5d411511567" xsi:nil="true"/>
    <Notes xmlns="5464e00b-0b32-4156-8404-d5d41151156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55cc8a0bce2498d96fd32e60cd69ae69">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58bbaed769e86148660196bd5f7fec16"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F53C5FFA-8516-4FEC-A1E4-38241312D513}">
  <ds:schemaRefs>
    <ds:schemaRef ds:uri="http://schemas.microsoft.com/office/2006/metadata/properties"/>
    <ds:schemaRef ds:uri="http://schemas.microsoft.com/office/infopath/2007/PartnerControls"/>
    <ds:schemaRef ds:uri="c1cf93c2-ef2b-4781-9f58-1c6d5f95bff6"/>
    <ds:schemaRef ds:uri="5464e00b-0b32-4156-8404-d5d411511567"/>
  </ds:schemaRefs>
</ds:datastoreItem>
</file>

<file path=customXml/itemProps3.xml><?xml version="1.0" encoding="utf-8"?>
<ds:datastoreItem xmlns:ds="http://schemas.openxmlformats.org/officeDocument/2006/customXml" ds:itemID="{BE99CC0E-AFBF-4785-AE16-7974A4F83772}">
  <ds:schemaRefs>
    <ds:schemaRef ds:uri="http://schemas.openxmlformats.org/officeDocument/2006/bibliography"/>
  </ds:schemaRefs>
</ds:datastoreItem>
</file>

<file path=customXml/itemProps4.xml><?xml version="1.0" encoding="utf-8"?>
<ds:datastoreItem xmlns:ds="http://schemas.openxmlformats.org/officeDocument/2006/customXml" ds:itemID="{2A42C763-6026-4DE5-90F8-1F732F96C4E9}">
  <ds:schemaRefs>
    <ds:schemaRef ds:uri="http://schemas.openxmlformats.org/officeDocument/2006/bibliography"/>
  </ds:schemaRefs>
</ds:datastoreItem>
</file>

<file path=customXml/itemProps5.xml><?xml version="1.0" encoding="utf-8"?>
<ds:datastoreItem xmlns:ds="http://schemas.openxmlformats.org/officeDocument/2006/customXml" ds:itemID="{2FBF26DB-290C-409C-8D11-66FCEF43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4e00b-0b32-4156-8404-d5d411511567"/>
    <ds:schemaRef ds:uri="c1cf93c2-ef2b-4781-9f58-1c6d5f95b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B414EE-EF98-4B84-9475-0133DEEAA88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1655</Words>
  <Characters>9058</Characters>
  <Application>Microsoft Office Word</Application>
  <DocSecurity>0</DocSecurity>
  <Lines>244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Chrisomalidis</dc:creator>
  <cp:keywords/>
  <dc:description/>
  <cp:lastModifiedBy>Emmet O'Cuana</cp:lastModifiedBy>
  <cp:revision>6</cp:revision>
  <cp:lastPrinted>2015-02-18T22:34:00Z</cp:lastPrinted>
  <dcterms:created xsi:type="dcterms:W3CDTF">2025-11-19T23:38:00Z</dcterms:created>
  <dcterms:modified xsi:type="dcterms:W3CDTF">2025-11-28T06:53:00Z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0x01010021784356EB05BA48A782C06D5CE0C944</vt:lpwstr>
  </property>
  <property fmtid="{D5CDD505-2E9C-101B-9397-08002B2CF9AE}" pid="4" name="MediaServiceImageTags">
    <vt:lpwstr/>
  </property>
  <property fmtid="{D5CDD505-2E9C-101B-9397-08002B2CF9AE}" pid="5" name="Order">
    <vt:r8>2434300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