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02B73" w14:textId="77777777" w:rsidR="0042112B" w:rsidRPr="00F05009" w:rsidRDefault="0042112B" w:rsidP="0042112B">
      <w:pPr>
        <w:autoSpaceDE w:val="0"/>
        <w:autoSpaceDN w:val="0"/>
        <w:adjustRightInd w:val="0"/>
        <w:spacing w:before="120" w:after="120"/>
        <w:jc w:val="center"/>
        <w:rPr>
          <w:rFonts w:ascii="Book Antiqua" w:hAnsi="Book Antiqua"/>
          <w:b/>
          <w:bCs/>
          <w:color w:val="000000"/>
        </w:rPr>
      </w:pPr>
      <w:r w:rsidRPr="00F05009">
        <w:rPr>
          <w:rFonts w:ascii="Book Antiqua" w:hAnsi="Book Antiqua"/>
          <w:b/>
          <w:bCs/>
          <w:noProof/>
          <w:color w:val="000000"/>
          <w:sz w:val="44"/>
          <w:szCs w:val="44"/>
        </w:rPr>
        <w:drawing>
          <wp:anchor distT="0" distB="0" distL="114300" distR="114300" simplePos="0" relativeHeight="251659264" behindDoc="0" locked="0" layoutInCell="1" allowOverlap="0" wp14:anchorId="7C5351A2" wp14:editId="236FB614">
            <wp:simplePos x="0" y="0"/>
            <wp:positionH relativeFrom="column">
              <wp:posOffset>2238375</wp:posOffset>
            </wp:positionH>
            <wp:positionV relativeFrom="paragraph">
              <wp:posOffset>0</wp:posOffset>
            </wp:positionV>
            <wp:extent cx="1323340" cy="1189355"/>
            <wp:effectExtent l="0" t="0" r="0" b="0"/>
            <wp:wrapSquare wrapText="bothSides"/>
            <wp:docPr id="3" name="Picture 3" descr="SCV_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V_Red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34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0F936D" w14:textId="77777777" w:rsidR="0042112B" w:rsidRPr="00F05009" w:rsidRDefault="0042112B" w:rsidP="0042112B">
      <w:pPr>
        <w:autoSpaceDE w:val="0"/>
        <w:autoSpaceDN w:val="0"/>
        <w:adjustRightInd w:val="0"/>
        <w:spacing w:before="120" w:after="120"/>
        <w:jc w:val="center"/>
        <w:rPr>
          <w:rFonts w:ascii="Book Antiqua" w:hAnsi="Book Antiqua"/>
          <w:b/>
          <w:bCs/>
          <w:color w:val="000000"/>
        </w:rPr>
      </w:pPr>
    </w:p>
    <w:p w14:paraId="6D977C5C" w14:textId="77777777" w:rsidR="0042112B" w:rsidRPr="00F05009" w:rsidRDefault="0042112B" w:rsidP="0042112B">
      <w:pPr>
        <w:autoSpaceDE w:val="0"/>
        <w:autoSpaceDN w:val="0"/>
        <w:adjustRightInd w:val="0"/>
        <w:spacing w:before="120" w:after="120"/>
        <w:jc w:val="center"/>
        <w:rPr>
          <w:rFonts w:ascii="Book Antiqua" w:hAnsi="Book Antiqua"/>
          <w:b/>
          <w:bCs/>
          <w:color w:val="000000"/>
        </w:rPr>
      </w:pPr>
    </w:p>
    <w:p w14:paraId="678AC55D" w14:textId="77777777" w:rsidR="0042112B" w:rsidRPr="001F3184" w:rsidRDefault="0042112B" w:rsidP="0042112B">
      <w:pPr>
        <w:autoSpaceDE w:val="0"/>
        <w:autoSpaceDN w:val="0"/>
        <w:adjustRightInd w:val="0"/>
        <w:spacing w:before="120" w:after="120"/>
        <w:jc w:val="center"/>
        <w:rPr>
          <w:rFonts w:ascii="Book Antiqua" w:hAnsi="Book Antiqua"/>
          <w:b/>
          <w:bCs/>
          <w:color w:val="000000"/>
          <w:sz w:val="44"/>
          <w:szCs w:val="44"/>
        </w:rPr>
      </w:pPr>
    </w:p>
    <w:p w14:paraId="51C26902" w14:textId="77777777" w:rsidR="0042112B" w:rsidRPr="001F3184" w:rsidRDefault="0042112B" w:rsidP="0042112B">
      <w:pPr>
        <w:autoSpaceDE w:val="0"/>
        <w:autoSpaceDN w:val="0"/>
        <w:adjustRightInd w:val="0"/>
        <w:spacing w:before="120" w:after="120"/>
        <w:jc w:val="center"/>
        <w:rPr>
          <w:rFonts w:ascii="Book Antiqua" w:hAnsi="Book Antiqua"/>
          <w:b/>
          <w:bCs/>
          <w:color w:val="000000"/>
          <w:sz w:val="44"/>
          <w:szCs w:val="44"/>
        </w:rPr>
      </w:pPr>
      <w:r w:rsidRPr="001F3184">
        <w:rPr>
          <w:rFonts w:ascii="Book Antiqua" w:hAnsi="Book Antiqua"/>
          <w:b/>
          <w:bCs/>
          <w:color w:val="000000"/>
          <w:sz w:val="44"/>
          <w:szCs w:val="44"/>
        </w:rPr>
        <w:t>Supreme Court of Victoria</w:t>
      </w:r>
    </w:p>
    <w:p w14:paraId="2A4364F8" w14:textId="54DAE6BF" w:rsidR="0042112B" w:rsidRPr="001F3184" w:rsidRDefault="0042112B" w:rsidP="0042112B">
      <w:pPr>
        <w:autoSpaceDE w:val="0"/>
        <w:autoSpaceDN w:val="0"/>
        <w:adjustRightInd w:val="0"/>
        <w:spacing w:before="120" w:after="120"/>
        <w:jc w:val="center"/>
        <w:rPr>
          <w:rFonts w:ascii="Book Antiqua" w:hAnsi="Book Antiqua"/>
          <w:b/>
          <w:color w:val="000000"/>
          <w:sz w:val="28"/>
        </w:rPr>
      </w:pPr>
      <w:r w:rsidRPr="001F3184">
        <w:rPr>
          <w:rFonts w:ascii="Book Antiqua" w:hAnsi="Book Antiqua"/>
          <w:b/>
          <w:color w:val="000000"/>
          <w:sz w:val="28"/>
        </w:rPr>
        <w:t xml:space="preserve">Practice Note SC </w:t>
      </w:r>
      <w:r w:rsidR="00E612EC">
        <w:rPr>
          <w:rFonts w:ascii="Book Antiqua" w:hAnsi="Book Antiqua"/>
          <w:b/>
          <w:color w:val="000000"/>
          <w:sz w:val="28"/>
        </w:rPr>
        <w:t>CR</w:t>
      </w:r>
      <w:r w:rsidR="00841C08">
        <w:rPr>
          <w:rFonts w:ascii="Book Antiqua" w:hAnsi="Book Antiqua"/>
          <w:b/>
          <w:color w:val="000000"/>
          <w:sz w:val="28"/>
        </w:rPr>
        <w:t xml:space="preserve"> </w:t>
      </w:r>
      <w:r w:rsidR="004978BB">
        <w:rPr>
          <w:rFonts w:ascii="Book Antiqua" w:hAnsi="Book Antiqua"/>
          <w:b/>
          <w:color w:val="000000"/>
          <w:sz w:val="28"/>
        </w:rPr>
        <w:t>1</w:t>
      </w:r>
    </w:p>
    <w:p w14:paraId="76853F81" w14:textId="77777777" w:rsidR="0042112B" w:rsidRPr="001F3184" w:rsidRDefault="0042112B" w:rsidP="0042112B">
      <w:pPr>
        <w:autoSpaceDE w:val="0"/>
        <w:autoSpaceDN w:val="0"/>
        <w:adjustRightInd w:val="0"/>
        <w:spacing w:before="120" w:after="120"/>
        <w:jc w:val="center"/>
        <w:rPr>
          <w:rFonts w:ascii="Book Antiqua" w:hAnsi="Book Antiqua"/>
          <w:b/>
          <w:color w:val="000000"/>
          <w:sz w:val="28"/>
        </w:rPr>
      </w:pPr>
      <w:r w:rsidRPr="001F3184">
        <w:rPr>
          <w:rFonts w:ascii="Book Antiqua" w:hAnsi="Book Antiqua"/>
          <w:b/>
          <w:color w:val="000000"/>
          <w:sz w:val="28"/>
        </w:rPr>
        <w:t>Case Management Procedure for Criminal Trials</w:t>
      </w:r>
    </w:p>
    <w:p w14:paraId="70E227A7" w14:textId="77777777" w:rsidR="0042112B" w:rsidRPr="00F05009" w:rsidRDefault="0042112B" w:rsidP="0042112B">
      <w:pPr>
        <w:autoSpaceDE w:val="0"/>
        <w:autoSpaceDN w:val="0"/>
        <w:adjustRightInd w:val="0"/>
        <w:spacing w:before="120" w:after="120"/>
        <w:jc w:val="both"/>
        <w:rPr>
          <w:rFonts w:ascii="Book Antiqua" w:hAnsi="Book Antiqua"/>
          <w:b/>
          <w:color w:val="000000"/>
        </w:rPr>
      </w:pPr>
    </w:p>
    <w:p w14:paraId="2F18322C" w14:textId="77777777" w:rsidR="0042112B" w:rsidRPr="00F05009" w:rsidRDefault="0042112B" w:rsidP="00F6042F">
      <w:pPr>
        <w:pStyle w:val="Heading1"/>
      </w:pPr>
      <w:r w:rsidRPr="00F05009">
        <w:t>INTRODUCTION</w:t>
      </w:r>
    </w:p>
    <w:p w14:paraId="4E49893E" w14:textId="77777777" w:rsidR="0042112B" w:rsidRPr="001F3184" w:rsidRDefault="0042112B" w:rsidP="0042112B">
      <w:pPr>
        <w:pStyle w:val="ListParagraph"/>
        <w:numPr>
          <w:ilvl w:val="1"/>
          <w:numId w:val="1"/>
        </w:numPr>
        <w:spacing w:before="120" w:after="120"/>
        <w:jc w:val="both"/>
        <w:rPr>
          <w:rFonts w:ascii="Book Antiqua" w:hAnsi="Book Antiqua"/>
          <w:sz w:val="24"/>
          <w:szCs w:val="24"/>
        </w:rPr>
      </w:pPr>
      <w:r w:rsidRPr="001F3184">
        <w:rPr>
          <w:rFonts w:ascii="Book Antiqua" w:hAnsi="Book Antiqua"/>
          <w:sz w:val="24"/>
          <w:szCs w:val="24"/>
        </w:rPr>
        <w:t>The Chief Justice has authorised the issue of the following Practice Note.</w:t>
      </w:r>
    </w:p>
    <w:p w14:paraId="7622DF65" w14:textId="707DC5AE" w:rsidR="0042112B" w:rsidRPr="001F3184" w:rsidRDefault="0042112B" w:rsidP="0042112B">
      <w:pPr>
        <w:pStyle w:val="ListParagraph"/>
        <w:numPr>
          <w:ilvl w:val="1"/>
          <w:numId w:val="1"/>
        </w:numPr>
        <w:spacing w:before="120" w:after="120"/>
        <w:jc w:val="both"/>
        <w:rPr>
          <w:rFonts w:ascii="Book Antiqua" w:hAnsi="Book Antiqua"/>
          <w:sz w:val="24"/>
          <w:szCs w:val="24"/>
        </w:rPr>
      </w:pPr>
      <w:r w:rsidRPr="001F3184">
        <w:rPr>
          <w:rFonts w:ascii="Book Antiqua" w:hAnsi="Book Antiqua"/>
          <w:sz w:val="24"/>
          <w:szCs w:val="24"/>
        </w:rPr>
        <w:t xml:space="preserve">The purpose of this Practice Note is to </w:t>
      </w:r>
      <w:r>
        <w:rPr>
          <w:rFonts w:ascii="Book Antiqua" w:hAnsi="Book Antiqua"/>
          <w:sz w:val="24"/>
          <w:szCs w:val="24"/>
        </w:rPr>
        <w:t>outline</w:t>
      </w:r>
      <w:r w:rsidRPr="001F3184">
        <w:rPr>
          <w:rFonts w:ascii="Book Antiqua" w:hAnsi="Book Antiqua"/>
          <w:sz w:val="24"/>
          <w:szCs w:val="24"/>
        </w:rPr>
        <w:t xml:space="preserve"> the case management</w:t>
      </w:r>
      <w:r w:rsidR="00D54F4D">
        <w:rPr>
          <w:rFonts w:ascii="Book Antiqua" w:hAnsi="Book Antiqua"/>
          <w:sz w:val="24"/>
          <w:szCs w:val="24"/>
        </w:rPr>
        <w:t xml:space="preserve"> process</w:t>
      </w:r>
      <w:r w:rsidRPr="001F3184">
        <w:rPr>
          <w:rFonts w:ascii="Book Antiqua" w:hAnsi="Book Antiqua"/>
          <w:sz w:val="24"/>
          <w:szCs w:val="24"/>
        </w:rPr>
        <w:t xml:space="preserve"> for criminal trials </w:t>
      </w:r>
      <w:r w:rsidR="004978BB">
        <w:rPr>
          <w:rFonts w:ascii="Book Antiqua" w:hAnsi="Book Antiqua"/>
          <w:sz w:val="24"/>
          <w:szCs w:val="24"/>
        </w:rPr>
        <w:t xml:space="preserve">and pleas </w:t>
      </w:r>
      <w:r w:rsidRPr="001F3184">
        <w:rPr>
          <w:rFonts w:ascii="Book Antiqua" w:hAnsi="Book Antiqua"/>
          <w:sz w:val="24"/>
          <w:szCs w:val="24"/>
        </w:rPr>
        <w:t xml:space="preserve">in the Supreme Court </w:t>
      </w:r>
      <w:r w:rsidR="00DF2255">
        <w:rPr>
          <w:rFonts w:ascii="Book Antiqua" w:hAnsi="Book Antiqua"/>
          <w:sz w:val="24"/>
          <w:szCs w:val="24"/>
        </w:rPr>
        <w:t>in order</w:t>
      </w:r>
      <w:r w:rsidRPr="001F3184">
        <w:rPr>
          <w:rFonts w:ascii="Book Antiqua" w:hAnsi="Book Antiqua"/>
          <w:sz w:val="24"/>
          <w:szCs w:val="24"/>
        </w:rPr>
        <w:t xml:space="preserve"> to achieve:</w:t>
      </w:r>
    </w:p>
    <w:p w14:paraId="6830A751" w14:textId="48AA750F" w:rsidR="0042112B" w:rsidRPr="00856F15" w:rsidRDefault="006C37B1" w:rsidP="0042112B">
      <w:pPr>
        <w:pStyle w:val="ListParagraph"/>
        <w:numPr>
          <w:ilvl w:val="0"/>
          <w:numId w:val="5"/>
        </w:numPr>
        <w:spacing w:before="120" w:after="120"/>
        <w:jc w:val="both"/>
        <w:rPr>
          <w:rFonts w:ascii="Book Antiqua" w:hAnsi="Book Antiqua"/>
          <w:sz w:val="24"/>
          <w:szCs w:val="24"/>
        </w:rPr>
      </w:pPr>
      <w:r w:rsidRPr="00856F15">
        <w:rPr>
          <w:rFonts w:ascii="Book Antiqua" w:hAnsi="Book Antiqua"/>
          <w:sz w:val="24"/>
          <w:szCs w:val="24"/>
        </w:rPr>
        <w:t>e</w:t>
      </w:r>
      <w:r w:rsidR="0042112B" w:rsidRPr="00856F15">
        <w:rPr>
          <w:rFonts w:ascii="Book Antiqua" w:hAnsi="Book Antiqua"/>
          <w:sz w:val="24"/>
          <w:szCs w:val="24"/>
        </w:rPr>
        <w:t>fficient resolution of pre-trial and interlocutory issues</w:t>
      </w:r>
      <w:r w:rsidR="0086789E" w:rsidRPr="00856F15">
        <w:rPr>
          <w:rFonts w:ascii="Book Antiqua" w:hAnsi="Book Antiqua"/>
          <w:sz w:val="24"/>
          <w:szCs w:val="24"/>
        </w:rPr>
        <w:t>;</w:t>
      </w:r>
    </w:p>
    <w:p w14:paraId="2D8FC471" w14:textId="214E46B1" w:rsidR="0042112B" w:rsidRPr="00856F15" w:rsidRDefault="006C37B1" w:rsidP="0042112B">
      <w:pPr>
        <w:pStyle w:val="ListParagraph"/>
        <w:numPr>
          <w:ilvl w:val="0"/>
          <w:numId w:val="5"/>
        </w:numPr>
        <w:spacing w:before="120" w:after="120"/>
        <w:jc w:val="both"/>
        <w:rPr>
          <w:rFonts w:ascii="Book Antiqua" w:hAnsi="Book Antiqua"/>
          <w:sz w:val="24"/>
          <w:szCs w:val="24"/>
        </w:rPr>
      </w:pPr>
      <w:r w:rsidRPr="57220559">
        <w:rPr>
          <w:rFonts w:ascii="Book Antiqua" w:hAnsi="Book Antiqua"/>
          <w:sz w:val="24"/>
          <w:szCs w:val="24"/>
        </w:rPr>
        <w:t>e</w:t>
      </w:r>
      <w:r w:rsidR="0042112B" w:rsidRPr="57220559">
        <w:rPr>
          <w:rFonts w:ascii="Book Antiqua" w:hAnsi="Book Antiqua"/>
          <w:sz w:val="24"/>
          <w:szCs w:val="24"/>
        </w:rPr>
        <w:t>arl</w:t>
      </w:r>
      <w:r w:rsidR="00AF0140" w:rsidRPr="57220559">
        <w:rPr>
          <w:rFonts w:ascii="Book Antiqua" w:hAnsi="Book Antiqua"/>
          <w:sz w:val="24"/>
          <w:szCs w:val="24"/>
        </w:rPr>
        <w:t>y</w:t>
      </w:r>
      <w:r w:rsidR="0042112B" w:rsidRPr="57220559">
        <w:rPr>
          <w:rFonts w:ascii="Book Antiqua" w:hAnsi="Book Antiqua"/>
          <w:sz w:val="24"/>
          <w:szCs w:val="24"/>
        </w:rPr>
        <w:t xml:space="preserve"> resolution </w:t>
      </w:r>
      <w:r w:rsidR="00DF2255" w:rsidRPr="57220559">
        <w:rPr>
          <w:rFonts w:ascii="Book Antiqua" w:hAnsi="Book Antiqua"/>
          <w:sz w:val="24"/>
          <w:szCs w:val="24"/>
        </w:rPr>
        <w:t xml:space="preserve">of charges </w:t>
      </w:r>
      <w:r w:rsidR="0042112B" w:rsidRPr="57220559">
        <w:rPr>
          <w:rFonts w:ascii="Book Antiqua" w:hAnsi="Book Antiqua"/>
          <w:sz w:val="24"/>
          <w:szCs w:val="24"/>
        </w:rPr>
        <w:t xml:space="preserve">where </w:t>
      </w:r>
      <w:r w:rsidR="007020E1" w:rsidRPr="57220559">
        <w:rPr>
          <w:rFonts w:ascii="Book Antiqua" w:hAnsi="Book Antiqua"/>
          <w:sz w:val="24"/>
          <w:szCs w:val="24"/>
        </w:rPr>
        <w:t>appropriate;</w:t>
      </w:r>
    </w:p>
    <w:p w14:paraId="280EABFA" w14:textId="15F30AFC" w:rsidR="00AF0140" w:rsidRPr="00856F15" w:rsidRDefault="00AF0140" w:rsidP="00AF0140">
      <w:pPr>
        <w:pStyle w:val="ListParagraph"/>
        <w:numPr>
          <w:ilvl w:val="0"/>
          <w:numId w:val="5"/>
        </w:numPr>
        <w:spacing w:before="120" w:after="120"/>
        <w:jc w:val="both"/>
        <w:rPr>
          <w:rFonts w:ascii="Book Antiqua" w:hAnsi="Book Antiqua"/>
          <w:sz w:val="24"/>
          <w:szCs w:val="24"/>
        </w:rPr>
      </w:pPr>
      <w:r w:rsidRPr="00856F15">
        <w:rPr>
          <w:rFonts w:ascii="Book Antiqua" w:hAnsi="Book Antiqua"/>
          <w:sz w:val="24"/>
          <w:szCs w:val="24"/>
        </w:rPr>
        <w:t>certainty of trial dates;</w:t>
      </w:r>
      <w:r w:rsidR="0085510C">
        <w:rPr>
          <w:rFonts w:ascii="Book Antiqua" w:hAnsi="Book Antiqua"/>
          <w:sz w:val="24"/>
          <w:szCs w:val="24"/>
        </w:rPr>
        <w:t xml:space="preserve"> and</w:t>
      </w:r>
    </w:p>
    <w:p w14:paraId="74D3EAD2" w14:textId="5C853229" w:rsidR="0086789E" w:rsidRPr="00856F15" w:rsidRDefault="0086789E" w:rsidP="00AF0140">
      <w:pPr>
        <w:pStyle w:val="ListParagraph"/>
        <w:numPr>
          <w:ilvl w:val="0"/>
          <w:numId w:val="5"/>
        </w:numPr>
        <w:spacing w:before="120" w:after="120"/>
        <w:jc w:val="both"/>
        <w:rPr>
          <w:rFonts w:ascii="Book Antiqua" w:hAnsi="Book Antiqua"/>
          <w:sz w:val="24"/>
          <w:szCs w:val="24"/>
        </w:rPr>
      </w:pPr>
      <w:r w:rsidRPr="00856F15">
        <w:rPr>
          <w:rFonts w:ascii="Book Antiqua" w:hAnsi="Book Antiqua"/>
          <w:sz w:val="24"/>
          <w:szCs w:val="24"/>
        </w:rPr>
        <w:t>efficient running of trials</w:t>
      </w:r>
      <w:r w:rsidR="006C37B1" w:rsidRPr="00856F15">
        <w:rPr>
          <w:rFonts w:ascii="Book Antiqua" w:hAnsi="Book Antiqua"/>
          <w:sz w:val="24"/>
          <w:szCs w:val="24"/>
        </w:rPr>
        <w:t xml:space="preserve"> to their conclusion.</w:t>
      </w:r>
    </w:p>
    <w:p w14:paraId="7F6FE822" w14:textId="77777777" w:rsidR="0042112B" w:rsidRPr="00F05009" w:rsidRDefault="0042112B" w:rsidP="00F6042F">
      <w:pPr>
        <w:pStyle w:val="Heading1"/>
        <w:numPr>
          <w:ilvl w:val="0"/>
          <w:numId w:val="0"/>
        </w:numPr>
        <w:ind w:left="720"/>
      </w:pPr>
    </w:p>
    <w:p w14:paraId="03294C54" w14:textId="77777777" w:rsidR="0042112B" w:rsidRPr="00F05009" w:rsidRDefault="0042112B" w:rsidP="00F6042F">
      <w:pPr>
        <w:pStyle w:val="Heading1"/>
      </w:pPr>
      <w:r w:rsidRPr="00F05009">
        <w:t>COMMENCEMENT</w:t>
      </w:r>
    </w:p>
    <w:p w14:paraId="6A3EF885" w14:textId="228D15FC" w:rsidR="0042112B" w:rsidRPr="001F3184" w:rsidRDefault="0042112B" w:rsidP="00214007">
      <w:pPr>
        <w:spacing w:before="120" w:after="120"/>
        <w:ind w:left="720" w:hanging="720"/>
        <w:jc w:val="both"/>
        <w:rPr>
          <w:rFonts w:ascii="Book Antiqua" w:hAnsi="Book Antiqua"/>
        </w:rPr>
      </w:pPr>
      <w:r w:rsidRPr="001F3184">
        <w:rPr>
          <w:rFonts w:ascii="Book Antiqua" w:hAnsi="Book Antiqua"/>
        </w:rPr>
        <w:t>2.1</w:t>
      </w:r>
      <w:r w:rsidRPr="001F3184">
        <w:rPr>
          <w:rFonts w:ascii="Book Antiqua" w:hAnsi="Book Antiqua"/>
        </w:rPr>
        <w:tab/>
        <w:t xml:space="preserve">This Practice Note was issued on </w:t>
      </w:r>
      <w:r w:rsidR="00E0075F">
        <w:rPr>
          <w:rFonts w:ascii="Book Antiqua" w:hAnsi="Book Antiqua"/>
        </w:rPr>
        <w:t>22</w:t>
      </w:r>
      <w:r w:rsidR="009D34A2">
        <w:rPr>
          <w:rFonts w:ascii="Book Antiqua" w:hAnsi="Book Antiqua"/>
        </w:rPr>
        <w:t xml:space="preserve"> December</w:t>
      </w:r>
      <w:r w:rsidRPr="001F3184">
        <w:rPr>
          <w:rFonts w:ascii="Book Antiqua" w:hAnsi="Book Antiqua"/>
        </w:rPr>
        <w:t xml:space="preserve"> 20</w:t>
      </w:r>
      <w:r w:rsidR="009D34A2">
        <w:rPr>
          <w:rFonts w:ascii="Book Antiqua" w:hAnsi="Book Antiqua"/>
        </w:rPr>
        <w:t>25</w:t>
      </w:r>
      <w:r w:rsidR="006074D2">
        <w:rPr>
          <w:rFonts w:ascii="Book Antiqua" w:hAnsi="Book Antiqua"/>
        </w:rPr>
        <w:t xml:space="preserve"> and applies to matters in the </w:t>
      </w:r>
      <w:r w:rsidR="00D52329">
        <w:rPr>
          <w:rFonts w:ascii="Book Antiqua" w:hAnsi="Book Antiqua"/>
        </w:rPr>
        <w:t>C</w:t>
      </w:r>
      <w:r w:rsidR="006074D2">
        <w:rPr>
          <w:rFonts w:ascii="Book Antiqua" w:hAnsi="Book Antiqua"/>
        </w:rPr>
        <w:t xml:space="preserve">riminal Division from </w:t>
      </w:r>
      <w:r>
        <w:rPr>
          <w:rFonts w:ascii="Book Antiqua" w:hAnsi="Book Antiqua"/>
        </w:rPr>
        <w:t>1 January 20</w:t>
      </w:r>
      <w:r w:rsidR="009D34A2">
        <w:rPr>
          <w:rFonts w:ascii="Book Antiqua" w:hAnsi="Book Antiqua"/>
        </w:rPr>
        <w:t>26</w:t>
      </w:r>
      <w:r>
        <w:rPr>
          <w:rFonts w:ascii="Book Antiqua" w:hAnsi="Book Antiqua"/>
        </w:rPr>
        <w:t xml:space="preserve">. </w:t>
      </w:r>
      <w:r w:rsidRPr="001F3184">
        <w:rPr>
          <w:rFonts w:ascii="Book Antiqua" w:hAnsi="Book Antiqua"/>
        </w:rPr>
        <w:t xml:space="preserve"> </w:t>
      </w:r>
    </w:p>
    <w:p w14:paraId="0CD0E780" w14:textId="77777777" w:rsidR="0042112B" w:rsidRPr="001F3184" w:rsidRDefault="0042112B" w:rsidP="0042112B">
      <w:pPr>
        <w:spacing w:before="120" w:after="120"/>
        <w:ind w:left="720" w:hanging="720"/>
        <w:jc w:val="both"/>
        <w:rPr>
          <w:rFonts w:ascii="Book Antiqua" w:hAnsi="Book Antiqua"/>
        </w:rPr>
      </w:pPr>
    </w:p>
    <w:p w14:paraId="454DE387" w14:textId="77777777" w:rsidR="0042112B" w:rsidRPr="00F05009" w:rsidRDefault="0042112B" w:rsidP="00F6042F">
      <w:pPr>
        <w:pStyle w:val="Heading1"/>
      </w:pPr>
      <w:r w:rsidRPr="00F05009">
        <w:t>DEFINITIONS</w:t>
      </w:r>
    </w:p>
    <w:p w14:paraId="581E9D90" w14:textId="77777777" w:rsidR="0042112B" w:rsidRPr="001F3184" w:rsidRDefault="0042112B" w:rsidP="0042112B">
      <w:pPr>
        <w:pStyle w:val="ListParagraph"/>
        <w:numPr>
          <w:ilvl w:val="1"/>
          <w:numId w:val="2"/>
        </w:numPr>
        <w:spacing w:before="120" w:after="120"/>
        <w:jc w:val="both"/>
        <w:rPr>
          <w:rFonts w:ascii="Book Antiqua" w:hAnsi="Book Antiqua"/>
          <w:sz w:val="24"/>
          <w:szCs w:val="24"/>
        </w:rPr>
      </w:pPr>
      <w:r w:rsidRPr="001F3184">
        <w:rPr>
          <w:rFonts w:ascii="Book Antiqua" w:hAnsi="Book Antiqua"/>
          <w:sz w:val="24"/>
          <w:szCs w:val="24"/>
        </w:rPr>
        <w:t xml:space="preserve">      In this Practice Note:</w:t>
      </w:r>
    </w:p>
    <w:p w14:paraId="7D543CE0" w14:textId="37CEFCC3" w:rsidR="00996796" w:rsidRDefault="00996796" w:rsidP="0042112B">
      <w:pPr>
        <w:pStyle w:val="ListParagraph"/>
        <w:spacing w:before="120" w:after="120"/>
        <w:jc w:val="both"/>
        <w:rPr>
          <w:rFonts w:ascii="Book Antiqua" w:hAnsi="Book Antiqua"/>
          <w:b/>
          <w:i/>
          <w:sz w:val="24"/>
          <w:szCs w:val="24"/>
        </w:rPr>
      </w:pPr>
      <w:r>
        <w:rPr>
          <w:rFonts w:ascii="Book Antiqua" w:hAnsi="Book Antiqua"/>
          <w:b/>
          <w:i/>
          <w:sz w:val="24"/>
          <w:szCs w:val="24"/>
        </w:rPr>
        <w:t xml:space="preserve">AVL </w:t>
      </w:r>
      <w:r w:rsidRPr="00996796">
        <w:rPr>
          <w:rFonts w:ascii="Book Antiqua" w:hAnsi="Book Antiqua"/>
          <w:bCs/>
          <w:iCs/>
          <w:sz w:val="24"/>
          <w:szCs w:val="24"/>
        </w:rPr>
        <w:t>means audio-visual link</w:t>
      </w:r>
    </w:p>
    <w:p w14:paraId="55BAEFD4" w14:textId="325EE3C1" w:rsidR="007026A2" w:rsidRPr="007026A2" w:rsidRDefault="007026A2" w:rsidP="0042112B">
      <w:pPr>
        <w:pStyle w:val="ListParagraph"/>
        <w:spacing w:before="120" w:after="120"/>
        <w:jc w:val="both"/>
        <w:rPr>
          <w:rFonts w:ascii="Book Antiqua" w:hAnsi="Book Antiqua"/>
          <w:bCs/>
          <w:iCs/>
          <w:sz w:val="24"/>
          <w:szCs w:val="24"/>
        </w:rPr>
      </w:pPr>
      <w:r>
        <w:rPr>
          <w:rFonts w:ascii="Book Antiqua" w:hAnsi="Book Antiqua"/>
          <w:b/>
          <w:i/>
          <w:sz w:val="24"/>
          <w:szCs w:val="24"/>
        </w:rPr>
        <w:t xml:space="preserve">CPA </w:t>
      </w:r>
      <w:r w:rsidRPr="007026A2">
        <w:rPr>
          <w:rFonts w:ascii="Book Antiqua" w:hAnsi="Book Antiqua"/>
          <w:bCs/>
          <w:iCs/>
          <w:sz w:val="24"/>
          <w:szCs w:val="24"/>
        </w:rPr>
        <w:t xml:space="preserve">means </w:t>
      </w:r>
      <w:r w:rsidRPr="007026A2">
        <w:rPr>
          <w:rFonts w:ascii="Book Antiqua" w:hAnsi="Book Antiqua"/>
          <w:bCs/>
          <w:i/>
          <w:sz w:val="24"/>
          <w:szCs w:val="24"/>
        </w:rPr>
        <w:t>Criminal Procedure Act 2009</w:t>
      </w:r>
    </w:p>
    <w:p w14:paraId="2A0D6CD3" w14:textId="77777777" w:rsidR="00D52329" w:rsidRDefault="00D52329" w:rsidP="00D52329">
      <w:pPr>
        <w:pStyle w:val="ListParagraph"/>
        <w:spacing w:before="120" w:after="120"/>
        <w:jc w:val="both"/>
        <w:rPr>
          <w:rFonts w:ascii="Book Antiqua" w:hAnsi="Book Antiqua"/>
          <w:b/>
          <w:i/>
          <w:sz w:val="24"/>
          <w:szCs w:val="24"/>
        </w:rPr>
      </w:pPr>
      <w:r>
        <w:rPr>
          <w:rFonts w:ascii="Book Antiqua" w:hAnsi="Book Antiqua"/>
          <w:b/>
          <w:i/>
          <w:sz w:val="24"/>
          <w:szCs w:val="24"/>
        </w:rPr>
        <w:t xml:space="preserve">early committal </w:t>
      </w:r>
      <w:r w:rsidRPr="00CF0238">
        <w:rPr>
          <w:rFonts w:ascii="Book Antiqua" w:hAnsi="Book Antiqua"/>
          <w:bCs/>
          <w:iCs/>
          <w:sz w:val="24"/>
          <w:szCs w:val="24"/>
        </w:rPr>
        <w:t>means</w:t>
      </w:r>
      <w:r>
        <w:rPr>
          <w:rFonts w:ascii="Book Antiqua" w:hAnsi="Book Antiqua"/>
          <w:bCs/>
          <w:iCs/>
          <w:sz w:val="24"/>
          <w:szCs w:val="24"/>
        </w:rPr>
        <w:t xml:space="preserve"> committal to the Supreme Court under Part 4.6A of the CPA</w:t>
      </w:r>
    </w:p>
    <w:p w14:paraId="564BE055" w14:textId="5F3AD609" w:rsidR="00CF0238" w:rsidRDefault="003446BC" w:rsidP="57220559">
      <w:pPr>
        <w:pStyle w:val="ListParagraph"/>
        <w:spacing w:before="120" w:after="120"/>
        <w:jc w:val="both"/>
        <w:rPr>
          <w:rFonts w:ascii="Book Antiqua" w:hAnsi="Book Antiqua"/>
          <w:b/>
          <w:bCs/>
          <w:i/>
          <w:iCs/>
          <w:sz w:val="24"/>
          <w:szCs w:val="24"/>
        </w:rPr>
      </w:pPr>
      <w:r w:rsidRPr="57220559">
        <w:rPr>
          <w:rFonts w:ascii="Book Antiqua" w:hAnsi="Book Antiqua"/>
          <w:b/>
          <w:bCs/>
          <w:i/>
          <w:iCs/>
          <w:sz w:val="24"/>
          <w:szCs w:val="24"/>
        </w:rPr>
        <w:t>e</w:t>
      </w:r>
      <w:r w:rsidR="00CF0238" w:rsidRPr="57220559">
        <w:rPr>
          <w:rFonts w:ascii="Book Antiqua" w:hAnsi="Book Antiqua"/>
          <w:b/>
          <w:bCs/>
          <w:i/>
          <w:iCs/>
          <w:sz w:val="24"/>
          <w:szCs w:val="24"/>
        </w:rPr>
        <w:t xml:space="preserve">lection </w:t>
      </w:r>
      <w:r w:rsidR="00CF0238" w:rsidRPr="57220559">
        <w:rPr>
          <w:rFonts w:ascii="Book Antiqua" w:hAnsi="Book Antiqua"/>
          <w:sz w:val="24"/>
          <w:szCs w:val="24"/>
        </w:rPr>
        <w:t>means</w:t>
      </w:r>
      <w:r w:rsidR="00693671" w:rsidRPr="57220559">
        <w:rPr>
          <w:rFonts w:ascii="Book Antiqua" w:hAnsi="Book Antiqua"/>
          <w:sz w:val="24"/>
          <w:szCs w:val="24"/>
        </w:rPr>
        <w:t xml:space="preserve"> election to stand trial pursuant to s 143 of the CPA</w:t>
      </w:r>
      <w:r w:rsidR="00523984" w:rsidRPr="57220559">
        <w:rPr>
          <w:rFonts w:ascii="Book Antiqua" w:hAnsi="Book Antiqua"/>
          <w:sz w:val="24"/>
          <w:szCs w:val="24"/>
        </w:rPr>
        <w:t xml:space="preserve"> </w:t>
      </w:r>
      <w:r w:rsidR="00CC405E" w:rsidRPr="57220559">
        <w:rPr>
          <w:rFonts w:ascii="Book Antiqua" w:hAnsi="Book Antiqua"/>
          <w:sz w:val="24"/>
          <w:szCs w:val="24"/>
        </w:rPr>
        <w:t>including matters adopting what was previous</w:t>
      </w:r>
      <w:r w:rsidR="0085510C">
        <w:rPr>
          <w:rFonts w:ascii="Book Antiqua" w:hAnsi="Book Antiqua"/>
          <w:sz w:val="24"/>
          <w:szCs w:val="24"/>
        </w:rPr>
        <w:t>ly</w:t>
      </w:r>
      <w:r w:rsidR="00CC405E" w:rsidRPr="57220559">
        <w:rPr>
          <w:rFonts w:ascii="Book Antiqua" w:hAnsi="Book Antiqua"/>
          <w:sz w:val="24"/>
          <w:szCs w:val="24"/>
        </w:rPr>
        <w:t xml:space="preserve"> described as the </w:t>
      </w:r>
      <w:r w:rsidR="6190A214" w:rsidRPr="57220559">
        <w:rPr>
          <w:rFonts w:ascii="Book Antiqua" w:hAnsi="Book Antiqua"/>
          <w:sz w:val="24"/>
          <w:szCs w:val="24"/>
        </w:rPr>
        <w:t>fast-track</w:t>
      </w:r>
      <w:r w:rsidR="00CC405E" w:rsidRPr="57220559">
        <w:rPr>
          <w:rFonts w:ascii="Book Antiqua" w:hAnsi="Book Antiqua"/>
          <w:sz w:val="24"/>
          <w:szCs w:val="24"/>
        </w:rPr>
        <w:t xml:space="preserve"> process </w:t>
      </w:r>
    </w:p>
    <w:p w14:paraId="5AECDB79" w14:textId="26B6306C" w:rsidR="003A0230" w:rsidRPr="005D1B39" w:rsidRDefault="003A0230" w:rsidP="57220559">
      <w:pPr>
        <w:pStyle w:val="ListParagraph"/>
        <w:spacing w:before="120" w:after="120"/>
        <w:jc w:val="both"/>
        <w:rPr>
          <w:rFonts w:ascii="Book Antiqua" w:hAnsi="Book Antiqua"/>
          <w:sz w:val="24"/>
          <w:szCs w:val="24"/>
        </w:rPr>
      </w:pPr>
      <w:r w:rsidRPr="57220559">
        <w:rPr>
          <w:rFonts w:ascii="Book Antiqua" w:hAnsi="Book Antiqua"/>
          <w:b/>
          <w:bCs/>
          <w:i/>
          <w:iCs/>
          <w:sz w:val="24"/>
          <w:szCs w:val="24"/>
        </w:rPr>
        <w:t>evidentiary notices</w:t>
      </w:r>
      <w:r w:rsidR="005D1B39" w:rsidRPr="57220559">
        <w:rPr>
          <w:rFonts w:ascii="Book Antiqua" w:hAnsi="Book Antiqua"/>
          <w:sz w:val="24"/>
          <w:szCs w:val="24"/>
        </w:rPr>
        <w:t xml:space="preserve"> include notices of intention </w:t>
      </w:r>
      <w:r w:rsidR="00F9577E" w:rsidRPr="57220559">
        <w:rPr>
          <w:rFonts w:ascii="Book Antiqua" w:hAnsi="Book Antiqua"/>
          <w:sz w:val="24"/>
          <w:szCs w:val="24"/>
        </w:rPr>
        <w:t>t</w:t>
      </w:r>
      <w:r w:rsidR="00DA0F8A" w:rsidRPr="57220559">
        <w:rPr>
          <w:rFonts w:ascii="Book Antiqua" w:hAnsi="Book Antiqua"/>
          <w:sz w:val="24"/>
          <w:szCs w:val="24"/>
        </w:rPr>
        <w:t>o</w:t>
      </w:r>
      <w:r w:rsidR="00F9577E" w:rsidRPr="57220559">
        <w:rPr>
          <w:rFonts w:ascii="Book Antiqua" w:hAnsi="Book Antiqua"/>
          <w:sz w:val="24"/>
          <w:szCs w:val="24"/>
        </w:rPr>
        <w:t xml:space="preserve"> adduce evidence of previous representation</w:t>
      </w:r>
      <w:r w:rsidR="00766AC1" w:rsidRPr="57220559">
        <w:rPr>
          <w:rFonts w:ascii="Book Antiqua" w:hAnsi="Book Antiqua"/>
          <w:sz w:val="24"/>
          <w:szCs w:val="24"/>
        </w:rPr>
        <w:t xml:space="preserve"> (hearsay)</w:t>
      </w:r>
      <w:r w:rsidR="00F9577E" w:rsidRPr="57220559">
        <w:rPr>
          <w:rFonts w:ascii="Book Antiqua" w:hAnsi="Book Antiqua"/>
          <w:sz w:val="24"/>
          <w:szCs w:val="24"/>
        </w:rPr>
        <w:t>, notice</w:t>
      </w:r>
      <w:r w:rsidR="005F0990" w:rsidRPr="57220559">
        <w:rPr>
          <w:rFonts w:ascii="Book Antiqua" w:hAnsi="Book Antiqua"/>
          <w:sz w:val="24"/>
          <w:szCs w:val="24"/>
        </w:rPr>
        <w:t>s</w:t>
      </w:r>
      <w:r w:rsidR="00F9577E" w:rsidRPr="57220559">
        <w:rPr>
          <w:rFonts w:ascii="Book Antiqua" w:hAnsi="Book Antiqua"/>
          <w:sz w:val="24"/>
          <w:szCs w:val="24"/>
        </w:rPr>
        <w:t xml:space="preserve"> of inten</w:t>
      </w:r>
      <w:r w:rsidR="006C0689" w:rsidRPr="57220559">
        <w:rPr>
          <w:rFonts w:ascii="Book Antiqua" w:hAnsi="Book Antiqua"/>
          <w:sz w:val="24"/>
          <w:szCs w:val="24"/>
        </w:rPr>
        <w:t>t</w:t>
      </w:r>
      <w:r w:rsidR="00F9577E" w:rsidRPr="57220559">
        <w:rPr>
          <w:rFonts w:ascii="Book Antiqua" w:hAnsi="Book Antiqua"/>
          <w:sz w:val="24"/>
          <w:szCs w:val="24"/>
        </w:rPr>
        <w:t xml:space="preserve">ion to adduce </w:t>
      </w:r>
      <w:r w:rsidR="006C0689" w:rsidRPr="57220559">
        <w:rPr>
          <w:rFonts w:ascii="Book Antiqua" w:hAnsi="Book Antiqua"/>
          <w:sz w:val="24"/>
          <w:szCs w:val="24"/>
        </w:rPr>
        <w:t xml:space="preserve">tendency </w:t>
      </w:r>
      <w:r w:rsidR="2C0DBDCB" w:rsidRPr="57220559">
        <w:rPr>
          <w:rFonts w:ascii="Book Antiqua" w:hAnsi="Book Antiqua"/>
          <w:sz w:val="24"/>
          <w:szCs w:val="24"/>
        </w:rPr>
        <w:t>evidence, notices</w:t>
      </w:r>
      <w:r w:rsidR="006C0689" w:rsidRPr="57220559">
        <w:rPr>
          <w:rFonts w:ascii="Book Antiqua" w:hAnsi="Book Antiqua"/>
          <w:sz w:val="24"/>
          <w:szCs w:val="24"/>
        </w:rPr>
        <w:t xml:space="preserve"> of intention to adduce coincidence evidence</w:t>
      </w:r>
      <w:r w:rsidR="00700AAA" w:rsidRPr="57220559">
        <w:rPr>
          <w:rFonts w:ascii="Book Antiqua" w:hAnsi="Book Antiqua"/>
          <w:sz w:val="24"/>
          <w:szCs w:val="24"/>
        </w:rPr>
        <w:t>, notice</w:t>
      </w:r>
      <w:r w:rsidR="005F0990" w:rsidRPr="57220559">
        <w:rPr>
          <w:rFonts w:ascii="Book Antiqua" w:hAnsi="Book Antiqua"/>
          <w:sz w:val="24"/>
          <w:szCs w:val="24"/>
        </w:rPr>
        <w:t>s</w:t>
      </w:r>
      <w:r w:rsidR="00700AAA" w:rsidRPr="57220559">
        <w:rPr>
          <w:rFonts w:ascii="Book Antiqua" w:hAnsi="Book Antiqua"/>
          <w:sz w:val="24"/>
          <w:szCs w:val="24"/>
        </w:rPr>
        <w:t xml:space="preserve"> </w:t>
      </w:r>
      <w:r w:rsidR="00DC18B6" w:rsidRPr="57220559">
        <w:rPr>
          <w:rFonts w:ascii="Book Antiqua" w:hAnsi="Book Antiqua"/>
          <w:sz w:val="24"/>
          <w:szCs w:val="24"/>
        </w:rPr>
        <w:t>of additional evidence and notice</w:t>
      </w:r>
      <w:r w:rsidR="005F0990" w:rsidRPr="57220559">
        <w:rPr>
          <w:rFonts w:ascii="Book Antiqua" w:hAnsi="Book Antiqua"/>
          <w:sz w:val="24"/>
          <w:szCs w:val="24"/>
        </w:rPr>
        <w:t>s</w:t>
      </w:r>
      <w:r w:rsidR="00DC18B6" w:rsidRPr="57220559">
        <w:rPr>
          <w:rFonts w:ascii="Book Antiqua" w:hAnsi="Book Antiqua"/>
          <w:sz w:val="24"/>
          <w:szCs w:val="24"/>
        </w:rPr>
        <w:t xml:space="preserve"> of proposed admissions</w:t>
      </w:r>
      <w:r w:rsidR="006C0689" w:rsidRPr="57220559">
        <w:rPr>
          <w:rFonts w:ascii="Book Antiqua" w:hAnsi="Book Antiqua"/>
          <w:sz w:val="24"/>
          <w:szCs w:val="24"/>
        </w:rPr>
        <w:t xml:space="preserve">. </w:t>
      </w:r>
      <w:r w:rsidR="0039794A" w:rsidRPr="57220559">
        <w:rPr>
          <w:rFonts w:ascii="Book Antiqua" w:hAnsi="Book Antiqua"/>
          <w:sz w:val="24"/>
          <w:szCs w:val="24"/>
        </w:rPr>
        <w:t>The f</w:t>
      </w:r>
      <w:r w:rsidR="006C0689" w:rsidRPr="57220559">
        <w:rPr>
          <w:rFonts w:ascii="Book Antiqua" w:hAnsi="Book Antiqua"/>
          <w:sz w:val="24"/>
          <w:szCs w:val="24"/>
        </w:rPr>
        <w:t xml:space="preserve">orms of notice </w:t>
      </w:r>
      <w:r w:rsidR="00385E8B" w:rsidRPr="57220559">
        <w:rPr>
          <w:rFonts w:ascii="Book Antiqua" w:hAnsi="Book Antiqua"/>
          <w:sz w:val="24"/>
          <w:szCs w:val="24"/>
        </w:rPr>
        <w:t>that are</w:t>
      </w:r>
      <w:r w:rsidR="00D018FF" w:rsidRPr="57220559">
        <w:rPr>
          <w:rFonts w:ascii="Book Antiqua" w:hAnsi="Book Antiqua"/>
          <w:sz w:val="24"/>
          <w:szCs w:val="24"/>
        </w:rPr>
        <w:t xml:space="preserve"> </w:t>
      </w:r>
      <w:r w:rsidR="006C0689" w:rsidRPr="57220559">
        <w:rPr>
          <w:rFonts w:ascii="Book Antiqua" w:hAnsi="Book Antiqua"/>
          <w:sz w:val="24"/>
          <w:szCs w:val="24"/>
        </w:rPr>
        <w:t>available o</w:t>
      </w:r>
      <w:r w:rsidR="00385E8B" w:rsidRPr="57220559">
        <w:rPr>
          <w:rFonts w:ascii="Book Antiqua" w:hAnsi="Book Antiqua"/>
          <w:sz w:val="24"/>
          <w:szCs w:val="24"/>
        </w:rPr>
        <w:t xml:space="preserve">n </w:t>
      </w:r>
      <w:r w:rsidR="006C0689" w:rsidRPr="57220559">
        <w:rPr>
          <w:rFonts w:ascii="Book Antiqua" w:hAnsi="Book Antiqua"/>
          <w:sz w:val="24"/>
          <w:szCs w:val="24"/>
        </w:rPr>
        <w:t xml:space="preserve">the </w:t>
      </w:r>
      <w:r w:rsidR="0085510C">
        <w:rPr>
          <w:rFonts w:ascii="Book Antiqua" w:hAnsi="Book Antiqua"/>
          <w:sz w:val="24"/>
          <w:szCs w:val="24"/>
        </w:rPr>
        <w:t>C</w:t>
      </w:r>
      <w:r w:rsidR="006C0689" w:rsidRPr="57220559">
        <w:rPr>
          <w:rFonts w:ascii="Book Antiqua" w:hAnsi="Book Antiqua"/>
          <w:sz w:val="24"/>
          <w:szCs w:val="24"/>
        </w:rPr>
        <w:t>ourt’s website</w:t>
      </w:r>
      <w:r w:rsidR="00700AAA" w:rsidRPr="57220559">
        <w:rPr>
          <w:rFonts w:ascii="Book Antiqua" w:hAnsi="Book Antiqua"/>
          <w:sz w:val="24"/>
          <w:szCs w:val="24"/>
        </w:rPr>
        <w:t xml:space="preserve"> should be utilised</w:t>
      </w:r>
      <w:r w:rsidR="004E1BAA" w:rsidRPr="57220559">
        <w:rPr>
          <w:rFonts w:ascii="Book Antiqua" w:hAnsi="Book Antiqua"/>
          <w:sz w:val="24"/>
          <w:szCs w:val="24"/>
        </w:rPr>
        <w:t>.</w:t>
      </w:r>
    </w:p>
    <w:p w14:paraId="2CF191A3" w14:textId="507CB306" w:rsidR="003A0230" w:rsidRDefault="003A0230" w:rsidP="003A0230">
      <w:pPr>
        <w:pStyle w:val="ListParagraph"/>
        <w:spacing w:before="120" w:after="120"/>
        <w:jc w:val="both"/>
        <w:rPr>
          <w:rFonts w:ascii="Book Antiqua" w:hAnsi="Book Antiqua"/>
          <w:b/>
          <w:i/>
          <w:sz w:val="24"/>
          <w:szCs w:val="24"/>
        </w:rPr>
      </w:pPr>
      <w:r w:rsidRPr="00394B8E">
        <w:rPr>
          <w:rFonts w:ascii="Book Antiqua" w:hAnsi="Book Antiqua"/>
          <w:b/>
          <w:i/>
          <w:sz w:val="24"/>
          <w:szCs w:val="24"/>
        </w:rPr>
        <w:t xml:space="preserve">pre-trial </w:t>
      </w:r>
      <w:r>
        <w:rPr>
          <w:rFonts w:ascii="Book Antiqua" w:hAnsi="Book Antiqua"/>
          <w:b/>
          <w:i/>
          <w:sz w:val="24"/>
          <w:szCs w:val="24"/>
        </w:rPr>
        <w:t>cross-</w:t>
      </w:r>
      <w:r w:rsidRPr="00394B8E">
        <w:rPr>
          <w:rFonts w:ascii="Book Antiqua" w:hAnsi="Book Antiqua"/>
          <w:b/>
          <w:i/>
          <w:sz w:val="24"/>
          <w:szCs w:val="24"/>
        </w:rPr>
        <w:t>examination</w:t>
      </w:r>
      <w:r>
        <w:rPr>
          <w:rFonts w:ascii="Book Antiqua" w:hAnsi="Book Antiqua"/>
          <w:bCs/>
          <w:iCs/>
          <w:sz w:val="24"/>
          <w:szCs w:val="24"/>
        </w:rPr>
        <w:t xml:space="preserve"> means examinations under ss 198A or 198B of the CPA</w:t>
      </w:r>
    </w:p>
    <w:p w14:paraId="5520B3E4" w14:textId="71365E67" w:rsidR="00615C7A" w:rsidRDefault="003446BC" w:rsidP="0042112B">
      <w:pPr>
        <w:pStyle w:val="ListParagraph"/>
        <w:spacing w:before="120" w:after="120"/>
        <w:jc w:val="both"/>
        <w:rPr>
          <w:rFonts w:ascii="Book Antiqua" w:hAnsi="Book Antiqua"/>
          <w:bCs/>
          <w:iCs/>
          <w:sz w:val="24"/>
          <w:szCs w:val="24"/>
        </w:rPr>
      </w:pPr>
      <w:r>
        <w:rPr>
          <w:rFonts w:ascii="Book Antiqua" w:hAnsi="Book Antiqua"/>
          <w:b/>
          <w:i/>
          <w:sz w:val="24"/>
          <w:szCs w:val="24"/>
        </w:rPr>
        <w:t>s</w:t>
      </w:r>
      <w:r w:rsidR="00CF0238">
        <w:rPr>
          <w:rFonts w:ascii="Book Antiqua" w:hAnsi="Book Antiqua"/>
          <w:b/>
          <w:i/>
          <w:sz w:val="24"/>
          <w:szCs w:val="24"/>
        </w:rPr>
        <w:t xml:space="preserve">tandard committal </w:t>
      </w:r>
      <w:r w:rsidR="00CF0238" w:rsidRPr="00CF0238">
        <w:rPr>
          <w:rFonts w:ascii="Book Antiqua" w:hAnsi="Book Antiqua"/>
          <w:bCs/>
          <w:iCs/>
          <w:sz w:val="24"/>
          <w:szCs w:val="24"/>
        </w:rPr>
        <w:t>means</w:t>
      </w:r>
      <w:r>
        <w:rPr>
          <w:rFonts w:ascii="Book Antiqua" w:hAnsi="Book Antiqua"/>
          <w:bCs/>
          <w:iCs/>
          <w:sz w:val="24"/>
          <w:szCs w:val="24"/>
        </w:rPr>
        <w:t xml:space="preserve"> committal to the Supreme Court other than by election or early committal</w:t>
      </w:r>
    </w:p>
    <w:p w14:paraId="540175C4" w14:textId="77777777" w:rsidR="0042112B" w:rsidRPr="001F3184" w:rsidRDefault="0042112B" w:rsidP="0042112B">
      <w:pPr>
        <w:pStyle w:val="ListParagraph"/>
        <w:spacing w:before="120" w:after="120"/>
        <w:ind w:left="360"/>
        <w:jc w:val="both"/>
        <w:rPr>
          <w:rFonts w:ascii="Book Antiqua" w:hAnsi="Book Antiqua"/>
          <w:sz w:val="24"/>
          <w:szCs w:val="24"/>
        </w:rPr>
      </w:pPr>
    </w:p>
    <w:p w14:paraId="570FCECC" w14:textId="3BF5A7AB" w:rsidR="0042112B" w:rsidRPr="00F05009" w:rsidRDefault="0042112B" w:rsidP="00F6042F">
      <w:pPr>
        <w:pStyle w:val="Heading1"/>
      </w:pPr>
      <w:r w:rsidRPr="00F05009">
        <w:t>POST-COMMITTAL DIRECTIONS HEARING</w:t>
      </w:r>
    </w:p>
    <w:p w14:paraId="24ED523A" w14:textId="285F306F" w:rsidR="0042112B" w:rsidRDefault="0042112B" w:rsidP="0042112B">
      <w:pPr>
        <w:spacing w:before="120" w:after="120"/>
        <w:ind w:left="720" w:hanging="720"/>
        <w:jc w:val="both"/>
        <w:rPr>
          <w:rFonts w:ascii="Book Antiqua" w:hAnsi="Book Antiqua"/>
        </w:rPr>
      </w:pPr>
      <w:r w:rsidRPr="001F3184">
        <w:rPr>
          <w:rFonts w:ascii="Book Antiqua" w:hAnsi="Book Antiqua"/>
        </w:rPr>
        <w:t>4.1</w:t>
      </w:r>
      <w:r w:rsidRPr="001F3184">
        <w:rPr>
          <w:rFonts w:ascii="Book Antiqua" w:hAnsi="Book Antiqua"/>
        </w:rPr>
        <w:tab/>
      </w:r>
      <w:r w:rsidR="00C06EC6">
        <w:rPr>
          <w:rFonts w:ascii="Book Antiqua" w:hAnsi="Book Antiqua"/>
        </w:rPr>
        <w:t>Matters committed to the Court</w:t>
      </w:r>
      <w:r w:rsidR="00B708B0">
        <w:rPr>
          <w:rFonts w:ascii="Book Antiqua" w:hAnsi="Book Antiqua"/>
        </w:rPr>
        <w:t xml:space="preserve">, whether via </w:t>
      </w:r>
      <w:r w:rsidR="00C578A0">
        <w:rPr>
          <w:rFonts w:ascii="Book Antiqua" w:hAnsi="Book Antiqua"/>
        </w:rPr>
        <w:t>early committal</w:t>
      </w:r>
      <w:r w:rsidR="00D52329">
        <w:rPr>
          <w:rFonts w:ascii="Book Antiqua" w:hAnsi="Book Antiqua"/>
        </w:rPr>
        <w:t>, election</w:t>
      </w:r>
      <w:r w:rsidR="00C578A0">
        <w:rPr>
          <w:rFonts w:ascii="Book Antiqua" w:hAnsi="Book Antiqua"/>
        </w:rPr>
        <w:t xml:space="preserve"> or </w:t>
      </w:r>
      <w:r w:rsidR="00C578A0" w:rsidRPr="00C73D04">
        <w:rPr>
          <w:rFonts w:ascii="Book Antiqua" w:hAnsi="Book Antiqua"/>
        </w:rPr>
        <w:t>standard committal</w:t>
      </w:r>
      <w:r w:rsidR="00C75E8F">
        <w:rPr>
          <w:rFonts w:ascii="Book Antiqua" w:hAnsi="Book Antiqua"/>
        </w:rPr>
        <w:t>,</w:t>
      </w:r>
      <w:r w:rsidR="00C06EC6" w:rsidRPr="00C73D04">
        <w:rPr>
          <w:rFonts w:ascii="Book Antiqua" w:hAnsi="Book Antiqua"/>
        </w:rPr>
        <w:t xml:space="preserve"> will be listed for a </w:t>
      </w:r>
      <w:r w:rsidRPr="00C73D04">
        <w:rPr>
          <w:rFonts w:ascii="Book Antiqua" w:hAnsi="Book Antiqua"/>
        </w:rPr>
        <w:t>post-committal directions hearing (‘PCDH’)</w:t>
      </w:r>
      <w:r w:rsidR="00CF500B" w:rsidRPr="00C73D04">
        <w:rPr>
          <w:rFonts w:ascii="Book Antiqua" w:hAnsi="Book Antiqua"/>
        </w:rPr>
        <w:t xml:space="preserve"> within </w:t>
      </w:r>
      <w:r w:rsidR="002C0A39">
        <w:rPr>
          <w:rFonts w:ascii="Book Antiqua" w:hAnsi="Book Antiqua"/>
        </w:rPr>
        <w:t xml:space="preserve">approximately </w:t>
      </w:r>
      <w:r w:rsidR="00C73D04" w:rsidRPr="00C73D04">
        <w:rPr>
          <w:rFonts w:ascii="Book Antiqua" w:hAnsi="Book Antiqua"/>
        </w:rPr>
        <w:t>2-3 weeks</w:t>
      </w:r>
      <w:r w:rsidR="00CF500B" w:rsidRPr="00C73D04">
        <w:rPr>
          <w:rFonts w:ascii="Book Antiqua" w:hAnsi="Book Antiqua"/>
        </w:rPr>
        <w:t xml:space="preserve"> </w:t>
      </w:r>
      <w:r w:rsidR="00A10D49">
        <w:rPr>
          <w:rFonts w:ascii="Book Antiqua" w:hAnsi="Book Antiqua"/>
        </w:rPr>
        <w:t>of committal</w:t>
      </w:r>
      <w:r w:rsidR="00C54EA0">
        <w:rPr>
          <w:rFonts w:ascii="Book Antiqua" w:hAnsi="Book Antiqua"/>
        </w:rPr>
        <w:t xml:space="preserve">. </w:t>
      </w:r>
      <w:r w:rsidR="001F0B01">
        <w:rPr>
          <w:rFonts w:ascii="Book Antiqua" w:hAnsi="Book Antiqua"/>
        </w:rPr>
        <w:t>In mo</w:t>
      </w:r>
      <w:r w:rsidR="009241CC">
        <w:rPr>
          <w:rFonts w:ascii="Book Antiqua" w:hAnsi="Book Antiqua"/>
        </w:rPr>
        <w:t>st cases the</w:t>
      </w:r>
      <w:r w:rsidR="00A10D49">
        <w:rPr>
          <w:rFonts w:ascii="Book Antiqua" w:hAnsi="Book Antiqua"/>
        </w:rPr>
        <w:t xml:space="preserve"> </w:t>
      </w:r>
      <w:r w:rsidR="00C54EA0">
        <w:rPr>
          <w:rFonts w:ascii="Book Antiqua" w:hAnsi="Book Antiqua"/>
        </w:rPr>
        <w:t xml:space="preserve">PCDH </w:t>
      </w:r>
      <w:r w:rsidR="00A10D49">
        <w:rPr>
          <w:rFonts w:ascii="Book Antiqua" w:hAnsi="Book Antiqua"/>
        </w:rPr>
        <w:t>will be</w:t>
      </w:r>
      <w:r w:rsidR="00CF500B" w:rsidRPr="00C73D04">
        <w:rPr>
          <w:rFonts w:ascii="Book Antiqua" w:hAnsi="Book Antiqua"/>
        </w:rPr>
        <w:t xml:space="preserve"> conducted by a </w:t>
      </w:r>
      <w:r w:rsidRPr="00C73D04">
        <w:rPr>
          <w:rFonts w:ascii="Book Antiqua" w:hAnsi="Book Antiqua"/>
        </w:rPr>
        <w:t>Judicial Registrar.</w:t>
      </w:r>
      <w:r w:rsidRPr="001F3184">
        <w:rPr>
          <w:rFonts w:ascii="Book Antiqua" w:hAnsi="Book Antiqua"/>
        </w:rPr>
        <w:t xml:space="preserve"> </w:t>
      </w:r>
    </w:p>
    <w:p w14:paraId="71AEECC1" w14:textId="77777777" w:rsidR="00C2143B" w:rsidRDefault="0086766B" w:rsidP="00C2143B">
      <w:pPr>
        <w:spacing w:before="120" w:after="120"/>
        <w:ind w:left="720" w:hanging="720"/>
        <w:jc w:val="both"/>
        <w:rPr>
          <w:rFonts w:ascii="Book Antiqua" w:hAnsi="Book Antiqua"/>
        </w:rPr>
      </w:pPr>
      <w:r w:rsidRPr="57220559">
        <w:rPr>
          <w:rFonts w:ascii="Book Antiqua" w:hAnsi="Book Antiqua"/>
        </w:rPr>
        <w:t>4.2</w:t>
      </w:r>
      <w:r>
        <w:tab/>
      </w:r>
      <w:r w:rsidRPr="57220559">
        <w:rPr>
          <w:rFonts w:ascii="Book Antiqua" w:hAnsi="Book Antiqua"/>
        </w:rPr>
        <w:t xml:space="preserve">Parties will receive a listing email from the Court with a </w:t>
      </w:r>
      <w:r w:rsidRPr="57220559">
        <w:rPr>
          <w:rFonts w:ascii="Book Antiqua" w:hAnsi="Book Antiqua"/>
          <w:b/>
          <w:bCs/>
        </w:rPr>
        <w:t xml:space="preserve">PCDH questionnaire </w:t>
      </w:r>
      <w:r w:rsidRPr="57220559">
        <w:rPr>
          <w:rFonts w:ascii="Book Antiqua" w:hAnsi="Book Antiqua"/>
        </w:rPr>
        <w:t xml:space="preserve">to be completed jointly by the parties to assist with case management. </w:t>
      </w:r>
      <w:r w:rsidR="00C2143B" w:rsidRPr="57220559">
        <w:rPr>
          <w:rFonts w:ascii="Book Antiqua" w:hAnsi="Book Antiqua"/>
        </w:rPr>
        <w:t xml:space="preserve">Solicitors for the accused must also file a Notice that Legal Practitioner Acts. </w:t>
      </w:r>
    </w:p>
    <w:p w14:paraId="7377D65C" w14:textId="3DE7F0EB" w:rsidR="0058442A" w:rsidRDefault="00FD4D1D" w:rsidP="00C2143B">
      <w:pPr>
        <w:spacing w:before="120" w:after="120"/>
        <w:ind w:left="720" w:hanging="720"/>
        <w:jc w:val="both"/>
        <w:rPr>
          <w:rFonts w:ascii="Book Antiqua" w:hAnsi="Book Antiqua"/>
        </w:rPr>
      </w:pPr>
      <w:r w:rsidRPr="57220559">
        <w:rPr>
          <w:rFonts w:ascii="Book Antiqua" w:hAnsi="Book Antiqua"/>
        </w:rPr>
        <w:t>4.3</w:t>
      </w:r>
      <w:r>
        <w:tab/>
      </w:r>
      <w:r w:rsidRPr="57220559">
        <w:rPr>
          <w:rFonts w:ascii="Book Antiqua" w:hAnsi="Book Antiqua"/>
        </w:rPr>
        <w:t xml:space="preserve">If the accused indicates an intention to plead guilty </w:t>
      </w:r>
      <w:r w:rsidR="009241CC" w:rsidRPr="57220559">
        <w:rPr>
          <w:rFonts w:ascii="Book Antiqua" w:hAnsi="Book Antiqua"/>
        </w:rPr>
        <w:t xml:space="preserve">the proposed </w:t>
      </w:r>
      <w:r w:rsidR="49512322" w:rsidRPr="57220559">
        <w:rPr>
          <w:rFonts w:ascii="Book Antiqua" w:hAnsi="Book Antiqua"/>
        </w:rPr>
        <w:t>plea indictment</w:t>
      </w:r>
      <w:r w:rsidRPr="57220559">
        <w:rPr>
          <w:rFonts w:ascii="Book Antiqua" w:hAnsi="Book Antiqua"/>
        </w:rPr>
        <w:t xml:space="preserve"> should be filed </w:t>
      </w:r>
      <w:r w:rsidR="00B20DE3" w:rsidRPr="57220559">
        <w:rPr>
          <w:rFonts w:ascii="Book Antiqua" w:hAnsi="Book Antiqua"/>
        </w:rPr>
        <w:t xml:space="preserve">and served </w:t>
      </w:r>
      <w:r w:rsidRPr="57220559">
        <w:rPr>
          <w:rFonts w:ascii="Book Antiqua" w:hAnsi="Book Antiqua"/>
        </w:rPr>
        <w:t xml:space="preserve">at least two days prior to the PCDH to enable the accused </w:t>
      </w:r>
      <w:r w:rsidR="00D77727" w:rsidRPr="57220559">
        <w:rPr>
          <w:rFonts w:ascii="Book Antiqua" w:hAnsi="Book Antiqua"/>
        </w:rPr>
        <w:t>to be arraigned</w:t>
      </w:r>
      <w:r w:rsidR="00B20DE3" w:rsidRPr="57220559">
        <w:rPr>
          <w:rFonts w:ascii="Book Antiqua" w:hAnsi="Book Antiqua"/>
        </w:rPr>
        <w:t xml:space="preserve"> at that hearing</w:t>
      </w:r>
      <w:r w:rsidR="00D77727" w:rsidRPr="57220559">
        <w:rPr>
          <w:rFonts w:ascii="Book Antiqua" w:hAnsi="Book Antiqua"/>
        </w:rPr>
        <w:t xml:space="preserve">. </w:t>
      </w:r>
    </w:p>
    <w:p w14:paraId="44777019" w14:textId="66B3AAD0" w:rsidR="00CE50A4" w:rsidRDefault="00CE50A4" w:rsidP="0042112B">
      <w:pPr>
        <w:spacing w:before="120" w:after="120"/>
        <w:ind w:left="720" w:hanging="720"/>
        <w:jc w:val="both"/>
        <w:rPr>
          <w:rFonts w:ascii="Book Antiqua" w:hAnsi="Book Antiqua"/>
        </w:rPr>
      </w:pPr>
      <w:r w:rsidRPr="57220559">
        <w:rPr>
          <w:rFonts w:ascii="Book Antiqua" w:hAnsi="Book Antiqua"/>
        </w:rPr>
        <w:t>4.</w:t>
      </w:r>
      <w:r w:rsidR="00D77727" w:rsidRPr="57220559">
        <w:rPr>
          <w:rFonts w:ascii="Book Antiqua" w:hAnsi="Book Antiqua"/>
        </w:rPr>
        <w:t>4</w:t>
      </w:r>
      <w:r>
        <w:tab/>
      </w:r>
      <w:r w:rsidR="0086766B" w:rsidRPr="57220559">
        <w:rPr>
          <w:rFonts w:ascii="Book Antiqua" w:hAnsi="Book Antiqua"/>
        </w:rPr>
        <w:t>A</w:t>
      </w:r>
      <w:r w:rsidR="00526389" w:rsidRPr="57220559">
        <w:rPr>
          <w:rFonts w:ascii="Book Antiqua" w:hAnsi="Book Antiqua"/>
        </w:rPr>
        <w:t>n accused</w:t>
      </w:r>
      <w:r w:rsidR="00431616" w:rsidRPr="57220559">
        <w:rPr>
          <w:rFonts w:ascii="Book Antiqua" w:hAnsi="Book Antiqua"/>
        </w:rPr>
        <w:t xml:space="preserve"> s</w:t>
      </w:r>
      <w:r w:rsidR="0086766B" w:rsidRPr="57220559">
        <w:rPr>
          <w:rFonts w:ascii="Book Antiqua" w:hAnsi="Book Antiqua"/>
        </w:rPr>
        <w:t xml:space="preserve">eeking to conduct pre-trial </w:t>
      </w:r>
      <w:r w:rsidR="00526389" w:rsidRPr="57220559">
        <w:rPr>
          <w:rFonts w:ascii="Book Antiqua" w:hAnsi="Book Antiqua"/>
        </w:rPr>
        <w:t>cross-</w:t>
      </w:r>
      <w:r w:rsidR="0086766B" w:rsidRPr="57220559">
        <w:rPr>
          <w:rFonts w:ascii="Book Antiqua" w:hAnsi="Book Antiqua"/>
        </w:rPr>
        <w:t xml:space="preserve">examination of witnesses </w:t>
      </w:r>
      <w:r w:rsidR="002A23CB" w:rsidRPr="57220559">
        <w:rPr>
          <w:rFonts w:ascii="Book Antiqua" w:hAnsi="Book Antiqua"/>
        </w:rPr>
        <w:t xml:space="preserve">under </w:t>
      </w:r>
      <w:r w:rsidR="001317E1" w:rsidRPr="57220559">
        <w:rPr>
          <w:rFonts w:ascii="Book Antiqua" w:hAnsi="Book Antiqua"/>
        </w:rPr>
        <w:t>s</w:t>
      </w:r>
      <w:r w:rsidR="0085510C">
        <w:rPr>
          <w:rFonts w:ascii="Book Antiqua" w:hAnsi="Book Antiqua"/>
        </w:rPr>
        <w:t>s</w:t>
      </w:r>
      <w:r w:rsidR="00E47CFD" w:rsidRPr="57220559">
        <w:rPr>
          <w:rFonts w:ascii="Book Antiqua" w:hAnsi="Book Antiqua"/>
        </w:rPr>
        <w:t> </w:t>
      </w:r>
      <w:r w:rsidR="001317E1" w:rsidRPr="57220559">
        <w:rPr>
          <w:rFonts w:ascii="Book Antiqua" w:hAnsi="Book Antiqua"/>
        </w:rPr>
        <w:t>198A or 198B</w:t>
      </w:r>
      <w:r w:rsidR="00E47CFD" w:rsidRPr="57220559">
        <w:rPr>
          <w:rFonts w:ascii="Book Antiqua" w:hAnsi="Book Antiqua"/>
        </w:rPr>
        <w:t xml:space="preserve"> </w:t>
      </w:r>
      <w:r w:rsidR="004E4292" w:rsidRPr="57220559">
        <w:rPr>
          <w:rFonts w:ascii="Book Antiqua" w:hAnsi="Book Antiqua"/>
        </w:rPr>
        <w:t xml:space="preserve">of the </w:t>
      </w:r>
      <w:r w:rsidR="00E47CFD" w:rsidRPr="57220559">
        <w:rPr>
          <w:rFonts w:ascii="Book Antiqua" w:hAnsi="Book Antiqua"/>
        </w:rPr>
        <w:t>CPA</w:t>
      </w:r>
      <w:r w:rsidR="001317E1" w:rsidRPr="57220559">
        <w:rPr>
          <w:rFonts w:ascii="Book Antiqua" w:hAnsi="Book Antiqua"/>
        </w:rPr>
        <w:t xml:space="preserve"> </w:t>
      </w:r>
      <w:r w:rsidR="0086766B" w:rsidRPr="57220559">
        <w:rPr>
          <w:rFonts w:ascii="Book Antiqua" w:hAnsi="Book Antiqua"/>
        </w:rPr>
        <w:t xml:space="preserve">will need to </w:t>
      </w:r>
      <w:r w:rsidR="00D57057" w:rsidRPr="57220559">
        <w:rPr>
          <w:rFonts w:ascii="Book Antiqua" w:hAnsi="Book Antiqua"/>
        </w:rPr>
        <w:t xml:space="preserve">file a written application using the Court’s </w:t>
      </w:r>
      <w:r w:rsidR="0086766B" w:rsidRPr="57220559">
        <w:rPr>
          <w:rFonts w:ascii="Book Antiqua" w:hAnsi="Book Antiqua"/>
          <w:b/>
          <w:bCs/>
        </w:rPr>
        <w:t>application template</w:t>
      </w:r>
      <w:r w:rsidR="000D1D1A" w:rsidRPr="57220559">
        <w:rPr>
          <w:rFonts w:ascii="Book Antiqua" w:hAnsi="Book Antiqua"/>
          <w:b/>
          <w:bCs/>
        </w:rPr>
        <w:t>s</w:t>
      </w:r>
      <w:r w:rsidR="000D1D1A" w:rsidRPr="57220559">
        <w:rPr>
          <w:rFonts w:ascii="Book Antiqua" w:hAnsi="Book Antiqua"/>
        </w:rPr>
        <w:t xml:space="preserve">, which are available on </w:t>
      </w:r>
      <w:r w:rsidR="00CB561B" w:rsidRPr="57220559">
        <w:rPr>
          <w:rFonts w:ascii="Book Antiqua" w:hAnsi="Book Antiqua"/>
        </w:rPr>
        <w:t>the Criminal Division page of the Court’s website</w:t>
      </w:r>
      <w:r w:rsidR="0086766B" w:rsidRPr="57220559">
        <w:rPr>
          <w:rFonts w:ascii="Book Antiqua" w:hAnsi="Book Antiqua"/>
        </w:rPr>
        <w:t xml:space="preserve">. </w:t>
      </w:r>
      <w:r w:rsidRPr="57220559">
        <w:rPr>
          <w:rFonts w:ascii="Book Antiqua" w:hAnsi="Book Antiqua"/>
        </w:rPr>
        <w:t xml:space="preserve">When </w:t>
      </w:r>
      <w:r w:rsidR="009471A7" w:rsidRPr="57220559">
        <w:rPr>
          <w:rFonts w:ascii="Book Antiqua" w:hAnsi="Book Antiqua"/>
        </w:rPr>
        <w:t xml:space="preserve">addressing the </w:t>
      </w:r>
      <w:r w:rsidR="00CB561B" w:rsidRPr="57220559">
        <w:rPr>
          <w:rFonts w:ascii="Book Antiqua" w:hAnsi="Book Antiqua"/>
        </w:rPr>
        <w:t xml:space="preserve">relevant </w:t>
      </w:r>
      <w:r w:rsidR="009471A7" w:rsidRPr="57220559">
        <w:rPr>
          <w:rFonts w:ascii="Book Antiqua" w:hAnsi="Book Antiqua"/>
        </w:rPr>
        <w:t xml:space="preserve">legislative criteria </w:t>
      </w:r>
      <w:r w:rsidR="00CB561B" w:rsidRPr="57220559">
        <w:rPr>
          <w:rFonts w:ascii="Book Antiqua" w:hAnsi="Book Antiqua"/>
        </w:rPr>
        <w:t>in</w:t>
      </w:r>
      <w:r w:rsidR="00F77269" w:rsidRPr="57220559">
        <w:rPr>
          <w:rFonts w:ascii="Book Antiqua" w:hAnsi="Book Antiqua"/>
        </w:rPr>
        <w:t xml:space="preserve"> the application</w:t>
      </w:r>
      <w:r w:rsidR="00A97EE3" w:rsidRPr="57220559">
        <w:rPr>
          <w:rFonts w:ascii="Book Antiqua" w:hAnsi="Book Antiqua"/>
        </w:rPr>
        <w:t xml:space="preserve"> </w:t>
      </w:r>
      <w:r w:rsidR="00C3314B" w:rsidRPr="57220559">
        <w:rPr>
          <w:rFonts w:ascii="Book Antiqua" w:hAnsi="Book Antiqua"/>
        </w:rPr>
        <w:t xml:space="preserve">it </w:t>
      </w:r>
      <w:r w:rsidR="00F77269" w:rsidRPr="57220559">
        <w:rPr>
          <w:rFonts w:ascii="Book Antiqua" w:hAnsi="Book Antiqua"/>
        </w:rPr>
        <w:t xml:space="preserve">will </w:t>
      </w:r>
      <w:r w:rsidR="00C3314B" w:rsidRPr="57220559">
        <w:rPr>
          <w:rFonts w:ascii="Book Antiqua" w:hAnsi="Book Antiqua"/>
        </w:rPr>
        <w:t xml:space="preserve">not </w:t>
      </w:r>
      <w:r w:rsidR="00F77269" w:rsidRPr="57220559">
        <w:rPr>
          <w:rFonts w:ascii="Book Antiqua" w:hAnsi="Book Antiqua"/>
        </w:rPr>
        <w:t xml:space="preserve">be </w:t>
      </w:r>
      <w:r w:rsidR="00C3314B" w:rsidRPr="57220559">
        <w:rPr>
          <w:rFonts w:ascii="Book Antiqua" w:hAnsi="Book Antiqua"/>
        </w:rPr>
        <w:t xml:space="preserve">sufficient to </w:t>
      </w:r>
      <w:r w:rsidR="001D76E2" w:rsidRPr="57220559">
        <w:rPr>
          <w:rFonts w:ascii="Book Antiqua" w:hAnsi="Book Antiqua"/>
        </w:rPr>
        <w:t xml:space="preserve">simply </w:t>
      </w:r>
      <w:r w:rsidR="00081F54" w:rsidRPr="57220559">
        <w:rPr>
          <w:rFonts w:ascii="Book Antiqua" w:hAnsi="Book Antiqua"/>
        </w:rPr>
        <w:t xml:space="preserve">cite </w:t>
      </w:r>
      <w:r w:rsidR="00F13F7C" w:rsidRPr="57220559">
        <w:rPr>
          <w:rFonts w:ascii="Book Antiqua" w:hAnsi="Book Antiqua"/>
        </w:rPr>
        <w:t xml:space="preserve">provisions of the </w:t>
      </w:r>
      <w:r w:rsidR="0085510C">
        <w:rPr>
          <w:rFonts w:ascii="Book Antiqua" w:hAnsi="Book Antiqua"/>
        </w:rPr>
        <w:t>CPA</w:t>
      </w:r>
      <w:r w:rsidR="00AB7BBA" w:rsidRPr="57220559">
        <w:rPr>
          <w:rFonts w:ascii="Book Antiqua" w:hAnsi="Book Antiqua"/>
        </w:rPr>
        <w:t xml:space="preserve">. There should be a concise </w:t>
      </w:r>
      <w:r w:rsidR="00613A23" w:rsidRPr="57220559">
        <w:rPr>
          <w:rFonts w:ascii="Book Antiqua" w:hAnsi="Book Antiqua"/>
        </w:rPr>
        <w:t xml:space="preserve">explanation of how </w:t>
      </w:r>
      <w:r w:rsidR="003E3F25" w:rsidRPr="57220559">
        <w:rPr>
          <w:rFonts w:ascii="Book Antiqua" w:hAnsi="Book Antiqua"/>
        </w:rPr>
        <w:t xml:space="preserve">the requirements of the relevant </w:t>
      </w:r>
      <w:r w:rsidR="00C12A85" w:rsidRPr="57220559">
        <w:rPr>
          <w:rFonts w:ascii="Book Antiqua" w:hAnsi="Book Antiqua"/>
        </w:rPr>
        <w:t>provision</w:t>
      </w:r>
      <w:r w:rsidR="00A35606" w:rsidRPr="57220559">
        <w:rPr>
          <w:rFonts w:ascii="Book Antiqua" w:hAnsi="Book Antiqua"/>
        </w:rPr>
        <w:t xml:space="preserve">s </w:t>
      </w:r>
      <w:r w:rsidR="003E3F25" w:rsidRPr="57220559">
        <w:rPr>
          <w:rFonts w:ascii="Book Antiqua" w:hAnsi="Book Antiqua"/>
        </w:rPr>
        <w:t>are met</w:t>
      </w:r>
      <w:r w:rsidR="00A3748D" w:rsidRPr="57220559">
        <w:rPr>
          <w:rFonts w:ascii="Book Antiqua" w:hAnsi="Book Antiqua"/>
        </w:rPr>
        <w:t xml:space="preserve"> in relation to </w:t>
      </w:r>
      <w:r w:rsidR="00374B5B" w:rsidRPr="57220559">
        <w:rPr>
          <w:rFonts w:ascii="Book Antiqua" w:hAnsi="Book Antiqua"/>
        </w:rPr>
        <w:t xml:space="preserve">each witness and </w:t>
      </w:r>
      <w:r w:rsidR="00247788" w:rsidRPr="57220559">
        <w:rPr>
          <w:rFonts w:ascii="Book Antiqua" w:hAnsi="Book Antiqua"/>
        </w:rPr>
        <w:t xml:space="preserve">the </w:t>
      </w:r>
      <w:r w:rsidR="00EA1CE4" w:rsidRPr="57220559">
        <w:rPr>
          <w:rFonts w:ascii="Book Antiqua" w:hAnsi="Book Antiqua"/>
        </w:rPr>
        <w:t xml:space="preserve">proposed </w:t>
      </w:r>
      <w:r w:rsidR="49E81E4C" w:rsidRPr="57220559">
        <w:rPr>
          <w:rFonts w:ascii="Book Antiqua" w:hAnsi="Book Antiqua"/>
        </w:rPr>
        <w:t>issues for</w:t>
      </w:r>
      <w:r w:rsidR="00EA1CE4" w:rsidRPr="57220559">
        <w:rPr>
          <w:rFonts w:ascii="Book Antiqua" w:hAnsi="Book Antiqua"/>
        </w:rPr>
        <w:t xml:space="preserve"> cross</w:t>
      </w:r>
      <w:r w:rsidR="0085510C">
        <w:rPr>
          <w:rFonts w:ascii="Book Antiqua" w:hAnsi="Book Antiqua"/>
        </w:rPr>
        <w:t>-</w:t>
      </w:r>
      <w:r w:rsidR="00EA1CE4" w:rsidRPr="57220559">
        <w:rPr>
          <w:rFonts w:ascii="Book Antiqua" w:hAnsi="Book Antiqua"/>
        </w:rPr>
        <w:t>examination</w:t>
      </w:r>
      <w:r w:rsidR="007F27BF" w:rsidRPr="57220559">
        <w:rPr>
          <w:rFonts w:ascii="Book Antiqua" w:hAnsi="Book Antiqua"/>
        </w:rPr>
        <w:t>, with specific reference to the evidence of the witness and/or other evidence in the hand-up brief or depositions.</w:t>
      </w:r>
      <w:r w:rsidR="00EA1CE4" w:rsidRPr="57220559">
        <w:rPr>
          <w:rFonts w:ascii="Book Antiqua" w:hAnsi="Book Antiqua"/>
        </w:rPr>
        <w:t xml:space="preserve"> </w:t>
      </w:r>
      <w:r w:rsidR="00247788" w:rsidRPr="57220559">
        <w:rPr>
          <w:rFonts w:ascii="Book Antiqua" w:hAnsi="Book Antiqua"/>
        </w:rPr>
        <w:t xml:space="preserve"> </w:t>
      </w:r>
    </w:p>
    <w:p w14:paraId="0A9FC15F" w14:textId="15ACEDC5" w:rsidR="00E75F7F" w:rsidRDefault="003C6177" w:rsidP="0042112B">
      <w:pPr>
        <w:spacing w:before="120" w:after="120"/>
        <w:ind w:left="720" w:hanging="720"/>
        <w:jc w:val="both"/>
        <w:rPr>
          <w:rFonts w:ascii="Book Antiqua" w:hAnsi="Book Antiqua"/>
        </w:rPr>
      </w:pPr>
      <w:r>
        <w:rPr>
          <w:rFonts w:ascii="Book Antiqua" w:hAnsi="Book Antiqua"/>
        </w:rPr>
        <w:t>4.</w:t>
      </w:r>
      <w:r w:rsidR="00D77727">
        <w:rPr>
          <w:rFonts w:ascii="Book Antiqua" w:hAnsi="Book Antiqua"/>
        </w:rPr>
        <w:t>5</w:t>
      </w:r>
      <w:r>
        <w:rPr>
          <w:rFonts w:ascii="Book Antiqua" w:hAnsi="Book Antiqua"/>
        </w:rPr>
        <w:tab/>
      </w:r>
      <w:r w:rsidR="001317E1">
        <w:rPr>
          <w:rFonts w:ascii="Book Antiqua" w:hAnsi="Book Antiqua"/>
        </w:rPr>
        <w:t xml:space="preserve">If </w:t>
      </w:r>
      <w:r w:rsidR="00431727">
        <w:rPr>
          <w:rFonts w:ascii="Book Antiqua" w:hAnsi="Book Antiqua"/>
        </w:rPr>
        <w:t xml:space="preserve">either </w:t>
      </w:r>
      <w:r w:rsidR="002272E2">
        <w:rPr>
          <w:rFonts w:ascii="Book Antiqua" w:hAnsi="Book Antiqua"/>
        </w:rPr>
        <w:t xml:space="preserve">party </w:t>
      </w:r>
      <w:r w:rsidR="00E47CFD">
        <w:rPr>
          <w:rFonts w:ascii="Book Antiqua" w:hAnsi="Book Antiqua"/>
        </w:rPr>
        <w:t xml:space="preserve">seeks </w:t>
      </w:r>
      <w:r w:rsidR="001317E1">
        <w:rPr>
          <w:rFonts w:ascii="Book Antiqua" w:hAnsi="Book Antiqua"/>
        </w:rPr>
        <w:t>to</w:t>
      </w:r>
      <w:r w:rsidR="00431727">
        <w:rPr>
          <w:rFonts w:ascii="Book Antiqua" w:hAnsi="Book Antiqua"/>
        </w:rPr>
        <w:t xml:space="preserve"> have</w:t>
      </w:r>
      <w:r w:rsidR="001317E1">
        <w:rPr>
          <w:rFonts w:ascii="Book Antiqua" w:hAnsi="Book Antiqua"/>
        </w:rPr>
        <w:t xml:space="preserve"> t</w:t>
      </w:r>
      <w:r w:rsidR="00431727">
        <w:rPr>
          <w:rFonts w:ascii="Book Antiqua" w:hAnsi="Book Antiqua"/>
        </w:rPr>
        <w:t>he</w:t>
      </w:r>
      <w:r w:rsidR="001317E1">
        <w:rPr>
          <w:rFonts w:ascii="Book Antiqua" w:hAnsi="Book Antiqua"/>
        </w:rPr>
        <w:t xml:space="preserve"> evidence </w:t>
      </w:r>
      <w:r w:rsidR="00431727">
        <w:rPr>
          <w:rFonts w:ascii="Book Antiqua" w:hAnsi="Book Antiqua"/>
        </w:rPr>
        <w:t>of</w:t>
      </w:r>
      <w:r w:rsidR="002272E2">
        <w:rPr>
          <w:rFonts w:ascii="Book Antiqua" w:hAnsi="Book Antiqua"/>
        </w:rPr>
        <w:t xml:space="preserve"> a witness </w:t>
      </w:r>
      <w:r w:rsidR="00431727">
        <w:rPr>
          <w:rFonts w:ascii="Book Antiqua" w:hAnsi="Book Antiqua"/>
        </w:rPr>
        <w:t xml:space="preserve">taken </w:t>
      </w:r>
      <w:r w:rsidR="002272E2">
        <w:rPr>
          <w:rFonts w:ascii="Book Antiqua" w:hAnsi="Book Antiqua"/>
        </w:rPr>
        <w:t>before tria</w:t>
      </w:r>
      <w:r w:rsidR="004A5D95">
        <w:rPr>
          <w:rFonts w:ascii="Book Antiqua" w:hAnsi="Book Antiqua"/>
        </w:rPr>
        <w:t xml:space="preserve">l </w:t>
      </w:r>
      <w:r w:rsidR="00431727">
        <w:rPr>
          <w:rFonts w:ascii="Book Antiqua" w:hAnsi="Book Antiqua"/>
        </w:rPr>
        <w:t xml:space="preserve">pursuant to </w:t>
      </w:r>
      <w:r w:rsidR="00E47CFD">
        <w:rPr>
          <w:rFonts w:ascii="Book Antiqua" w:hAnsi="Book Antiqua"/>
        </w:rPr>
        <w:t>s 198 CPA</w:t>
      </w:r>
      <w:r w:rsidR="00431727">
        <w:rPr>
          <w:rFonts w:ascii="Book Antiqua" w:hAnsi="Book Antiqua"/>
        </w:rPr>
        <w:t>,</w:t>
      </w:r>
      <w:r w:rsidR="00E47CFD">
        <w:rPr>
          <w:rFonts w:ascii="Book Antiqua" w:hAnsi="Book Antiqua"/>
        </w:rPr>
        <w:t xml:space="preserve"> </w:t>
      </w:r>
      <w:r w:rsidR="004A5D95">
        <w:rPr>
          <w:rFonts w:ascii="Book Antiqua" w:hAnsi="Book Antiqua"/>
        </w:rPr>
        <w:t xml:space="preserve">an application </w:t>
      </w:r>
      <w:r w:rsidR="004403ED">
        <w:rPr>
          <w:rFonts w:ascii="Book Antiqua" w:hAnsi="Book Antiqua"/>
        </w:rPr>
        <w:t xml:space="preserve">to do so </w:t>
      </w:r>
      <w:r w:rsidR="004A5D95">
        <w:rPr>
          <w:rFonts w:ascii="Book Antiqua" w:hAnsi="Book Antiqua"/>
        </w:rPr>
        <w:t>should be filed</w:t>
      </w:r>
      <w:r w:rsidR="00B316D1">
        <w:rPr>
          <w:rFonts w:ascii="Book Antiqua" w:hAnsi="Book Antiqua"/>
        </w:rPr>
        <w:t>,</w:t>
      </w:r>
      <w:r w:rsidR="00431727">
        <w:rPr>
          <w:rFonts w:ascii="Book Antiqua" w:hAnsi="Book Antiqua"/>
        </w:rPr>
        <w:t xml:space="preserve"> citing the rea</w:t>
      </w:r>
      <w:r w:rsidR="00112387">
        <w:rPr>
          <w:rFonts w:ascii="Book Antiqua" w:hAnsi="Book Antiqua"/>
        </w:rPr>
        <w:t>s</w:t>
      </w:r>
      <w:r w:rsidR="00431727">
        <w:rPr>
          <w:rFonts w:ascii="Book Antiqua" w:hAnsi="Book Antiqua"/>
        </w:rPr>
        <w:t xml:space="preserve">ons for </w:t>
      </w:r>
      <w:r w:rsidR="00377944">
        <w:rPr>
          <w:rFonts w:ascii="Book Antiqua" w:hAnsi="Book Antiqua"/>
        </w:rPr>
        <w:t>the application, whether it is opposed</w:t>
      </w:r>
      <w:r w:rsidR="00062170">
        <w:rPr>
          <w:rFonts w:ascii="Book Antiqua" w:hAnsi="Book Antiqua"/>
        </w:rPr>
        <w:t>,</w:t>
      </w:r>
      <w:r w:rsidR="00377944">
        <w:rPr>
          <w:rFonts w:ascii="Book Antiqua" w:hAnsi="Book Antiqua"/>
        </w:rPr>
        <w:t xml:space="preserve"> and </w:t>
      </w:r>
      <w:r w:rsidR="00062170">
        <w:rPr>
          <w:rFonts w:ascii="Book Antiqua" w:hAnsi="Book Antiqua"/>
        </w:rPr>
        <w:t>setting out</w:t>
      </w:r>
      <w:r w:rsidR="00377944">
        <w:rPr>
          <w:rFonts w:ascii="Book Antiqua" w:hAnsi="Book Antiqua"/>
        </w:rPr>
        <w:t xml:space="preserve"> how </w:t>
      </w:r>
      <w:r w:rsidR="004403ED">
        <w:rPr>
          <w:rFonts w:ascii="Book Antiqua" w:hAnsi="Book Antiqua"/>
        </w:rPr>
        <w:t>the requirements of s 198 are met</w:t>
      </w:r>
      <w:r w:rsidR="00E47CFD">
        <w:rPr>
          <w:rFonts w:ascii="Book Antiqua" w:hAnsi="Book Antiqua"/>
        </w:rPr>
        <w:t>.</w:t>
      </w:r>
    </w:p>
    <w:p w14:paraId="27D10260" w14:textId="262A49E0" w:rsidR="00AC2C25" w:rsidRDefault="008E3C04" w:rsidP="008E3C04">
      <w:pPr>
        <w:spacing w:before="120" w:after="120"/>
        <w:ind w:left="720" w:hanging="720"/>
        <w:jc w:val="both"/>
        <w:rPr>
          <w:rFonts w:ascii="Book Antiqua" w:hAnsi="Book Antiqua"/>
        </w:rPr>
      </w:pPr>
      <w:r w:rsidRPr="57220559">
        <w:rPr>
          <w:rFonts w:ascii="Book Antiqua" w:hAnsi="Book Antiqua"/>
        </w:rPr>
        <w:t>4.</w:t>
      </w:r>
      <w:r w:rsidR="00D77727" w:rsidRPr="57220559">
        <w:rPr>
          <w:rFonts w:ascii="Book Antiqua" w:hAnsi="Book Antiqua"/>
        </w:rPr>
        <w:t>6</w:t>
      </w:r>
      <w:r>
        <w:tab/>
      </w:r>
      <w:r w:rsidR="00F7184F" w:rsidRPr="57220559">
        <w:rPr>
          <w:rFonts w:ascii="Book Antiqua" w:hAnsi="Book Antiqua"/>
        </w:rPr>
        <w:t xml:space="preserve">The PCDH </w:t>
      </w:r>
      <w:r w:rsidR="004E4680" w:rsidRPr="57220559">
        <w:rPr>
          <w:rFonts w:ascii="Book Antiqua" w:hAnsi="Book Antiqua"/>
        </w:rPr>
        <w:t>questionnaire and any a</w:t>
      </w:r>
      <w:r w:rsidR="00E14539" w:rsidRPr="57220559">
        <w:rPr>
          <w:rFonts w:ascii="Book Antiqua" w:hAnsi="Book Antiqua"/>
        </w:rPr>
        <w:t>pplication</w:t>
      </w:r>
      <w:r w:rsidR="00D944CC" w:rsidRPr="57220559">
        <w:rPr>
          <w:rFonts w:ascii="Book Antiqua" w:hAnsi="Book Antiqua"/>
        </w:rPr>
        <w:t>s</w:t>
      </w:r>
      <w:r w:rsidR="00E14539" w:rsidRPr="57220559">
        <w:rPr>
          <w:rFonts w:ascii="Book Antiqua" w:hAnsi="Book Antiqua"/>
        </w:rPr>
        <w:t xml:space="preserve"> for </w:t>
      </w:r>
      <w:r w:rsidR="00D944CC" w:rsidRPr="57220559">
        <w:rPr>
          <w:rFonts w:ascii="Book Antiqua" w:hAnsi="Book Antiqua"/>
        </w:rPr>
        <w:t>taking evidence before trial (s 198 CPA) or for pretrial cross</w:t>
      </w:r>
      <w:r w:rsidR="0085510C">
        <w:rPr>
          <w:rFonts w:ascii="Book Antiqua" w:hAnsi="Book Antiqua"/>
        </w:rPr>
        <w:t>-</w:t>
      </w:r>
      <w:r w:rsidR="00D944CC" w:rsidRPr="57220559">
        <w:rPr>
          <w:rFonts w:ascii="Book Antiqua" w:hAnsi="Book Antiqua"/>
        </w:rPr>
        <w:t xml:space="preserve">examination </w:t>
      </w:r>
      <w:r w:rsidR="346171E1" w:rsidRPr="57220559">
        <w:rPr>
          <w:rFonts w:ascii="Book Antiqua" w:hAnsi="Book Antiqua"/>
        </w:rPr>
        <w:t>(ss</w:t>
      </w:r>
      <w:r w:rsidR="008A5910">
        <w:rPr>
          <w:rFonts w:ascii="Book Antiqua" w:hAnsi="Book Antiqua"/>
        </w:rPr>
        <w:t xml:space="preserve"> </w:t>
      </w:r>
      <w:r w:rsidR="00D944CC" w:rsidRPr="57220559">
        <w:rPr>
          <w:rFonts w:ascii="Book Antiqua" w:hAnsi="Book Antiqua"/>
        </w:rPr>
        <w:t>198</w:t>
      </w:r>
      <w:r w:rsidR="00EB12F6" w:rsidRPr="57220559">
        <w:rPr>
          <w:rFonts w:ascii="Book Antiqua" w:hAnsi="Book Antiqua"/>
        </w:rPr>
        <w:t xml:space="preserve">A or 198B) </w:t>
      </w:r>
      <w:r w:rsidR="0086766B" w:rsidRPr="57220559">
        <w:rPr>
          <w:rFonts w:ascii="Book Antiqua" w:hAnsi="Book Antiqua"/>
        </w:rPr>
        <w:t xml:space="preserve">must be filed with the </w:t>
      </w:r>
      <w:r w:rsidR="00AE1BC8" w:rsidRPr="57220559">
        <w:rPr>
          <w:rFonts w:ascii="Book Antiqua" w:hAnsi="Book Antiqua"/>
        </w:rPr>
        <w:t>C</w:t>
      </w:r>
      <w:r w:rsidR="0086766B" w:rsidRPr="57220559">
        <w:rPr>
          <w:rFonts w:ascii="Book Antiqua" w:hAnsi="Book Antiqua"/>
        </w:rPr>
        <w:t xml:space="preserve">ourt at least </w:t>
      </w:r>
      <w:r w:rsidR="000E201D" w:rsidRPr="57220559">
        <w:rPr>
          <w:rFonts w:ascii="Book Antiqua" w:hAnsi="Book Antiqua"/>
        </w:rPr>
        <w:t>five</w:t>
      </w:r>
      <w:r w:rsidR="0086766B" w:rsidRPr="57220559">
        <w:rPr>
          <w:rFonts w:ascii="Book Antiqua" w:hAnsi="Book Antiqua"/>
        </w:rPr>
        <w:t xml:space="preserve"> business days prior to the PCDH</w:t>
      </w:r>
      <w:r w:rsidR="008A2E0B" w:rsidRPr="57220559">
        <w:rPr>
          <w:rFonts w:ascii="Book Antiqua" w:hAnsi="Book Antiqua"/>
        </w:rPr>
        <w:t xml:space="preserve">, or </w:t>
      </w:r>
      <w:r w:rsidR="002C1DA8" w:rsidRPr="57220559">
        <w:rPr>
          <w:rFonts w:ascii="Book Antiqua" w:hAnsi="Book Antiqua"/>
        </w:rPr>
        <w:t>a</w:t>
      </w:r>
      <w:r w:rsidR="008A2E0B" w:rsidRPr="57220559">
        <w:rPr>
          <w:rFonts w:ascii="Book Antiqua" w:hAnsi="Book Antiqua"/>
        </w:rPr>
        <w:t xml:space="preserve">s </w:t>
      </w:r>
      <w:r w:rsidR="00AA5F81" w:rsidRPr="57220559">
        <w:rPr>
          <w:rFonts w:ascii="Book Antiqua" w:hAnsi="Book Antiqua"/>
        </w:rPr>
        <w:t xml:space="preserve">otherwise </w:t>
      </w:r>
      <w:r w:rsidR="008A2E0B" w:rsidRPr="57220559">
        <w:rPr>
          <w:rFonts w:ascii="Book Antiqua" w:hAnsi="Book Antiqua"/>
        </w:rPr>
        <w:t xml:space="preserve">directed. </w:t>
      </w:r>
      <w:r w:rsidR="00AA5F81" w:rsidRPr="57220559">
        <w:rPr>
          <w:rFonts w:ascii="Book Antiqua" w:hAnsi="Book Antiqua"/>
        </w:rPr>
        <w:t>If required, p</w:t>
      </w:r>
      <w:r w:rsidR="006A14A0" w:rsidRPr="57220559">
        <w:rPr>
          <w:rFonts w:ascii="Book Antiqua" w:hAnsi="Book Antiqua"/>
        </w:rPr>
        <w:t xml:space="preserve">arties may seek an </w:t>
      </w:r>
      <w:r w:rsidR="00C50203" w:rsidRPr="57220559">
        <w:rPr>
          <w:rFonts w:ascii="Book Antiqua" w:hAnsi="Book Antiqua"/>
        </w:rPr>
        <w:t xml:space="preserve">extension of time for </w:t>
      </w:r>
      <w:r w:rsidR="00C87D80" w:rsidRPr="57220559">
        <w:rPr>
          <w:rFonts w:ascii="Book Antiqua" w:hAnsi="Book Antiqua"/>
        </w:rPr>
        <w:t xml:space="preserve">filing these documents </w:t>
      </w:r>
      <w:r w:rsidR="006A14A0" w:rsidRPr="57220559">
        <w:rPr>
          <w:rFonts w:ascii="Book Antiqua" w:hAnsi="Book Antiqua"/>
        </w:rPr>
        <w:t>at the PCDH</w:t>
      </w:r>
      <w:r w:rsidR="00AE1BC8" w:rsidRPr="57220559">
        <w:rPr>
          <w:rFonts w:ascii="Book Antiqua" w:hAnsi="Book Antiqua"/>
        </w:rPr>
        <w:t>.</w:t>
      </w:r>
    </w:p>
    <w:p w14:paraId="1D8AD539" w14:textId="2339044A" w:rsidR="008802EE" w:rsidRDefault="007F7A44" w:rsidP="008E3C04">
      <w:pPr>
        <w:spacing w:before="120" w:after="120"/>
        <w:ind w:left="720" w:hanging="720"/>
        <w:jc w:val="both"/>
        <w:rPr>
          <w:rFonts w:ascii="Book Antiqua" w:hAnsi="Book Antiqua"/>
        </w:rPr>
      </w:pPr>
      <w:r w:rsidRPr="57220559">
        <w:rPr>
          <w:rFonts w:ascii="Book Antiqua" w:hAnsi="Book Antiqua"/>
        </w:rPr>
        <w:t>4.</w:t>
      </w:r>
      <w:r w:rsidR="00D77727" w:rsidRPr="57220559">
        <w:rPr>
          <w:rFonts w:ascii="Book Antiqua" w:hAnsi="Book Antiqua"/>
        </w:rPr>
        <w:t>7</w:t>
      </w:r>
      <w:r>
        <w:tab/>
      </w:r>
      <w:r w:rsidR="00502B03" w:rsidRPr="57220559">
        <w:rPr>
          <w:rFonts w:ascii="Book Antiqua" w:hAnsi="Book Antiqua"/>
        </w:rPr>
        <w:t>The Court expects that counsel for the prosecution and d</w:t>
      </w:r>
      <w:r w:rsidR="008802EE" w:rsidRPr="57220559">
        <w:rPr>
          <w:rFonts w:ascii="Book Antiqua" w:hAnsi="Book Antiqua"/>
        </w:rPr>
        <w:t>e</w:t>
      </w:r>
      <w:r w:rsidR="00502B03" w:rsidRPr="57220559">
        <w:rPr>
          <w:rFonts w:ascii="Book Antiqua" w:hAnsi="Book Antiqua"/>
        </w:rPr>
        <w:t xml:space="preserve">fence will have conferred </w:t>
      </w:r>
      <w:r w:rsidR="008802EE" w:rsidRPr="57220559">
        <w:rPr>
          <w:rFonts w:ascii="Book Antiqua" w:hAnsi="Book Antiqua"/>
        </w:rPr>
        <w:t>prior to the filing of an</w:t>
      </w:r>
      <w:r w:rsidR="00AE1BC8" w:rsidRPr="57220559">
        <w:rPr>
          <w:rFonts w:ascii="Book Antiqua" w:hAnsi="Book Antiqua"/>
        </w:rPr>
        <w:t>y</w:t>
      </w:r>
      <w:r w:rsidR="008802EE" w:rsidRPr="57220559">
        <w:rPr>
          <w:rFonts w:ascii="Book Antiqua" w:hAnsi="Book Antiqua"/>
        </w:rPr>
        <w:t xml:space="preserve"> application </w:t>
      </w:r>
      <w:r w:rsidR="4ECCA5D4" w:rsidRPr="57220559">
        <w:rPr>
          <w:rFonts w:ascii="Book Antiqua" w:hAnsi="Book Antiqua"/>
        </w:rPr>
        <w:t>to</w:t>
      </w:r>
      <w:r w:rsidR="008802EE" w:rsidRPr="57220559">
        <w:rPr>
          <w:rFonts w:ascii="Book Antiqua" w:hAnsi="Book Antiqua"/>
        </w:rPr>
        <w:t xml:space="preserve"> narrow any issues in dispute</w:t>
      </w:r>
      <w:r w:rsidR="00C87D80" w:rsidRPr="57220559">
        <w:rPr>
          <w:rFonts w:ascii="Book Antiqua" w:hAnsi="Book Antiqua"/>
        </w:rPr>
        <w:t xml:space="preserve">. </w:t>
      </w:r>
      <w:r w:rsidR="008802EE" w:rsidRPr="57220559">
        <w:rPr>
          <w:rFonts w:ascii="Book Antiqua" w:hAnsi="Book Antiqua"/>
        </w:rPr>
        <w:t xml:space="preserve"> </w:t>
      </w:r>
      <w:r w:rsidR="00F16B2F" w:rsidRPr="57220559">
        <w:rPr>
          <w:rFonts w:ascii="Book Antiqua" w:hAnsi="Book Antiqua"/>
        </w:rPr>
        <w:t>Where matters in</w:t>
      </w:r>
      <w:r w:rsidR="004B19E1" w:rsidRPr="57220559">
        <w:rPr>
          <w:rFonts w:ascii="Book Antiqua" w:hAnsi="Book Antiqua"/>
        </w:rPr>
        <w:t xml:space="preserve"> dispute remain unresolved </w:t>
      </w:r>
      <w:r w:rsidR="00D503BE" w:rsidRPr="57220559">
        <w:rPr>
          <w:rFonts w:ascii="Book Antiqua" w:hAnsi="Book Antiqua"/>
        </w:rPr>
        <w:t xml:space="preserve">the Court may make further directions </w:t>
      </w:r>
      <w:r w:rsidR="00A56462" w:rsidRPr="57220559">
        <w:rPr>
          <w:rFonts w:ascii="Book Antiqua" w:hAnsi="Book Antiqua"/>
        </w:rPr>
        <w:t xml:space="preserve">for the efficient hearing and determination of the </w:t>
      </w:r>
      <w:r w:rsidR="008A12BB" w:rsidRPr="57220559">
        <w:rPr>
          <w:rFonts w:ascii="Book Antiqua" w:hAnsi="Book Antiqua"/>
        </w:rPr>
        <w:t xml:space="preserve">contested aspects of the </w:t>
      </w:r>
      <w:r w:rsidR="3541520B" w:rsidRPr="57220559">
        <w:rPr>
          <w:rFonts w:ascii="Book Antiqua" w:hAnsi="Book Antiqua"/>
        </w:rPr>
        <w:t>application, including</w:t>
      </w:r>
      <w:r w:rsidR="00A56462" w:rsidRPr="57220559">
        <w:rPr>
          <w:rFonts w:ascii="Book Antiqua" w:hAnsi="Book Antiqua"/>
        </w:rPr>
        <w:t xml:space="preserve"> </w:t>
      </w:r>
      <w:r w:rsidR="008C43F4" w:rsidRPr="57220559">
        <w:rPr>
          <w:rFonts w:ascii="Book Antiqua" w:hAnsi="Book Antiqua"/>
        </w:rPr>
        <w:t xml:space="preserve">ordering </w:t>
      </w:r>
      <w:r w:rsidR="00A56462" w:rsidRPr="57220559">
        <w:rPr>
          <w:rFonts w:ascii="Book Antiqua" w:hAnsi="Book Antiqua"/>
        </w:rPr>
        <w:t xml:space="preserve">the filing of </w:t>
      </w:r>
      <w:r w:rsidR="008C43F4" w:rsidRPr="57220559">
        <w:rPr>
          <w:rFonts w:ascii="Book Antiqua" w:hAnsi="Book Antiqua"/>
        </w:rPr>
        <w:t xml:space="preserve">written </w:t>
      </w:r>
      <w:r w:rsidR="00A56462" w:rsidRPr="57220559">
        <w:rPr>
          <w:rFonts w:ascii="Book Antiqua" w:hAnsi="Book Antiqua"/>
        </w:rPr>
        <w:t>submissions.</w:t>
      </w:r>
    </w:p>
    <w:p w14:paraId="63EAAF56" w14:textId="7D8E5B12" w:rsidR="0031372F" w:rsidRDefault="005458F6" w:rsidP="008E3C04">
      <w:pPr>
        <w:spacing w:before="120" w:after="120"/>
        <w:ind w:left="720" w:hanging="720"/>
        <w:jc w:val="both"/>
        <w:rPr>
          <w:rFonts w:ascii="Book Antiqua" w:hAnsi="Book Antiqua"/>
        </w:rPr>
      </w:pPr>
      <w:r>
        <w:rPr>
          <w:rFonts w:ascii="Book Antiqua" w:hAnsi="Book Antiqua"/>
        </w:rPr>
        <w:t>4.</w:t>
      </w:r>
      <w:r w:rsidR="00D77727">
        <w:rPr>
          <w:rFonts w:ascii="Book Antiqua" w:hAnsi="Book Antiqua"/>
        </w:rPr>
        <w:t>8</w:t>
      </w:r>
      <w:r>
        <w:rPr>
          <w:rFonts w:ascii="Book Antiqua" w:hAnsi="Book Antiqua"/>
        </w:rPr>
        <w:tab/>
      </w:r>
      <w:r w:rsidR="0031372F">
        <w:rPr>
          <w:rFonts w:ascii="Book Antiqua" w:hAnsi="Book Antiqua"/>
        </w:rPr>
        <w:t xml:space="preserve">Parties should be in a position to advise the Court at the PCDH of any </w:t>
      </w:r>
      <w:r w:rsidR="006D01A3">
        <w:rPr>
          <w:rFonts w:ascii="Book Antiqua" w:hAnsi="Book Antiqua"/>
        </w:rPr>
        <w:t xml:space="preserve">outstanding or </w:t>
      </w:r>
      <w:r w:rsidR="00833C65">
        <w:rPr>
          <w:rFonts w:ascii="Book Antiqua" w:hAnsi="Book Antiqua"/>
        </w:rPr>
        <w:t xml:space="preserve">unresolved </w:t>
      </w:r>
      <w:r w:rsidR="0031372F">
        <w:rPr>
          <w:rFonts w:ascii="Book Antiqua" w:hAnsi="Book Antiqua"/>
        </w:rPr>
        <w:t>issues relating to disclosure, including from whom disclosure is sought, the estimated timeframes for the service of disclosure material, whether there are likely to be claims of public interest immunity, privilege</w:t>
      </w:r>
      <w:r w:rsidR="006D01A3">
        <w:rPr>
          <w:rFonts w:ascii="Book Antiqua" w:hAnsi="Book Antiqua"/>
        </w:rPr>
        <w:t>,</w:t>
      </w:r>
      <w:r w:rsidR="0031372F">
        <w:rPr>
          <w:rFonts w:ascii="Book Antiqua" w:hAnsi="Book Antiqua"/>
        </w:rPr>
        <w:t xml:space="preserve"> or any application</w:t>
      </w:r>
      <w:r w:rsidR="00382B85">
        <w:rPr>
          <w:rFonts w:ascii="Book Antiqua" w:hAnsi="Book Antiqua"/>
        </w:rPr>
        <w:t>s</w:t>
      </w:r>
      <w:r w:rsidR="0031372F">
        <w:rPr>
          <w:rFonts w:ascii="Book Antiqua" w:hAnsi="Book Antiqua"/>
        </w:rPr>
        <w:t xml:space="preserve"> for non-disclosure orders by a party or third party (s 416A of the CPA).</w:t>
      </w:r>
    </w:p>
    <w:p w14:paraId="4F933787" w14:textId="094DEB0B" w:rsidR="0030371A" w:rsidRDefault="0042112B" w:rsidP="0042112B">
      <w:pPr>
        <w:spacing w:before="120" w:after="120"/>
        <w:ind w:left="720" w:hanging="720"/>
        <w:jc w:val="both"/>
        <w:rPr>
          <w:rFonts w:ascii="Book Antiqua" w:hAnsi="Book Antiqua"/>
        </w:rPr>
      </w:pPr>
      <w:r w:rsidRPr="57220559">
        <w:rPr>
          <w:rFonts w:ascii="Book Antiqua" w:hAnsi="Book Antiqua"/>
        </w:rPr>
        <w:lastRenderedPageBreak/>
        <w:t>4.</w:t>
      </w:r>
      <w:r w:rsidR="00D77727" w:rsidRPr="57220559">
        <w:rPr>
          <w:rFonts w:ascii="Book Antiqua" w:hAnsi="Book Antiqua"/>
        </w:rPr>
        <w:t>9</w:t>
      </w:r>
      <w:r>
        <w:tab/>
      </w:r>
      <w:r w:rsidR="0030371A" w:rsidRPr="57220559">
        <w:rPr>
          <w:rFonts w:ascii="Book Antiqua" w:hAnsi="Book Antiqua"/>
        </w:rPr>
        <w:t>At the PCDH the Court will make orders for the further conduct of the proceeding</w:t>
      </w:r>
      <w:r w:rsidR="00F122C8" w:rsidRPr="57220559">
        <w:rPr>
          <w:rFonts w:ascii="Book Antiqua" w:hAnsi="Book Antiqua"/>
        </w:rPr>
        <w:t>s</w:t>
      </w:r>
      <w:r w:rsidR="0030371A" w:rsidRPr="57220559">
        <w:rPr>
          <w:rFonts w:ascii="Book Antiqua" w:hAnsi="Book Antiqua"/>
        </w:rPr>
        <w:t xml:space="preserve"> which may </w:t>
      </w:r>
      <w:r w:rsidR="2509BD8F" w:rsidRPr="57220559">
        <w:rPr>
          <w:rFonts w:ascii="Book Antiqua" w:hAnsi="Book Antiqua"/>
        </w:rPr>
        <w:t>include:</w:t>
      </w:r>
    </w:p>
    <w:p w14:paraId="11BB2A05" w14:textId="277FE7FB" w:rsidR="0030371A" w:rsidRPr="00EA3FEA" w:rsidRDefault="009161CE" w:rsidP="006004DA">
      <w:pPr>
        <w:pStyle w:val="ListParagraph"/>
        <w:numPr>
          <w:ilvl w:val="0"/>
          <w:numId w:val="19"/>
        </w:numPr>
        <w:spacing w:before="120" w:after="120"/>
        <w:jc w:val="both"/>
        <w:rPr>
          <w:rFonts w:ascii="Book Antiqua" w:hAnsi="Book Antiqua"/>
          <w:sz w:val="24"/>
          <w:szCs w:val="24"/>
        </w:rPr>
      </w:pPr>
      <w:r>
        <w:rPr>
          <w:rFonts w:ascii="Book Antiqua" w:hAnsi="Book Antiqua"/>
          <w:sz w:val="24"/>
          <w:szCs w:val="24"/>
        </w:rPr>
        <w:t xml:space="preserve">Ordering </w:t>
      </w:r>
      <w:r w:rsidR="00D3191A">
        <w:rPr>
          <w:rFonts w:ascii="Book Antiqua" w:hAnsi="Book Antiqua"/>
          <w:sz w:val="24"/>
          <w:szCs w:val="24"/>
        </w:rPr>
        <w:t>the filing an</w:t>
      </w:r>
      <w:r w:rsidR="004C38E0">
        <w:rPr>
          <w:rFonts w:ascii="Book Antiqua" w:hAnsi="Book Antiqua"/>
          <w:sz w:val="24"/>
          <w:szCs w:val="24"/>
        </w:rPr>
        <w:t>d</w:t>
      </w:r>
      <w:r w:rsidR="00D3191A">
        <w:rPr>
          <w:rFonts w:ascii="Book Antiqua" w:hAnsi="Book Antiqua"/>
          <w:sz w:val="24"/>
          <w:szCs w:val="24"/>
        </w:rPr>
        <w:t xml:space="preserve"> service </w:t>
      </w:r>
      <w:r w:rsidR="0030371A" w:rsidRPr="00EA3FEA">
        <w:rPr>
          <w:rFonts w:ascii="Book Antiqua" w:hAnsi="Book Antiqua"/>
          <w:sz w:val="24"/>
          <w:szCs w:val="24"/>
        </w:rPr>
        <w:t>of documents and</w:t>
      </w:r>
      <w:r w:rsidR="00D3191A">
        <w:rPr>
          <w:rFonts w:ascii="Book Antiqua" w:hAnsi="Book Antiqua"/>
          <w:sz w:val="24"/>
          <w:szCs w:val="24"/>
        </w:rPr>
        <w:t>/</w:t>
      </w:r>
      <w:r w:rsidR="0030371A" w:rsidRPr="00EA3FEA">
        <w:rPr>
          <w:rFonts w:ascii="Book Antiqua" w:hAnsi="Book Antiqua"/>
          <w:sz w:val="24"/>
          <w:szCs w:val="24"/>
        </w:rPr>
        <w:t>or pre-trial disclosure to the accused</w:t>
      </w:r>
      <w:r w:rsidR="00D3191A">
        <w:rPr>
          <w:rFonts w:ascii="Book Antiqua" w:hAnsi="Book Antiqua"/>
          <w:sz w:val="24"/>
          <w:szCs w:val="24"/>
        </w:rPr>
        <w:t>;</w:t>
      </w:r>
    </w:p>
    <w:p w14:paraId="2F2A0721" w14:textId="6DF57A5B" w:rsidR="0030371A" w:rsidRPr="00EA3FEA" w:rsidRDefault="0030371A" w:rsidP="006004DA">
      <w:pPr>
        <w:pStyle w:val="ListParagraph"/>
        <w:numPr>
          <w:ilvl w:val="0"/>
          <w:numId w:val="19"/>
        </w:numPr>
        <w:spacing w:before="120" w:after="120"/>
        <w:jc w:val="both"/>
        <w:rPr>
          <w:rFonts w:ascii="Book Antiqua" w:hAnsi="Book Antiqua"/>
          <w:sz w:val="24"/>
          <w:szCs w:val="24"/>
        </w:rPr>
      </w:pPr>
      <w:r w:rsidRPr="00EA3FEA">
        <w:rPr>
          <w:rFonts w:ascii="Book Antiqua" w:hAnsi="Book Antiqua"/>
          <w:sz w:val="24"/>
          <w:szCs w:val="24"/>
        </w:rPr>
        <w:t>Determining applications for pre-trial cross-examination of witnesses</w:t>
      </w:r>
      <w:r w:rsidR="00D3191A">
        <w:rPr>
          <w:rFonts w:ascii="Book Antiqua" w:hAnsi="Book Antiqua"/>
          <w:sz w:val="24"/>
          <w:szCs w:val="24"/>
        </w:rPr>
        <w:t>;</w:t>
      </w:r>
    </w:p>
    <w:p w14:paraId="30A7523F" w14:textId="42E7BEA8" w:rsidR="0030371A" w:rsidRPr="00EA3FEA" w:rsidRDefault="00467147" w:rsidP="006004DA">
      <w:pPr>
        <w:pStyle w:val="ListParagraph"/>
        <w:numPr>
          <w:ilvl w:val="0"/>
          <w:numId w:val="19"/>
        </w:numPr>
        <w:spacing w:before="120" w:after="120"/>
        <w:jc w:val="both"/>
        <w:rPr>
          <w:rFonts w:ascii="Book Antiqua" w:hAnsi="Book Antiqua"/>
          <w:sz w:val="24"/>
          <w:szCs w:val="24"/>
        </w:rPr>
      </w:pPr>
      <w:r>
        <w:rPr>
          <w:rFonts w:ascii="Book Antiqua" w:hAnsi="Book Antiqua"/>
          <w:sz w:val="24"/>
          <w:szCs w:val="24"/>
        </w:rPr>
        <w:t>Giving directions for the</w:t>
      </w:r>
      <w:r w:rsidR="0030371A" w:rsidRPr="00EA3FEA">
        <w:rPr>
          <w:rFonts w:ascii="Book Antiqua" w:hAnsi="Book Antiqua"/>
          <w:sz w:val="24"/>
          <w:szCs w:val="24"/>
        </w:rPr>
        <w:t xml:space="preserve"> filing and service of any subpoena to produce</w:t>
      </w:r>
      <w:r>
        <w:rPr>
          <w:rFonts w:ascii="Book Antiqua" w:hAnsi="Book Antiqua"/>
          <w:sz w:val="24"/>
          <w:szCs w:val="24"/>
        </w:rPr>
        <w:t>;</w:t>
      </w:r>
    </w:p>
    <w:p w14:paraId="3D63170D" w14:textId="7BF4B183" w:rsidR="0030371A" w:rsidRPr="00EA3FEA" w:rsidRDefault="006E7C7F" w:rsidP="006004DA">
      <w:pPr>
        <w:pStyle w:val="ListParagraph"/>
        <w:numPr>
          <w:ilvl w:val="0"/>
          <w:numId w:val="19"/>
        </w:numPr>
        <w:spacing w:before="120" w:after="120"/>
        <w:jc w:val="both"/>
        <w:rPr>
          <w:rFonts w:ascii="Book Antiqua" w:hAnsi="Book Antiqua"/>
          <w:sz w:val="24"/>
          <w:szCs w:val="24"/>
        </w:rPr>
      </w:pPr>
      <w:r>
        <w:rPr>
          <w:rFonts w:ascii="Book Antiqua" w:hAnsi="Book Antiqua"/>
          <w:sz w:val="24"/>
          <w:szCs w:val="24"/>
        </w:rPr>
        <w:t xml:space="preserve">Fixing </w:t>
      </w:r>
      <w:r w:rsidR="0030371A" w:rsidRPr="00EA3FEA">
        <w:rPr>
          <w:rFonts w:ascii="Book Antiqua" w:hAnsi="Book Antiqua"/>
          <w:sz w:val="24"/>
          <w:szCs w:val="24"/>
        </w:rPr>
        <w:t>a timetable for the filing and service of the summary of prosecution opening, statutory evidence notices and defence responses</w:t>
      </w:r>
      <w:r w:rsidR="004C38E0">
        <w:rPr>
          <w:rFonts w:ascii="Book Antiqua" w:hAnsi="Book Antiqua"/>
          <w:sz w:val="24"/>
          <w:szCs w:val="24"/>
        </w:rPr>
        <w:t>;</w:t>
      </w:r>
    </w:p>
    <w:p w14:paraId="6E65A498" w14:textId="593F3CFB" w:rsidR="004C38E0" w:rsidRPr="00D018FF" w:rsidRDefault="002A1761" w:rsidP="006004DA">
      <w:pPr>
        <w:pStyle w:val="ListParagraph"/>
        <w:numPr>
          <w:ilvl w:val="0"/>
          <w:numId w:val="19"/>
        </w:numPr>
        <w:spacing w:before="120" w:after="120"/>
        <w:jc w:val="both"/>
        <w:rPr>
          <w:rFonts w:ascii="Book Antiqua" w:hAnsi="Book Antiqua"/>
        </w:rPr>
      </w:pPr>
      <w:r>
        <w:rPr>
          <w:rFonts w:ascii="Book Antiqua" w:hAnsi="Book Antiqua"/>
          <w:sz w:val="24"/>
          <w:szCs w:val="24"/>
        </w:rPr>
        <w:t>Setting a date for a further directions hearing</w:t>
      </w:r>
      <w:r w:rsidR="004C38E0">
        <w:rPr>
          <w:rFonts w:ascii="Book Antiqua" w:hAnsi="Book Antiqua"/>
          <w:sz w:val="24"/>
          <w:szCs w:val="24"/>
        </w:rPr>
        <w:t>;</w:t>
      </w:r>
      <w:r w:rsidR="008A5910">
        <w:rPr>
          <w:rFonts w:ascii="Book Antiqua" w:hAnsi="Book Antiqua"/>
          <w:sz w:val="24"/>
          <w:szCs w:val="24"/>
        </w:rPr>
        <w:t xml:space="preserve"> and</w:t>
      </w:r>
    </w:p>
    <w:p w14:paraId="3BB64042" w14:textId="7815512D" w:rsidR="002A1761" w:rsidRPr="00D018FF" w:rsidRDefault="004C38E0" w:rsidP="006004DA">
      <w:pPr>
        <w:pStyle w:val="ListParagraph"/>
        <w:numPr>
          <w:ilvl w:val="0"/>
          <w:numId w:val="19"/>
        </w:numPr>
        <w:spacing w:before="120" w:after="120"/>
        <w:jc w:val="both"/>
        <w:rPr>
          <w:rFonts w:ascii="Book Antiqua" w:hAnsi="Book Antiqua"/>
          <w:sz w:val="24"/>
          <w:szCs w:val="24"/>
        </w:rPr>
      </w:pPr>
      <w:r w:rsidRPr="57220559">
        <w:rPr>
          <w:rFonts w:ascii="Book Antiqua" w:hAnsi="Book Antiqua"/>
          <w:sz w:val="24"/>
          <w:szCs w:val="24"/>
        </w:rPr>
        <w:t>Fixing a trial date</w:t>
      </w:r>
      <w:r w:rsidR="327B2D2A" w:rsidRPr="57220559">
        <w:rPr>
          <w:rFonts w:ascii="Book Antiqua" w:hAnsi="Book Antiqua"/>
          <w:sz w:val="24"/>
          <w:szCs w:val="24"/>
        </w:rPr>
        <w:t>.</w:t>
      </w:r>
    </w:p>
    <w:p w14:paraId="63C4B062" w14:textId="155DBC1E" w:rsidR="00C02D02" w:rsidRDefault="00C02D02" w:rsidP="0042112B">
      <w:pPr>
        <w:spacing w:before="120" w:after="120"/>
        <w:ind w:left="720" w:hanging="720"/>
        <w:jc w:val="both"/>
        <w:rPr>
          <w:rFonts w:ascii="Book Antiqua" w:hAnsi="Book Antiqua"/>
        </w:rPr>
      </w:pPr>
    </w:p>
    <w:p w14:paraId="6022F199" w14:textId="1878FB37" w:rsidR="00AC1733" w:rsidRPr="00AC1733" w:rsidRDefault="005458F6" w:rsidP="005458F6">
      <w:pPr>
        <w:spacing w:before="120" w:after="120"/>
        <w:jc w:val="both"/>
        <w:rPr>
          <w:rFonts w:ascii="Book Antiqua" w:hAnsi="Book Antiqua"/>
          <w:b/>
          <w:bCs/>
        </w:rPr>
      </w:pPr>
      <w:r>
        <w:rPr>
          <w:rFonts w:ascii="Book Antiqua" w:hAnsi="Book Antiqua"/>
          <w:b/>
          <w:bCs/>
        </w:rPr>
        <w:t>5.</w:t>
      </w:r>
      <w:r>
        <w:rPr>
          <w:rFonts w:ascii="Book Antiqua" w:hAnsi="Book Antiqua"/>
          <w:b/>
          <w:bCs/>
        </w:rPr>
        <w:tab/>
      </w:r>
      <w:r w:rsidR="00B1104D">
        <w:rPr>
          <w:rFonts w:ascii="Book Antiqua" w:hAnsi="Book Antiqua"/>
          <w:b/>
          <w:bCs/>
        </w:rPr>
        <w:t>ATTENDANCE</w:t>
      </w:r>
      <w:r w:rsidR="00656576">
        <w:rPr>
          <w:rFonts w:ascii="Book Antiqua" w:hAnsi="Book Antiqua"/>
          <w:b/>
          <w:bCs/>
        </w:rPr>
        <w:t xml:space="preserve"> AT DIRECTIONS HEARINGS</w:t>
      </w:r>
    </w:p>
    <w:p w14:paraId="0A83A918" w14:textId="6F178F3B" w:rsidR="007630C0" w:rsidRDefault="0043781F" w:rsidP="000270A0">
      <w:pPr>
        <w:spacing w:before="120" w:after="120"/>
        <w:ind w:left="720" w:hanging="720"/>
        <w:jc w:val="both"/>
        <w:rPr>
          <w:rFonts w:ascii="Book Antiqua" w:hAnsi="Book Antiqua"/>
        </w:rPr>
      </w:pPr>
      <w:r>
        <w:rPr>
          <w:rFonts w:ascii="Book Antiqua" w:hAnsi="Book Antiqua"/>
        </w:rPr>
        <w:t>5.1</w:t>
      </w:r>
      <w:r>
        <w:rPr>
          <w:rFonts w:ascii="Book Antiqua" w:hAnsi="Book Antiqua"/>
        </w:rPr>
        <w:tab/>
      </w:r>
      <w:r w:rsidR="007630C0">
        <w:rPr>
          <w:rFonts w:ascii="Book Antiqua" w:hAnsi="Book Antiqua"/>
        </w:rPr>
        <w:t xml:space="preserve">Accused in custody will </w:t>
      </w:r>
      <w:r w:rsidR="002A1761">
        <w:rPr>
          <w:rFonts w:ascii="Book Antiqua" w:hAnsi="Book Antiqua"/>
        </w:rPr>
        <w:t xml:space="preserve">generally </w:t>
      </w:r>
      <w:r w:rsidR="00C21D4F">
        <w:rPr>
          <w:rFonts w:ascii="Book Antiqua" w:hAnsi="Book Antiqua"/>
        </w:rPr>
        <w:t xml:space="preserve">not be required to attend court </w:t>
      </w:r>
      <w:r w:rsidR="002A1761">
        <w:rPr>
          <w:rFonts w:ascii="Book Antiqua" w:hAnsi="Book Antiqua"/>
        </w:rPr>
        <w:t xml:space="preserve">in person </w:t>
      </w:r>
      <w:r w:rsidR="00551175">
        <w:rPr>
          <w:rFonts w:ascii="Book Antiqua" w:hAnsi="Book Antiqua"/>
        </w:rPr>
        <w:t xml:space="preserve">for directions hearings </w:t>
      </w:r>
      <w:r w:rsidR="00C21D4F">
        <w:rPr>
          <w:rFonts w:ascii="Book Antiqua" w:hAnsi="Book Antiqua"/>
        </w:rPr>
        <w:t>and arrangement</w:t>
      </w:r>
      <w:r w:rsidR="009E12A2">
        <w:rPr>
          <w:rFonts w:ascii="Book Antiqua" w:hAnsi="Book Antiqua"/>
        </w:rPr>
        <w:t>s</w:t>
      </w:r>
      <w:r w:rsidR="00C21D4F">
        <w:rPr>
          <w:rFonts w:ascii="Book Antiqua" w:hAnsi="Book Antiqua"/>
        </w:rPr>
        <w:t xml:space="preserve"> will be made for a</w:t>
      </w:r>
      <w:r w:rsidR="005D5570">
        <w:rPr>
          <w:rFonts w:ascii="Book Antiqua" w:hAnsi="Book Antiqua"/>
        </w:rPr>
        <w:t>ttendance</w:t>
      </w:r>
      <w:r w:rsidR="00C21D4F">
        <w:rPr>
          <w:rFonts w:ascii="Book Antiqua" w:hAnsi="Book Antiqua"/>
        </w:rPr>
        <w:t xml:space="preserve"> via </w:t>
      </w:r>
      <w:r w:rsidR="00996796">
        <w:rPr>
          <w:rFonts w:ascii="Book Antiqua" w:hAnsi="Book Antiqua"/>
        </w:rPr>
        <w:t>AVL.</w:t>
      </w:r>
    </w:p>
    <w:p w14:paraId="0EEFE311" w14:textId="5C185FEF" w:rsidR="009E12A2" w:rsidRDefault="009E12A2" w:rsidP="000270A0">
      <w:pPr>
        <w:spacing w:before="120" w:after="120"/>
        <w:ind w:left="720" w:hanging="720"/>
        <w:jc w:val="both"/>
        <w:rPr>
          <w:rFonts w:ascii="Book Antiqua" w:hAnsi="Book Antiqua"/>
        </w:rPr>
      </w:pPr>
      <w:r w:rsidRPr="57220559">
        <w:rPr>
          <w:rFonts w:ascii="Book Antiqua" w:hAnsi="Book Antiqua"/>
        </w:rPr>
        <w:t>5.2</w:t>
      </w:r>
      <w:r>
        <w:tab/>
      </w:r>
      <w:r w:rsidRPr="57220559">
        <w:rPr>
          <w:rFonts w:ascii="Book Antiqua" w:hAnsi="Book Antiqua"/>
        </w:rPr>
        <w:t xml:space="preserve">Accused on bail will be required to attend directions </w:t>
      </w:r>
      <w:r w:rsidR="00551175" w:rsidRPr="57220559">
        <w:rPr>
          <w:rFonts w:ascii="Book Antiqua" w:hAnsi="Book Antiqua"/>
        </w:rPr>
        <w:t>hearings</w:t>
      </w:r>
      <w:r w:rsidR="002A1761" w:rsidRPr="57220559">
        <w:rPr>
          <w:rFonts w:ascii="Book Antiqua" w:hAnsi="Book Antiqua"/>
        </w:rPr>
        <w:t xml:space="preserve"> in </w:t>
      </w:r>
      <w:r w:rsidR="4129ADDE" w:rsidRPr="57220559">
        <w:rPr>
          <w:rFonts w:ascii="Book Antiqua" w:hAnsi="Book Antiqua"/>
        </w:rPr>
        <w:t>person unless</w:t>
      </w:r>
      <w:r w:rsidRPr="57220559">
        <w:rPr>
          <w:rFonts w:ascii="Book Antiqua" w:hAnsi="Book Antiqua"/>
        </w:rPr>
        <w:t xml:space="preserve"> otherwise directed by the Court.</w:t>
      </w:r>
    </w:p>
    <w:p w14:paraId="3DCFC65C" w14:textId="63D03848" w:rsidR="00551175" w:rsidRDefault="00CF389F" w:rsidP="000270A0">
      <w:pPr>
        <w:spacing w:before="120" w:after="120"/>
        <w:ind w:left="720" w:hanging="720"/>
        <w:jc w:val="both"/>
        <w:rPr>
          <w:rFonts w:ascii="Book Antiqua" w:hAnsi="Book Antiqua"/>
        </w:rPr>
      </w:pPr>
      <w:r>
        <w:rPr>
          <w:rFonts w:ascii="Book Antiqua" w:hAnsi="Book Antiqua"/>
        </w:rPr>
        <w:t>5.3</w:t>
      </w:r>
      <w:r>
        <w:rPr>
          <w:rFonts w:ascii="Book Antiqua" w:hAnsi="Book Antiqua"/>
        </w:rPr>
        <w:tab/>
        <w:t>21</w:t>
      </w:r>
      <w:r w:rsidR="00343F4D">
        <w:rPr>
          <w:rFonts w:ascii="Book Antiqua" w:hAnsi="Book Antiqua"/>
        </w:rPr>
        <w:t>-</w:t>
      </w:r>
      <w:r>
        <w:rPr>
          <w:rFonts w:ascii="Book Antiqua" w:hAnsi="Book Antiqua"/>
        </w:rPr>
        <w:t xml:space="preserve">day remand hearings will be listed for </w:t>
      </w:r>
      <w:r w:rsidR="0037673B">
        <w:rPr>
          <w:rFonts w:ascii="Book Antiqua" w:hAnsi="Book Antiqua"/>
        </w:rPr>
        <w:t xml:space="preserve">children in custody and </w:t>
      </w:r>
      <w:r w:rsidR="005D5570">
        <w:rPr>
          <w:rFonts w:ascii="Book Antiqua" w:hAnsi="Book Antiqua"/>
        </w:rPr>
        <w:t xml:space="preserve">attendance via </w:t>
      </w:r>
      <w:r w:rsidR="0037673B">
        <w:rPr>
          <w:rFonts w:ascii="Book Antiqua" w:hAnsi="Book Antiqua"/>
        </w:rPr>
        <w:t xml:space="preserve">AVL </w:t>
      </w:r>
      <w:r w:rsidR="005D5570">
        <w:rPr>
          <w:rFonts w:ascii="Book Antiqua" w:hAnsi="Book Antiqua"/>
        </w:rPr>
        <w:t>will be arranged</w:t>
      </w:r>
      <w:r w:rsidR="0022394B">
        <w:rPr>
          <w:rFonts w:ascii="Book Antiqua" w:hAnsi="Book Antiqua"/>
        </w:rPr>
        <w:t>.</w:t>
      </w:r>
    </w:p>
    <w:p w14:paraId="42A08CDE" w14:textId="460C030A" w:rsidR="0022394B" w:rsidRDefault="0022394B" w:rsidP="000270A0">
      <w:pPr>
        <w:spacing w:before="120" w:after="120"/>
        <w:ind w:left="720" w:hanging="720"/>
        <w:jc w:val="both"/>
        <w:rPr>
          <w:rFonts w:ascii="Book Antiqua" w:hAnsi="Book Antiqua"/>
        </w:rPr>
      </w:pPr>
      <w:r>
        <w:rPr>
          <w:rFonts w:ascii="Book Antiqua" w:hAnsi="Book Antiqua"/>
        </w:rPr>
        <w:t>5.4</w:t>
      </w:r>
      <w:r>
        <w:rPr>
          <w:rFonts w:ascii="Book Antiqua" w:hAnsi="Book Antiqua"/>
        </w:rPr>
        <w:tab/>
        <w:t>If a child wishes to be excused from attending a 21</w:t>
      </w:r>
      <w:r w:rsidR="00343F4D">
        <w:rPr>
          <w:rFonts w:ascii="Book Antiqua" w:hAnsi="Book Antiqua"/>
        </w:rPr>
        <w:t>-</w:t>
      </w:r>
      <w:r>
        <w:rPr>
          <w:rFonts w:ascii="Book Antiqua" w:hAnsi="Book Antiqua"/>
        </w:rPr>
        <w:t>day re</w:t>
      </w:r>
      <w:r w:rsidR="00DB457D">
        <w:rPr>
          <w:rFonts w:ascii="Book Antiqua" w:hAnsi="Book Antiqua"/>
        </w:rPr>
        <w:t xml:space="preserve">mand hearing their legal representative must complete the </w:t>
      </w:r>
      <w:r w:rsidR="00FD15DB">
        <w:rPr>
          <w:rFonts w:ascii="Book Antiqua" w:hAnsi="Book Antiqua"/>
        </w:rPr>
        <w:t>W</w:t>
      </w:r>
      <w:r w:rsidR="00DB457D">
        <w:rPr>
          <w:rFonts w:ascii="Book Antiqua" w:hAnsi="Book Antiqua"/>
        </w:rPr>
        <w:t>aiver of Child’s Attendance Request Form</w:t>
      </w:r>
      <w:r w:rsidR="00B640B1">
        <w:rPr>
          <w:rFonts w:ascii="Book Antiqua" w:hAnsi="Book Antiqua"/>
        </w:rPr>
        <w:t xml:space="preserve"> available on the Court’s website. </w:t>
      </w:r>
      <w:r w:rsidR="000C40B3">
        <w:rPr>
          <w:rFonts w:ascii="Book Antiqua" w:hAnsi="Book Antiqua"/>
        </w:rPr>
        <w:t>This must be signed by the ac</w:t>
      </w:r>
      <w:r w:rsidR="00542783">
        <w:rPr>
          <w:rFonts w:ascii="Book Antiqua" w:hAnsi="Book Antiqua"/>
        </w:rPr>
        <w:t>cused child and filed not less than three days prior to the hearing.</w:t>
      </w:r>
    </w:p>
    <w:p w14:paraId="179AD60C" w14:textId="55DD6B27" w:rsidR="00542783" w:rsidRDefault="00E10DEB" w:rsidP="000270A0">
      <w:pPr>
        <w:spacing w:before="120" w:after="120"/>
        <w:ind w:left="720" w:hanging="720"/>
        <w:jc w:val="both"/>
        <w:rPr>
          <w:rFonts w:ascii="Book Antiqua" w:hAnsi="Book Antiqua"/>
        </w:rPr>
      </w:pPr>
      <w:r>
        <w:rPr>
          <w:rFonts w:ascii="Book Antiqua" w:hAnsi="Book Antiqua"/>
        </w:rPr>
        <w:t>5.5</w:t>
      </w:r>
      <w:r>
        <w:rPr>
          <w:rFonts w:ascii="Book Antiqua" w:hAnsi="Book Antiqua"/>
        </w:rPr>
        <w:tab/>
      </w:r>
      <w:r w:rsidR="00FA5542">
        <w:rPr>
          <w:rFonts w:ascii="Book Antiqua" w:hAnsi="Book Antiqua"/>
        </w:rPr>
        <w:t xml:space="preserve">Parties will be notified </w:t>
      </w:r>
      <w:r w:rsidR="00AC3FBB">
        <w:rPr>
          <w:rFonts w:ascii="Book Antiqua" w:hAnsi="Book Antiqua"/>
        </w:rPr>
        <w:t>whether the request is approved</w:t>
      </w:r>
      <w:r w:rsidR="00F27DAD">
        <w:rPr>
          <w:rFonts w:ascii="Book Antiqua" w:hAnsi="Book Antiqua"/>
        </w:rPr>
        <w:t>. A</w:t>
      </w:r>
      <w:r w:rsidR="00542783">
        <w:rPr>
          <w:rFonts w:ascii="Book Antiqua" w:hAnsi="Book Antiqua"/>
        </w:rPr>
        <w:t xml:space="preserve"> legal representative </w:t>
      </w:r>
      <w:r w:rsidR="00F27DAD">
        <w:rPr>
          <w:rFonts w:ascii="Book Antiqua" w:hAnsi="Book Antiqua"/>
        </w:rPr>
        <w:t xml:space="preserve">for each party is required to </w:t>
      </w:r>
      <w:r w:rsidR="003D2F61">
        <w:rPr>
          <w:rFonts w:ascii="Book Antiqua" w:hAnsi="Book Antiqua"/>
        </w:rPr>
        <w:t>appear</w:t>
      </w:r>
      <w:r>
        <w:rPr>
          <w:rFonts w:ascii="Book Antiqua" w:hAnsi="Book Antiqua"/>
        </w:rPr>
        <w:t>. Wherever possible this hearing will be conducted remotely.</w:t>
      </w:r>
      <w:r w:rsidR="00F27DAD">
        <w:rPr>
          <w:rFonts w:ascii="Book Antiqua" w:hAnsi="Book Antiqua"/>
        </w:rPr>
        <w:t xml:space="preserve"> </w:t>
      </w:r>
    </w:p>
    <w:p w14:paraId="6EF4F477" w14:textId="6E7AD2A3" w:rsidR="00D62FB2" w:rsidRDefault="00D62FB2" w:rsidP="000270A0">
      <w:pPr>
        <w:spacing w:before="120" w:after="120"/>
        <w:ind w:left="720" w:hanging="720"/>
        <w:jc w:val="both"/>
        <w:rPr>
          <w:rFonts w:ascii="Book Antiqua" w:hAnsi="Book Antiqua"/>
        </w:rPr>
      </w:pPr>
      <w:r>
        <w:rPr>
          <w:rFonts w:ascii="Book Antiqua" w:hAnsi="Book Antiqua"/>
        </w:rPr>
        <w:t>5.6</w:t>
      </w:r>
      <w:r>
        <w:rPr>
          <w:rFonts w:ascii="Book Antiqua" w:hAnsi="Book Antiqua"/>
        </w:rPr>
        <w:tab/>
        <w:t>If a</w:t>
      </w:r>
      <w:r w:rsidR="003D2F61">
        <w:rPr>
          <w:rFonts w:ascii="Book Antiqua" w:hAnsi="Book Antiqua"/>
        </w:rPr>
        <w:t xml:space="preserve"> signed</w:t>
      </w:r>
      <w:r>
        <w:rPr>
          <w:rFonts w:ascii="Book Antiqua" w:hAnsi="Book Antiqua"/>
        </w:rPr>
        <w:t xml:space="preserve"> waiver</w:t>
      </w:r>
      <w:r w:rsidR="003D2F61">
        <w:rPr>
          <w:rFonts w:ascii="Book Antiqua" w:hAnsi="Book Antiqua"/>
        </w:rPr>
        <w:t xml:space="preserve"> form</w:t>
      </w:r>
      <w:r>
        <w:rPr>
          <w:rFonts w:ascii="Book Antiqua" w:hAnsi="Book Antiqua"/>
        </w:rPr>
        <w:t xml:space="preserve"> has been </w:t>
      </w:r>
      <w:r w:rsidR="003D2F61">
        <w:rPr>
          <w:rFonts w:ascii="Book Antiqua" w:hAnsi="Book Antiqua"/>
        </w:rPr>
        <w:t xml:space="preserve">filed </w:t>
      </w:r>
      <w:r>
        <w:rPr>
          <w:rFonts w:ascii="Book Antiqua" w:hAnsi="Book Antiqua"/>
        </w:rPr>
        <w:t xml:space="preserve">but the accused child wishes to </w:t>
      </w:r>
      <w:r w:rsidR="0097585D">
        <w:rPr>
          <w:rFonts w:ascii="Book Antiqua" w:hAnsi="Book Antiqua"/>
        </w:rPr>
        <w:t xml:space="preserve">appear at </w:t>
      </w:r>
      <w:r>
        <w:rPr>
          <w:rFonts w:ascii="Book Antiqua" w:hAnsi="Book Antiqua"/>
        </w:rPr>
        <w:t>the hearing</w:t>
      </w:r>
      <w:r w:rsidR="0097585D">
        <w:rPr>
          <w:rFonts w:ascii="Book Antiqua" w:hAnsi="Book Antiqua"/>
        </w:rPr>
        <w:t>,</w:t>
      </w:r>
      <w:r>
        <w:rPr>
          <w:rFonts w:ascii="Book Antiqua" w:hAnsi="Book Antiqua"/>
        </w:rPr>
        <w:t xml:space="preserve"> </w:t>
      </w:r>
      <w:r w:rsidR="0066563A">
        <w:rPr>
          <w:rFonts w:ascii="Book Antiqua" w:hAnsi="Book Antiqua"/>
        </w:rPr>
        <w:t>the Registry should be notified immediately.</w:t>
      </w:r>
    </w:p>
    <w:p w14:paraId="3E003B02" w14:textId="77777777" w:rsidR="00E62B40" w:rsidRDefault="00E62B40" w:rsidP="000270A0">
      <w:pPr>
        <w:spacing w:before="120" w:after="120"/>
        <w:ind w:left="720" w:hanging="720"/>
        <w:jc w:val="both"/>
        <w:rPr>
          <w:rFonts w:ascii="Book Antiqua" w:hAnsi="Book Antiqua"/>
        </w:rPr>
      </w:pPr>
    </w:p>
    <w:p w14:paraId="22C45339" w14:textId="11043E14" w:rsidR="0066563A" w:rsidRDefault="00E62B40" w:rsidP="00E62B40">
      <w:pPr>
        <w:pStyle w:val="Heading1"/>
        <w:numPr>
          <w:ilvl w:val="0"/>
          <w:numId w:val="0"/>
        </w:numPr>
      </w:pPr>
      <w:r>
        <w:t>6.</w:t>
      </w:r>
      <w:r>
        <w:tab/>
        <w:t>Listings</w:t>
      </w:r>
    </w:p>
    <w:p w14:paraId="1F723FB8" w14:textId="140A7C6F" w:rsidR="00847A12" w:rsidRDefault="00E62B40" w:rsidP="000270A0">
      <w:pPr>
        <w:spacing w:before="120" w:after="120"/>
        <w:ind w:left="720" w:hanging="720"/>
        <w:jc w:val="both"/>
        <w:rPr>
          <w:rFonts w:ascii="Book Antiqua" w:hAnsi="Book Antiqua"/>
        </w:rPr>
      </w:pPr>
      <w:r>
        <w:rPr>
          <w:rFonts w:ascii="Book Antiqua" w:hAnsi="Book Antiqua"/>
        </w:rPr>
        <w:t>6.1</w:t>
      </w:r>
      <w:r>
        <w:rPr>
          <w:rFonts w:ascii="Book Antiqua" w:hAnsi="Book Antiqua"/>
        </w:rPr>
        <w:tab/>
      </w:r>
      <w:r w:rsidR="00847A12" w:rsidRPr="001F3184">
        <w:rPr>
          <w:rFonts w:ascii="Book Antiqua" w:hAnsi="Book Antiqua"/>
        </w:rPr>
        <w:t xml:space="preserve">If the </w:t>
      </w:r>
      <w:r w:rsidR="00863680">
        <w:rPr>
          <w:rFonts w:ascii="Book Antiqua" w:hAnsi="Book Antiqua"/>
        </w:rPr>
        <w:t xml:space="preserve">parties indicate to the Court that the matter has resolved to a plea of guilty </w:t>
      </w:r>
      <w:r w:rsidR="00847A12" w:rsidRPr="001F3184">
        <w:rPr>
          <w:rFonts w:ascii="Book Antiqua" w:hAnsi="Book Antiqua"/>
        </w:rPr>
        <w:t>the Judicial Registrar w</w:t>
      </w:r>
      <w:r w:rsidR="00847A12">
        <w:rPr>
          <w:rFonts w:ascii="Book Antiqua" w:hAnsi="Book Antiqua"/>
        </w:rPr>
        <w:t>ill</w:t>
      </w:r>
      <w:r w:rsidR="00847A12" w:rsidRPr="001F3184">
        <w:rPr>
          <w:rFonts w:ascii="Book Antiqua" w:hAnsi="Book Antiqua"/>
        </w:rPr>
        <w:t xml:space="preserve"> set a timetable and a date for the plea hearing</w:t>
      </w:r>
      <w:r w:rsidR="00012228">
        <w:rPr>
          <w:rFonts w:ascii="Book Antiqua" w:hAnsi="Book Antiqua"/>
        </w:rPr>
        <w:t xml:space="preserve">. The parties should refer to </w:t>
      </w:r>
      <w:r w:rsidR="00012228" w:rsidRPr="0098144B">
        <w:rPr>
          <w:rFonts w:ascii="Book Antiqua" w:hAnsi="Book Antiqua"/>
          <w:b/>
          <w:bCs/>
        </w:rPr>
        <w:t>Practice Note SC CR</w:t>
      </w:r>
      <w:r w:rsidR="00012228">
        <w:rPr>
          <w:rFonts w:ascii="Book Antiqua" w:hAnsi="Book Antiqua"/>
          <w:b/>
          <w:bCs/>
        </w:rPr>
        <w:t xml:space="preserve"> 4 </w:t>
      </w:r>
      <w:r w:rsidR="00012228">
        <w:rPr>
          <w:rFonts w:ascii="Book Antiqua" w:hAnsi="Book Antiqua"/>
          <w:i/>
          <w:iCs/>
        </w:rPr>
        <w:t>‘</w:t>
      </w:r>
      <w:r w:rsidR="002E6832">
        <w:rPr>
          <w:rFonts w:ascii="Book Antiqua" w:hAnsi="Book Antiqua"/>
          <w:i/>
          <w:iCs/>
        </w:rPr>
        <w:t xml:space="preserve">Sentencing Hearings’ </w:t>
      </w:r>
      <w:r w:rsidR="002E6832">
        <w:rPr>
          <w:rFonts w:ascii="Book Antiqua" w:hAnsi="Book Antiqua"/>
        </w:rPr>
        <w:t xml:space="preserve">for further guidance. </w:t>
      </w:r>
    </w:p>
    <w:p w14:paraId="0D0259BF" w14:textId="7E7C099D" w:rsidR="00AC1733" w:rsidRPr="000F49DE" w:rsidRDefault="003E3402" w:rsidP="007611E4">
      <w:pPr>
        <w:spacing w:before="120" w:after="120"/>
        <w:ind w:left="720" w:hanging="720"/>
        <w:jc w:val="both"/>
        <w:rPr>
          <w:rFonts w:ascii="Book Antiqua" w:hAnsi="Book Antiqua"/>
        </w:rPr>
      </w:pPr>
      <w:r>
        <w:rPr>
          <w:rFonts w:ascii="Book Antiqua" w:hAnsi="Book Antiqua"/>
        </w:rPr>
        <w:t>6</w:t>
      </w:r>
      <w:r w:rsidR="007F7A44">
        <w:rPr>
          <w:rFonts w:ascii="Book Antiqua" w:hAnsi="Book Antiqua"/>
        </w:rPr>
        <w:t>.2</w:t>
      </w:r>
      <w:r w:rsidR="007F7A44">
        <w:rPr>
          <w:rFonts w:ascii="Book Antiqua" w:hAnsi="Book Antiqua"/>
        </w:rPr>
        <w:tab/>
      </w:r>
      <w:r w:rsidR="00520F1D">
        <w:rPr>
          <w:rFonts w:ascii="Book Antiqua" w:hAnsi="Book Antiqua"/>
        </w:rPr>
        <w:t>If th</w:t>
      </w:r>
      <w:r w:rsidR="007611E4">
        <w:rPr>
          <w:rFonts w:ascii="Book Antiqua" w:hAnsi="Book Antiqua"/>
        </w:rPr>
        <w:t xml:space="preserve">e </w:t>
      </w:r>
      <w:r w:rsidR="00520F1D">
        <w:rPr>
          <w:rFonts w:ascii="Book Antiqua" w:hAnsi="Book Antiqua"/>
        </w:rPr>
        <w:t xml:space="preserve">accused </w:t>
      </w:r>
      <w:r w:rsidR="00023DF1">
        <w:rPr>
          <w:rFonts w:ascii="Book Antiqua" w:hAnsi="Book Antiqua"/>
        </w:rPr>
        <w:t>does not intend to plead guilty t</w:t>
      </w:r>
      <w:r w:rsidR="00AC1733" w:rsidRPr="00AC1733">
        <w:rPr>
          <w:rFonts w:ascii="Book Antiqua" w:hAnsi="Book Antiqua"/>
        </w:rPr>
        <w:t xml:space="preserve">he Court will list </w:t>
      </w:r>
      <w:r w:rsidR="007611E4">
        <w:rPr>
          <w:rFonts w:ascii="Book Antiqua" w:hAnsi="Book Antiqua"/>
        </w:rPr>
        <w:t>the matter for trial</w:t>
      </w:r>
      <w:r w:rsidR="00AC1733" w:rsidRPr="000F49DE">
        <w:rPr>
          <w:rFonts w:ascii="Book Antiqua" w:hAnsi="Book Antiqua"/>
        </w:rPr>
        <w:t>.</w:t>
      </w:r>
      <w:r w:rsidR="007A31BA">
        <w:rPr>
          <w:rFonts w:ascii="Book Antiqua" w:hAnsi="Book Antiqua"/>
        </w:rPr>
        <w:t xml:space="preserve"> This may occur at an early stage </w:t>
      </w:r>
      <w:r w:rsidR="00946723">
        <w:rPr>
          <w:rFonts w:ascii="Book Antiqua" w:hAnsi="Book Antiqua"/>
        </w:rPr>
        <w:t xml:space="preserve">or following pre-trial </w:t>
      </w:r>
      <w:r w:rsidR="007A367B">
        <w:rPr>
          <w:rFonts w:ascii="Book Antiqua" w:hAnsi="Book Antiqua"/>
        </w:rPr>
        <w:t>hearings upon</w:t>
      </w:r>
      <w:r w:rsidR="003204FE">
        <w:rPr>
          <w:rFonts w:ascii="Book Antiqua" w:hAnsi="Book Antiqua"/>
        </w:rPr>
        <w:t xml:space="preserve"> </w:t>
      </w:r>
      <w:r w:rsidR="00437926">
        <w:rPr>
          <w:rFonts w:ascii="Book Antiqua" w:hAnsi="Book Antiqua"/>
        </w:rPr>
        <w:t>consul</w:t>
      </w:r>
      <w:r w:rsidR="003204FE">
        <w:rPr>
          <w:rFonts w:ascii="Book Antiqua" w:hAnsi="Book Antiqua"/>
        </w:rPr>
        <w:t xml:space="preserve">tation with the parties. </w:t>
      </w:r>
    </w:p>
    <w:p w14:paraId="0A04ED19" w14:textId="28545F43" w:rsidR="00AC1733" w:rsidRPr="00AC1733" w:rsidRDefault="003E3402" w:rsidP="000F49DE">
      <w:pPr>
        <w:spacing w:before="120" w:after="120"/>
        <w:ind w:left="720" w:hanging="720"/>
        <w:jc w:val="both"/>
        <w:rPr>
          <w:rFonts w:ascii="Book Antiqua" w:hAnsi="Book Antiqua"/>
        </w:rPr>
      </w:pPr>
      <w:r>
        <w:rPr>
          <w:rFonts w:ascii="Book Antiqua" w:hAnsi="Book Antiqua"/>
        </w:rPr>
        <w:t>6</w:t>
      </w:r>
      <w:r w:rsidR="000270A0">
        <w:rPr>
          <w:rFonts w:ascii="Book Antiqua" w:hAnsi="Book Antiqua"/>
        </w:rPr>
        <w:t>.</w:t>
      </w:r>
      <w:r>
        <w:rPr>
          <w:rFonts w:ascii="Book Antiqua" w:hAnsi="Book Antiqua"/>
        </w:rPr>
        <w:t>3</w:t>
      </w:r>
      <w:r w:rsidR="000270A0">
        <w:rPr>
          <w:rFonts w:ascii="Book Antiqua" w:hAnsi="Book Antiqua"/>
        </w:rPr>
        <w:tab/>
      </w:r>
      <w:r w:rsidR="00AC1733" w:rsidRPr="00AC1733">
        <w:rPr>
          <w:rFonts w:ascii="Book Antiqua" w:hAnsi="Book Antiqua"/>
        </w:rPr>
        <w:t>Trial dates for trials at regional locations of the Court are likely to be fixed at an early stage of the proceeding</w:t>
      </w:r>
      <w:r w:rsidR="003204FE">
        <w:rPr>
          <w:rFonts w:ascii="Book Antiqua" w:hAnsi="Book Antiqua"/>
        </w:rPr>
        <w:t>s</w:t>
      </w:r>
      <w:r w:rsidR="00AC1733" w:rsidRPr="00AC1733">
        <w:rPr>
          <w:rFonts w:ascii="Book Antiqua" w:hAnsi="Book Antiqua"/>
        </w:rPr>
        <w:t xml:space="preserve"> in order to secure the necessary sitting time at the regional </w:t>
      </w:r>
      <w:r w:rsidR="005A7426">
        <w:rPr>
          <w:rFonts w:ascii="Book Antiqua" w:hAnsi="Book Antiqua"/>
        </w:rPr>
        <w:t xml:space="preserve">court </w:t>
      </w:r>
      <w:r w:rsidR="00AC1733" w:rsidRPr="00AC1733">
        <w:rPr>
          <w:rFonts w:ascii="Book Antiqua" w:hAnsi="Book Antiqua"/>
        </w:rPr>
        <w:t xml:space="preserve">location.  </w:t>
      </w:r>
    </w:p>
    <w:p w14:paraId="55603504" w14:textId="058F0DAF" w:rsidR="003E3402" w:rsidRPr="00AC1733" w:rsidRDefault="003E3402" w:rsidP="003E3402">
      <w:pPr>
        <w:spacing w:before="120" w:after="120"/>
        <w:ind w:left="720" w:hanging="720"/>
        <w:jc w:val="both"/>
        <w:rPr>
          <w:rFonts w:ascii="Book Antiqua" w:hAnsi="Book Antiqua"/>
        </w:rPr>
      </w:pPr>
      <w:r w:rsidRPr="57220559">
        <w:rPr>
          <w:rFonts w:ascii="Book Antiqua" w:hAnsi="Book Antiqua"/>
        </w:rPr>
        <w:lastRenderedPageBreak/>
        <w:t>6.4</w:t>
      </w:r>
      <w:r>
        <w:tab/>
      </w:r>
      <w:r w:rsidRPr="57220559">
        <w:rPr>
          <w:rFonts w:ascii="Book Antiqua" w:hAnsi="Book Antiqua"/>
        </w:rPr>
        <w:t xml:space="preserve">Whilst the Court will consider the availability of counsel for the purpose of listings, the convenience of counsel is not an overriding </w:t>
      </w:r>
      <w:r w:rsidR="7C9522A0" w:rsidRPr="57220559">
        <w:rPr>
          <w:rFonts w:ascii="Book Antiqua" w:hAnsi="Book Antiqua"/>
        </w:rPr>
        <w:t>consideration,</w:t>
      </w:r>
      <w:r w:rsidRPr="57220559">
        <w:rPr>
          <w:rFonts w:ascii="Book Antiqua" w:hAnsi="Book Antiqua"/>
        </w:rPr>
        <w:t xml:space="preserve"> and it may not always be possible for the Court to accommodate counsel</w:t>
      </w:r>
      <w:r w:rsidR="005A7426" w:rsidRPr="57220559">
        <w:rPr>
          <w:rFonts w:ascii="Book Antiqua" w:hAnsi="Book Antiqua"/>
        </w:rPr>
        <w:t xml:space="preserve"> when listing trials and other preliminary hearings.</w:t>
      </w:r>
    </w:p>
    <w:p w14:paraId="47C336CA" w14:textId="77777777" w:rsidR="00711675" w:rsidRDefault="00711675" w:rsidP="0042112B">
      <w:pPr>
        <w:spacing w:before="120" w:after="120"/>
        <w:ind w:left="720" w:hanging="720"/>
        <w:jc w:val="both"/>
        <w:rPr>
          <w:rFonts w:ascii="Book Antiqua" w:hAnsi="Book Antiqua"/>
        </w:rPr>
      </w:pPr>
    </w:p>
    <w:p w14:paraId="042E938B" w14:textId="5F61FA09" w:rsidR="00711675" w:rsidRPr="00F6042F" w:rsidRDefault="00715193" w:rsidP="00F6042F">
      <w:pPr>
        <w:pStyle w:val="Heading1"/>
        <w:numPr>
          <w:ilvl w:val="0"/>
          <w:numId w:val="0"/>
        </w:numPr>
      </w:pPr>
      <w:r>
        <w:t>7</w:t>
      </w:r>
      <w:r w:rsidR="00F6042F">
        <w:t>.</w:t>
      </w:r>
      <w:r w:rsidR="00F6042F">
        <w:tab/>
      </w:r>
      <w:r w:rsidR="00711675" w:rsidRPr="00F6042F">
        <w:t xml:space="preserve">Pre-trial </w:t>
      </w:r>
      <w:r>
        <w:t>CROSS-</w:t>
      </w:r>
      <w:r w:rsidR="00711675" w:rsidRPr="00F6042F">
        <w:t>examination</w:t>
      </w:r>
    </w:p>
    <w:p w14:paraId="2AAF0B90" w14:textId="7CC90DC4" w:rsidR="00E1067E" w:rsidRPr="00E1067E" w:rsidRDefault="00715193" w:rsidP="00F6042F">
      <w:pPr>
        <w:spacing w:before="120" w:after="120"/>
        <w:ind w:left="720" w:hanging="720"/>
        <w:jc w:val="both"/>
        <w:rPr>
          <w:rFonts w:ascii="Book Antiqua" w:hAnsi="Book Antiqua"/>
        </w:rPr>
      </w:pPr>
      <w:r>
        <w:rPr>
          <w:rFonts w:ascii="Book Antiqua" w:hAnsi="Book Antiqua"/>
        </w:rPr>
        <w:t>7</w:t>
      </w:r>
      <w:r w:rsidR="00F6042F">
        <w:rPr>
          <w:rFonts w:ascii="Book Antiqua" w:hAnsi="Book Antiqua"/>
        </w:rPr>
        <w:t>.1</w:t>
      </w:r>
      <w:r w:rsidR="00F6042F">
        <w:rPr>
          <w:rFonts w:ascii="Book Antiqua" w:hAnsi="Book Antiqua"/>
        </w:rPr>
        <w:tab/>
      </w:r>
      <w:r w:rsidR="00F269C1">
        <w:rPr>
          <w:rFonts w:ascii="Book Antiqua" w:hAnsi="Book Antiqua"/>
        </w:rPr>
        <w:t>Where an application is grant</w:t>
      </w:r>
      <w:r w:rsidR="0078549E">
        <w:rPr>
          <w:rFonts w:ascii="Book Antiqua" w:hAnsi="Book Antiqua"/>
        </w:rPr>
        <w:t xml:space="preserve">ed for </w:t>
      </w:r>
      <w:r w:rsidR="00F269C1">
        <w:rPr>
          <w:rFonts w:ascii="Book Antiqua" w:hAnsi="Book Antiqua"/>
        </w:rPr>
        <w:t>p</w:t>
      </w:r>
      <w:r w:rsidR="00F6042F">
        <w:rPr>
          <w:rFonts w:ascii="Book Antiqua" w:hAnsi="Book Antiqua"/>
        </w:rPr>
        <w:t xml:space="preserve">re-trial </w:t>
      </w:r>
      <w:r>
        <w:rPr>
          <w:rFonts w:ascii="Book Antiqua" w:hAnsi="Book Antiqua"/>
        </w:rPr>
        <w:t>cross-</w:t>
      </w:r>
      <w:r w:rsidR="00E1067E" w:rsidRPr="00E1067E">
        <w:rPr>
          <w:rFonts w:ascii="Book Antiqua" w:hAnsi="Book Antiqua"/>
        </w:rPr>
        <w:t xml:space="preserve">examination of witnesses </w:t>
      </w:r>
      <w:r w:rsidR="00250A2D">
        <w:rPr>
          <w:rFonts w:ascii="Book Antiqua" w:hAnsi="Book Antiqua"/>
        </w:rPr>
        <w:t xml:space="preserve">this </w:t>
      </w:r>
      <w:r w:rsidR="00E1067E" w:rsidRPr="00E1067E">
        <w:rPr>
          <w:rFonts w:ascii="Book Antiqua" w:hAnsi="Book Antiqua"/>
        </w:rPr>
        <w:t>will generally proceed before a Judicial Registrar</w:t>
      </w:r>
      <w:r w:rsidR="0007743C">
        <w:rPr>
          <w:rFonts w:ascii="Book Antiqua" w:hAnsi="Book Antiqua"/>
        </w:rPr>
        <w:t xml:space="preserve"> within </w:t>
      </w:r>
      <w:r w:rsidR="00D23AC4">
        <w:rPr>
          <w:rFonts w:ascii="Book Antiqua" w:hAnsi="Book Antiqua"/>
        </w:rPr>
        <w:t>12 weeks of the PCDH</w:t>
      </w:r>
      <w:r w:rsidR="00E1067E" w:rsidRPr="00E1067E">
        <w:rPr>
          <w:rFonts w:ascii="Book Antiqua" w:hAnsi="Book Antiqua"/>
        </w:rPr>
        <w:t xml:space="preserve">. </w:t>
      </w:r>
    </w:p>
    <w:p w14:paraId="02699188" w14:textId="48220E37" w:rsidR="00E1067E" w:rsidRPr="00E1067E" w:rsidRDefault="00F269C1" w:rsidP="002F19FA">
      <w:pPr>
        <w:spacing w:before="120" w:after="120"/>
        <w:ind w:left="720" w:hanging="720"/>
        <w:jc w:val="both"/>
        <w:rPr>
          <w:rFonts w:ascii="Book Antiqua" w:hAnsi="Book Antiqua"/>
        </w:rPr>
      </w:pPr>
      <w:r>
        <w:rPr>
          <w:rFonts w:ascii="Book Antiqua" w:hAnsi="Book Antiqua"/>
        </w:rPr>
        <w:t>7</w:t>
      </w:r>
      <w:r w:rsidR="00F6042F">
        <w:rPr>
          <w:rFonts w:ascii="Book Antiqua" w:hAnsi="Book Antiqua"/>
        </w:rPr>
        <w:t>.2</w:t>
      </w:r>
      <w:r w:rsidR="00F6042F">
        <w:rPr>
          <w:rFonts w:ascii="Book Antiqua" w:hAnsi="Book Antiqua"/>
        </w:rPr>
        <w:tab/>
      </w:r>
      <w:r w:rsidR="00E1067E" w:rsidRPr="00E1067E">
        <w:rPr>
          <w:rFonts w:ascii="Book Antiqua" w:hAnsi="Book Antiqua"/>
        </w:rPr>
        <w:t>The hearing</w:t>
      </w:r>
      <w:r w:rsidR="00F6042F">
        <w:rPr>
          <w:rFonts w:ascii="Book Antiqua" w:hAnsi="Book Antiqua"/>
        </w:rPr>
        <w:t>s</w:t>
      </w:r>
      <w:r w:rsidR="00E1067E" w:rsidRPr="00E1067E">
        <w:rPr>
          <w:rFonts w:ascii="Book Antiqua" w:hAnsi="Book Antiqua"/>
        </w:rPr>
        <w:t xml:space="preserve"> will generally be listed in Melbourne, even where the proper place of the trial may be a regional </w:t>
      </w:r>
      <w:r w:rsidR="00FE2696">
        <w:rPr>
          <w:rFonts w:ascii="Book Antiqua" w:hAnsi="Book Antiqua"/>
        </w:rPr>
        <w:t xml:space="preserve">court </w:t>
      </w:r>
      <w:r w:rsidR="00E1067E" w:rsidRPr="00E1067E">
        <w:rPr>
          <w:rFonts w:ascii="Book Antiqua" w:hAnsi="Book Antiqua"/>
        </w:rPr>
        <w:t xml:space="preserve">venue, and directions will be given for the fair and efficient conduct of those hearings in accordance with s 181 of the CPA. </w:t>
      </w:r>
    </w:p>
    <w:p w14:paraId="61C4BC2A" w14:textId="7E2B447B" w:rsidR="00E1067E" w:rsidRPr="00E1067E" w:rsidRDefault="00F269C1" w:rsidP="002F19FA">
      <w:pPr>
        <w:spacing w:before="120" w:after="120"/>
        <w:ind w:left="720" w:hanging="720"/>
        <w:jc w:val="both"/>
        <w:rPr>
          <w:rFonts w:ascii="Book Antiqua" w:hAnsi="Book Antiqua"/>
        </w:rPr>
      </w:pPr>
      <w:r>
        <w:rPr>
          <w:rFonts w:ascii="Book Antiqua" w:hAnsi="Book Antiqua"/>
        </w:rPr>
        <w:t>7</w:t>
      </w:r>
      <w:r w:rsidR="002F19FA">
        <w:rPr>
          <w:rFonts w:ascii="Book Antiqua" w:hAnsi="Book Antiqua"/>
        </w:rPr>
        <w:t>.3</w:t>
      </w:r>
      <w:r w:rsidR="002F19FA">
        <w:rPr>
          <w:rFonts w:ascii="Book Antiqua" w:hAnsi="Book Antiqua"/>
        </w:rPr>
        <w:tab/>
      </w:r>
      <w:r w:rsidR="00E1067E" w:rsidRPr="00E1067E">
        <w:rPr>
          <w:rFonts w:ascii="Book Antiqua" w:hAnsi="Book Antiqua"/>
        </w:rPr>
        <w:t xml:space="preserve">Section 42E of the </w:t>
      </w:r>
      <w:r w:rsidR="00E1067E" w:rsidRPr="00E1067E">
        <w:rPr>
          <w:rFonts w:ascii="Book Antiqua" w:hAnsi="Book Antiqua"/>
          <w:i/>
          <w:iCs/>
        </w:rPr>
        <w:t>Evidence (Miscellaneous Provisions) Act 1958</w:t>
      </w:r>
      <w:r w:rsidR="00E1067E" w:rsidRPr="00E1067E">
        <w:rPr>
          <w:rFonts w:ascii="Book Antiqua" w:hAnsi="Book Antiqua"/>
        </w:rPr>
        <w:t xml:space="preserve"> provides for the Court to direct the giving of evidence or appearance of persons by </w:t>
      </w:r>
      <w:r w:rsidR="006004DA">
        <w:rPr>
          <w:rFonts w:ascii="Book Antiqua" w:hAnsi="Book Antiqua"/>
        </w:rPr>
        <w:t>AVL</w:t>
      </w:r>
      <w:r w:rsidR="00E1067E" w:rsidRPr="00E1067E">
        <w:rPr>
          <w:rFonts w:ascii="Book Antiqua" w:hAnsi="Book Antiqua"/>
        </w:rPr>
        <w:t>. The following is a practice direction for the purpose of s 42UA of that Act</w:t>
      </w:r>
      <w:r w:rsidR="008A5910">
        <w:rPr>
          <w:rFonts w:ascii="Book Antiqua" w:hAnsi="Book Antiqua"/>
        </w:rPr>
        <w:t>:</w:t>
      </w:r>
      <w:r w:rsidR="00E1067E" w:rsidRPr="00E1067E">
        <w:rPr>
          <w:rFonts w:ascii="Book Antiqua" w:hAnsi="Book Antiqua"/>
        </w:rPr>
        <w:t xml:space="preserve"> </w:t>
      </w:r>
    </w:p>
    <w:p w14:paraId="10E8C52F" w14:textId="5AF93C10" w:rsidR="00E1067E" w:rsidRPr="00E1067E" w:rsidRDefault="00F269C1" w:rsidP="002F19FA">
      <w:pPr>
        <w:spacing w:before="120" w:after="120"/>
        <w:ind w:left="720" w:hanging="720"/>
        <w:jc w:val="both"/>
        <w:rPr>
          <w:rFonts w:ascii="Book Antiqua" w:hAnsi="Book Antiqua"/>
        </w:rPr>
      </w:pPr>
      <w:r>
        <w:rPr>
          <w:rFonts w:ascii="Book Antiqua" w:hAnsi="Book Antiqua"/>
        </w:rPr>
        <w:t>7</w:t>
      </w:r>
      <w:r w:rsidR="002F19FA">
        <w:rPr>
          <w:rFonts w:ascii="Book Antiqua" w:hAnsi="Book Antiqua"/>
        </w:rPr>
        <w:t>.4</w:t>
      </w:r>
      <w:r w:rsidR="002F19FA">
        <w:rPr>
          <w:rFonts w:ascii="Book Antiqua" w:hAnsi="Book Antiqua"/>
        </w:rPr>
        <w:tab/>
      </w:r>
      <w:r w:rsidR="00E1067E" w:rsidRPr="00E1067E">
        <w:rPr>
          <w:rFonts w:ascii="Book Antiqua" w:hAnsi="Book Antiqua"/>
        </w:rPr>
        <w:t xml:space="preserve">In exercising the discretion under s 42E in relation to a </w:t>
      </w:r>
      <w:r w:rsidR="004B31DC">
        <w:rPr>
          <w:rFonts w:ascii="Book Antiqua" w:hAnsi="Book Antiqua"/>
        </w:rPr>
        <w:t xml:space="preserve">pre-trial </w:t>
      </w:r>
      <w:r w:rsidR="00E1067E" w:rsidRPr="00E1067E">
        <w:rPr>
          <w:rFonts w:ascii="Book Antiqua" w:hAnsi="Book Antiqua"/>
        </w:rPr>
        <w:t>hearing, the Court may have regard to:</w:t>
      </w:r>
    </w:p>
    <w:p w14:paraId="4CE165BA" w14:textId="2ED23A79" w:rsidR="00E1067E" w:rsidRPr="00E1067E" w:rsidRDefault="00E1067E" w:rsidP="00E1067E">
      <w:pPr>
        <w:numPr>
          <w:ilvl w:val="0"/>
          <w:numId w:val="9"/>
        </w:numPr>
        <w:spacing w:before="120" w:after="120"/>
        <w:jc w:val="both"/>
        <w:rPr>
          <w:rFonts w:ascii="Book Antiqua" w:hAnsi="Book Antiqua"/>
        </w:rPr>
      </w:pPr>
      <w:r w:rsidRPr="00E1067E">
        <w:rPr>
          <w:rFonts w:ascii="Book Antiqua" w:hAnsi="Book Antiqua"/>
        </w:rPr>
        <w:t xml:space="preserve">The nature and purpose of </w:t>
      </w:r>
      <w:r w:rsidR="004B31DC">
        <w:rPr>
          <w:rFonts w:ascii="Book Antiqua" w:hAnsi="Book Antiqua"/>
        </w:rPr>
        <w:t xml:space="preserve">the </w:t>
      </w:r>
      <w:r w:rsidRPr="00E1067E">
        <w:rPr>
          <w:rFonts w:ascii="Book Antiqua" w:hAnsi="Book Antiqua"/>
        </w:rPr>
        <w:t xml:space="preserve">hearing; </w:t>
      </w:r>
    </w:p>
    <w:p w14:paraId="7E087F9C" w14:textId="77777777" w:rsidR="00E1067E" w:rsidRPr="00E1067E" w:rsidRDefault="00E1067E" w:rsidP="00E1067E">
      <w:pPr>
        <w:numPr>
          <w:ilvl w:val="0"/>
          <w:numId w:val="9"/>
        </w:numPr>
        <w:spacing w:before="120" w:after="120"/>
        <w:jc w:val="both"/>
        <w:rPr>
          <w:rFonts w:ascii="Book Antiqua" w:hAnsi="Book Antiqua"/>
        </w:rPr>
      </w:pPr>
      <w:r w:rsidRPr="00E1067E">
        <w:rPr>
          <w:rFonts w:ascii="Book Antiqua" w:hAnsi="Book Antiqua"/>
        </w:rPr>
        <w:t>The efficient conduct of the proceeding;</w:t>
      </w:r>
    </w:p>
    <w:p w14:paraId="27148B38" w14:textId="77777777" w:rsidR="00E1067E" w:rsidRPr="00E1067E" w:rsidRDefault="00E1067E" w:rsidP="00E1067E">
      <w:pPr>
        <w:numPr>
          <w:ilvl w:val="0"/>
          <w:numId w:val="9"/>
        </w:numPr>
        <w:spacing w:before="120" w:after="120"/>
        <w:jc w:val="both"/>
        <w:rPr>
          <w:rFonts w:ascii="Book Antiqua" w:hAnsi="Book Antiqua"/>
        </w:rPr>
      </w:pPr>
      <w:r w:rsidRPr="00E1067E">
        <w:rPr>
          <w:rFonts w:ascii="Book Antiqua" w:hAnsi="Book Antiqua"/>
        </w:rPr>
        <w:t>The cost and inconvenience to witnesses if they are required to attend and give evidence in-person at the Court;</w:t>
      </w:r>
    </w:p>
    <w:p w14:paraId="5A2DAD72" w14:textId="4C480375" w:rsidR="00E1067E" w:rsidRPr="00E1067E" w:rsidRDefault="00E1067E" w:rsidP="00E1067E">
      <w:pPr>
        <w:numPr>
          <w:ilvl w:val="0"/>
          <w:numId w:val="9"/>
        </w:numPr>
        <w:spacing w:before="120" w:after="120"/>
        <w:jc w:val="both"/>
        <w:rPr>
          <w:rFonts w:ascii="Book Antiqua" w:hAnsi="Book Antiqua"/>
        </w:rPr>
      </w:pPr>
      <w:r w:rsidRPr="00E1067E">
        <w:rPr>
          <w:rFonts w:ascii="Book Antiqua" w:hAnsi="Book Antiqua"/>
        </w:rPr>
        <w:t xml:space="preserve">Any prejudice to a party if a witness gives evidence via </w:t>
      </w:r>
      <w:r w:rsidR="000D766A">
        <w:rPr>
          <w:rFonts w:ascii="Book Antiqua" w:hAnsi="Book Antiqua"/>
        </w:rPr>
        <w:t>AVL</w:t>
      </w:r>
      <w:r w:rsidRPr="00E1067E">
        <w:rPr>
          <w:rFonts w:ascii="Book Antiqua" w:hAnsi="Book Antiqua"/>
        </w:rPr>
        <w:t>; and</w:t>
      </w:r>
    </w:p>
    <w:p w14:paraId="2563E0E8" w14:textId="77777777" w:rsidR="00E1067E" w:rsidRPr="00E1067E" w:rsidRDefault="00E1067E" w:rsidP="00E1067E">
      <w:pPr>
        <w:numPr>
          <w:ilvl w:val="0"/>
          <w:numId w:val="9"/>
        </w:numPr>
        <w:spacing w:before="120" w:after="120"/>
        <w:jc w:val="both"/>
        <w:rPr>
          <w:rFonts w:ascii="Book Antiqua" w:hAnsi="Book Antiqua"/>
        </w:rPr>
      </w:pPr>
      <w:r w:rsidRPr="00E1067E">
        <w:rPr>
          <w:rFonts w:ascii="Book Antiqua" w:hAnsi="Book Antiqua"/>
        </w:rPr>
        <w:t>Any other matters relevant to the circumstance of the case.</w:t>
      </w:r>
    </w:p>
    <w:p w14:paraId="0D9919E3" w14:textId="77777777" w:rsidR="00711675" w:rsidRDefault="00711675" w:rsidP="0042112B">
      <w:pPr>
        <w:spacing w:before="120" w:after="120"/>
        <w:ind w:left="720" w:hanging="720"/>
        <w:jc w:val="both"/>
        <w:rPr>
          <w:rFonts w:ascii="Book Antiqua" w:hAnsi="Book Antiqua"/>
        </w:rPr>
      </w:pPr>
    </w:p>
    <w:p w14:paraId="11A88318" w14:textId="6E0BA541" w:rsidR="009B0F24" w:rsidRPr="009B0F24" w:rsidRDefault="00F269C1" w:rsidP="00F269C1">
      <w:pPr>
        <w:pStyle w:val="Heading1"/>
        <w:numPr>
          <w:ilvl w:val="0"/>
          <w:numId w:val="0"/>
        </w:numPr>
      </w:pPr>
      <w:r>
        <w:t>8.</w:t>
      </w:r>
      <w:r>
        <w:tab/>
      </w:r>
      <w:r w:rsidR="009B0F24" w:rsidRPr="009B0F24">
        <w:t>CASE CONFERENCES</w:t>
      </w:r>
      <w:r w:rsidR="0044347A">
        <w:t xml:space="preserve"> and SENTENCE INDICATIONS</w:t>
      </w:r>
    </w:p>
    <w:p w14:paraId="02D8B2C7" w14:textId="4D238156" w:rsidR="005A24E1" w:rsidRDefault="00F269C1" w:rsidP="005A24E1">
      <w:pPr>
        <w:spacing w:before="120" w:after="120"/>
        <w:ind w:left="720" w:hanging="720"/>
        <w:jc w:val="both"/>
        <w:rPr>
          <w:rFonts w:ascii="Book Antiqua" w:hAnsi="Book Antiqua"/>
        </w:rPr>
      </w:pPr>
      <w:r>
        <w:rPr>
          <w:rFonts w:ascii="Book Antiqua" w:hAnsi="Book Antiqua"/>
        </w:rPr>
        <w:t>8</w:t>
      </w:r>
      <w:r w:rsidR="005A24E1" w:rsidRPr="005A24E1">
        <w:rPr>
          <w:rFonts w:ascii="Book Antiqua" w:hAnsi="Book Antiqua"/>
        </w:rPr>
        <w:t xml:space="preserve">.1 </w:t>
      </w:r>
      <w:r w:rsidR="005A24E1">
        <w:rPr>
          <w:rFonts w:ascii="Book Antiqua" w:hAnsi="Book Antiqua"/>
        </w:rPr>
        <w:tab/>
      </w:r>
      <w:r w:rsidR="009B0F24" w:rsidRPr="005A24E1">
        <w:rPr>
          <w:rFonts w:ascii="Book Antiqua" w:hAnsi="Book Antiqua"/>
        </w:rPr>
        <w:t>Parties may be offered the opportunity to participate in a confidential case conference with the aim of resol</w:t>
      </w:r>
      <w:r w:rsidR="00583294">
        <w:rPr>
          <w:rFonts w:ascii="Book Antiqua" w:hAnsi="Book Antiqua"/>
        </w:rPr>
        <w:t xml:space="preserve">ution of </w:t>
      </w:r>
      <w:r w:rsidR="00174FA6">
        <w:rPr>
          <w:rFonts w:ascii="Book Antiqua" w:hAnsi="Book Antiqua"/>
        </w:rPr>
        <w:t xml:space="preserve">the </w:t>
      </w:r>
      <w:r w:rsidR="00583294">
        <w:rPr>
          <w:rFonts w:ascii="Book Antiqua" w:hAnsi="Book Antiqua"/>
        </w:rPr>
        <w:t>charges</w:t>
      </w:r>
      <w:r w:rsidR="009B0F24" w:rsidRPr="005A24E1">
        <w:rPr>
          <w:rFonts w:ascii="Book Antiqua" w:hAnsi="Book Antiqua"/>
        </w:rPr>
        <w:t xml:space="preserve"> or </w:t>
      </w:r>
      <w:r w:rsidR="00174FA6">
        <w:rPr>
          <w:rFonts w:ascii="Book Antiqua" w:hAnsi="Book Antiqua"/>
        </w:rPr>
        <w:t xml:space="preserve">the </w:t>
      </w:r>
      <w:r w:rsidR="009B0F24" w:rsidRPr="005A24E1">
        <w:rPr>
          <w:rFonts w:ascii="Book Antiqua" w:hAnsi="Book Antiqua"/>
        </w:rPr>
        <w:t xml:space="preserve">narrowing </w:t>
      </w:r>
      <w:r w:rsidR="00583294">
        <w:rPr>
          <w:rFonts w:ascii="Book Antiqua" w:hAnsi="Book Antiqua"/>
        </w:rPr>
        <w:t xml:space="preserve">of </w:t>
      </w:r>
      <w:r w:rsidR="009B0F24" w:rsidRPr="005A24E1">
        <w:rPr>
          <w:rFonts w:ascii="Book Antiqua" w:hAnsi="Book Antiqua"/>
        </w:rPr>
        <w:t>the issues in dispute.</w:t>
      </w:r>
    </w:p>
    <w:p w14:paraId="5FB236CC" w14:textId="4310CB6C" w:rsidR="009B0F24" w:rsidRDefault="00F269C1" w:rsidP="005A24E1">
      <w:pPr>
        <w:spacing w:before="120" w:after="120"/>
        <w:ind w:left="720" w:hanging="720"/>
        <w:jc w:val="both"/>
        <w:rPr>
          <w:rFonts w:ascii="Book Antiqua" w:hAnsi="Book Antiqua"/>
        </w:rPr>
      </w:pPr>
      <w:r w:rsidRPr="57220559">
        <w:rPr>
          <w:rFonts w:ascii="Book Antiqua" w:hAnsi="Book Antiqua"/>
        </w:rPr>
        <w:t>8</w:t>
      </w:r>
      <w:r w:rsidR="005A24E1" w:rsidRPr="57220559">
        <w:rPr>
          <w:rFonts w:ascii="Book Antiqua" w:hAnsi="Book Antiqua"/>
        </w:rPr>
        <w:t>.2</w:t>
      </w:r>
      <w:r>
        <w:tab/>
      </w:r>
      <w:r w:rsidR="009B0F24" w:rsidRPr="57220559">
        <w:rPr>
          <w:rFonts w:ascii="Book Antiqua" w:hAnsi="Book Antiqua"/>
        </w:rPr>
        <w:t xml:space="preserve">A case conference can be held at any time during the proceeding but </w:t>
      </w:r>
      <w:r w:rsidR="4C367696" w:rsidRPr="57220559">
        <w:rPr>
          <w:rFonts w:ascii="Book Antiqua" w:hAnsi="Book Antiqua"/>
        </w:rPr>
        <w:t xml:space="preserve">often </w:t>
      </w:r>
      <w:r w:rsidR="009B0F24" w:rsidRPr="57220559">
        <w:rPr>
          <w:rFonts w:ascii="Book Antiqua" w:hAnsi="Book Antiqua"/>
        </w:rPr>
        <w:t xml:space="preserve">will be offered at an appropriate point after the conclusion of </w:t>
      </w:r>
      <w:r w:rsidR="00174FA6" w:rsidRPr="57220559">
        <w:rPr>
          <w:rFonts w:ascii="Book Antiqua" w:hAnsi="Book Antiqua"/>
        </w:rPr>
        <w:t xml:space="preserve">any </w:t>
      </w:r>
      <w:r w:rsidR="005A24E1" w:rsidRPr="57220559">
        <w:rPr>
          <w:rFonts w:ascii="Book Antiqua" w:hAnsi="Book Antiqua"/>
        </w:rPr>
        <w:t xml:space="preserve">pre-trial </w:t>
      </w:r>
      <w:r w:rsidRPr="57220559">
        <w:rPr>
          <w:rFonts w:ascii="Book Antiqua" w:hAnsi="Book Antiqua"/>
        </w:rPr>
        <w:t>cross-</w:t>
      </w:r>
      <w:r w:rsidR="005A24E1" w:rsidRPr="57220559">
        <w:rPr>
          <w:rFonts w:ascii="Book Antiqua" w:hAnsi="Book Antiqua"/>
        </w:rPr>
        <w:t>examination</w:t>
      </w:r>
      <w:r w:rsidR="00174FA6" w:rsidRPr="57220559">
        <w:rPr>
          <w:rFonts w:ascii="Book Antiqua" w:hAnsi="Book Antiqua"/>
        </w:rPr>
        <w:t xml:space="preserve"> of witnesses</w:t>
      </w:r>
      <w:r w:rsidR="009B0F24" w:rsidRPr="57220559">
        <w:rPr>
          <w:rFonts w:ascii="Book Antiqua" w:hAnsi="Book Antiqua"/>
        </w:rPr>
        <w:t>.</w:t>
      </w:r>
    </w:p>
    <w:p w14:paraId="3579741F" w14:textId="3DD63961" w:rsidR="00101F04" w:rsidRPr="005A24E1" w:rsidRDefault="00101F04" w:rsidP="005A24E1">
      <w:pPr>
        <w:spacing w:before="120" w:after="120"/>
        <w:ind w:left="720" w:hanging="720"/>
        <w:jc w:val="both"/>
        <w:rPr>
          <w:rFonts w:ascii="Book Antiqua" w:hAnsi="Book Antiqua"/>
        </w:rPr>
      </w:pPr>
      <w:r>
        <w:rPr>
          <w:rFonts w:ascii="Book Antiqua" w:hAnsi="Book Antiqua"/>
        </w:rPr>
        <w:t>8.3</w:t>
      </w:r>
      <w:r>
        <w:rPr>
          <w:rFonts w:ascii="Book Antiqua" w:hAnsi="Book Antiqua"/>
        </w:rPr>
        <w:tab/>
        <w:t xml:space="preserve">Applications for a sentence indication </w:t>
      </w:r>
      <w:r w:rsidR="00174FA6">
        <w:rPr>
          <w:rFonts w:ascii="Book Antiqua" w:hAnsi="Book Antiqua"/>
        </w:rPr>
        <w:t xml:space="preserve">should </w:t>
      </w:r>
      <w:r>
        <w:rPr>
          <w:rFonts w:ascii="Book Antiqua" w:hAnsi="Book Antiqua"/>
        </w:rPr>
        <w:t xml:space="preserve">be made in accordance with </w:t>
      </w:r>
      <w:r w:rsidRPr="0098144B">
        <w:rPr>
          <w:rFonts w:ascii="Book Antiqua" w:hAnsi="Book Antiqua"/>
          <w:b/>
          <w:bCs/>
        </w:rPr>
        <w:t>Practice Note S</w:t>
      </w:r>
      <w:r w:rsidR="0098144B" w:rsidRPr="0098144B">
        <w:rPr>
          <w:rFonts w:ascii="Book Antiqua" w:hAnsi="Book Antiqua"/>
          <w:b/>
          <w:bCs/>
        </w:rPr>
        <w:t>C</w:t>
      </w:r>
      <w:r w:rsidRPr="0098144B">
        <w:rPr>
          <w:rFonts w:ascii="Book Antiqua" w:hAnsi="Book Antiqua"/>
          <w:b/>
          <w:bCs/>
        </w:rPr>
        <w:t xml:space="preserve"> CR </w:t>
      </w:r>
      <w:r w:rsidR="0098144B" w:rsidRPr="0098144B">
        <w:rPr>
          <w:rFonts w:ascii="Book Antiqua" w:hAnsi="Book Antiqua"/>
          <w:b/>
          <w:bCs/>
        </w:rPr>
        <w:t>11</w:t>
      </w:r>
      <w:r w:rsidR="000E0374">
        <w:rPr>
          <w:rFonts w:ascii="Book Antiqua" w:hAnsi="Book Antiqua"/>
        </w:rPr>
        <w:t xml:space="preserve"> ‘</w:t>
      </w:r>
      <w:r w:rsidR="000E0374">
        <w:rPr>
          <w:rFonts w:ascii="Book Antiqua" w:hAnsi="Book Antiqua"/>
          <w:i/>
          <w:iCs/>
        </w:rPr>
        <w:t>Applications for sentence ind</w:t>
      </w:r>
      <w:r w:rsidR="000E0374" w:rsidRPr="00D018FF">
        <w:rPr>
          <w:rFonts w:ascii="Book Antiqua" w:hAnsi="Book Antiqua"/>
          <w:i/>
          <w:iCs/>
        </w:rPr>
        <w:t>ications</w:t>
      </w:r>
      <w:r w:rsidR="000E0374">
        <w:rPr>
          <w:rFonts w:ascii="Book Antiqua" w:hAnsi="Book Antiqua"/>
        </w:rPr>
        <w:t>’</w:t>
      </w:r>
    </w:p>
    <w:p w14:paraId="2A474D57" w14:textId="77777777" w:rsidR="009B0F24" w:rsidRDefault="009B0F24" w:rsidP="005A24E1">
      <w:pPr>
        <w:pStyle w:val="Heading1"/>
        <w:numPr>
          <w:ilvl w:val="0"/>
          <w:numId w:val="0"/>
        </w:numPr>
      </w:pPr>
    </w:p>
    <w:p w14:paraId="6499B0AD" w14:textId="3FE30178" w:rsidR="00BE1C8D" w:rsidRDefault="00761288" w:rsidP="005A24E1">
      <w:pPr>
        <w:pStyle w:val="Heading1"/>
        <w:numPr>
          <w:ilvl w:val="0"/>
          <w:numId w:val="0"/>
        </w:numPr>
      </w:pPr>
      <w:r>
        <w:t>9</w:t>
      </w:r>
      <w:r w:rsidR="005A24E1">
        <w:t>.</w:t>
      </w:r>
      <w:r w:rsidR="005A24E1">
        <w:tab/>
      </w:r>
      <w:r w:rsidR="00872C74">
        <w:t>FURTHER</w:t>
      </w:r>
      <w:r w:rsidR="00C02D02">
        <w:t xml:space="preserve"> directions </w:t>
      </w:r>
      <w:r w:rsidR="00A20779">
        <w:t xml:space="preserve">and </w:t>
      </w:r>
      <w:r w:rsidR="00872C74">
        <w:t xml:space="preserve">PRE-TRIAL </w:t>
      </w:r>
      <w:r w:rsidR="00A20779">
        <w:t>issues</w:t>
      </w:r>
    </w:p>
    <w:p w14:paraId="0C40F02C" w14:textId="4288DC1B" w:rsidR="0042112B" w:rsidRPr="001F3184" w:rsidRDefault="00761288" w:rsidP="00D018FF">
      <w:pPr>
        <w:ind w:left="720" w:hanging="720"/>
        <w:jc w:val="both"/>
        <w:rPr>
          <w:rFonts w:ascii="Book Antiqua" w:hAnsi="Book Antiqua"/>
        </w:rPr>
      </w:pPr>
      <w:r w:rsidRPr="57220559">
        <w:rPr>
          <w:rFonts w:ascii="Book Antiqua" w:hAnsi="Book Antiqua"/>
        </w:rPr>
        <w:t>9</w:t>
      </w:r>
      <w:r w:rsidR="005A24E1" w:rsidRPr="57220559">
        <w:rPr>
          <w:rFonts w:ascii="Book Antiqua" w:hAnsi="Book Antiqua"/>
        </w:rPr>
        <w:t>.1</w:t>
      </w:r>
      <w:r>
        <w:tab/>
      </w:r>
      <w:r w:rsidR="00F269C1" w:rsidRPr="57220559">
        <w:rPr>
          <w:rFonts w:ascii="Book Antiqua" w:hAnsi="Book Antiqua"/>
        </w:rPr>
        <w:t>Following the PCDH</w:t>
      </w:r>
      <w:r w:rsidR="00D64F07" w:rsidRPr="57220559">
        <w:rPr>
          <w:rFonts w:ascii="Book Antiqua" w:hAnsi="Book Antiqua"/>
        </w:rPr>
        <w:t>,</w:t>
      </w:r>
      <w:r w:rsidR="00F269C1" w:rsidRPr="57220559">
        <w:rPr>
          <w:rFonts w:ascii="Book Antiqua" w:hAnsi="Book Antiqua"/>
        </w:rPr>
        <w:t xml:space="preserve"> f</w:t>
      </w:r>
      <w:r w:rsidR="00173759" w:rsidRPr="57220559">
        <w:rPr>
          <w:rFonts w:ascii="Book Antiqua" w:hAnsi="Book Antiqua"/>
        </w:rPr>
        <w:t>urther directions hearings</w:t>
      </w:r>
      <w:r w:rsidR="00D0038D" w:rsidRPr="57220559">
        <w:rPr>
          <w:rFonts w:ascii="Book Antiqua" w:hAnsi="Book Antiqua"/>
        </w:rPr>
        <w:t xml:space="preserve">, or hearings for the determination of </w:t>
      </w:r>
      <w:r w:rsidR="00853FB0" w:rsidRPr="57220559">
        <w:rPr>
          <w:rFonts w:ascii="Book Antiqua" w:hAnsi="Book Antiqua"/>
        </w:rPr>
        <w:t xml:space="preserve">pre-trial </w:t>
      </w:r>
      <w:r w:rsidR="00D0038D" w:rsidRPr="57220559">
        <w:rPr>
          <w:rFonts w:ascii="Book Antiqua" w:hAnsi="Book Antiqua"/>
        </w:rPr>
        <w:t>issues</w:t>
      </w:r>
      <w:r w:rsidR="00382D44">
        <w:rPr>
          <w:rFonts w:ascii="Book Antiqua" w:hAnsi="Book Antiqua"/>
        </w:rPr>
        <w:t>,</w:t>
      </w:r>
      <w:r w:rsidR="00D0038D" w:rsidRPr="57220559">
        <w:rPr>
          <w:rFonts w:ascii="Book Antiqua" w:hAnsi="Book Antiqua"/>
        </w:rPr>
        <w:t xml:space="preserve"> </w:t>
      </w:r>
      <w:r w:rsidR="000C0CEF" w:rsidRPr="57220559">
        <w:rPr>
          <w:rFonts w:ascii="Book Antiqua" w:hAnsi="Book Antiqua"/>
        </w:rPr>
        <w:t xml:space="preserve">may be </w:t>
      </w:r>
      <w:r w:rsidR="00552FAB" w:rsidRPr="57220559">
        <w:rPr>
          <w:rFonts w:ascii="Book Antiqua" w:hAnsi="Book Antiqua"/>
        </w:rPr>
        <w:t>set down</w:t>
      </w:r>
      <w:r w:rsidR="7B8D9A82" w:rsidRPr="57220559">
        <w:rPr>
          <w:rFonts w:ascii="Book Antiqua" w:hAnsi="Book Antiqua"/>
        </w:rPr>
        <w:t xml:space="preserve"> </w:t>
      </w:r>
      <w:r w:rsidR="00853FB0" w:rsidRPr="57220559">
        <w:rPr>
          <w:rFonts w:ascii="Book Antiqua" w:hAnsi="Book Antiqua"/>
        </w:rPr>
        <w:t xml:space="preserve">to ensure </w:t>
      </w:r>
      <w:r w:rsidR="00E637CC" w:rsidRPr="57220559">
        <w:rPr>
          <w:rFonts w:ascii="Book Antiqua" w:hAnsi="Book Antiqua"/>
        </w:rPr>
        <w:t xml:space="preserve">the fair and </w:t>
      </w:r>
      <w:r w:rsidR="00E637CC" w:rsidRPr="57220559">
        <w:rPr>
          <w:rFonts w:ascii="Book Antiqua" w:hAnsi="Book Antiqua"/>
        </w:rPr>
        <w:lastRenderedPageBreak/>
        <w:t>efficient conduct of the proceeding</w:t>
      </w:r>
      <w:r w:rsidR="00552FAB" w:rsidRPr="57220559">
        <w:rPr>
          <w:rFonts w:ascii="Book Antiqua" w:hAnsi="Book Antiqua"/>
        </w:rPr>
        <w:t>s</w:t>
      </w:r>
      <w:r w:rsidR="00F269C1" w:rsidRPr="57220559">
        <w:rPr>
          <w:rFonts w:ascii="Book Antiqua" w:hAnsi="Book Antiqua"/>
        </w:rPr>
        <w:t>.</w:t>
      </w:r>
      <w:r w:rsidR="000C0CEF" w:rsidRPr="57220559">
        <w:rPr>
          <w:rFonts w:ascii="Book Antiqua" w:hAnsi="Book Antiqua"/>
        </w:rPr>
        <w:t xml:space="preserve"> </w:t>
      </w:r>
      <w:r w:rsidR="00A23FC4" w:rsidRPr="57220559">
        <w:rPr>
          <w:rFonts w:ascii="Book Antiqua" w:hAnsi="Book Antiqua"/>
        </w:rPr>
        <w:t>Legal pract</w:t>
      </w:r>
      <w:r w:rsidR="00DD2138" w:rsidRPr="57220559">
        <w:rPr>
          <w:rFonts w:ascii="Book Antiqua" w:hAnsi="Book Antiqua"/>
        </w:rPr>
        <w:t>it</w:t>
      </w:r>
      <w:r w:rsidR="00A23FC4" w:rsidRPr="57220559">
        <w:rPr>
          <w:rFonts w:ascii="Book Antiqua" w:hAnsi="Book Antiqua"/>
        </w:rPr>
        <w:t xml:space="preserve">ioners are expected to be </w:t>
      </w:r>
      <w:r w:rsidR="26010BD2" w:rsidRPr="57220559">
        <w:rPr>
          <w:rFonts w:ascii="Book Antiqua" w:hAnsi="Book Antiqua"/>
        </w:rPr>
        <w:t>able</w:t>
      </w:r>
      <w:r w:rsidR="00A23FC4" w:rsidRPr="57220559">
        <w:rPr>
          <w:rFonts w:ascii="Book Antiqua" w:hAnsi="Book Antiqua"/>
        </w:rPr>
        <w:t xml:space="preserve"> to address the court in relation to the issues specified in s 181 of the </w:t>
      </w:r>
      <w:r w:rsidR="00C817D4" w:rsidRPr="57220559">
        <w:rPr>
          <w:rFonts w:ascii="Book Antiqua" w:hAnsi="Book Antiqua"/>
        </w:rPr>
        <w:t>CPA.</w:t>
      </w:r>
    </w:p>
    <w:p w14:paraId="7176292C" w14:textId="2EDD5F0A" w:rsidR="0042112B" w:rsidRPr="001F3184" w:rsidRDefault="00761288" w:rsidP="0042112B">
      <w:pPr>
        <w:spacing w:before="120" w:after="120"/>
        <w:ind w:left="720" w:hanging="720"/>
        <w:jc w:val="both"/>
        <w:rPr>
          <w:rFonts w:ascii="Book Antiqua" w:hAnsi="Book Antiqua"/>
        </w:rPr>
      </w:pPr>
      <w:r>
        <w:rPr>
          <w:rFonts w:ascii="Book Antiqua" w:hAnsi="Book Antiqua"/>
        </w:rPr>
        <w:t>9</w:t>
      </w:r>
      <w:r w:rsidR="0042112B" w:rsidRPr="001F3184">
        <w:rPr>
          <w:rFonts w:ascii="Book Antiqua" w:hAnsi="Book Antiqua"/>
        </w:rPr>
        <w:t>.</w:t>
      </w:r>
      <w:r w:rsidR="009E2A78">
        <w:rPr>
          <w:rFonts w:ascii="Book Antiqua" w:hAnsi="Book Antiqua"/>
        </w:rPr>
        <w:t>2</w:t>
      </w:r>
      <w:r w:rsidR="0042112B" w:rsidRPr="001F3184">
        <w:rPr>
          <w:rFonts w:ascii="Book Antiqua" w:hAnsi="Book Antiqua"/>
        </w:rPr>
        <w:tab/>
      </w:r>
      <w:r w:rsidR="009E2A78">
        <w:rPr>
          <w:rFonts w:ascii="Book Antiqua" w:hAnsi="Book Antiqua"/>
        </w:rPr>
        <w:t>C</w:t>
      </w:r>
      <w:r w:rsidR="0042112B" w:rsidRPr="001F3184">
        <w:rPr>
          <w:rFonts w:ascii="Book Antiqua" w:hAnsi="Book Antiqua"/>
        </w:rPr>
        <w:t xml:space="preserve">ounsel </w:t>
      </w:r>
      <w:r w:rsidR="0042112B">
        <w:rPr>
          <w:rFonts w:ascii="Book Antiqua" w:hAnsi="Book Antiqua"/>
        </w:rPr>
        <w:t xml:space="preserve">are </w:t>
      </w:r>
      <w:r w:rsidR="0042112B" w:rsidRPr="001F3184">
        <w:rPr>
          <w:rFonts w:ascii="Book Antiqua" w:hAnsi="Book Antiqua"/>
        </w:rPr>
        <w:t xml:space="preserve">expected to identify any evidentiary or other disputes which would benefit from early judicial </w:t>
      </w:r>
      <w:r w:rsidR="0042112B">
        <w:rPr>
          <w:rFonts w:ascii="Book Antiqua" w:hAnsi="Book Antiqua"/>
        </w:rPr>
        <w:t xml:space="preserve">involvement and </w:t>
      </w:r>
      <w:r w:rsidR="0042112B" w:rsidRPr="001F3184">
        <w:rPr>
          <w:rFonts w:ascii="Book Antiqua" w:hAnsi="Book Antiqua"/>
        </w:rPr>
        <w:t>resolution, either because:</w:t>
      </w:r>
      <w:r w:rsidR="0042112B">
        <w:rPr>
          <w:rFonts w:ascii="Book Antiqua" w:hAnsi="Book Antiqua"/>
        </w:rPr>
        <w:t xml:space="preserve"> </w:t>
      </w:r>
    </w:p>
    <w:p w14:paraId="5D167A7D" w14:textId="09124CB5" w:rsidR="0042112B" w:rsidRPr="00F05009" w:rsidRDefault="004E1C4E" w:rsidP="0042112B">
      <w:pPr>
        <w:pStyle w:val="Default"/>
        <w:numPr>
          <w:ilvl w:val="0"/>
          <w:numId w:val="4"/>
        </w:numPr>
        <w:jc w:val="both"/>
        <w:rPr>
          <w:rFonts w:ascii="Book Antiqua" w:hAnsi="Book Antiqua" w:cs="Symbol"/>
          <w:lang w:val="en-US" w:eastAsia="ja-JP"/>
        </w:rPr>
      </w:pPr>
      <w:r>
        <w:rPr>
          <w:rFonts w:ascii="Book Antiqua" w:hAnsi="Book Antiqua"/>
        </w:rPr>
        <w:t>t</w:t>
      </w:r>
      <w:r w:rsidR="0042112B" w:rsidRPr="00F05009">
        <w:rPr>
          <w:rFonts w:ascii="Book Antiqua" w:hAnsi="Book Antiqua"/>
        </w:rPr>
        <w:t>hey are very substantial and/or complex; or</w:t>
      </w:r>
    </w:p>
    <w:p w14:paraId="4265F0D7" w14:textId="1E1569C3" w:rsidR="0042112B" w:rsidRPr="008801E1" w:rsidRDefault="004E1C4E" w:rsidP="0042112B">
      <w:pPr>
        <w:pStyle w:val="Default"/>
        <w:numPr>
          <w:ilvl w:val="0"/>
          <w:numId w:val="4"/>
        </w:numPr>
        <w:jc w:val="both"/>
        <w:rPr>
          <w:rFonts w:ascii="Book Antiqua" w:hAnsi="Book Antiqua" w:cs="Symbol"/>
          <w:lang w:val="en-US" w:eastAsia="ja-JP"/>
        </w:rPr>
      </w:pPr>
      <w:r>
        <w:rPr>
          <w:rFonts w:ascii="Book Antiqua" w:hAnsi="Book Antiqua"/>
        </w:rPr>
        <w:t>t</w:t>
      </w:r>
      <w:r w:rsidR="0042112B" w:rsidRPr="00F05009">
        <w:rPr>
          <w:rFonts w:ascii="Book Antiqua" w:hAnsi="Book Antiqua"/>
        </w:rPr>
        <w:t>heir resolution may lead to</w:t>
      </w:r>
      <w:r w:rsidR="0042112B">
        <w:rPr>
          <w:rFonts w:ascii="Book Antiqua" w:hAnsi="Book Antiqua"/>
        </w:rPr>
        <w:t>:</w:t>
      </w:r>
      <w:r w:rsidR="0042112B" w:rsidRPr="00F05009">
        <w:rPr>
          <w:rFonts w:ascii="Book Antiqua" w:hAnsi="Book Antiqua"/>
        </w:rPr>
        <w:t xml:space="preserve"> </w:t>
      </w:r>
    </w:p>
    <w:p w14:paraId="298AB11F" w14:textId="6E592057" w:rsidR="00D6103C" w:rsidRPr="00D018FF" w:rsidRDefault="3FE37A82" w:rsidP="00E31377">
      <w:pPr>
        <w:pStyle w:val="Default"/>
        <w:numPr>
          <w:ilvl w:val="1"/>
          <w:numId w:val="4"/>
        </w:numPr>
        <w:jc w:val="both"/>
        <w:rPr>
          <w:rFonts w:ascii="Book Antiqua" w:hAnsi="Book Antiqua" w:cs="Symbol"/>
          <w:lang w:val="en-US" w:eastAsia="ja-JP"/>
        </w:rPr>
      </w:pPr>
      <w:r w:rsidRPr="57220559">
        <w:rPr>
          <w:rFonts w:ascii="Book Antiqua" w:hAnsi="Book Antiqua"/>
        </w:rPr>
        <w:t>d</w:t>
      </w:r>
      <w:r w:rsidR="000C0DFE" w:rsidRPr="57220559">
        <w:rPr>
          <w:rFonts w:ascii="Book Antiqua" w:hAnsi="Book Antiqua"/>
        </w:rPr>
        <w:t>iscontinuance</w:t>
      </w:r>
      <w:r w:rsidR="00DD413C" w:rsidRPr="57220559">
        <w:rPr>
          <w:rFonts w:ascii="Book Antiqua" w:hAnsi="Book Antiqua"/>
        </w:rPr>
        <w:t xml:space="preserve">, </w:t>
      </w:r>
      <w:r w:rsidR="0042112B" w:rsidRPr="57220559">
        <w:rPr>
          <w:rFonts w:ascii="Book Antiqua" w:hAnsi="Book Antiqua"/>
        </w:rPr>
        <w:t xml:space="preserve">amendment or severance of charges; </w:t>
      </w:r>
    </w:p>
    <w:p w14:paraId="5BD5435E" w14:textId="4DE3E825" w:rsidR="0042112B" w:rsidRPr="00D018FF" w:rsidRDefault="1AA6457D" w:rsidP="00E31377">
      <w:pPr>
        <w:pStyle w:val="Default"/>
        <w:numPr>
          <w:ilvl w:val="1"/>
          <w:numId w:val="4"/>
        </w:numPr>
        <w:jc w:val="both"/>
        <w:rPr>
          <w:rFonts w:ascii="Book Antiqua" w:hAnsi="Book Antiqua" w:cs="Symbol"/>
          <w:lang w:val="en-US" w:eastAsia="ja-JP"/>
        </w:rPr>
      </w:pPr>
      <w:r w:rsidRPr="57220559">
        <w:rPr>
          <w:rFonts w:ascii="Book Antiqua" w:hAnsi="Book Antiqua"/>
        </w:rPr>
        <w:t>separate trials</w:t>
      </w:r>
      <w:r w:rsidR="00BF202D" w:rsidRPr="57220559">
        <w:rPr>
          <w:rFonts w:ascii="Book Antiqua" w:hAnsi="Book Antiqua"/>
        </w:rPr>
        <w:t>;</w:t>
      </w:r>
    </w:p>
    <w:p w14:paraId="1B5D9BF3" w14:textId="6B9E7A2A" w:rsidR="0095667E" w:rsidRPr="008801E1" w:rsidRDefault="00734BA4" w:rsidP="00E31377">
      <w:pPr>
        <w:pStyle w:val="Default"/>
        <w:numPr>
          <w:ilvl w:val="1"/>
          <w:numId w:val="4"/>
        </w:numPr>
        <w:jc w:val="both"/>
        <w:rPr>
          <w:rFonts w:ascii="Book Antiqua" w:hAnsi="Book Antiqua" w:cs="Symbol"/>
          <w:lang w:val="en-US" w:eastAsia="ja-JP"/>
        </w:rPr>
      </w:pPr>
      <w:r>
        <w:rPr>
          <w:rFonts w:ascii="Book Antiqua" w:hAnsi="Book Antiqua"/>
        </w:rPr>
        <w:t>applications under the</w:t>
      </w:r>
      <w:r w:rsidR="000C4759">
        <w:rPr>
          <w:rFonts w:ascii="Book Antiqua" w:hAnsi="Book Antiqua"/>
        </w:rPr>
        <w:t xml:space="preserve"> </w:t>
      </w:r>
      <w:r w:rsidR="000C4759" w:rsidRPr="00D018FF">
        <w:rPr>
          <w:rFonts w:ascii="Book Antiqua" w:hAnsi="Book Antiqua"/>
          <w:i/>
          <w:iCs/>
        </w:rPr>
        <w:t xml:space="preserve">Crimes </w:t>
      </w:r>
      <w:r w:rsidR="0019469B" w:rsidRPr="00D018FF">
        <w:rPr>
          <w:rFonts w:ascii="Book Antiqua" w:hAnsi="Book Antiqua"/>
          <w:i/>
          <w:iCs/>
        </w:rPr>
        <w:t>(</w:t>
      </w:r>
      <w:r w:rsidR="000C4759" w:rsidRPr="00D018FF">
        <w:rPr>
          <w:rFonts w:ascii="Book Antiqua" w:hAnsi="Book Antiqua"/>
          <w:i/>
          <w:iCs/>
        </w:rPr>
        <w:t xml:space="preserve">Mental Impairment and </w:t>
      </w:r>
      <w:r w:rsidR="0019469B" w:rsidRPr="00D018FF">
        <w:rPr>
          <w:rFonts w:ascii="Book Antiqua" w:hAnsi="Book Antiqua"/>
          <w:i/>
          <w:iCs/>
        </w:rPr>
        <w:t>Unf</w:t>
      </w:r>
      <w:r w:rsidR="000C4759" w:rsidRPr="00D018FF">
        <w:rPr>
          <w:rFonts w:ascii="Book Antiqua" w:hAnsi="Book Antiqua"/>
          <w:i/>
          <w:iCs/>
        </w:rPr>
        <w:t>itness to be Tried</w:t>
      </w:r>
      <w:r w:rsidR="0019469B" w:rsidRPr="00D018FF">
        <w:rPr>
          <w:rFonts w:ascii="Book Antiqua" w:hAnsi="Book Antiqua"/>
          <w:i/>
          <w:iCs/>
        </w:rPr>
        <w:t>)</w:t>
      </w:r>
      <w:r w:rsidR="000C4759" w:rsidRPr="00D018FF">
        <w:rPr>
          <w:rFonts w:ascii="Book Antiqua" w:hAnsi="Book Antiqua"/>
          <w:i/>
          <w:iCs/>
        </w:rPr>
        <w:t xml:space="preserve"> Act</w:t>
      </w:r>
      <w:r w:rsidR="000C4759">
        <w:rPr>
          <w:rFonts w:ascii="Book Antiqua" w:hAnsi="Book Antiqua"/>
        </w:rPr>
        <w:t xml:space="preserve"> </w:t>
      </w:r>
      <w:r w:rsidR="008667D2">
        <w:rPr>
          <w:rFonts w:ascii="Book Antiqua" w:hAnsi="Book Antiqua"/>
        </w:rPr>
        <w:t>1997</w:t>
      </w:r>
    </w:p>
    <w:p w14:paraId="1F865022" w14:textId="797A18EE" w:rsidR="0042112B" w:rsidRPr="008801E1" w:rsidRDefault="0042112B" w:rsidP="00E31377">
      <w:pPr>
        <w:pStyle w:val="Default"/>
        <w:numPr>
          <w:ilvl w:val="1"/>
          <w:numId w:val="4"/>
        </w:numPr>
        <w:jc w:val="both"/>
        <w:rPr>
          <w:rFonts w:ascii="Book Antiqua" w:hAnsi="Book Antiqua" w:cs="Symbol"/>
          <w:lang w:val="en-US" w:eastAsia="ja-JP"/>
        </w:rPr>
      </w:pPr>
      <w:r w:rsidRPr="00F05009">
        <w:rPr>
          <w:rFonts w:ascii="Book Antiqua" w:hAnsi="Book Antiqua"/>
        </w:rPr>
        <w:t>plea</w:t>
      </w:r>
      <w:r w:rsidR="00A2571E">
        <w:rPr>
          <w:rFonts w:ascii="Book Antiqua" w:hAnsi="Book Antiqua"/>
        </w:rPr>
        <w:t>s of guilty</w:t>
      </w:r>
      <w:r w:rsidRPr="00F05009">
        <w:rPr>
          <w:rFonts w:ascii="Book Antiqua" w:hAnsi="Book Antiqua"/>
        </w:rPr>
        <w:t xml:space="preserve">; </w:t>
      </w:r>
      <w:r w:rsidR="00AC34D5">
        <w:rPr>
          <w:rFonts w:ascii="Book Antiqua" w:hAnsi="Book Antiqua"/>
        </w:rPr>
        <w:t>or</w:t>
      </w:r>
      <w:r w:rsidRPr="00F05009">
        <w:rPr>
          <w:rFonts w:ascii="Book Antiqua" w:hAnsi="Book Antiqua"/>
        </w:rPr>
        <w:t xml:space="preserve"> </w:t>
      </w:r>
    </w:p>
    <w:p w14:paraId="7EBCD9CD" w14:textId="77777777" w:rsidR="0042112B" w:rsidRPr="00F05009" w:rsidRDefault="0042112B" w:rsidP="00E31377">
      <w:pPr>
        <w:pStyle w:val="Default"/>
        <w:numPr>
          <w:ilvl w:val="1"/>
          <w:numId w:val="4"/>
        </w:numPr>
        <w:spacing w:after="240"/>
        <w:jc w:val="both"/>
        <w:rPr>
          <w:rFonts w:ascii="Book Antiqua" w:hAnsi="Book Antiqua" w:cs="Symbol"/>
          <w:lang w:val="en-US" w:eastAsia="ja-JP"/>
        </w:rPr>
      </w:pPr>
      <w:r w:rsidRPr="00F05009">
        <w:rPr>
          <w:rFonts w:ascii="Book Antiqua" w:hAnsi="Book Antiqua"/>
        </w:rPr>
        <w:t xml:space="preserve">an interlocutory appeal. </w:t>
      </w:r>
    </w:p>
    <w:p w14:paraId="2DFC892E" w14:textId="447F2A7C" w:rsidR="0042112B" w:rsidRDefault="00761288" w:rsidP="00E31377">
      <w:pPr>
        <w:spacing w:after="240"/>
        <w:ind w:left="720" w:hanging="720"/>
        <w:jc w:val="both"/>
        <w:rPr>
          <w:rFonts w:ascii="Book Antiqua" w:hAnsi="Book Antiqua"/>
        </w:rPr>
      </w:pPr>
      <w:r w:rsidRPr="57220559">
        <w:rPr>
          <w:rFonts w:ascii="Book Antiqua" w:hAnsi="Book Antiqua"/>
        </w:rPr>
        <w:t>9</w:t>
      </w:r>
      <w:r w:rsidR="0042112B" w:rsidRPr="57220559">
        <w:rPr>
          <w:rFonts w:ascii="Book Antiqua" w:hAnsi="Book Antiqua"/>
        </w:rPr>
        <w:t>.</w:t>
      </w:r>
      <w:r w:rsidR="00DA652C" w:rsidRPr="57220559">
        <w:rPr>
          <w:rFonts w:ascii="Book Antiqua" w:hAnsi="Book Antiqua"/>
        </w:rPr>
        <w:t>3</w:t>
      </w:r>
      <w:r>
        <w:tab/>
      </w:r>
      <w:r w:rsidR="0037089F" w:rsidRPr="57220559">
        <w:rPr>
          <w:rFonts w:ascii="Book Antiqua" w:hAnsi="Book Antiqua"/>
        </w:rPr>
        <w:t xml:space="preserve">Matters will </w:t>
      </w:r>
      <w:r w:rsidR="00563553" w:rsidRPr="57220559">
        <w:rPr>
          <w:rFonts w:ascii="Book Antiqua" w:hAnsi="Book Antiqua"/>
        </w:rPr>
        <w:t xml:space="preserve">be listed before a </w:t>
      </w:r>
      <w:r w:rsidR="006D1E6F">
        <w:rPr>
          <w:rFonts w:ascii="Book Antiqua" w:hAnsi="Book Antiqua"/>
        </w:rPr>
        <w:t>J</w:t>
      </w:r>
      <w:r w:rsidR="00563553" w:rsidRPr="57220559">
        <w:rPr>
          <w:rFonts w:ascii="Book Antiqua" w:hAnsi="Book Antiqua"/>
        </w:rPr>
        <w:t xml:space="preserve">udge where appropriate </w:t>
      </w:r>
      <w:r w:rsidR="3787785D" w:rsidRPr="57220559">
        <w:rPr>
          <w:rFonts w:ascii="Book Antiqua" w:hAnsi="Book Antiqua"/>
        </w:rPr>
        <w:t xml:space="preserve">so as </w:t>
      </w:r>
      <w:r w:rsidR="00563553" w:rsidRPr="57220559">
        <w:rPr>
          <w:rFonts w:ascii="Book Antiqua" w:hAnsi="Book Antiqua"/>
        </w:rPr>
        <w:t xml:space="preserve">to determine these issues </w:t>
      </w:r>
      <w:r w:rsidR="0042112B" w:rsidRPr="57220559">
        <w:rPr>
          <w:rFonts w:ascii="Book Antiqua" w:hAnsi="Book Antiqua"/>
        </w:rPr>
        <w:t xml:space="preserve">well before trial.  In the </w:t>
      </w:r>
      <w:r w:rsidR="03DC0683" w:rsidRPr="57220559">
        <w:rPr>
          <w:rFonts w:ascii="Book Antiqua" w:hAnsi="Book Antiqua"/>
        </w:rPr>
        <w:t>usual</w:t>
      </w:r>
      <w:r w:rsidR="0042112B" w:rsidRPr="57220559">
        <w:rPr>
          <w:rFonts w:ascii="Book Antiqua" w:hAnsi="Book Antiqua"/>
        </w:rPr>
        <w:t xml:space="preserve"> course, that Judge will become the Trial Judge.  </w:t>
      </w:r>
    </w:p>
    <w:p w14:paraId="3D30ACDE" w14:textId="34283061" w:rsidR="007A24B8" w:rsidRPr="00F05009" w:rsidRDefault="00231246" w:rsidP="0003600C">
      <w:pPr>
        <w:ind w:left="720" w:hanging="720"/>
        <w:jc w:val="both"/>
        <w:rPr>
          <w:rFonts w:ascii="Book Antiqua" w:hAnsi="Book Antiqua"/>
        </w:rPr>
      </w:pPr>
      <w:r>
        <w:rPr>
          <w:rFonts w:ascii="Book Antiqua" w:hAnsi="Book Antiqua"/>
        </w:rPr>
        <w:t>9.</w:t>
      </w:r>
      <w:r w:rsidR="00E31377">
        <w:rPr>
          <w:rFonts w:ascii="Book Antiqua" w:hAnsi="Book Antiqua"/>
        </w:rPr>
        <w:t>4</w:t>
      </w:r>
      <w:r>
        <w:rPr>
          <w:rFonts w:ascii="Book Antiqua" w:hAnsi="Book Antiqua"/>
        </w:rPr>
        <w:tab/>
      </w:r>
      <w:r w:rsidR="009766CD">
        <w:rPr>
          <w:rFonts w:ascii="Book Antiqua" w:hAnsi="Book Antiqua"/>
        </w:rPr>
        <w:t>Where a matter involves expert evidence</w:t>
      </w:r>
      <w:r w:rsidR="006D1E6F">
        <w:rPr>
          <w:rFonts w:ascii="Book Antiqua" w:hAnsi="Book Antiqua"/>
        </w:rPr>
        <w:t>,</w:t>
      </w:r>
      <w:r w:rsidR="009766CD">
        <w:rPr>
          <w:rFonts w:ascii="Book Antiqua" w:hAnsi="Book Antiqua"/>
        </w:rPr>
        <w:t xml:space="preserve"> t</w:t>
      </w:r>
      <w:r w:rsidR="006E2C08">
        <w:rPr>
          <w:rFonts w:ascii="Book Antiqua" w:hAnsi="Book Antiqua"/>
        </w:rPr>
        <w:t>he</w:t>
      </w:r>
      <w:r w:rsidR="009766CD">
        <w:rPr>
          <w:rFonts w:ascii="Book Antiqua" w:hAnsi="Book Antiqua"/>
        </w:rPr>
        <w:t xml:space="preserve"> processes set out in </w:t>
      </w:r>
      <w:r w:rsidR="009766CD" w:rsidRPr="006004DA">
        <w:rPr>
          <w:rFonts w:ascii="Book Antiqua" w:hAnsi="Book Antiqua"/>
          <w:b/>
          <w:bCs/>
        </w:rPr>
        <w:t xml:space="preserve">Practice Note </w:t>
      </w:r>
      <w:r w:rsidR="00564245" w:rsidRPr="006D1E6F">
        <w:rPr>
          <w:rFonts w:ascii="Book Antiqua" w:hAnsi="Book Antiqua"/>
          <w:b/>
          <w:bCs/>
        </w:rPr>
        <w:t>SC CR 3</w:t>
      </w:r>
      <w:r w:rsidR="00564245">
        <w:rPr>
          <w:rFonts w:ascii="Book Antiqua" w:hAnsi="Book Antiqua"/>
        </w:rPr>
        <w:t xml:space="preserve"> </w:t>
      </w:r>
      <w:r w:rsidR="006D1E6F">
        <w:rPr>
          <w:rFonts w:ascii="Book Antiqua" w:hAnsi="Book Antiqua"/>
          <w:i/>
          <w:iCs/>
        </w:rPr>
        <w:t>‘</w:t>
      </w:r>
      <w:r w:rsidR="00CE2F24">
        <w:rPr>
          <w:rFonts w:ascii="Book Antiqua" w:hAnsi="Book Antiqua"/>
          <w:i/>
          <w:iCs/>
        </w:rPr>
        <w:t>Expert Evidence in criminal</w:t>
      </w:r>
      <w:r w:rsidR="00CE2F24" w:rsidRPr="00CE2F24">
        <w:rPr>
          <w:rFonts w:ascii="Book Antiqua" w:hAnsi="Book Antiqua"/>
          <w:i/>
          <w:iCs/>
        </w:rPr>
        <w:t xml:space="preserve"> trials</w:t>
      </w:r>
      <w:r w:rsidR="00CE2F24" w:rsidRPr="006004DA">
        <w:rPr>
          <w:rFonts w:ascii="Book Antiqua" w:hAnsi="Book Antiqua"/>
          <w:i/>
          <w:iCs/>
        </w:rPr>
        <w:t>’</w:t>
      </w:r>
      <w:r w:rsidR="00065E0A">
        <w:rPr>
          <w:rFonts w:ascii="Book Antiqua" w:hAnsi="Book Antiqua"/>
          <w:i/>
          <w:iCs/>
        </w:rPr>
        <w:t xml:space="preserve"> </w:t>
      </w:r>
      <w:r w:rsidR="00564245" w:rsidRPr="00CE2F24">
        <w:rPr>
          <w:rFonts w:ascii="Book Antiqua" w:hAnsi="Book Antiqua"/>
        </w:rPr>
        <w:t>and</w:t>
      </w:r>
      <w:r w:rsidR="00564245">
        <w:rPr>
          <w:rFonts w:ascii="Book Antiqua" w:hAnsi="Book Antiqua"/>
        </w:rPr>
        <w:t xml:space="preserve"> </w:t>
      </w:r>
      <w:r w:rsidR="00CE2F24">
        <w:rPr>
          <w:rFonts w:ascii="Book Antiqua" w:hAnsi="Book Antiqua"/>
          <w:b/>
          <w:bCs/>
        </w:rPr>
        <w:t xml:space="preserve">Practice Note </w:t>
      </w:r>
      <w:r w:rsidR="00564245" w:rsidRPr="000645B0">
        <w:rPr>
          <w:rFonts w:ascii="Book Antiqua" w:hAnsi="Book Antiqua"/>
          <w:b/>
          <w:bCs/>
        </w:rPr>
        <w:t xml:space="preserve">SC CR </w:t>
      </w:r>
      <w:r w:rsidR="00AE037A" w:rsidRPr="000645B0">
        <w:rPr>
          <w:rFonts w:ascii="Book Antiqua" w:hAnsi="Book Antiqua"/>
          <w:b/>
          <w:bCs/>
        </w:rPr>
        <w:t>7</w:t>
      </w:r>
      <w:r w:rsidR="00CE2F24">
        <w:rPr>
          <w:rFonts w:ascii="Book Antiqua" w:hAnsi="Book Antiqua"/>
          <w:b/>
          <w:bCs/>
        </w:rPr>
        <w:t xml:space="preserve"> </w:t>
      </w:r>
      <w:r w:rsidR="00CE2F24">
        <w:rPr>
          <w:rFonts w:ascii="Book Antiqua" w:hAnsi="Book Antiqua"/>
          <w:i/>
          <w:iCs/>
        </w:rPr>
        <w:t>‘Expert reports on mental functioning of offenders’</w:t>
      </w:r>
      <w:r w:rsidR="00AE037A">
        <w:rPr>
          <w:rFonts w:ascii="Book Antiqua" w:hAnsi="Book Antiqua"/>
        </w:rPr>
        <w:t xml:space="preserve"> </w:t>
      </w:r>
      <w:r w:rsidR="000645B0">
        <w:rPr>
          <w:rFonts w:ascii="Book Antiqua" w:hAnsi="Book Antiqua"/>
        </w:rPr>
        <w:t xml:space="preserve">should be applied </w:t>
      </w:r>
      <w:r w:rsidR="00AE037A">
        <w:rPr>
          <w:rFonts w:ascii="Book Antiqua" w:hAnsi="Book Antiqua"/>
        </w:rPr>
        <w:t>as appropriate</w:t>
      </w:r>
      <w:r w:rsidR="007A24B8">
        <w:rPr>
          <w:rFonts w:ascii="Book Antiqua" w:hAnsi="Book Antiqua"/>
        </w:rPr>
        <w:t>.</w:t>
      </w:r>
    </w:p>
    <w:p w14:paraId="4B559F0F" w14:textId="1F26E462" w:rsidR="000403F1" w:rsidRDefault="00761288" w:rsidP="0042112B">
      <w:pPr>
        <w:spacing w:before="120" w:after="120"/>
        <w:ind w:left="720" w:hanging="720"/>
        <w:jc w:val="both"/>
        <w:rPr>
          <w:rFonts w:ascii="Book Antiqua" w:hAnsi="Book Antiqua"/>
        </w:rPr>
      </w:pPr>
      <w:r w:rsidRPr="57220559">
        <w:rPr>
          <w:rFonts w:ascii="Book Antiqua" w:hAnsi="Book Antiqua"/>
        </w:rPr>
        <w:t>9</w:t>
      </w:r>
      <w:r w:rsidR="0042112B" w:rsidRPr="57220559">
        <w:rPr>
          <w:rFonts w:ascii="Book Antiqua" w:hAnsi="Book Antiqua"/>
        </w:rPr>
        <w:t>.</w:t>
      </w:r>
      <w:r w:rsidR="00F46B97" w:rsidRPr="57220559">
        <w:rPr>
          <w:rFonts w:ascii="Book Antiqua" w:hAnsi="Book Antiqua"/>
        </w:rPr>
        <w:t>5</w:t>
      </w:r>
      <w:r>
        <w:tab/>
      </w:r>
      <w:r w:rsidR="00F23941" w:rsidRPr="57220559">
        <w:rPr>
          <w:rFonts w:ascii="Book Antiqua" w:hAnsi="Book Antiqua"/>
        </w:rPr>
        <w:t xml:space="preserve">Solicitors and </w:t>
      </w:r>
      <w:r w:rsidR="00311A20">
        <w:rPr>
          <w:rFonts w:ascii="Book Antiqua" w:hAnsi="Book Antiqua"/>
        </w:rPr>
        <w:t>c</w:t>
      </w:r>
      <w:r w:rsidR="000403F1" w:rsidRPr="57220559">
        <w:rPr>
          <w:rFonts w:ascii="Book Antiqua" w:hAnsi="Book Antiqua"/>
        </w:rPr>
        <w:t xml:space="preserve">ounsel having the conduct of the matter are required to keep the Court </w:t>
      </w:r>
      <w:r w:rsidR="00334C52" w:rsidRPr="57220559">
        <w:rPr>
          <w:rFonts w:ascii="Book Antiqua" w:hAnsi="Book Antiqua"/>
        </w:rPr>
        <w:t xml:space="preserve">updated </w:t>
      </w:r>
      <w:r w:rsidR="000403F1" w:rsidRPr="57220559">
        <w:rPr>
          <w:rFonts w:ascii="Book Antiqua" w:hAnsi="Book Antiqua"/>
        </w:rPr>
        <w:t xml:space="preserve">as to any progress towards resolution </w:t>
      </w:r>
      <w:r w:rsidR="00334C52" w:rsidRPr="57220559">
        <w:rPr>
          <w:rFonts w:ascii="Book Antiqua" w:hAnsi="Book Antiqua"/>
        </w:rPr>
        <w:t xml:space="preserve">of outstanding issues </w:t>
      </w:r>
      <w:r w:rsidR="000403F1" w:rsidRPr="57220559">
        <w:rPr>
          <w:rFonts w:ascii="Book Antiqua" w:hAnsi="Book Antiqua"/>
        </w:rPr>
        <w:t xml:space="preserve">and </w:t>
      </w:r>
      <w:r w:rsidR="5DB7AC9F" w:rsidRPr="57220559">
        <w:rPr>
          <w:rFonts w:ascii="Book Antiqua" w:hAnsi="Book Antiqua"/>
        </w:rPr>
        <w:t xml:space="preserve">as to </w:t>
      </w:r>
      <w:r w:rsidR="000403F1" w:rsidRPr="57220559">
        <w:rPr>
          <w:rFonts w:ascii="Book Antiqua" w:hAnsi="Book Antiqua"/>
        </w:rPr>
        <w:t>any problems that may affect the trial commencement date</w:t>
      </w:r>
      <w:r w:rsidR="004D0E82" w:rsidRPr="57220559">
        <w:rPr>
          <w:rFonts w:ascii="Book Antiqua" w:hAnsi="Book Antiqua"/>
        </w:rPr>
        <w:t xml:space="preserve">. This should be </w:t>
      </w:r>
      <w:r w:rsidR="002F5750" w:rsidRPr="57220559">
        <w:rPr>
          <w:rFonts w:ascii="Book Antiqua" w:hAnsi="Book Antiqua"/>
        </w:rPr>
        <w:t>done by email to</w:t>
      </w:r>
      <w:r w:rsidR="00346874" w:rsidRPr="57220559">
        <w:rPr>
          <w:rFonts w:ascii="Book Antiqua" w:hAnsi="Book Antiqua"/>
        </w:rPr>
        <w:t xml:space="preserve"> the</w:t>
      </w:r>
      <w:r w:rsidR="0021066B" w:rsidRPr="57220559">
        <w:rPr>
          <w:rFonts w:ascii="Book Antiqua" w:hAnsi="Book Antiqua"/>
        </w:rPr>
        <w:t xml:space="preserve"> Criminal Division Lawyers (see</w:t>
      </w:r>
      <w:r w:rsidR="00346874" w:rsidRPr="57220559">
        <w:rPr>
          <w:rFonts w:ascii="Book Antiqua" w:hAnsi="Book Antiqua"/>
        </w:rPr>
        <w:t xml:space="preserve"> </w:t>
      </w:r>
      <w:r w:rsidR="0021066B" w:rsidRPr="57220559">
        <w:rPr>
          <w:rFonts w:ascii="Book Antiqua" w:hAnsi="Book Antiqua"/>
        </w:rPr>
        <w:t xml:space="preserve">contact details </w:t>
      </w:r>
      <w:r w:rsidR="00346874" w:rsidRPr="57220559">
        <w:rPr>
          <w:rFonts w:ascii="Book Antiqua" w:hAnsi="Book Antiqua"/>
        </w:rPr>
        <w:t>below</w:t>
      </w:r>
      <w:r w:rsidR="0021066B" w:rsidRPr="57220559">
        <w:rPr>
          <w:rFonts w:ascii="Book Antiqua" w:hAnsi="Book Antiqua"/>
        </w:rPr>
        <w:t>)</w:t>
      </w:r>
      <w:r w:rsidR="000403F1" w:rsidRPr="57220559">
        <w:rPr>
          <w:rFonts w:ascii="Book Antiqua" w:hAnsi="Book Antiqua"/>
        </w:rPr>
        <w:t xml:space="preserve">.   </w:t>
      </w:r>
    </w:p>
    <w:p w14:paraId="093B3B26" w14:textId="6DD40FAF" w:rsidR="00546AE4" w:rsidRDefault="00761288" w:rsidP="002D20F6">
      <w:pPr>
        <w:spacing w:before="120" w:after="120"/>
        <w:ind w:left="720" w:hanging="720"/>
        <w:jc w:val="both"/>
        <w:rPr>
          <w:rFonts w:ascii="Book Antiqua" w:hAnsi="Book Antiqua"/>
        </w:rPr>
      </w:pPr>
      <w:r w:rsidRPr="57220559">
        <w:rPr>
          <w:rFonts w:ascii="Book Antiqua" w:hAnsi="Book Antiqua"/>
        </w:rPr>
        <w:t>9</w:t>
      </w:r>
      <w:r w:rsidR="002D7793" w:rsidRPr="57220559">
        <w:rPr>
          <w:rFonts w:ascii="Book Antiqua" w:hAnsi="Book Antiqua"/>
        </w:rPr>
        <w:t>.</w:t>
      </w:r>
      <w:r w:rsidR="00F46B97" w:rsidRPr="57220559">
        <w:rPr>
          <w:rFonts w:ascii="Book Antiqua" w:hAnsi="Book Antiqua"/>
        </w:rPr>
        <w:t>6</w:t>
      </w:r>
      <w:r>
        <w:tab/>
      </w:r>
      <w:r w:rsidR="11BF51C8" w:rsidRPr="57220559">
        <w:rPr>
          <w:rFonts w:ascii="Book Antiqua" w:hAnsi="Book Antiqua"/>
        </w:rPr>
        <w:t>In the usual course, a</w:t>
      </w:r>
      <w:r w:rsidR="00DB1A2D" w:rsidRPr="57220559">
        <w:rPr>
          <w:rFonts w:ascii="Book Antiqua" w:hAnsi="Book Antiqua"/>
        </w:rPr>
        <w:t xml:space="preserve"> </w:t>
      </w:r>
      <w:r w:rsidR="002D7793" w:rsidRPr="57220559">
        <w:rPr>
          <w:rFonts w:ascii="Book Antiqua" w:hAnsi="Book Antiqua"/>
        </w:rPr>
        <w:t xml:space="preserve">final </w:t>
      </w:r>
      <w:r w:rsidR="00DB1A2D" w:rsidRPr="57220559">
        <w:rPr>
          <w:rFonts w:ascii="Book Antiqua" w:hAnsi="Book Antiqua"/>
        </w:rPr>
        <w:t xml:space="preserve">directions </w:t>
      </w:r>
      <w:r w:rsidR="00A96904" w:rsidRPr="57220559">
        <w:rPr>
          <w:rFonts w:ascii="Book Antiqua" w:hAnsi="Book Antiqua"/>
        </w:rPr>
        <w:t xml:space="preserve">hearing </w:t>
      </w:r>
      <w:r w:rsidR="00DB1A2D" w:rsidRPr="57220559">
        <w:rPr>
          <w:rFonts w:ascii="Book Antiqua" w:hAnsi="Book Antiqua"/>
        </w:rPr>
        <w:t xml:space="preserve">will be held </w:t>
      </w:r>
      <w:r w:rsidR="0021066B" w:rsidRPr="57220559">
        <w:rPr>
          <w:rFonts w:ascii="Book Antiqua" w:hAnsi="Book Antiqua"/>
        </w:rPr>
        <w:t xml:space="preserve">no later than </w:t>
      </w:r>
      <w:r w:rsidR="005D035B" w:rsidRPr="57220559">
        <w:rPr>
          <w:rFonts w:ascii="Book Antiqua" w:hAnsi="Book Antiqua"/>
        </w:rPr>
        <w:t>four</w:t>
      </w:r>
      <w:r w:rsidR="002D7793" w:rsidRPr="57220559">
        <w:rPr>
          <w:rFonts w:ascii="Book Antiqua" w:hAnsi="Book Antiqua"/>
        </w:rPr>
        <w:t xml:space="preserve"> weeks </w:t>
      </w:r>
      <w:r w:rsidR="00DB1A2D" w:rsidRPr="57220559">
        <w:rPr>
          <w:rFonts w:ascii="Book Antiqua" w:hAnsi="Book Antiqua"/>
        </w:rPr>
        <w:t xml:space="preserve">prior to </w:t>
      </w:r>
      <w:r w:rsidR="0021066B" w:rsidRPr="57220559">
        <w:rPr>
          <w:rFonts w:ascii="Book Antiqua" w:hAnsi="Book Antiqua"/>
        </w:rPr>
        <w:t xml:space="preserve">the </w:t>
      </w:r>
      <w:r w:rsidR="00DB1A2D" w:rsidRPr="57220559">
        <w:rPr>
          <w:rFonts w:ascii="Book Antiqua" w:hAnsi="Book Antiqua"/>
        </w:rPr>
        <w:t>trial</w:t>
      </w:r>
      <w:r w:rsidR="0021066B" w:rsidRPr="57220559">
        <w:rPr>
          <w:rFonts w:ascii="Book Antiqua" w:hAnsi="Book Antiqua"/>
        </w:rPr>
        <w:t xml:space="preserve"> date</w:t>
      </w:r>
      <w:r w:rsidR="008E3CD9" w:rsidRPr="57220559">
        <w:rPr>
          <w:rFonts w:ascii="Book Antiqua" w:hAnsi="Book Antiqua"/>
        </w:rPr>
        <w:t xml:space="preserve"> before </w:t>
      </w:r>
      <w:r w:rsidR="002D7793" w:rsidRPr="57220559">
        <w:rPr>
          <w:rFonts w:ascii="Book Antiqua" w:hAnsi="Book Antiqua"/>
        </w:rPr>
        <w:t xml:space="preserve">the </w:t>
      </w:r>
      <w:r w:rsidR="002D20F6" w:rsidRPr="57220559">
        <w:rPr>
          <w:rFonts w:ascii="Book Antiqua" w:hAnsi="Book Antiqua"/>
        </w:rPr>
        <w:t>T</w:t>
      </w:r>
      <w:r w:rsidR="002D7793" w:rsidRPr="57220559">
        <w:rPr>
          <w:rFonts w:ascii="Book Antiqua" w:hAnsi="Book Antiqua"/>
        </w:rPr>
        <w:t xml:space="preserve">rial </w:t>
      </w:r>
      <w:r w:rsidR="002D20F6" w:rsidRPr="57220559">
        <w:rPr>
          <w:rFonts w:ascii="Book Antiqua" w:hAnsi="Book Antiqua"/>
        </w:rPr>
        <w:t>J</w:t>
      </w:r>
      <w:r w:rsidR="002D7793" w:rsidRPr="57220559">
        <w:rPr>
          <w:rFonts w:ascii="Book Antiqua" w:hAnsi="Book Antiqua"/>
        </w:rPr>
        <w:t>udge</w:t>
      </w:r>
      <w:r w:rsidR="002D20F6" w:rsidRPr="57220559">
        <w:rPr>
          <w:rFonts w:ascii="Book Antiqua" w:hAnsi="Book Antiqua"/>
        </w:rPr>
        <w:t xml:space="preserve">. </w:t>
      </w:r>
      <w:r w:rsidR="0042112B" w:rsidRPr="57220559">
        <w:rPr>
          <w:rFonts w:ascii="Book Antiqua" w:hAnsi="Book Antiqua"/>
        </w:rPr>
        <w:t xml:space="preserve">The </w:t>
      </w:r>
      <w:r w:rsidR="00C20D1C" w:rsidRPr="57220559">
        <w:rPr>
          <w:rFonts w:ascii="Book Antiqua" w:hAnsi="Book Antiqua"/>
        </w:rPr>
        <w:t xml:space="preserve">Court </w:t>
      </w:r>
      <w:r w:rsidR="00CC67B2" w:rsidRPr="57220559">
        <w:rPr>
          <w:rFonts w:ascii="Book Antiqua" w:hAnsi="Book Antiqua"/>
        </w:rPr>
        <w:t xml:space="preserve">at this hearing </w:t>
      </w:r>
      <w:r w:rsidR="0042112B" w:rsidRPr="57220559">
        <w:rPr>
          <w:rFonts w:ascii="Book Antiqua" w:hAnsi="Book Antiqua"/>
        </w:rPr>
        <w:t xml:space="preserve">will ensure the trial is ready to proceed on the trial date.  </w:t>
      </w:r>
      <w:r w:rsidR="00546AE4" w:rsidRPr="57220559">
        <w:rPr>
          <w:rFonts w:ascii="Book Antiqua" w:hAnsi="Book Antiqua"/>
        </w:rPr>
        <w:t xml:space="preserve">The Court may also make directions in relation to </w:t>
      </w:r>
      <w:r w:rsidR="0008783F" w:rsidRPr="57220559">
        <w:rPr>
          <w:rFonts w:ascii="Book Antiqua" w:hAnsi="Book Antiqua"/>
        </w:rPr>
        <w:t xml:space="preserve">the filing of notices under the </w:t>
      </w:r>
      <w:r w:rsidR="0008783F" w:rsidRPr="57220559">
        <w:rPr>
          <w:rFonts w:ascii="Book Antiqua" w:hAnsi="Book Antiqua"/>
          <w:i/>
          <w:iCs/>
        </w:rPr>
        <w:t>Jury Directions Act 2015</w:t>
      </w:r>
      <w:r w:rsidR="005D1A62" w:rsidRPr="57220559">
        <w:rPr>
          <w:rFonts w:ascii="Book Antiqua" w:hAnsi="Book Antiqua"/>
          <w:i/>
          <w:iCs/>
        </w:rPr>
        <w:t>.</w:t>
      </w:r>
    </w:p>
    <w:p w14:paraId="301B1DB5" w14:textId="77777777" w:rsidR="00C20D1C" w:rsidRPr="001F3184" w:rsidRDefault="00C20D1C" w:rsidP="002D20F6">
      <w:pPr>
        <w:spacing w:before="120" w:after="120"/>
        <w:ind w:left="720" w:hanging="720"/>
        <w:jc w:val="both"/>
        <w:rPr>
          <w:rFonts w:ascii="Book Antiqua" w:hAnsi="Book Antiqua"/>
        </w:rPr>
      </w:pPr>
    </w:p>
    <w:p w14:paraId="7D9ED81E" w14:textId="08E2DC72" w:rsidR="00212F19" w:rsidRPr="00212F19" w:rsidRDefault="00761288" w:rsidP="00761288">
      <w:pPr>
        <w:pStyle w:val="Heading1"/>
        <w:numPr>
          <w:ilvl w:val="0"/>
          <w:numId w:val="0"/>
        </w:numPr>
      </w:pPr>
      <w:r>
        <w:t>10.</w:t>
      </w:r>
      <w:r>
        <w:tab/>
      </w:r>
      <w:r w:rsidR="00212F19" w:rsidRPr="00212F19">
        <w:t>CONTACT DETAILS</w:t>
      </w:r>
    </w:p>
    <w:p w14:paraId="51D5FBBF" w14:textId="32145486" w:rsidR="00212F19" w:rsidRPr="00F543D1" w:rsidRDefault="006B3618" w:rsidP="006B3618">
      <w:pPr>
        <w:pStyle w:val="Heading1"/>
        <w:numPr>
          <w:ilvl w:val="0"/>
          <w:numId w:val="0"/>
        </w:numPr>
        <w:ind w:left="720" w:hanging="720"/>
        <w:rPr>
          <w:b w:val="0"/>
          <w:bCs w:val="0"/>
          <w:caps w:val="0"/>
          <w:kern w:val="0"/>
          <w:szCs w:val="24"/>
        </w:rPr>
      </w:pPr>
      <w:r>
        <w:rPr>
          <w:b w:val="0"/>
          <w:bCs w:val="0"/>
          <w:caps w:val="0"/>
          <w:kern w:val="0"/>
          <w:szCs w:val="24"/>
        </w:rPr>
        <w:t>10.1</w:t>
      </w:r>
      <w:r>
        <w:rPr>
          <w:b w:val="0"/>
          <w:bCs w:val="0"/>
          <w:caps w:val="0"/>
          <w:kern w:val="0"/>
          <w:szCs w:val="24"/>
        </w:rPr>
        <w:tab/>
      </w:r>
      <w:r w:rsidR="00212F19" w:rsidRPr="00F543D1">
        <w:rPr>
          <w:b w:val="0"/>
          <w:bCs w:val="0"/>
          <w:caps w:val="0"/>
          <w:kern w:val="0"/>
          <w:szCs w:val="24"/>
        </w:rPr>
        <w:t xml:space="preserve">Any enquiries relating to the </w:t>
      </w:r>
      <w:r>
        <w:rPr>
          <w:b w:val="0"/>
          <w:bCs w:val="0"/>
          <w:caps w:val="0"/>
          <w:kern w:val="0"/>
          <w:szCs w:val="24"/>
        </w:rPr>
        <w:t xml:space="preserve">management of cases </w:t>
      </w:r>
      <w:r w:rsidR="00212F19" w:rsidRPr="00F543D1">
        <w:rPr>
          <w:b w:val="0"/>
          <w:bCs w:val="0"/>
          <w:caps w:val="0"/>
          <w:kern w:val="0"/>
          <w:szCs w:val="24"/>
        </w:rPr>
        <w:t xml:space="preserve">can be directed to the Criminal Division </w:t>
      </w:r>
      <w:r w:rsidR="00BF68F3">
        <w:rPr>
          <w:b w:val="0"/>
          <w:bCs w:val="0"/>
          <w:caps w:val="0"/>
          <w:kern w:val="0"/>
          <w:szCs w:val="24"/>
        </w:rPr>
        <w:t>L</w:t>
      </w:r>
      <w:r w:rsidR="00212F19" w:rsidRPr="00F543D1">
        <w:rPr>
          <w:b w:val="0"/>
          <w:bCs w:val="0"/>
          <w:caps w:val="0"/>
          <w:kern w:val="0"/>
          <w:szCs w:val="24"/>
        </w:rPr>
        <w:t>awyers:</w:t>
      </w:r>
    </w:p>
    <w:p w14:paraId="1927AA2D" w14:textId="1BC299D5" w:rsidR="00212F19" w:rsidRDefault="006B3618" w:rsidP="006B3618">
      <w:pPr>
        <w:pStyle w:val="Heading1"/>
        <w:numPr>
          <w:ilvl w:val="0"/>
          <w:numId w:val="0"/>
        </w:numPr>
        <w:ind w:firstLine="720"/>
        <w:rPr>
          <w:b w:val="0"/>
          <w:bCs w:val="0"/>
          <w:caps w:val="0"/>
          <w:kern w:val="0"/>
          <w:szCs w:val="24"/>
        </w:rPr>
      </w:pPr>
      <w:hyperlink r:id="rId12" w:history="1">
        <w:r w:rsidRPr="006C4337">
          <w:rPr>
            <w:rStyle w:val="Hyperlink"/>
            <w:b w:val="0"/>
            <w:bCs w:val="0"/>
            <w:caps w:val="0"/>
            <w:kern w:val="0"/>
            <w:szCs w:val="24"/>
          </w:rPr>
          <w:t>criminal.casemgmt@supcourt.vic.gov.au</w:t>
        </w:r>
      </w:hyperlink>
    </w:p>
    <w:p w14:paraId="21B84762" w14:textId="771F3182" w:rsidR="00212F19" w:rsidRPr="00F543D1" w:rsidRDefault="00212F19" w:rsidP="006B3618">
      <w:pPr>
        <w:pStyle w:val="Heading1"/>
        <w:numPr>
          <w:ilvl w:val="0"/>
          <w:numId w:val="0"/>
        </w:numPr>
        <w:ind w:left="360" w:firstLine="360"/>
        <w:rPr>
          <w:b w:val="0"/>
          <w:bCs w:val="0"/>
          <w:caps w:val="0"/>
          <w:kern w:val="0"/>
          <w:szCs w:val="24"/>
        </w:rPr>
      </w:pPr>
      <w:r w:rsidRPr="00F543D1">
        <w:rPr>
          <w:b w:val="0"/>
          <w:bCs w:val="0"/>
          <w:caps w:val="0"/>
          <w:kern w:val="0"/>
          <w:szCs w:val="24"/>
        </w:rPr>
        <w:t xml:space="preserve">(03) 8600 2059 </w:t>
      </w:r>
    </w:p>
    <w:p w14:paraId="019FAB6E" w14:textId="77777777" w:rsidR="0042112B" w:rsidRPr="00F05009" w:rsidRDefault="0042112B" w:rsidP="00F6042F">
      <w:pPr>
        <w:pStyle w:val="Heading1"/>
        <w:numPr>
          <w:ilvl w:val="0"/>
          <w:numId w:val="0"/>
        </w:numPr>
      </w:pPr>
    </w:p>
    <w:p w14:paraId="65803C9A" w14:textId="77777777" w:rsidR="0042112B" w:rsidRPr="00F05009" w:rsidRDefault="0042112B" w:rsidP="00F6042F">
      <w:pPr>
        <w:pStyle w:val="Heading1"/>
        <w:numPr>
          <w:ilvl w:val="0"/>
          <w:numId w:val="0"/>
        </w:numPr>
      </w:pPr>
      <w:r w:rsidRPr="00F05009">
        <w:t>AMENDMENT HISTORY</w:t>
      </w:r>
    </w:p>
    <w:p w14:paraId="2CA31878" w14:textId="77777777" w:rsidR="00524A42" w:rsidRDefault="00524A42" w:rsidP="0042112B">
      <w:pPr>
        <w:spacing w:before="120" w:after="120"/>
        <w:jc w:val="both"/>
        <w:rPr>
          <w:rFonts w:ascii="Book Antiqua" w:hAnsi="Book Antiqua"/>
        </w:rPr>
      </w:pPr>
      <w:r w:rsidRPr="00524A42">
        <w:rPr>
          <w:rFonts w:ascii="Book Antiqua" w:hAnsi="Book Antiqua"/>
        </w:rPr>
        <w:t xml:space="preserve">1 January 2017: This Practice Note was issued on 1 January 2017 and replaced former Practice Notes No. 6 of 2014 and No. 4 of 2010. </w:t>
      </w:r>
    </w:p>
    <w:p w14:paraId="246A81D5" w14:textId="1D6AFE1B" w:rsidR="00524A42" w:rsidRDefault="00524A42" w:rsidP="0042112B">
      <w:pPr>
        <w:spacing w:before="120" w:after="120"/>
        <w:jc w:val="both"/>
        <w:rPr>
          <w:rFonts w:ascii="Book Antiqua" w:hAnsi="Book Antiqua"/>
        </w:rPr>
      </w:pPr>
      <w:r w:rsidRPr="00524A42">
        <w:rPr>
          <w:rFonts w:ascii="Book Antiqua" w:hAnsi="Book Antiqua"/>
        </w:rPr>
        <w:t>1 January 2019: This Practice Note was revised on 1 January 2019.</w:t>
      </w:r>
    </w:p>
    <w:p w14:paraId="03A1CF25" w14:textId="6C472B1A" w:rsidR="0042112B" w:rsidRPr="001F3184" w:rsidRDefault="006E6BC8" w:rsidP="0042112B">
      <w:pPr>
        <w:spacing w:before="120" w:after="120"/>
        <w:jc w:val="both"/>
        <w:rPr>
          <w:rFonts w:ascii="Book Antiqua" w:hAnsi="Book Antiqua"/>
        </w:rPr>
      </w:pPr>
      <w:r>
        <w:rPr>
          <w:rFonts w:ascii="Book Antiqua" w:hAnsi="Book Antiqua"/>
        </w:rPr>
        <w:lastRenderedPageBreak/>
        <w:t>December 2025</w:t>
      </w:r>
      <w:r w:rsidR="0042112B" w:rsidRPr="001F3184">
        <w:rPr>
          <w:rFonts w:ascii="Book Antiqua" w:hAnsi="Book Antiqua"/>
        </w:rPr>
        <w:t xml:space="preserve">:  This Practice Note was </w:t>
      </w:r>
      <w:r w:rsidR="00524A42">
        <w:rPr>
          <w:rFonts w:ascii="Book Antiqua" w:hAnsi="Book Antiqua"/>
        </w:rPr>
        <w:t>re-</w:t>
      </w:r>
      <w:r w:rsidR="0042112B">
        <w:rPr>
          <w:rFonts w:ascii="Book Antiqua" w:hAnsi="Book Antiqua"/>
        </w:rPr>
        <w:t>issued</w:t>
      </w:r>
      <w:r w:rsidR="0042112B" w:rsidRPr="001F3184">
        <w:rPr>
          <w:rFonts w:ascii="Book Antiqua" w:hAnsi="Book Antiqua"/>
        </w:rPr>
        <w:t xml:space="preserve"> on </w:t>
      </w:r>
      <w:r>
        <w:rPr>
          <w:rFonts w:ascii="Book Antiqua" w:hAnsi="Book Antiqua"/>
        </w:rPr>
        <w:t xml:space="preserve">December 2025 and replaced </w:t>
      </w:r>
      <w:r w:rsidR="00607759">
        <w:rPr>
          <w:rFonts w:ascii="Book Antiqua" w:hAnsi="Book Antiqua"/>
        </w:rPr>
        <w:t>the previous SC CR 1</w:t>
      </w:r>
      <w:r w:rsidR="00566686">
        <w:rPr>
          <w:rFonts w:ascii="Book Antiqua" w:hAnsi="Book Antiqua"/>
        </w:rPr>
        <w:t xml:space="preserve"> </w:t>
      </w:r>
      <w:r w:rsidR="00F465B6">
        <w:rPr>
          <w:rFonts w:ascii="Book Antiqua" w:hAnsi="Book Antiqua"/>
        </w:rPr>
        <w:t>revised</w:t>
      </w:r>
      <w:r w:rsidR="00566686">
        <w:rPr>
          <w:rFonts w:ascii="Book Antiqua" w:hAnsi="Book Antiqua"/>
        </w:rPr>
        <w:t xml:space="preserve"> </w:t>
      </w:r>
      <w:r w:rsidR="00E81AA3">
        <w:rPr>
          <w:rFonts w:ascii="Book Antiqua" w:hAnsi="Book Antiqua"/>
        </w:rPr>
        <w:t xml:space="preserve">1 January </w:t>
      </w:r>
      <w:r w:rsidR="00F465B6">
        <w:rPr>
          <w:rFonts w:ascii="Book Antiqua" w:hAnsi="Book Antiqua"/>
        </w:rPr>
        <w:t>2019</w:t>
      </w:r>
      <w:r w:rsidR="00524A42">
        <w:rPr>
          <w:rFonts w:ascii="Book Antiqua" w:hAnsi="Book Antiqua"/>
        </w:rPr>
        <w:t>.</w:t>
      </w:r>
      <w:r w:rsidR="00607759">
        <w:rPr>
          <w:rFonts w:ascii="Book Antiqua" w:hAnsi="Book Antiqua"/>
        </w:rPr>
        <w:t xml:space="preserve"> </w:t>
      </w:r>
      <w:r w:rsidR="00524A42">
        <w:rPr>
          <w:rFonts w:ascii="Book Antiqua" w:hAnsi="Book Antiqua"/>
        </w:rPr>
        <w:t xml:space="preserve">It also replaced Practice Notes </w:t>
      </w:r>
      <w:r w:rsidR="00607759">
        <w:rPr>
          <w:rFonts w:ascii="Book Antiqua" w:hAnsi="Book Antiqua"/>
        </w:rPr>
        <w:t xml:space="preserve">SC CR 8 </w:t>
      </w:r>
      <w:r w:rsidR="00F951EF">
        <w:rPr>
          <w:rFonts w:ascii="Book Antiqua" w:hAnsi="Book Antiqua"/>
        </w:rPr>
        <w:t>issued 1 January 2019</w:t>
      </w:r>
      <w:r w:rsidR="00F53489">
        <w:rPr>
          <w:rFonts w:ascii="Book Antiqua" w:hAnsi="Book Antiqua"/>
        </w:rPr>
        <w:t xml:space="preserve">, SC CR 9 issued 29 </w:t>
      </w:r>
      <w:r w:rsidR="00524A42">
        <w:rPr>
          <w:rFonts w:ascii="Book Antiqua" w:hAnsi="Book Antiqua"/>
        </w:rPr>
        <w:t>A</w:t>
      </w:r>
      <w:r w:rsidR="00F53489">
        <w:rPr>
          <w:rFonts w:ascii="Book Antiqua" w:hAnsi="Book Antiqua"/>
        </w:rPr>
        <w:t>ugust 2019</w:t>
      </w:r>
      <w:r w:rsidR="00F951EF">
        <w:rPr>
          <w:rFonts w:ascii="Book Antiqua" w:hAnsi="Book Antiqua"/>
        </w:rPr>
        <w:t xml:space="preserve"> </w:t>
      </w:r>
      <w:r w:rsidR="00607759">
        <w:rPr>
          <w:rFonts w:ascii="Book Antiqua" w:hAnsi="Book Antiqua"/>
        </w:rPr>
        <w:t>and SC CR 12</w:t>
      </w:r>
      <w:r w:rsidR="00357822">
        <w:rPr>
          <w:rFonts w:ascii="Book Antiqua" w:hAnsi="Book Antiqua"/>
        </w:rPr>
        <w:t xml:space="preserve"> issued 29 May 2025</w:t>
      </w:r>
      <w:r w:rsidR="003806D2">
        <w:rPr>
          <w:rFonts w:ascii="Book Antiqua" w:hAnsi="Book Antiqua"/>
        </w:rPr>
        <w:t xml:space="preserve"> each of which is now revoked.</w:t>
      </w:r>
    </w:p>
    <w:p w14:paraId="71946C4B" w14:textId="77777777" w:rsidR="0042112B" w:rsidRPr="001F3184" w:rsidRDefault="0042112B" w:rsidP="0042112B">
      <w:pPr>
        <w:spacing w:before="120" w:after="120"/>
        <w:jc w:val="both"/>
        <w:rPr>
          <w:rFonts w:ascii="Book Antiqua" w:hAnsi="Book Antiqua"/>
        </w:rPr>
      </w:pPr>
    </w:p>
    <w:p w14:paraId="660B7FBE" w14:textId="65A01D4F" w:rsidR="0042112B" w:rsidRPr="001F3184" w:rsidRDefault="0042112B" w:rsidP="0042112B">
      <w:pPr>
        <w:spacing w:before="120" w:after="120"/>
        <w:ind w:left="720" w:hanging="720"/>
        <w:jc w:val="right"/>
        <w:rPr>
          <w:rFonts w:ascii="Book Antiqua" w:hAnsi="Book Antiqua"/>
        </w:rPr>
      </w:pPr>
      <w:r w:rsidRPr="001F3184">
        <w:rPr>
          <w:rFonts w:ascii="Book Antiqua" w:hAnsi="Book Antiqua"/>
        </w:rPr>
        <w:t>Vivienne Ma</w:t>
      </w:r>
      <w:r w:rsidR="00357822">
        <w:rPr>
          <w:rFonts w:ascii="Book Antiqua" w:hAnsi="Book Antiqua"/>
        </w:rPr>
        <w:t>hy</w:t>
      </w:r>
    </w:p>
    <w:p w14:paraId="623077A9" w14:textId="77777777" w:rsidR="0042112B" w:rsidRPr="001F3184" w:rsidRDefault="0042112B" w:rsidP="0042112B">
      <w:pPr>
        <w:spacing w:before="120" w:after="120"/>
        <w:ind w:left="720" w:hanging="720"/>
        <w:jc w:val="right"/>
        <w:rPr>
          <w:rFonts w:ascii="Book Antiqua" w:hAnsi="Book Antiqua"/>
        </w:rPr>
      </w:pPr>
      <w:r w:rsidRPr="001F3184">
        <w:rPr>
          <w:rFonts w:ascii="Book Antiqua" w:hAnsi="Book Antiqua"/>
        </w:rPr>
        <w:t>Executive Associate to the Chief Justice</w:t>
      </w:r>
    </w:p>
    <w:p w14:paraId="786B6DDA" w14:textId="6BE17DBE" w:rsidR="0042112B" w:rsidRPr="001F3184" w:rsidRDefault="00E0075F" w:rsidP="0042112B">
      <w:pPr>
        <w:spacing w:before="120" w:after="120"/>
        <w:ind w:left="720" w:hanging="720"/>
        <w:jc w:val="right"/>
        <w:rPr>
          <w:rFonts w:ascii="Book Antiqua" w:hAnsi="Book Antiqua"/>
        </w:rPr>
      </w:pPr>
      <w:r>
        <w:rPr>
          <w:rFonts w:ascii="Book Antiqua" w:hAnsi="Book Antiqua"/>
        </w:rPr>
        <w:t xml:space="preserve"> 22 </w:t>
      </w:r>
      <w:r w:rsidR="00357822">
        <w:rPr>
          <w:rFonts w:ascii="Book Antiqua" w:hAnsi="Book Antiqua"/>
        </w:rPr>
        <w:t>December 2025</w:t>
      </w:r>
    </w:p>
    <w:p w14:paraId="444B7439" w14:textId="0250011D" w:rsidR="00EB2381" w:rsidRDefault="00EB2381" w:rsidP="00D86912">
      <w:pPr>
        <w:jc w:val="both"/>
      </w:pPr>
    </w:p>
    <w:sectPr w:rsidR="00EB2381" w:rsidSect="003817C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5BB8C" w14:textId="77777777" w:rsidR="006A2BC8" w:rsidRDefault="006A2BC8">
      <w:r>
        <w:separator/>
      </w:r>
    </w:p>
  </w:endnote>
  <w:endnote w:type="continuationSeparator" w:id="0">
    <w:p w14:paraId="2AE4373F" w14:textId="77777777" w:rsidR="006A2BC8" w:rsidRDefault="006A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8E46" w14:textId="77777777" w:rsidR="00E56D7D" w:rsidRDefault="00E5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97F7" w14:textId="7D141050" w:rsidR="00EB2381" w:rsidRDefault="0042112B">
    <w:pPr>
      <w:pStyle w:val="Footer"/>
      <w:jc w:val="right"/>
    </w:pPr>
    <w:r>
      <w:fldChar w:fldCharType="begin"/>
    </w:r>
    <w:r>
      <w:instrText xml:space="preserve"> PAGE   \* MERGEFORMAT </w:instrText>
    </w:r>
    <w:r>
      <w:fldChar w:fldCharType="separate"/>
    </w:r>
    <w:r w:rsidR="0025741E">
      <w:rPr>
        <w:noProof/>
      </w:rPr>
      <w:t>1</w:t>
    </w:r>
    <w:r>
      <w:rPr>
        <w:noProof/>
      </w:rPr>
      <w:fldChar w:fldCharType="end"/>
    </w:r>
  </w:p>
  <w:p w14:paraId="3AC7A8D6" w14:textId="77777777" w:rsidR="00EB2381" w:rsidRDefault="00EB2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7477F" w14:textId="77777777" w:rsidR="00E56D7D" w:rsidRDefault="00E5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1E097" w14:textId="77777777" w:rsidR="006A2BC8" w:rsidRDefault="006A2BC8">
      <w:r>
        <w:separator/>
      </w:r>
    </w:p>
  </w:footnote>
  <w:footnote w:type="continuationSeparator" w:id="0">
    <w:p w14:paraId="2BB3A3EC" w14:textId="77777777" w:rsidR="006A2BC8" w:rsidRDefault="006A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58C" w14:textId="77777777" w:rsidR="00E56D7D" w:rsidRDefault="00E56D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0D79" w14:textId="2236D96E" w:rsidR="00EB2381" w:rsidRDefault="00EB2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E992" w14:textId="77777777" w:rsidR="00E56D7D" w:rsidRDefault="00E56D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A8C"/>
    <w:multiLevelType w:val="multilevel"/>
    <w:tmpl w:val="9CE6A636"/>
    <w:lvl w:ilvl="0">
      <w:start w:val="1"/>
      <w:numFmt w:val="decimal"/>
      <w:pStyle w:val="Heading1"/>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D2B6CC6"/>
    <w:multiLevelType w:val="hybridMultilevel"/>
    <w:tmpl w:val="749AC7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F8A5B9B"/>
    <w:multiLevelType w:val="hybridMultilevel"/>
    <w:tmpl w:val="06E28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36128B"/>
    <w:multiLevelType w:val="multilevel"/>
    <w:tmpl w:val="69764D62"/>
    <w:lvl w:ilvl="0">
      <w:start w:val="7"/>
      <w:numFmt w:val="decimal"/>
      <w:lvlText w:val="%1."/>
      <w:lvlJc w:val="left"/>
      <w:pPr>
        <w:ind w:left="720" w:hanging="720"/>
      </w:pPr>
      <w:rPr>
        <w:rFonts w:hint="default"/>
      </w:rPr>
    </w:lvl>
    <w:lvl w:ilvl="1">
      <w:start w:val="1"/>
      <w:numFmt w:val="decimal"/>
      <w:isLgl/>
      <w:lvlText w:val="7.%2"/>
      <w:lvlJc w:val="left"/>
      <w:pPr>
        <w:ind w:left="360" w:hanging="360"/>
      </w:pPr>
      <w:rPr>
        <w:rFonts w:hint="default"/>
      </w:rPr>
    </w:lvl>
    <w:lvl w:ilvl="2">
      <w:start w:val="1"/>
      <w:numFmt w:val="decimal"/>
      <w:isLgl/>
      <w:lvlText w:val="6.%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8690147"/>
    <w:multiLevelType w:val="hybridMultilevel"/>
    <w:tmpl w:val="770C7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F5E422B"/>
    <w:multiLevelType w:val="multilevel"/>
    <w:tmpl w:val="753855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BD446D0"/>
    <w:multiLevelType w:val="hybridMultilevel"/>
    <w:tmpl w:val="C7628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C6660B"/>
    <w:multiLevelType w:val="multilevel"/>
    <w:tmpl w:val="617C719C"/>
    <w:lvl w:ilvl="0">
      <w:start w:val="3"/>
      <w:numFmt w:val="decimal"/>
      <w:lvlText w:val="%1."/>
      <w:lvlJc w:val="left"/>
      <w:pPr>
        <w:ind w:left="720" w:hanging="720"/>
      </w:pPr>
    </w:lvl>
    <w:lvl w:ilvl="1">
      <w:start w:val="1"/>
      <w:numFmt w:val="decimal"/>
      <w:isLgl/>
      <w:lvlText w:val="9.%2"/>
      <w:lvlJc w:val="left"/>
      <w:pPr>
        <w:ind w:left="360" w:hanging="360"/>
      </w:pPr>
    </w:lvl>
    <w:lvl w:ilvl="2">
      <w:start w:val="1"/>
      <w:numFmt w:val="decimal"/>
      <w:isLgl/>
      <w:lvlText w:val="8.%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5BA5079D"/>
    <w:multiLevelType w:val="hybridMultilevel"/>
    <w:tmpl w:val="6582BAF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9C60DB3"/>
    <w:multiLevelType w:val="multilevel"/>
    <w:tmpl w:val="257ED3B6"/>
    <w:lvl w:ilvl="0">
      <w:start w:val="3"/>
      <w:numFmt w:val="decimal"/>
      <w:lvlText w:val="%1."/>
      <w:lvlJc w:val="left"/>
      <w:pPr>
        <w:ind w:left="720" w:hanging="720"/>
      </w:pPr>
    </w:lvl>
    <w:lvl w:ilvl="1">
      <w:start w:val="1"/>
      <w:numFmt w:val="decimal"/>
      <w:isLgl/>
      <w:lvlText w:val="8.%2"/>
      <w:lvlJc w:val="left"/>
      <w:pPr>
        <w:ind w:left="360" w:hanging="360"/>
      </w:pPr>
    </w:lvl>
    <w:lvl w:ilvl="2">
      <w:start w:val="1"/>
      <w:numFmt w:val="decimal"/>
      <w:isLgl/>
      <w:lvlText w:val="8.%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69F35DE4"/>
    <w:multiLevelType w:val="multilevel"/>
    <w:tmpl w:val="386CD926"/>
    <w:lvl w:ilvl="0">
      <w:start w:val="3"/>
      <w:numFmt w:val="decimal"/>
      <w:lvlText w:val="%1."/>
      <w:lvlJc w:val="left"/>
      <w:pPr>
        <w:ind w:left="720" w:hanging="720"/>
      </w:pPr>
    </w:lvl>
    <w:lvl w:ilvl="1">
      <w:start w:val="1"/>
      <w:numFmt w:val="decimal"/>
      <w:isLgl/>
      <w:lvlText w:val="6.%2"/>
      <w:lvlJc w:val="left"/>
      <w:pPr>
        <w:ind w:left="360" w:hanging="360"/>
      </w:pPr>
    </w:lvl>
    <w:lvl w:ilvl="2">
      <w:start w:val="1"/>
      <w:numFmt w:val="decimal"/>
      <w:isLgl/>
      <w:lvlText w:val="6.%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6F00168D"/>
    <w:multiLevelType w:val="hybridMultilevel"/>
    <w:tmpl w:val="9E0CAAB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2" w15:restartNumberingAfterBreak="0">
    <w:nsid w:val="724C1EFF"/>
    <w:multiLevelType w:val="hybridMultilevel"/>
    <w:tmpl w:val="B4383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EC3742"/>
    <w:multiLevelType w:val="hybridMultilevel"/>
    <w:tmpl w:val="5DE8F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13948426">
    <w:abstractNumId w:val="5"/>
  </w:num>
  <w:num w:numId="2" w16cid:durableId="1455559873">
    <w:abstractNumId w:val="0"/>
  </w:num>
  <w:num w:numId="3" w16cid:durableId="730537201">
    <w:abstractNumId w:val="13"/>
  </w:num>
  <w:num w:numId="4" w16cid:durableId="1162160312">
    <w:abstractNumId w:val="12"/>
  </w:num>
  <w:num w:numId="5" w16cid:durableId="1823234488">
    <w:abstractNumId w:val="2"/>
  </w:num>
  <w:num w:numId="6" w16cid:durableId="1940671562">
    <w:abstractNumId w:val="4"/>
  </w:num>
  <w:num w:numId="7" w16cid:durableId="1848400253">
    <w:abstractNumId w:val="6"/>
  </w:num>
  <w:num w:numId="8" w16cid:durableId="144612089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4734877">
    <w:abstractNumId w:val="11"/>
  </w:num>
  <w:num w:numId="10" w16cid:durableId="1787652439">
    <w:abstractNumId w:val="0"/>
  </w:num>
  <w:num w:numId="11" w16cid:durableId="1626696890">
    <w:abstractNumId w:val="0"/>
  </w:num>
  <w:num w:numId="12" w16cid:durableId="123430735">
    <w:abstractNumId w:val="3"/>
  </w:num>
  <w:num w:numId="13" w16cid:durableId="101923492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72835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707948">
    <w:abstractNumId w:val="1"/>
  </w:num>
  <w:num w:numId="16" w16cid:durableId="363216731">
    <w:abstractNumId w:val="0"/>
  </w:num>
  <w:num w:numId="17" w16cid:durableId="1070231967">
    <w:abstractNumId w:val="0"/>
  </w:num>
  <w:num w:numId="18" w16cid:durableId="2084911005">
    <w:abstractNumId w:val="0"/>
  </w:num>
  <w:num w:numId="19" w16cid:durableId="1337536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2B"/>
    <w:rsid w:val="00004ED9"/>
    <w:rsid w:val="00006073"/>
    <w:rsid w:val="00012228"/>
    <w:rsid w:val="00021601"/>
    <w:rsid w:val="00023DF1"/>
    <w:rsid w:val="000270A0"/>
    <w:rsid w:val="00033034"/>
    <w:rsid w:val="0003600C"/>
    <w:rsid w:val="000403F1"/>
    <w:rsid w:val="00046B63"/>
    <w:rsid w:val="00050535"/>
    <w:rsid w:val="0005239E"/>
    <w:rsid w:val="00062170"/>
    <w:rsid w:val="000645B0"/>
    <w:rsid w:val="00065E0A"/>
    <w:rsid w:val="00074422"/>
    <w:rsid w:val="0007743C"/>
    <w:rsid w:val="00081F54"/>
    <w:rsid w:val="0008783F"/>
    <w:rsid w:val="00093DE1"/>
    <w:rsid w:val="000979BB"/>
    <w:rsid w:val="000C0CEF"/>
    <w:rsid w:val="000C0DFE"/>
    <w:rsid w:val="000C40B3"/>
    <w:rsid w:val="000C4759"/>
    <w:rsid w:val="000D12D2"/>
    <w:rsid w:val="000D1D1A"/>
    <w:rsid w:val="000D215C"/>
    <w:rsid w:val="000D766A"/>
    <w:rsid w:val="000E0374"/>
    <w:rsid w:val="000E201D"/>
    <w:rsid w:val="000F49DE"/>
    <w:rsid w:val="00101F04"/>
    <w:rsid w:val="00106676"/>
    <w:rsid w:val="00112387"/>
    <w:rsid w:val="00114591"/>
    <w:rsid w:val="0011579C"/>
    <w:rsid w:val="001317E1"/>
    <w:rsid w:val="00134C8E"/>
    <w:rsid w:val="001413A6"/>
    <w:rsid w:val="001645ED"/>
    <w:rsid w:val="001679A3"/>
    <w:rsid w:val="00173759"/>
    <w:rsid w:val="00174FA6"/>
    <w:rsid w:val="00182C02"/>
    <w:rsid w:val="0018550E"/>
    <w:rsid w:val="0019469B"/>
    <w:rsid w:val="001D76E2"/>
    <w:rsid w:val="001E1E41"/>
    <w:rsid w:val="001F0B01"/>
    <w:rsid w:val="001F68F9"/>
    <w:rsid w:val="0021066B"/>
    <w:rsid w:val="00212F19"/>
    <w:rsid w:val="002133BE"/>
    <w:rsid w:val="00214007"/>
    <w:rsid w:val="002173A6"/>
    <w:rsid w:val="0022394B"/>
    <w:rsid w:val="002272E2"/>
    <w:rsid w:val="00231246"/>
    <w:rsid w:val="002436DF"/>
    <w:rsid w:val="00247788"/>
    <w:rsid w:val="00250A2D"/>
    <w:rsid w:val="0025741E"/>
    <w:rsid w:val="00270280"/>
    <w:rsid w:val="00284872"/>
    <w:rsid w:val="002901CF"/>
    <w:rsid w:val="002A1761"/>
    <w:rsid w:val="002A23CB"/>
    <w:rsid w:val="002C0A39"/>
    <w:rsid w:val="002C1B56"/>
    <w:rsid w:val="002C1DA8"/>
    <w:rsid w:val="002D20F6"/>
    <w:rsid w:val="002D7793"/>
    <w:rsid w:val="002E1ECC"/>
    <w:rsid w:val="002E6832"/>
    <w:rsid w:val="002F19FA"/>
    <w:rsid w:val="002F5750"/>
    <w:rsid w:val="0030371A"/>
    <w:rsid w:val="00304A68"/>
    <w:rsid w:val="00311A20"/>
    <w:rsid w:val="00312FCE"/>
    <w:rsid w:val="0031372F"/>
    <w:rsid w:val="0031746F"/>
    <w:rsid w:val="003204FE"/>
    <w:rsid w:val="00334C52"/>
    <w:rsid w:val="00342249"/>
    <w:rsid w:val="00343F4D"/>
    <w:rsid w:val="003446BC"/>
    <w:rsid w:val="00346874"/>
    <w:rsid w:val="00357822"/>
    <w:rsid w:val="0037089F"/>
    <w:rsid w:val="00374B5B"/>
    <w:rsid w:val="0037673B"/>
    <w:rsid w:val="00377944"/>
    <w:rsid w:val="003806D2"/>
    <w:rsid w:val="00382B85"/>
    <w:rsid w:val="00382D44"/>
    <w:rsid w:val="003846E9"/>
    <w:rsid w:val="00384DB6"/>
    <w:rsid w:val="00385E8B"/>
    <w:rsid w:val="00394B8E"/>
    <w:rsid w:val="0039794A"/>
    <w:rsid w:val="003A0230"/>
    <w:rsid w:val="003C128B"/>
    <w:rsid w:val="003C447D"/>
    <w:rsid w:val="003C6177"/>
    <w:rsid w:val="003D11B3"/>
    <w:rsid w:val="003D2F61"/>
    <w:rsid w:val="003E3402"/>
    <w:rsid w:val="003E3F25"/>
    <w:rsid w:val="004015C6"/>
    <w:rsid w:val="0040567A"/>
    <w:rsid w:val="00405C50"/>
    <w:rsid w:val="00416B42"/>
    <w:rsid w:val="0042112B"/>
    <w:rsid w:val="00431616"/>
    <w:rsid w:val="00431727"/>
    <w:rsid w:val="004336B9"/>
    <w:rsid w:val="0043781F"/>
    <w:rsid w:val="00437926"/>
    <w:rsid w:val="004403ED"/>
    <w:rsid w:val="0044347A"/>
    <w:rsid w:val="00452406"/>
    <w:rsid w:val="00467147"/>
    <w:rsid w:val="00482FFF"/>
    <w:rsid w:val="00487F5F"/>
    <w:rsid w:val="004978BB"/>
    <w:rsid w:val="004A5D95"/>
    <w:rsid w:val="004B19E1"/>
    <w:rsid w:val="004B31DC"/>
    <w:rsid w:val="004C08E6"/>
    <w:rsid w:val="004C1A65"/>
    <w:rsid w:val="004C38E0"/>
    <w:rsid w:val="004C4D6D"/>
    <w:rsid w:val="004C6A49"/>
    <w:rsid w:val="004D0E82"/>
    <w:rsid w:val="004E1B1F"/>
    <w:rsid w:val="004E1BAA"/>
    <w:rsid w:val="004E1C4E"/>
    <w:rsid w:val="004E335A"/>
    <w:rsid w:val="004E4292"/>
    <w:rsid w:val="004E4680"/>
    <w:rsid w:val="004F7894"/>
    <w:rsid w:val="00502B03"/>
    <w:rsid w:val="00520F1D"/>
    <w:rsid w:val="00523984"/>
    <w:rsid w:val="00524A42"/>
    <w:rsid w:val="00526389"/>
    <w:rsid w:val="00526CDC"/>
    <w:rsid w:val="00537C04"/>
    <w:rsid w:val="00542783"/>
    <w:rsid w:val="005458F6"/>
    <w:rsid w:val="00546AE4"/>
    <w:rsid w:val="00551175"/>
    <w:rsid w:val="00552FAB"/>
    <w:rsid w:val="005536FE"/>
    <w:rsid w:val="00556047"/>
    <w:rsid w:val="00563553"/>
    <w:rsid w:val="00564245"/>
    <w:rsid w:val="00566686"/>
    <w:rsid w:val="00583294"/>
    <w:rsid w:val="005832BB"/>
    <w:rsid w:val="0058442A"/>
    <w:rsid w:val="005A24E1"/>
    <w:rsid w:val="005A7426"/>
    <w:rsid w:val="005C3FFD"/>
    <w:rsid w:val="005D011A"/>
    <w:rsid w:val="005D035B"/>
    <w:rsid w:val="005D1A62"/>
    <w:rsid w:val="005D1B39"/>
    <w:rsid w:val="005D5570"/>
    <w:rsid w:val="005E4798"/>
    <w:rsid w:val="005E4D23"/>
    <w:rsid w:val="005F0990"/>
    <w:rsid w:val="005F4FBC"/>
    <w:rsid w:val="006004DA"/>
    <w:rsid w:val="00602212"/>
    <w:rsid w:val="00604754"/>
    <w:rsid w:val="006074D2"/>
    <w:rsid w:val="00607759"/>
    <w:rsid w:val="00612CB4"/>
    <w:rsid w:val="00613A23"/>
    <w:rsid w:val="00615C7A"/>
    <w:rsid w:val="00630920"/>
    <w:rsid w:val="006437F4"/>
    <w:rsid w:val="00656576"/>
    <w:rsid w:val="0066563A"/>
    <w:rsid w:val="00680268"/>
    <w:rsid w:val="0068744C"/>
    <w:rsid w:val="00693671"/>
    <w:rsid w:val="006A14A0"/>
    <w:rsid w:val="006A2BC8"/>
    <w:rsid w:val="006B3618"/>
    <w:rsid w:val="006C0689"/>
    <w:rsid w:val="006C37B1"/>
    <w:rsid w:val="006D01A3"/>
    <w:rsid w:val="006D1E6F"/>
    <w:rsid w:val="006D2A10"/>
    <w:rsid w:val="006D3CF5"/>
    <w:rsid w:val="006E2C08"/>
    <w:rsid w:val="006E6BC8"/>
    <w:rsid w:val="006E7C7F"/>
    <w:rsid w:val="00700AAA"/>
    <w:rsid w:val="007020E1"/>
    <w:rsid w:val="007026A2"/>
    <w:rsid w:val="00711675"/>
    <w:rsid w:val="00715193"/>
    <w:rsid w:val="00734BA4"/>
    <w:rsid w:val="0075624B"/>
    <w:rsid w:val="00760A4E"/>
    <w:rsid w:val="007611E4"/>
    <w:rsid w:val="00761288"/>
    <w:rsid w:val="007630C0"/>
    <w:rsid w:val="00766AC1"/>
    <w:rsid w:val="0078549E"/>
    <w:rsid w:val="007A24B8"/>
    <w:rsid w:val="007A31BA"/>
    <w:rsid w:val="007A367B"/>
    <w:rsid w:val="007C3E33"/>
    <w:rsid w:val="007C4C20"/>
    <w:rsid w:val="007E57CB"/>
    <w:rsid w:val="007F1228"/>
    <w:rsid w:val="007F27BF"/>
    <w:rsid w:val="007F463B"/>
    <w:rsid w:val="007F6826"/>
    <w:rsid w:val="007F7A44"/>
    <w:rsid w:val="00803017"/>
    <w:rsid w:val="00812E92"/>
    <w:rsid w:val="00833C65"/>
    <w:rsid w:val="00841C08"/>
    <w:rsid w:val="00847A12"/>
    <w:rsid w:val="00853FB0"/>
    <w:rsid w:val="0085510C"/>
    <w:rsid w:val="008555A3"/>
    <w:rsid w:val="00856F15"/>
    <w:rsid w:val="00857BE7"/>
    <w:rsid w:val="00863680"/>
    <w:rsid w:val="008667D2"/>
    <w:rsid w:val="0086766B"/>
    <w:rsid w:val="0086789E"/>
    <w:rsid w:val="00871D8F"/>
    <w:rsid w:val="00872C74"/>
    <w:rsid w:val="00873399"/>
    <w:rsid w:val="008802EE"/>
    <w:rsid w:val="00882292"/>
    <w:rsid w:val="008A12BB"/>
    <w:rsid w:val="008A2E0B"/>
    <w:rsid w:val="008A5910"/>
    <w:rsid w:val="008C378D"/>
    <w:rsid w:val="008C43F4"/>
    <w:rsid w:val="008E3C04"/>
    <w:rsid w:val="008E3CD9"/>
    <w:rsid w:val="008F0E1D"/>
    <w:rsid w:val="009161CE"/>
    <w:rsid w:val="009241CC"/>
    <w:rsid w:val="00924A78"/>
    <w:rsid w:val="00927A6F"/>
    <w:rsid w:val="00946723"/>
    <w:rsid w:val="009471A7"/>
    <w:rsid w:val="0095667E"/>
    <w:rsid w:val="0097585D"/>
    <w:rsid w:val="009766CD"/>
    <w:rsid w:val="0098144B"/>
    <w:rsid w:val="00996796"/>
    <w:rsid w:val="009A226D"/>
    <w:rsid w:val="009B0F24"/>
    <w:rsid w:val="009B2B67"/>
    <w:rsid w:val="009C5E2F"/>
    <w:rsid w:val="009C5F26"/>
    <w:rsid w:val="009D34A2"/>
    <w:rsid w:val="009E12A2"/>
    <w:rsid w:val="009E2A78"/>
    <w:rsid w:val="00A10D49"/>
    <w:rsid w:val="00A20779"/>
    <w:rsid w:val="00A23C7A"/>
    <w:rsid w:val="00A23FC4"/>
    <w:rsid w:val="00A2571E"/>
    <w:rsid w:val="00A35606"/>
    <w:rsid w:val="00A3748D"/>
    <w:rsid w:val="00A56462"/>
    <w:rsid w:val="00A818FF"/>
    <w:rsid w:val="00A87157"/>
    <w:rsid w:val="00A96904"/>
    <w:rsid w:val="00A97EE3"/>
    <w:rsid w:val="00AA5F81"/>
    <w:rsid w:val="00AB6F4C"/>
    <w:rsid w:val="00AB7BBA"/>
    <w:rsid w:val="00AC1733"/>
    <w:rsid w:val="00AC2C25"/>
    <w:rsid w:val="00AC34D5"/>
    <w:rsid w:val="00AC3FBB"/>
    <w:rsid w:val="00AE037A"/>
    <w:rsid w:val="00AE1BC8"/>
    <w:rsid w:val="00AE30CE"/>
    <w:rsid w:val="00AF0140"/>
    <w:rsid w:val="00AF22D5"/>
    <w:rsid w:val="00AF3526"/>
    <w:rsid w:val="00B1104D"/>
    <w:rsid w:val="00B20DE3"/>
    <w:rsid w:val="00B316D1"/>
    <w:rsid w:val="00B640B1"/>
    <w:rsid w:val="00B708B0"/>
    <w:rsid w:val="00B83070"/>
    <w:rsid w:val="00B94D8D"/>
    <w:rsid w:val="00BD7BE9"/>
    <w:rsid w:val="00BE1C8D"/>
    <w:rsid w:val="00BF202D"/>
    <w:rsid w:val="00BF68F3"/>
    <w:rsid w:val="00C02D02"/>
    <w:rsid w:val="00C043A6"/>
    <w:rsid w:val="00C06EC6"/>
    <w:rsid w:val="00C12A85"/>
    <w:rsid w:val="00C20D1C"/>
    <w:rsid w:val="00C2143B"/>
    <w:rsid w:val="00C21D4F"/>
    <w:rsid w:val="00C3314B"/>
    <w:rsid w:val="00C46CCE"/>
    <w:rsid w:val="00C50203"/>
    <w:rsid w:val="00C54EA0"/>
    <w:rsid w:val="00C578A0"/>
    <w:rsid w:val="00C6094F"/>
    <w:rsid w:val="00C73D04"/>
    <w:rsid w:val="00C75E8F"/>
    <w:rsid w:val="00C7798A"/>
    <w:rsid w:val="00C817D4"/>
    <w:rsid w:val="00C82177"/>
    <w:rsid w:val="00C87D80"/>
    <w:rsid w:val="00C92614"/>
    <w:rsid w:val="00CA57B8"/>
    <w:rsid w:val="00CA7711"/>
    <w:rsid w:val="00CB561B"/>
    <w:rsid w:val="00CC405E"/>
    <w:rsid w:val="00CC67B2"/>
    <w:rsid w:val="00CE2F24"/>
    <w:rsid w:val="00CE50A4"/>
    <w:rsid w:val="00CF0238"/>
    <w:rsid w:val="00CF389F"/>
    <w:rsid w:val="00CF500B"/>
    <w:rsid w:val="00D0038D"/>
    <w:rsid w:val="00D018FF"/>
    <w:rsid w:val="00D23AC4"/>
    <w:rsid w:val="00D3076D"/>
    <w:rsid w:val="00D3191A"/>
    <w:rsid w:val="00D500CD"/>
    <w:rsid w:val="00D503BE"/>
    <w:rsid w:val="00D52329"/>
    <w:rsid w:val="00D54F4D"/>
    <w:rsid w:val="00D57057"/>
    <w:rsid w:val="00D6103C"/>
    <w:rsid w:val="00D62FB2"/>
    <w:rsid w:val="00D64F07"/>
    <w:rsid w:val="00D77727"/>
    <w:rsid w:val="00D83ED6"/>
    <w:rsid w:val="00D86912"/>
    <w:rsid w:val="00D944CC"/>
    <w:rsid w:val="00DA0F8A"/>
    <w:rsid w:val="00DA652C"/>
    <w:rsid w:val="00DB1A2D"/>
    <w:rsid w:val="00DB457D"/>
    <w:rsid w:val="00DC18B6"/>
    <w:rsid w:val="00DD2138"/>
    <w:rsid w:val="00DD413C"/>
    <w:rsid w:val="00DE7259"/>
    <w:rsid w:val="00DF1B53"/>
    <w:rsid w:val="00DF2255"/>
    <w:rsid w:val="00DF5801"/>
    <w:rsid w:val="00E0075F"/>
    <w:rsid w:val="00E0401F"/>
    <w:rsid w:val="00E1067E"/>
    <w:rsid w:val="00E10DEB"/>
    <w:rsid w:val="00E14539"/>
    <w:rsid w:val="00E220EA"/>
    <w:rsid w:val="00E31377"/>
    <w:rsid w:val="00E353CB"/>
    <w:rsid w:val="00E41DC7"/>
    <w:rsid w:val="00E47CFD"/>
    <w:rsid w:val="00E56D7D"/>
    <w:rsid w:val="00E612EC"/>
    <w:rsid w:val="00E62B40"/>
    <w:rsid w:val="00E637CC"/>
    <w:rsid w:val="00E75F7F"/>
    <w:rsid w:val="00E81AA3"/>
    <w:rsid w:val="00E81F80"/>
    <w:rsid w:val="00E8729E"/>
    <w:rsid w:val="00E90038"/>
    <w:rsid w:val="00E93AA7"/>
    <w:rsid w:val="00EA1CE4"/>
    <w:rsid w:val="00EA3FEA"/>
    <w:rsid w:val="00EB12F6"/>
    <w:rsid w:val="00EB2381"/>
    <w:rsid w:val="00ED3F0F"/>
    <w:rsid w:val="00F122C8"/>
    <w:rsid w:val="00F13F7C"/>
    <w:rsid w:val="00F16B2F"/>
    <w:rsid w:val="00F23941"/>
    <w:rsid w:val="00F269C1"/>
    <w:rsid w:val="00F27DAD"/>
    <w:rsid w:val="00F35899"/>
    <w:rsid w:val="00F465B6"/>
    <w:rsid w:val="00F46B97"/>
    <w:rsid w:val="00F53489"/>
    <w:rsid w:val="00F543D1"/>
    <w:rsid w:val="00F6042F"/>
    <w:rsid w:val="00F7184F"/>
    <w:rsid w:val="00F77269"/>
    <w:rsid w:val="00F8057C"/>
    <w:rsid w:val="00F859BE"/>
    <w:rsid w:val="00F87116"/>
    <w:rsid w:val="00F951EF"/>
    <w:rsid w:val="00F9577E"/>
    <w:rsid w:val="00FA5542"/>
    <w:rsid w:val="00FC06B1"/>
    <w:rsid w:val="00FD15DB"/>
    <w:rsid w:val="00FD4D1D"/>
    <w:rsid w:val="00FE1F08"/>
    <w:rsid w:val="00FE2696"/>
    <w:rsid w:val="00FF39AA"/>
    <w:rsid w:val="03DC0683"/>
    <w:rsid w:val="0F16D0BC"/>
    <w:rsid w:val="11BF51C8"/>
    <w:rsid w:val="15EB5A03"/>
    <w:rsid w:val="1AA6457D"/>
    <w:rsid w:val="2509BD8F"/>
    <w:rsid w:val="26010BD2"/>
    <w:rsid w:val="2C0DBDCB"/>
    <w:rsid w:val="2D4918B6"/>
    <w:rsid w:val="321F177E"/>
    <w:rsid w:val="327B2D2A"/>
    <w:rsid w:val="346171E1"/>
    <w:rsid w:val="3541520B"/>
    <w:rsid w:val="3787785D"/>
    <w:rsid w:val="3976F754"/>
    <w:rsid w:val="3FE37A82"/>
    <w:rsid w:val="4129ADDE"/>
    <w:rsid w:val="41912D35"/>
    <w:rsid w:val="43C2CFB6"/>
    <w:rsid w:val="49512322"/>
    <w:rsid w:val="49E81E4C"/>
    <w:rsid w:val="4C367696"/>
    <w:rsid w:val="4ECCA5D4"/>
    <w:rsid w:val="4F6613E8"/>
    <w:rsid w:val="4FD64D8E"/>
    <w:rsid w:val="57220559"/>
    <w:rsid w:val="5DB7AC9F"/>
    <w:rsid w:val="6190A214"/>
    <w:rsid w:val="68794475"/>
    <w:rsid w:val="68AF3AA9"/>
    <w:rsid w:val="75A0DAB4"/>
    <w:rsid w:val="7B8D9A82"/>
    <w:rsid w:val="7C95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2F014"/>
  <w15:chartTrackingRefBased/>
  <w15:docId w15:val="{8DA6E8DB-6C46-4FD7-98FF-85E5F191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12B"/>
    <w:pPr>
      <w:spacing w:after="0" w:line="240" w:lineRule="auto"/>
    </w:pPr>
    <w:rPr>
      <w:rFonts w:ascii="Times New Roman" w:eastAsia="Times New Roman" w:hAnsi="Times New Roman" w:cs="Times New Roman"/>
      <w:sz w:val="24"/>
      <w:szCs w:val="24"/>
      <w:lang w:val="en-AU" w:eastAsia="en-AU"/>
    </w:rPr>
  </w:style>
  <w:style w:type="paragraph" w:styleId="Heading1">
    <w:name w:val="heading 1"/>
    <w:basedOn w:val="Normal"/>
    <w:next w:val="Normal"/>
    <w:link w:val="Heading1Char"/>
    <w:autoRedefine/>
    <w:qFormat/>
    <w:rsid w:val="00F6042F"/>
    <w:pPr>
      <w:keepNext/>
      <w:numPr>
        <w:numId w:val="2"/>
      </w:numPr>
      <w:spacing w:before="120" w:after="120"/>
      <w:jc w:val="both"/>
      <w:outlineLvl w:val="0"/>
    </w:pPr>
    <w:rPr>
      <w:rFonts w:ascii="Book Antiqua" w:hAnsi="Book Antiqua"/>
      <w:b/>
      <w:bCs/>
      <w:cap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6042F"/>
    <w:rPr>
      <w:rFonts w:ascii="Book Antiqua" w:eastAsia="Times New Roman" w:hAnsi="Book Antiqua" w:cs="Times New Roman"/>
      <w:b/>
      <w:bCs/>
      <w:caps/>
      <w:kern w:val="32"/>
      <w:sz w:val="24"/>
      <w:szCs w:val="32"/>
      <w:lang w:val="en-AU" w:eastAsia="en-AU"/>
    </w:rPr>
  </w:style>
  <w:style w:type="character" w:styleId="Hyperlink">
    <w:name w:val="Hyperlink"/>
    <w:rsid w:val="0042112B"/>
    <w:rPr>
      <w:color w:val="0000FF"/>
      <w:u w:val="single"/>
    </w:rPr>
  </w:style>
  <w:style w:type="paragraph" w:styleId="Header">
    <w:name w:val="header"/>
    <w:basedOn w:val="Normal"/>
    <w:link w:val="HeaderChar"/>
    <w:rsid w:val="0042112B"/>
    <w:pPr>
      <w:tabs>
        <w:tab w:val="center" w:pos="4513"/>
        <w:tab w:val="right" w:pos="9026"/>
      </w:tabs>
    </w:pPr>
  </w:style>
  <w:style w:type="character" w:customStyle="1" w:styleId="HeaderChar">
    <w:name w:val="Header Char"/>
    <w:basedOn w:val="DefaultParagraphFont"/>
    <w:link w:val="Header"/>
    <w:rsid w:val="0042112B"/>
    <w:rPr>
      <w:rFonts w:ascii="Times New Roman" w:eastAsia="Times New Roman" w:hAnsi="Times New Roman" w:cs="Times New Roman"/>
      <w:sz w:val="24"/>
      <w:szCs w:val="24"/>
      <w:lang w:val="en-AU" w:eastAsia="en-AU"/>
    </w:rPr>
  </w:style>
  <w:style w:type="paragraph" w:styleId="Footer">
    <w:name w:val="footer"/>
    <w:basedOn w:val="Normal"/>
    <w:link w:val="FooterChar"/>
    <w:rsid w:val="0042112B"/>
    <w:pPr>
      <w:tabs>
        <w:tab w:val="center" w:pos="4513"/>
        <w:tab w:val="right" w:pos="9026"/>
      </w:tabs>
    </w:pPr>
  </w:style>
  <w:style w:type="character" w:customStyle="1" w:styleId="FooterChar">
    <w:name w:val="Footer Char"/>
    <w:basedOn w:val="DefaultParagraphFont"/>
    <w:link w:val="Footer"/>
    <w:rsid w:val="0042112B"/>
    <w:rPr>
      <w:rFonts w:ascii="Times New Roman" w:eastAsia="Times New Roman" w:hAnsi="Times New Roman" w:cs="Times New Roman"/>
      <w:sz w:val="24"/>
      <w:szCs w:val="24"/>
      <w:lang w:val="en-AU" w:eastAsia="en-AU"/>
    </w:rPr>
  </w:style>
  <w:style w:type="paragraph" w:customStyle="1" w:styleId="Default">
    <w:name w:val="Default"/>
    <w:rsid w:val="0042112B"/>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paragraph" w:styleId="ListParagraph">
    <w:name w:val="List Paragraph"/>
    <w:basedOn w:val="Normal"/>
    <w:uiPriority w:val="34"/>
    <w:qFormat/>
    <w:rsid w:val="0042112B"/>
    <w:pPr>
      <w:ind w:left="720"/>
      <w:contextualSpacing/>
    </w:pPr>
    <w:rPr>
      <w:sz w:val="20"/>
      <w:szCs w:val="20"/>
    </w:rPr>
  </w:style>
  <w:style w:type="character" w:styleId="UnresolvedMention">
    <w:name w:val="Unresolved Mention"/>
    <w:basedOn w:val="DefaultParagraphFont"/>
    <w:uiPriority w:val="99"/>
    <w:semiHidden/>
    <w:unhideWhenUsed/>
    <w:rsid w:val="00212F19"/>
    <w:rPr>
      <w:color w:val="605E5C"/>
      <w:shd w:val="clear" w:color="auto" w:fill="E1DFDD"/>
    </w:rPr>
  </w:style>
  <w:style w:type="paragraph" w:styleId="Revision">
    <w:name w:val="Revision"/>
    <w:hidden/>
    <w:uiPriority w:val="99"/>
    <w:semiHidden/>
    <w:rsid w:val="00D54F4D"/>
    <w:pPr>
      <w:spacing w:after="0" w:line="240" w:lineRule="auto"/>
    </w:pPr>
    <w:rPr>
      <w:rFonts w:ascii="Times New Roman" w:eastAsia="Times New Roman" w:hAnsi="Times New Roman" w:cs="Times New Roman"/>
      <w:sz w:val="24"/>
      <w:szCs w:val="24"/>
      <w:lang w:val="en-AU" w:eastAsia="en-AU"/>
    </w:rPr>
  </w:style>
  <w:style w:type="character" w:styleId="CommentReference">
    <w:name w:val="annotation reference"/>
    <w:basedOn w:val="DefaultParagraphFont"/>
    <w:uiPriority w:val="99"/>
    <w:semiHidden/>
    <w:unhideWhenUsed/>
    <w:rsid w:val="005F0990"/>
    <w:rPr>
      <w:sz w:val="16"/>
      <w:szCs w:val="16"/>
    </w:rPr>
  </w:style>
  <w:style w:type="paragraph" w:styleId="CommentText">
    <w:name w:val="annotation text"/>
    <w:basedOn w:val="Normal"/>
    <w:link w:val="CommentTextChar"/>
    <w:uiPriority w:val="99"/>
    <w:unhideWhenUsed/>
    <w:rsid w:val="005F0990"/>
    <w:rPr>
      <w:sz w:val="20"/>
      <w:szCs w:val="20"/>
    </w:rPr>
  </w:style>
  <w:style w:type="character" w:customStyle="1" w:styleId="CommentTextChar">
    <w:name w:val="Comment Text Char"/>
    <w:basedOn w:val="DefaultParagraphFont"/>
    <w:link w:val="CommentText"/>
    <w:uiPriority w:val="99"/>
    <w:rsid w:val="005F0990"/>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5F0990"/>
    <w:rPr>
      <w:b/>
      <w:bCs/>
    </w:rPr>
  </w:style>
  <w:style w:type="character" w:customStyle="1" w:styleId="CommentSubjectChar">
    <w:name w:val="Comment Subject Char"/>
    <w:basedOn w:val="CommentTextChar"/>
    <w:link w:val="CommentSubject"/>
    <w:uiPriority w:val="99"/>
    <w:semiHidden/>
    <w:rsid w:val="005F0990"/>
    <w:rPr>
      <w:rFonts w:ascii="Times New Roman" w:eastAsia="Times New Roman" w:hAnsi="Times New Roman" w:cs="Times New Roman"/>
      <w:b/>
      <w:bCs/>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8071">
      <w:bodyDiv w:val="1"/>
      <w:marLeft w:val="0"/>
      <w:marRight w:val="0"/>
      <w:marTop w:val="0"/>
      <w:marBottom w:val="0"/>
      <w:divBdr>
        <w:top w:val="none" w:sz="0" w:space="0" w:color="auto"/>
        <w:left w:val="none" w:sz="0" w:space="0" w:color="auto"/>
        <w:bottom w:val="none" w:sz="0" w:space="0" w:color="auto"/>
        <w:right w:val="none" w:sz="0" w:space="0" w:color="auto"/>
      </w:divBdr>
    </w:div>
    <w:div w:id="313409112">
      <w:bodyDiv w:val="1"/>
      <w:marLeft w:val="0"/>
      <w:marRight w:val="0"/>
      <w:marTop w:val="0"/>
      <w:marBottom w:val="0"/>
      <w:divBdr>
        <w:top w:val="none" w:sz="0" w:space="0" w:color="auto"/>
        <w:left w:val="none" w:sz="0" w:space="0" w:color="auto"/>
        <w:bottom w:val="none" w:sz="0" w:space="0" w:color="auto"/>
        <w:right w:val="none" w:sz="0" w:space="0" w:color="auto"/>
      </w:divBdr>
    </w:div>
    <w:div w:id="363555471">
      <w:bodyDiv w:val="1"/>
      <w:marLeft w:val="0"/>
      <w:marRight w:val="0"/>
      <w:marTop w:val="0"/>
      <w:marBottom w:val="0"/>
      <w:divBdr>
        <w:top w:val="none" w:sz="0" w:space="0" w:color="auto"/>
        <w:left w:val="none" w:sz="0" w:space="0" w:color="auto"/>
        <w:bottom w:val="none" w:sz="0" w:space="0" w:color="auto"/>
        <w:right w:val="none" w:sz="0" w:space="0" w:color="auto"/>
      </w:divBdr>
    </w:div>
    <w:div w:id="428432093">
      <w:bodyDiv w:val="1"/>
      <w:marLeft w:val="0"/>
      <w:marRight w:val="0"/>
      <w:marTop w:val="0"/>
      <w:marBottom w:val="0"/>
      <w:divBdr>
        <w:top w:val="none" w:sz="0" w:space="0" w:color="auto"/>
        <w:left w:val="none" w:sz="0" w:space="0" w:color="auto"/>
        <w:bottom w:val="none" w:sz="0" w:space="0" w:color="auto"/>
        <w:right w:val="none" w:sz="0" w:space="0" w:color="auto"/>
      </w:divBdr>
    </w:div>
    <w:div w:id="729038368">
      <w:bodyDiv w:val="1"/>
      <w:marLeft w:val="0"/>
      <w:marRight w:val="0"/>
      <w:marTop w:val="0"/>
      <w:marBottom w:val="0"/>
      <w:divBdr>
        <w:top w:val="none" w:sz="0" w:space="0" w:color="auto"/>
        <w:left w:val="none" w:sz="0" w:space="0" w:color="auto"/>
        <w:bottom w:val="none" w:sz="0" w:space="0" w:color="auto"/>
        <w:right w:val="none" w:sz="0" w:space="0" w:color="auto"/>
      </w:divBdr>
    </w:div>
    <w:div w:id="1338800786">
      <w:bodyDiv w:val="1"/>
      <w:marLeft w:val="0"/>
      <w:marRight w:val="0"/>
      <w:marTop w:val="0"/>
      <w:marBottom w:val="0"/>
      <w:divBdr>
        <w:top w:val="none" w:sz="0" w:space="0" w:color="auto"/>
        <w:left w:val="none" w:sz="0" w:space="0" w:color="auto"/>
        <w:bottom w:val="none" w:sz="0" w:space="0" w:color="auto"/>
        <w:right w:val="none" w:sz="0" w:space="0" w:color="auto"/>
      </w:divBdr>
    </w:div>
    <w:div w:id="1530607228">
      <w:bodyDiv w:val="1"/>
      <w:marLeft w:val="0"/>
      <w:marRight w:val="0"/>
      <w:marTop w:val="0"/>
      <w:marBottom w:val="0"/>
      <w:divBdr>
        <w:top w:val="none" w:sz="0" w:space="0" w:color="auto"/>
        <w:left w:val="none" w:sz="0" w:space="0" w:color="auto"/>
        <w:bottom w:val="none" w:sz="0" w:space="0" w:color="auto"/>
        <w:right w:val="none" w:sz="0" w:space="0" w:color="auto"/>
      </w:divBdr>
    </w:div>
    <w:div w:id="19137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iminal.casemgmt@supcourt.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cf93c2-ef2b-4781-9f58-1c6d5f95bff6" xsi:nil="true"/>
    <lcf76f155ced4ddcb4097134ff3c332f xmlns="5464e00b-0b32-4156-8404-d5d411511567">
      <Terms xmlns="http://schemas.microsoft.com/office/infopath/2007/PartnerControls"/>
    </lcf76f155ced4ddcb4097134ff3c332f>
    <Notes xmlns="5464e00b-0b32-4156-8404-d5d411511567" xsi:nil="true"/>
    <Completion xmlns="5464e00b-0b32-4156-8404-d5d41151156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784356EB05BA48A782C06D5CE0C944" ma:contentTypeVersion="13" ma:contentTypeDescription="Create a new document." ma:contentTypeScope="" ma:versionID="049caa66ae0773cd815f90ee0067f5fd">
  <xsd:schema xmlns:xsd="http://www.w3.org/2001/XMLSchema" xmlns:xs="http://www.w3.org/2001/XMLSchema" xmlns:p="http://schemas.microsoft.com/office/2006/metadata/properties" xmlns:ns2="5464e00b-0b32-4156-8404-d5d411511567" xmlns:ns3="c1cf93c2-ef2b-4781-9f58-1c6d5f95bff6" targetNamespace="http://schemas.microsoft.com/office/2006/metadata/properties" ma:root="true" ma:fieldsID="a7051dddf3c2dc15c4788babcdb1be8f" ns2:_="" ns3:_="">
    <xsd:import namespace="5464e00b-0b32-4156-8404-d5d411511567"/>
    <xsd:import namespace="c1cf93c2-ef2b-4781-9f58-1c6d5f95bff6"/>
    <xsd:element name="properties">
      <xsd:complexType>
        <xsd:sequence>
          <xsd:element name="documentManagement">
            <xsd:complexType>
              <xsd:all>
                <xsd:element ref="ns2:lcf76f155ced4ddcb4097134ff3c332f" minOccurs="0"/>
                <xsd:element ref="ns3:TaxCatchAll" minOccurs="0"/>
                <xsd:element ref="ns2:Completion" minOccurs="0"/>
                <xsd:element ref="ns2:Note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4e00b-0b32-4156-8404-d5d41151156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Completion" ma:index="11" nillable="true" ma:displayName="Completion" ma:format="Dropdown" ma:internalName="Completion">
      <xsd:simpleType>
        <xsd:restriction base="dms:Choice">
          <xsd:enumeration value="CJ final"/>
          <xsd:enumeration value="For CJ Review"/>
          <xsd:enumeration value="CJ Amendments please check"/>
          <xsd:enumeration value="Choice 4"/>
        </xsd:restriction>
      </xsd:simpleType>
    </xsd:element>
    <xsd:element name="Notes" ma:index="12" nillable="true" ma:displayName="Notes" ma:description="For anything of note" ma:format="Dropdown" ma:internalName="Notes">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cf93c2-ef2b-4781-9f58-1c6d5f95bff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4f2ef30-a054-4c42-9272-10236ffb8550}" ma:internalName="TaxCatchAll" ma:showField="CatchAllData" ma:web="c1cf93c2-ef2b-4781-9f58-1c6d5f95b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F2C4DC-59C9-4898-8994-527C32C8212E}">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44ca1996-1f21-40f0-9da6-5fcfc289a2ba"/>
    <ds:schemaRef ds:uri="http://schemas.microsoft.com/office/infopath/2007/PartnerControls"/>
    <ds:schemaRef ds:uri="http://schemas.openxmlformats.org/package/2006/metadata/core-properties"/>
    <ds:schemaRef ds:uri="82f85f83-4327-4336-9f4f-eb472374d35c"/>
    <ds:schemaRef ds:uri="c1cf93c2-ef2b-4781-9f58-1c6d5f95bff6"/>
    <ds:schemaRef ds:uri="http://www.w3.org/XML/1998/namespace"/>
  </ds:schemaRefs>
</ds:datastoreItem>
</file>

<file path=customXml/itemProps2.xml><?xml version="1.0" encoding="utf-8"?>
<ds:datastoreItem xmlns:ds="http://schemas.openxmlformats.org/officeDocument/2006/customXml" ds:itemID="{F2740A27-43BD-4423-965A-F234F6EA2D5E}">
  <ds:schemaRefs>
    <ds:schemaRef ds:uri="http://schemas.openxmlformats.org/officeDocument/2006/bibliography"/>
  </ds:schemaRefs>
</ds:datastoreItem>
</file>

<file path=customXml/itemProps3.xml><?xml version="1.0" encoding="utf-8"?>
<ds:datastoreItem xmlns:ds="http://schemas.openxmlformats.org/officeDocument/2006/customXml" ds:itemID="{A90D0CFB-2C5F-4554-BA60-640D6AE8EBA5}">
  <ds:schemaRefs>
    <ds:schemaRef ds:uri="http://schemas.microsoft.com/sharepoint/v3/contenttype/forms"/>
  </ds:schemaRefs>
</ds:datastoreItem>
</file>

<file path=customXml/itemProps4.xml><?xml version="1.0" encoding="utf-8"?>
<ds:datastoreItem xmlns:ds="http://schemas.openxmlformats.org/officeDocument/2006/customXml" ds:itemID="{BD704E43-7F96-4A93-A2C3-1041A2370D26}"/>
</file>

<file path=docProps/app.xml><?xml version="1.0" encoding="utf-8"?>
<Properties xmlns="http://schemas.openxmlformats.org/officeDocument/2006/extended-properties" xmlns:vt="http://schemas.openxmlformats.org/officeDocument/2006/docPropsVTypes">
  <Template>Normal</Template>
  <TotalTime>1</TotalTime>
  <Pages>6</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Supreme Court of Victoria</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SCV Criminal Division</dc:creator>
  <cp:keywords/>
  <dc:description/>
  <cp:lastModifiedBy>Claire Downey</cp:lastModifiedBy>
  <cp:revision>2</cp:revision>
  <cp:lastPrinted>2025-11-12T23:30:00Z</cp:lastPrinted>
  <dcterms:created xsi:type="dcterms:W3CDTF">2025-12-16T01:35:00Z</dcterms:created>
  <dcterms:modified xsi:type="dcterms:W3CDTF">2025-12-16T01:35:00Z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0x01010021784356EB05BA48A782C06D5CE0C944</vt:lpwstr>
  </property>
  <property fmtid="{D5CDD505-2E9C-101B-9397-08002B2CF9AE}" pid="3" name="Order">
    <vt:r8>1007600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