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6F11C" w14:textId="77777777" w:rsidR="00D85336" w:rsidRPr="00771C95" w:rsidRDefault="00CD0331" w:rsidP="00CD0331">
      <w:pPr>
        <w:autoSpaceDE w:val="0"/>
        <w:autoSpaceDN w:val="0"/>
        <w:adjustRightInd w:val="0"/>
        <w:spacing w:before="120" w:after="120"/>
        <w:jc w:val="center"/>
        <w:rPr>
          <w:b/>
          <w:bCs/>
          <w:color w:val="000000"/>
        </w:rPr>
      </w:pPr>
      <w:r w:rsidRPr="00771C95">
        <w:rPr>
          <w:b/>
          <w:bCs/>
          <w:noProof/>
          <w:color w:val="000000"/>
          <w:sz w:val="44"/>
          <w:szCs w:val="44"/>
        </w:rPr>
        <w:drawing>
          <wp:anchor distT="0" distB="0" distL="114300" distR="114300" simplePos="0" relativeHeight="251657728" behindDoc="0" locked="0" layoutInCell="1" allowOverlap="0" wp14:anchorId="2BE21D5C" wp14:editId="1C8D2D16">
            <wp:simplePos x="0" y="0"/>
            <wp:positionH relativeFrom="column">
              <wp:posOffset>2238375</wp:posOffset>
            </wp:positionH>
            <wp:positionV relativeFrom="paragraph">
              <wp:posOffset>0</wp:posOffset>
            </wp:positionV>
            <wp:extent cx="1323340" cy="1189355"/>
            <wp:effectExtent l="0" t="0" r="0" b="0"/>
            <wp:wrapSquare wrapText="bothSides"/>
            <wp:docPr id="3" name="Picture 3" descr="SCV_Red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V_Red_CMY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3340" cy="11893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ECA3CD" w14:textId="77777777" w:rsidR="00D85336" w:rsidRPr="00771C95" w:rsidRDefault="00D85336" w:rsidP="00CD0331">
      <w:pPr>
        <w:autoSpaceDE w:val="0"/>
        <w:autoSpaceDN w:val="0"/>
        <w:adjustRightInd w:val="0"/>
        <w:spacing w:before="120" w:after="120"/>
        <w:jc w:val="center"/>
        <w:rPr>
          <w:b/>
          <w:bCs/>
          <w:color w:val="000000"/>
        </w:rPr>
      </w:pPr>
    </w:p>
    <w:p w14:paraId="2454C737" w14:textId="77777777" w:rsidR="00D85336" w:rsidRPr="00771C95" w:rsidRDefault="00D85336" w:rsidP="00CD0331">
      <w:pPr>
        <w:autoSpaceDE w:val="0"/>
        <w:autoSpaceDN w:val="0"/>
        <w:adjustRightInd w:val="0"/>
        <w:spacing w:before="120" w:after="120"/>
        <w:jc w:val="center"/>
        <w:rPr>
          <w:b/>
          <w:bCs/>
          <w:color w:val="000000"/>
        </w:rPr>
      </w:pPr>
    </w:p>
    <w:p w14:paraId="636B575B" w14:textId="77777777" w:rsidR="003817CD" w:rsidRDefault="003817CD" w:rsidP="00CD0331">
      <w:pPr>
        <w:autoSpaceDE w:val="0"/>
        <w:autoSpaceDN w:val="0"/>
        <w:adjustRightInd w:val="0"/>
        <w:spacing w:before="120" w:after="120"/>
        <w:jc w:val="center"/>
        <w:rPr>
          <w:rFonts w:ascii="Book Antiqua" w:hAnsi="Book Antiqua"/>
          <w:b/>
          <w:bCs/>
          <w:color w:val="000000"/>
          <w:sz w:val="44"/>
          <w:szCs w:val="44"/>
        </w:rPr>
      </w:pPr>
    </w:p>
    <w:p w14:paraId="280317C0" w14:textId="77777777" w:rsidR="00271B59" w:rsidRPr="007917BE" w:rsidRDefault="003817CD" w:rsidP="00CD0331">
      <w:pPr>
        <w:autoSpaceDE w:val="0"/>
        <w:autoSpaceDN w:val="0"/>
        <w:adjustRightInd w:val="0"/>
        <w:spacing w:before="120" w:after="120"/>
        <w:jc w:val="center"/>
        <w:rPr>
          <w:rFonts w:ascii="Book Antiqua" w:hAnsi="Book Antiqua"/>
          <w:b/>
          <w:bCs/>
          <w:color w:val="000000"/>
          <w:sz w:val="44"/>
          <w:szCs w:val="44"/>
        </w:rPr>
      </w:pPr>
      <w:r>
        <w:rPr>
          <w:rFonts w:ascii="Book Antiqua" w:hAnsi="Book Antiqua"/>
          <w:b/>
          <w:bCs/>
          <w:color w:val="000000"/>
          <w:sz w:val="44"/>
          <w:szCs w:val="44"/>
        </w:rPr>
        <w:t>Supreme C</w:t>
      </w:r>
      <w:r w:rsidR="00271B59" w:rsidRPr="007917BE">
        <w:rPr>
          <w:rFonts w:ascii="Book Antiqua" w:hAnsi="Book Antiqua"/>
          <w:b/>
          <w:bCs/>
          <w:color w:val="000000"/>
          <w:sz w:val="44"/>
          <w:szCs w:val="44"/>
        </w:rPr>
        <w:t>ourt of Victoria</w:t>
      </w:r>
    </w:p>
    <w:p w14:paraId="19B2E47D" w14:textId="77777777" w:rsidR="00271B59" w:rsidRPr="007917BE" w:rsidRDefault="00271B59" w:rsidP="00CD0331">
      <w:pPr>
        <w:autoSpaceDE w:val="0"/>
        <w:autoSpaceDN w:val="0"/>
        <w:adjustRightInd w:val="0"/>
        <w:spacing w:before="120" w:after="120"/>
        <w:jc w:val="center"/>
        <w:rPr>
          <w:rFonts w:ascii="Book Antiqua" w:hAnsi="Book Antiqua"/>
          <w:b/>
          <w:color w:val="000000"/>
          <w:sz w:val="28"/>
        </w:rPr>
      </w:pPr>
      <w:r w:rsidRPr="007917BE">
        <w:rPr>
          <w:rFonts w:ascii="Book Antiqua" w:hAnsi="Book Antiqua"/>
          <w:b/>
          <w:color w:val="000000"/>
          <w:sz w:val="28"/>
        </w:rPr>
        <w:t xml:space="preserve">Practice Note </w:t>
      </w:r>
      <w:r w:rsidR="003817CD">
        <w:rPr>
          <w:rFonts w:ascii="Book Antiqua" w:hAnsi="Book Antiqua"/>
          <w:b/>
          <w:color w:val="000000"/>
          <w:sz w:val="28"/>
        </w:rPr>
        <w:t>SC Gen</w:t>
      </w:r>
      <w:r w:rsidR="00B72C47" w:rsidRPr="007917BE">
        <w:rPr>
          <w:rFonts w:ascii="Book Antiqua" w:hAnsi="Book Antiqua"/>
          <w:b/>
          <w:color w:val="000000"/>
          <w:sz w:val="28"/>
        </w:rPr>
        <w:t xml:space="preserve"> </w:t>
      </w:r>
      <w:r w:rsidR="00DA1779">
        <w:rPr>
          <w:rFonts w:ascii="Book Antiqua" w:hAnsi="Book Antiqua"/>
          <w:b/>
          <w:color w:val="000000"/>
          <w:sz w:val="28"/>
        </w:rPr>
        <w:t>11</w:t>
      </w:r>
    </w:p>
    <w:p w14:paraId="7EF44AAD" w14:textId="77777777" w:rsidR="00271B59" w:rsidRDefault="00DA1779" w:rsidP="00CD0331">
      <w:pPr>
        <w:autoSpaceDE w:val="0"/>
        <w:autoSpaceDN w:val="0"/>
        <w:adjustRightInd w:val="0"/>
        <w:spacing w:before="120" w:after="120"/>
        <w:jc w:val="center"/>
        <w:rPr>
          <w:rFonts w:ascii="Book Antiqua" w:hAnsi="Book Antiqua"/>
          <w:b/>
          <w:color w:val="000000"/>
          <w:sz w:val="28"/>
        </w:rPr>
      </w:pPr>
      <w:r>
        <w:rPr>
          <w:rFonts w:ascii="Book Antiqua" w:hAnsi="Book Antiqua"/>
          <w:b/>
          <w:color w:val="000000"/>
          <w:sz w:val="28"/>
        </w:rPr>
        <w:t>Costs Court</w:t>
      </w:r>
    </w:p>
    <w:p w14:paraId="7CE1C2AF" w14:textId="77777777" w:rsidR="00CD0331" w:rsidRPr="007917BE" w:rsidRDefault="00CD0331" w:rsidP="00CD0331">
      <w:pPr>
        <w:autoSpaceDE w:val="0"/>
        <w:autoSpaceDN w:val="0"/>
        <w:adjustRightInd w:val="0"/>
        <w:spacing w:before="120" w:after="120"/>
        <w:jc w:val="center"/>
        <w:rPr>
          <w:rFonts w:ascii="Book Antiqua" w:hAnsi="Book Antiqua"/>
          <w:b/>
          <w:color w:val="000000"/>
          <w:sz w:val="28"/>
        </w:rPr>
      </w:pPr>
    </w:p>
    <w:p w14:paraId="7BF6ACE1" w14:textId="77777777" w:rsidR="008515EE" w:rsidRPr="007917BE" w:rsidRDefault="00680452" w:rsidP="00011180">
      <w:pPr>
        <w:pStyle w:val="Heading1"/>
      </w:pPr>
      <w:r>
        <w:t>1.</w:t>
      </w:r>
      <w:r>
        <w:tab/>
      </w:r>
      <w:r w:rsidR="00C02583" w:rsidRPr="007917BE">
        <w:t>INTRODUCTION</w:t>
      </w:r>
    </w:p>
    <w:p w14:paraId="415336F0" w14:textId="77777777" w:rsidR="00B72C47" w:rsidRPr="007917BE" w:rsidRDefault="00B72C47" w:rsidP="00923B1D">
      <w:pPr>
        <w:pStyle w:val="ListParagraph"/>
        <w:numPr>
          <w:ilvl w:val="1"/>
          <w:numId w:val="23"/>
        </w:numPr>
        <w:spacing w:before="120" w:after="120"/>
        <w:contextualSpacing w:val="0"/>
        <w:jc w:val="both"/>
        <w:rPr>
          <w:rFonts w:ascii="Book Antiqua" w:hAnsi="Book Antiqua"/>
          <w:sz w:val="24"/>
          <w:szCs w:val="24"/>
        </w:rPr>
      </w:pPr>
      <w:r w:rsidRPr="007917BE">
        <w:rPr>
          <w:rFonts w:ascii="Book Antiqua" w:hAnsi="Book Antiqua"/>
          <w:sz w:val="24"/>
          <w:szCs w:val="24"/>
        </w:rPr>
        <w:t xml:space="preserve">The Chief Justice has </w:t>
      </w:r>
      <w:r w:rsidR="008445D3">
        <w:rPr>
          <w:rFonts w:ascii="Book Antiqua" w:hAnsi="Book Antiqua"/>
          <w:sz w:val="24"/>
          <w:szCs w:val="24"/>
        </w:rPr>
        <w:t>authorised</w:t>
      </w:r>
      <w:r w:rsidRPr="007917BE">
        <w:rPr>
          <w:rFonts w:ascii="Book Antiqua" w:hAnsi="Book Antiqua"/>
          <w:sz w:val="24"/>
          <w:szCs w:val="24"/>
        </w:rPr>
        <w:t xml:space="preserve"> the </w:t>
      </w:r>
      <w:r w:rsidR="008445D3">
        <w:rPr>
          <w:rFonts w:ascii="Book Antiqua" w:hAnsi="Book Antiqua"/>
          <w:sz w:val="24"/>
          <w:szCs w:val="24"/>
        </w:rPr>
        <w:t>issue</w:t>
      </w:r>
      <w:r w:rsidRPr="007917BE">
        <w:rPr>
          <w:rFonts w:ascii="Book Antiqua" w:hAnsi="Book Antiqua"/>
          <w:sz w:val="24"/>
          <w:szCs w:val="24"/>
        </w:rPr>
        <w:t xml:space="preserve"> of the following Practice Note.</w:t>
      </w:r>
    </w:p>
    <w:p w14:paraId="306F7120" w14:textId="23D745A4" w:rsidR="00B72C47" w:rsidRPr="007917BE" w:rsidRDefault="00B72C47" w:rsidP="00FE1C71">
      <w:pPr>
        <w:pStyle w:val="ListParagraph"/>
        <w:numPr>
          <w:ilvl w:val="1"/>
          <w:numId w:val="23"/>
        </w:numPr>
        <w:spacing w:before="120" w:after="240"/>
        <w:contextualSpacing w:val="0"/>
        <w:jc w:val="both"/>
        <w:rPr>
          <w:rFonts w:ascii="Book Antiqua" w:hAnsi="Book Antiqua"/>
          <w:sz w:val="24"/>
          <w:szCs w:val="24"/>
        </w:rPr>
      </w:pPr>
      <w:r w:rsidRPr="007917BE">
        <w:rPr>
          <w:rFonts w:ascii="Book Antiqua" w:hAnsi="Book Antiqua"/>
          <w:sz w:val="24"/>
          <w:szCs w:val="24"/>
        </w:rPr>
        <w:t xml:space="preserve">The purpose of this </w:t>
      </w:r>
      <w:r w:rsidR="008846D6" w:rsidRPr="007917BE">
        <w:rPr>
          <w:rFonts w:ascii="Book Antiqua" w:hAnsi="Book Antiqua"/>
          <w:sz w:val="24"/>
          <w:szCs w:val="24"/>
        </w:rPr>
        <w:t xml:space="preserve">Practice Note </w:t>
      </w:r>
      <w:r w:rsidRPr="007917BE">
        <w:rPr>
          <w:rFonts w:ascii="Book Antiqua" w:hAnsi="Book Antiqua"/>
          <w:sz w:val="24"/>
          <w:szCs w:val="24"/>
        </w:rPr>
        <w:t>is t</w:t>
      </w:r>
      <w:r w:rsidR="00222544">
        <w:rPr>
          <w:rFonts w:ascii="Book Antiqua" w:hAnsi="Book Antiqua"/>
          <w:sz w:val="24"/>
          <w:szCs w:val="24"/>
        </w:rPr>
        <w:t xml:space="preserve">o </w:t>
      </w:r>
      <w:r w:rsidR="00DA1779">
        <w:rPr>
          <w:rFonts w:ascii="Book Antiqua" w:hAnsi="Book Antiqua"/>
          <w:sz w:val="24"/>
          <w:szCs w:val="24"/>
        </w:rPr>
        <w:t>set out practice in relation to various matters in the Costs Court.</w:t>
      </w:r>
    </w:p>
    <w:p w14:paraId="3E53AD98" w14:textId="77777777" w:rsidR="00277B7B" w:rsidRPr="00277B7B" w:rsidRDefault="00680452" w:rsidP="00011180">
      <w:pPr>
        <w:pStyle w:val="Heading1"/>
      </w:pPr>
      <w:r>
        <w:t>2.</w:t>
      </w:r>
      <w:r>
        <w:tab/>
      </w:r>
      <w:r w:rsidR="00277B7B">
        <w:t>COMMENCEMENT</w:t>
      </w:r>
    </w:p>
    <w:p w14:paraId="2B37794F" w14:textId="78918DA5" w:rsidR="00FD72DE" w:rsidRDefault="00680452" w:rsidP="00680452">
      <w:pPr>
        <w:pStyle w:val="ListParagraph"/>
        <w:spacing w:before="120" w:after="120"/>
        <w:ind w:hanging="720"/>
        <w:jc w:val="both"/>
        <w:rPr>
          <w:rFonts w:ascii="Book Antiqua" w:hAnsi="Book Antiqua"/>
          <w:sz w:val="24"/>
          <w:szCs w:val="24"/>
        </w:rPr>
      </w:pPr>
      <w:r>
        <w:rPr>
          <w:rFonts w:ascii="Book Antiqua" w:hAnsi="Book Antiqua"/>
          <w:sz w:val="24"/>
          <w:szCs w:val="24"/>
        </w:rPr>
        <w:t>2.1</w:t>
      </w:r>
      <w:r>
        <w:rPr>
          <w:rFonts w:ascii="Book Antiqua" w:hAnsi="Book Antiqua"/>
          <w:sz w:val="24"/>
          <w:szCs w:val="24"/>
        </w:rPr>
        <w:tab/>
      </w:r>
      <w:r w:rsidR="00B72C47" w:rsidRPr="00277B7B">
        <w:rPr>
          <w:rFonts w:ascii="Book Antiqua" w:hAnsi="Book Antiqua"/>
          <w:sz w:val="24"/>
          <w:szCs w:val="24"/>
        </w:rPr>
        <w:t xml:space="preserve">This Practice Note </w:t>
      </w:r>
      <w:r w:rsidR="00277B7B">
        <w:rPr>
          <w:rFonts w:ascii="Book Antiqua" w:hAnsi="Book Antiqua"/>
          <w:sz w:val="24"/>
          <w:szCs w:val="24"/>
        </w:rPr>
        <w:t>was issued</w:t>
      </w:r>
      <w:r w:rsidR="000D4612">
        <w:rPr>
          <w:rFonts w:ascii="Book Antiqua" w:hAnsi="Book Antiqua"/>
          <w:sz w:val="24"/>
          <w:szCs w:val="24"/>
        </w:rPr>
        <w:t xml:space="preserve"> on </w:t>
      </w:r>
      <w:r w:rsidR="00467B92">
        <w:rPr>
          <w:rFonts w:ascii="Book Antiqua" w:hAnsi="Book Antiqua"/>
          <w:sz w:val="24"/>
          <w:szCs w:val="24"/>
        </w:rPr>
        <w:t xml:space="preserve">1 December </w:t>
      </w:r>
      <w:r w:rsidR="00E10EDD">
        <w:rPr>
          <w:rFonts w:ascii="Book Antiqua" w:hAnsi="Book Antiqua"/>
          <w:sz w:val="24"/>
          <w:szCs w:val="24"/>
        </w:rPr>
        <w:t>2025</w:t>
      </w:r>
      <w:r w:rsidR="000D4612">
        <w:rPr>
          <w:rFonts w:ascii="Book Antiqua" w:hAnsi="Book Antiqua"/>
          <w:sz w:val="24"/>
          <w:szCs w:val="24"/>
        </w:rPr>
        <w:t xml:space="preserve"> </w:t>
      </w:r>
      <w:r w:rsidR="00210EFB">
        <w:rPr>
          <w:rFonts w:ascii="Book Antiqua" w:hAnsi="Book Antiqua"/>
          <w:sz w:val="24"/>
          <w:szCs w:val="24"/>
        </w:rPr>
        <w:t xml:space="preserve">and </w:t>
      </w:r>
      <w:r w:rsidR="00630F3F">
        <w:rPr>
          <w:rFonts w:ascii="Book Antiqua" w:hAnsi="Book Antiqua"/>
          <w:sz w:val="24"/>
          <w:szCs w:val="24"/>
        </w:rPr>
        <w:t xml:space="preserve">commences </w:t>
      </w:r>
      <w:r w:rsidR="00210EFB">
        <w:rPr>
          <w:rFonts w:ascii="Book Antiqua" w:hAnsi="Book Antiqua"/>
          <w:sz w:val="24"/>
          <w:szCs w:val="24"/>
        </w:rPr>
        <w:t>on 1</w:t>
      </w:r>
      <w:r w:rsidR="00493E60">
        <w:rPr>
          <w:rFonts w:ascii="Book Antiqua" w:hAnsi="Book Antiqua"/>
          <w:sz w:val="24"/>
          <w:szCs w:val="24"/>
        </w:rPr>
        <w:t> </w:t>
      </w:r>
      <w:r w:rsidR="000D4612">
        <w:rPr>
          <w:rFonts w:ascii="Book Antiqua" w:hAnsi="Book Antiqua"/>
          <w:sz w:val="24"/>
          <w:szCs w:val="24"/>
        </w:rPr>
        <w:t>January 202</w:t>
      </w:r>
      <w:r w:rsidR="00467B92">
        <w:rPr>
          <w:rFonts w:ascii="Book Antiqua" w:hAnsi="Book Antiqua"/>
          <w:sz w:val="24"/>
          <w:szCs w:val="24"/>
        </w:rPr>
        <w:t>6</w:t>
      </w:r>
      <w:r w:rsidR="00DA1779">
        <w:rPr>
          <w:rFonts w:ascii="Book Antiqua" w:hAnsi="Book Antiqua"/>
          <w:sz w:val="24"/>
          <w:szCs w:val="24"/>
        </w:rPr>
        <w:t>.</w:t>
      </w:r>
    </w:p>
    <w:p w14:paraId="0A35A46B" w14:textId="77777777" w:rsidR="00032D2B" w:rsidRPr="00277B7B" w:rsidRDefault="00032D2B" w:rsidP="00032D2B">
      <w:pPr>
        <w:pStyle w:val="ListParagraph"/>
        <w:spacing w:before="120" w:after="120"/>
        <w:jc w:val="both"/>
        <w:rPr>
          <w:rFonts w:ascii="Book Antiqua" w:hAnsi="Book Antiqua"/>
          <w:sz w:val="24"/>
          <w:szCs w:val="24"/>
        </w:rPr>
      </w:pPr>
    </w:p>
    <w:p w14:paraId="46F152BF" w14:textId="77777777" w:rsidR="00B72C47" w:rsidRPr="007917BE" w:rsidRDefault="00680452" w:rsidP="00011180">
      <w:pPr>
        <w:pStyle w:val="Heading1"/>
      </w:pPr>
      <w:r>
        <w:t>3.</w:t>
      </w:r>
      <w:r>
        <w:tab/>
      </w:r>
      <w:r w:rsidR="00B72C47" w:rsidRPr="007917BE">
        <w:t>DEFINITIONS</w:t>
      </w:r>
    </w:p>
    <w:p w14:paraId="330033DE" w14:textId="77777777" w:rsidR="007917BE" w:rsidRDefault="00680452" w:rsidP="00D43E7F">
      <w:pPr>
        <w:pStyle w:val="ListParagraph"/>
        <w:spacing w:before="120" w:after="120"/>
        <w:ind w:left="0"/>
        <w:jc w:val="both"/>
        <w:rPr>
          <w:rFonts w:ascii="Book Antiqua" w:hAnsi="Book Antiqua"/>
          <w:sz w:val="24"/>
          <w:szCs w:val="24"/>
        </w:rPr>
      </w:pPr>
      <w:r>
        <w:rPr>
          <w:rFonts w:ascii="Book Antiqua" w:hAnsi="Book Antiqua"/>
          <w:sz w:val="24"/>
          <w:szCs w:val="24"/>
        </w:rPr>
        <w:t>3.1</w:t>
      </w:r>
      <w:r>
        <w:rPr>
          <w:rFonts w:ascii="Book Antiqua" w:hAnsi="Book Antiqua"/>
          <w:sz w:val="24"/>
          <w:szCs w:val="24"/>
        </w:rPr>
        <w:tab/>
      </w:r>
      <w:r w:rsidR="006F60CF">
        <w:rPr>
          <w:rFonts w:ascii="Book Antiqua" w:hAnsi="Book Antiqua"/>
          <w:sz w:val="24"/>
          <w:szCs w:val="24"/>
        </w:rPr>
        <w:t>In this Practice Note:</w:t>
      </w:r>
    </w:p>
    <w:p w14:paraId="29D29441" w14:textId="77777777" w:rsidR="004213D7" w:rsidRDefault="004213D7" w:rsidP="004213D7">
      <w:pPr>
        <w:pStyle w:val="ListParagraph"/>
        <w:spacing w:before="120" w:after="120"/>
        <w:jc w:val="both"/>
        <w:rPr>
          <w:rFonts w:ascii="Book Antiqua" w:hAnsi="Book Antiqua"/>
          <w:sz w:val="24"/>
          <w:szCs w:val="24"/>
        </w:rPr>
      </w:pPr>
    </w:p>
    <w:p w14:paraId="5F234DED" w14:textId="44CED259" w:rsidR="00AA3C83" w:rsidRPr="008D7595" w:rsidRDefault="00AA3C83" w:rsidP="00643F1B">
      <w:pPr>
        <w:spacing w:before="120" w:after="120"/>
        <w:ind w:left="720"/>
        <w:jc w:val="both"/>
        <w:rPr>
          <w:rFonts w:ascii="Book Antiqua" w:hAnsi="Book Antiqua"/>
        </w:rPr>
      </w:pPr>
      <w:r w:rsidRPr="008D7595">
        <w:rPr>
          <w:rFonts w:ascii="Book Antiqua" w:hAnsi="Book Antiqua"/>
          <w:b/>
          <w:bCs/>
          <w:i/>
          <w:iCs/>
        </w:rPr>
        <w:t>Appendix A</w:t>
      </w:r>
      <w:r w:rsidRPr="008D7595">
        <w:rPr>
          <w:rFonts w:ascii="Book Antiqua" w:hAnsi="Book Antiqua"/>
        </w:rPr>
        <w:t xml:space="preserve"> means Appendix A to the Rules, as in force from 1 January 2025</w:t>
      </w:r>
    </w:p>
    <w:p w14:paraId="68716266" w14:textId="4D688BB4" w:rsidR="00AA3C83" w:rsidRPr="008D7595" w:rsidRDefault="00AA3C83" w:rsidP="00643F1B">
      <w:pPr>
        <w:spacing w:before="120" w:after="120"/>
        <w:ind w:left="720"/>
        <w:jc w:val="both"/>
        <w:rPr>
          <w:rFonts w:ascii="Book Antiqua" w:hAnsi="Book Antiqua"/>
        </w:rPr>
      </w:pPr>
      <w:r w:rsidRPr="008D7595">
        <w:rPr>
          <w:rFonts w:ascii="Book Antiqua" w:hAnsi="Book Antiqua"/>
          <w:b/>
          <w:bCs/>
          <w:i/>
          <w:iCs/>
        </w:rPr>
        <w:t>assessment in chambers</w:t>
      </w:r>
      <w:r w:rsidRPr="008D7595">
        <w:rPr>
          <w:rFonts w:ascii="Book Antiqua" w:hAnsi="Book Antiqua"/>
        </w:rPr>
        <w:t xml:space="preserve"> means assessment of costs by way of estimate under or in accordance with Part 8 of Order 63 of the </w:t>
      </w:r>
      <w:r w:rsidRPr="00FC2B7E">
        <w:rPr>
          <w:rFonts w:ascii="Book Antiqua" w:hAnsi="Book Antiqua"/>
          <w:i/>
          <w:iCs/>
        </w:rPr>
        <w:t>Rules</w:t>
      </w:r>
    </w:p>
    <w:p w14:paraId="60D8D312" w14:textId="3EC45D65" w:rsidR="00AA3C83" w:rsidRPr="008D7595" w:rsidRDefault="00AA3C83" w:rsidP="00643F1B">
      <w:pPr>
        <w:spacing w:before="120" w:after="120"/>
        <w:ind w:left="720"/>
        <w:jc w:val="both"/>
        <w:rPr>
          <w:rFonts w:ascii="Book Antiqua" w:hAnsi="Book Antiqua"/>
        </w:rPr>
      </w:pPr>
      <w:r w:rsidRPr="008D7595">
        <w:rPr>
          <w:rFonts w:ascii="Book Antiqua" w:hAnsi="Book Antiqua"/>
          <w:b/>
          <w:bCs/>
          <w:i/>
          <w:iCs/>
        </w:rPr>
        <w:t>costs</w:t>
      </w:r>
      <w:r w:rsidRPr="008D7595">
        <w:rPr>
          <w:rFonts w:ascii="Book Antiqua" w:hAnsi="Book Antiqua"/>
        </w:rPr>
        <w:t xml:space="preserve"> </w:t>
      </w:r>
      <w:proofErr w:type="gramStart"/>
      <w:r w:rsidRPr="008D7595">
        <w:rPr>
          <w:rFonts w:ascii="Book Antiqua" w:hAnsi="Book Antiqua"/>
        </w:rPr>
        <w:t>means</w:t>
      </w:r>
      <w:proofErr w:type="gramEnd"/>
      <w:r w:rsidRPr="008D7595">
        <w:rPr>
          <w:rFonts w:ascii="Book Antiqua" w:hAnsi="Book Antiqua"/>
        </w:rPr>
        <w:t xml:space="preserve"> legal costs and includes professional fees and disbursements</w:t>
      </w:r>
    </w:p>
    <w:p w14:paraId="79264894" w14:textId="0E3FBFD7" w:rsidR="00AA3C83" w:rsidRPr="008D7595" w:rsidRDefault="00AA3C83" w:rsidP="00643F1B">
      <w:pPr>
        <w:spacing w:before="120" w:after="120"/>
        <w:ind w:left="720"/>
        <w:jc w:val="both"/>
        <w:rPr>
          <w:rFonts w:ascii="Book Antiqua" w:hAnsi="Book Antiqua"/>
        </w:rPr>
      </w:pPr>
      <w:r w:rsidRPr="008D7595">
        <w:rPr>
          <w:rFonts w:ascii="Book Antiqua" w:hAnsi="Book Antiqua"/>
          <w:b/>
          <w:bCs/>
          <w:i/>
          <w:iCs/>
        </w:rPr>
        <w:t>costs assessor</w:t>
      </w:r>
      <w:r w:rsidRPr="008D7595">
        <w:rPr>
          <w:rFonts w:ascii="Book Antiqua" w:hAnsi="Book Antiqua"/>
        </w:rPr>
        <w:t xml:space="preserve"> means a Costs Judge, Judicial Registrar, Costs Registrar or the Prothonotary</w:t>
      </w:r>
    </w:p>
    <w:p w14:paraId="4CBB5D4F" w14:textId="3EAF4DE8" w:rsidR="00AA3C83" w:rsidRPr="008D7595" w:rsidRDefault="00AA3C83" w:rsidP="00643F1B">
      <w:pPr>
        <w:spacing w:before="120" w:after="120"/>
        <w:ind w:left="720"/>
        <w:jc w:val="both"/>
        <w:rPr>
          <w:rFonts w:ascii="Book Antiqua" w:hAnsi="Book Antiqua"/>
        </w:rPr>
      </w:pPr>
      <w:r w:rsidRPr="008D7595">
        <w:rPr>
          <w:rFonts w:ascii="Book Antiqua" w:hAnsi="Book Antiqua"/>
          <w:b/>
          <w:bCs/>
          <w:i/>
          <w:iCs/>
        </w:rPr>
        <w:t>entitled party</w:t>
      </w:r>
      <w:r w:rsidRPr="008D7595">
        <w:rPr>
          <w:rFonts w:ascii="Book Antiqua" w:hAnsi="Book Antiqua"/>
        </w:rPr>
        <w:t xml:space="preserve"> means a party entitled to be paid party/party costs in relation to a proceeding</w:t>
      </w:r>
    </w:p>
    <w:p w14:paraId="4AF7902B" w14:textId="664C9CF6" w:rsidR="00AA3C83" w:rsidRPr="008D7595" w:rsidRDefault="00AA3C83" w:rsidP="00643F1B">
      <w:pPr>
        <w:spacing w:before="120" w:after="120"/>
        <w:ind w:left="720"/>
        <w:jc w:val="both"/>
        <w:rPr>
          <w:rFonts w:ascii="Book Antiqua" w:hAnsi="Book Antiqua"/>
        </w:rPr>
      </w:pPr>
      <w:r w:rsidRPr="008D7595">
        <w:rPr>
          <w:rFonts w:ascii="Book Antiqua" w:hAnsi="Book Antiqua"/>
          <w:b/>
          <w:bCs/>
          <w:i/>
          <w:iCs/>
        </w:rPr>
        <w:t>law practice</w:t>
      </w:r>
      <w:r w:rsidRPr="008D7595">
        <w:rPr>
          <w:rFonts w:ascii="Book Antiqua" w:hAnsi="Book Antiqua"/>
        </w:rPr>
        <w:t xml:space="preserve"> has the same meaning as in the </w:t>
      </w:r>
      <w:r w:rsidRPr="00FC2B7E">
        <w:rPr>
          <w:rFonts w:ascii="Book Antiqua" w:hAnsi="Book Antiqua"/>
          <w:i/>
          <w:iCs/>
        </w:rPr>
        <w:t>Legal Profession Uniform Law (Victoria)</w:t>
      </w:r>
      <w:r w:rsidRPr="008D7595">
        <w:rPr>
          <w:rFonts w:ascii="Book Antiqua" w:hAnsi="Book Antiqua"/>
        </w:rPr>
        <w:t xml:space="preserve"> except that it does not include counsel at the Victorian Bar or at any other independent Bar</w:t>
      </w:r>
    </w:p>
    <w:p w14:paraId="16628DC0" w14:textId="242E87D9" w:rsidR="00AA3C83" w:rsidRPr="008D7595" w:rsidRDefault="008D7595" w:rsidP="00643F1B">
      <w:pPr>
        <w:spacing w:before="120" w:after="120"/>
        <w:ind w:left="720"/>
        <w:jc w:val="both"/>
        <w:rPr>
          <w:rFonts w:ascii="Book Antiqua" w:hAnsi="Book Antiqua"/>
        </w:rPr>
      </w:pPr>
      <w:r w:rsidRPr="008D7595">
        <w:rPr>
          <w:rFonts w:ascii="Book Antiqua" w:hAnsi="Book Antiqua"/>
          <w:b/>
          <w:bCs/>
          <w:i/>
          <w:iCs/>
        </w:rPr>
        <w:t>L</w:t>
      </w:r>
      <w:r w:rsidR="00AA3C83" w:rsidRPr="008D7595">
        <w:rPr>
          <w:rFonts w:ascii="Book Antiqua" w:hAnsi="Book Antiqua"/>
          <w:b/>
          <w:bCs/>
          <w:i/>
          <w:iCs/>
        </w:rPr>
        <w:t>egal Profession Legislation</w:t>
      </w:r>
      <w:r w:rsidR="00AA3C83" w:rsidRPr="008D7595">
        <w:rPr>
          <w:rFonts w:ascii="Book Antiqua" w:hAnsi="Book Antiqua"/>
        </w:rPr>
        <w:t xml:space="preserve"> includes the </w:t>
      </w:r>
      <w:r w:rsidR="00AA3C83" w:rsidRPr="006652B3">
        <w:rPr>
          <w:rFonts w:ascii="Book Antiqua" w:hAnsi="Book Antiqua"/>
          <w:i/>
          <w:iCs/>
        </w:rPr>
        <w:t>Legal Profession Uniform Law Application Act 2014</w:t>
      </w:r>
      <w:r w:rsidR="00AA3C83" w:rsidRPr="008D7595">
        <w:rPr>
          <w:rFonts w:ascii="Book Antiqua" w:hAnsi="Book Antiqua"/>
        </w:rPr>
        <w:t xml:space="preserve">, the </w:t>
      </w:r>
      <w:r w:rsidR="00AA3C83" w:rsidRPr="00597489">
        <w:rPr>
          <w:rFonts w:ascii="Book Antiqua" w:hAnsi="Book Antiqua"/>
          <w:i/>
          <w:iCs/>
        </w:rPr>
        <w:t>Legal Profession Uniform Law (Victoria)</w:t>
      </w:r>
      <w:r w:rsidR="00AA3C83" w:rsidRPr="008D7595">
        <w:rPr>
          <w:rFonts w:ascii="Book Antiqua" w:hAnsi="Book Antiqua"/>
        </w:rPr>
        <w:t xml:space="preserve">, the </w:t>
      </w:r>
      <w:r w:rsidR="00AA3C83" w:rsidRPr="00597489">
        <w:rPr>
          <w:rFonts w:ascii="Book Antiqua" w:hAnsi="Book Antiqua"/>
          <w:i/>
          <w:iCs/>
        </w:rPr>
        <w:t>Legal Profession Act 2004</w:t>
      </w:r>
      <w:r w:rsidR="00AA3C83" w:rsidRPr="008D7595">
        <w:rPr>
          <w:rFonts w:ascii="Book Antiqua" w:hAnsi="Book Antiqua"/>
        </w:rPr>
        <w:t xml:space="preserve"> and the </w:t>
      </w:r>
      <w:r w:rsidR="00AA3C83" w:rsidRPr="00597489">
        <w:rPr>
          <w:rFonts w:ascii="Book Antiqua" w:hAnsi="Book Antiqua"/>
          <w:i/>
          <w:iCs/>
        </w:rPr>
        <w:t>Legal Practice Act 1996</w:t>
      </w:r>
    </w:p>
    <w:p w14:paraId="5DE4C734" w14:textId="281E5AB0" w:rsidR="00AA3C83" w:rsidRPr="008D7595" w:rsidRDefault="00AA3C83" w:rsidP="00643F1B">
      <w:pPr>
        <w:spacing w:before="120" w:after="120"/>
        <w:ind w:left="720"/>
        <w:jc w:val="both"/>
        <w:rPr>
          <w:rFonts w:ascii="Book Antiqua" w:hAnsi="Book Antiqua"/>
        </w:rPr>
      </w:pPr>
      <w:r w:rsidRPr="008D7595">
        <w:rPr>
          <w:rFonts w:ascii="Book Antiqua" w:hAnsi="Book Antiqua"/>
          <w:b/>
          <w:bCs/>
          <w:i/>
          <w:iCs/>
        </w:rPr>
        <w:t>liable party</w:t>
      </w:r>
      <w:r w:rsidRPr="008D7595">
        <w:rPr>
          <w:rFonts w:ascii="Book Antiqua" w:hAnsi="Book Antiqua"/>
        </w:rPr>
        <w:t xml:space="preserve"> means a party liable to pay party/party costs in relation to a proceeding</w:t>
      </w:r>
    </w:p>
    <w:p w14:paraId="2CBB0888" w14:textId="2F89D706" w:rsidR="00AA3C83" w:rsidRPr="001A778E" w:rsidRDefault="00AA3C83" w:rsidP="00643F1B">
      <w:pPr>
        <w:spacing w:before="120" w:after="120"/>
        <w:ind w:left="720"/>
        <w:jc w:val="both"/>
        <w:rPr>
          <w:rFonts w:ascii="Book Antiqua" w:hAnsi="Book Antiqua"/>
        </w:rPr>
      </w:pPr>
      <w:r w:rsidRPr="00B62299">
        <w:rPr>
          <w:rFonts w:ascii="Book Antiqua" w:hAnsi="Book Antiqua"/>
          <w:b/>
          <w:bCs/>
          <w:i/>
          <w:iCs/>
        </w:rPr>
        <w:lastRenderedPageBreak/>
        <w:t>party</w:t>
      </w:r>
      <w:r w:rsidRPr="001A778E">
        <w:rPr>
          <w:rFonts w:ascii="Book Antiqua" w:hAnsi="Book Antiqua"/>
        </w:rPr>
        <w:t xml:space="preserve"> has the same meaning as in Order 63 of the </w:t>
      </w:r>
      <w:r w:rsidRPr="00FC2B7E">
        <w:rPr>
          <w:rFonts w:ascii="Book Antiqua" w:hAnsi="Book Antiqua"/>
          <w:i/>
          <w:iCs/>
        </w:rPr>
        <w:t>Rules</w:t>
      </w:r>
      <w:r w:rsidRPr="001A778E">
        <w:rPr>
          <w:rFonts w:ascii="Book Antiqua" w:hAnsi="Book Antiqua"/>
        </w:rPr>
        <w:t xml:space="preserve"> (being its defined meaning as set out in r 63.01(1) of the </w:t>
      </w:r>
      <w:r w:rsidRPr="00FC2B7E">
        <w:rPr>
          <w:rFonts w:ascii="Book Antiqua" w:hAnsi="Book Antiqua"/>
          <w:i/>
          <w:iCs/>
        </w:rPr>
        <w:t>Rules</w:t>
      </w:r>
      <w:r w:rsidRPr="001A778E">
        <w:rPr>
          <w:rFonts w:ascii="Book Antiqua" w:hAnsi="Book Antiqua"/>
        </w:rPr>
        <w:t>)</w:t>
      </w:r>
    </w:p>
    <w:p w14:paraId="1E431FCD" w14:textId="78B82569" w:rsidR="00AA3C83" w:rsidRPr="001A778E" w:rsidRDefault="00AA3C83" w:rsidP="00643F1B">
      <w:pPr>
        <w:spacing w:before="120" w:after="120"/>
        <w:ind w:left="720"/>
        <w:jc w:val="both"/>
        <w:rPr>
          <w:rFonts w:ascii="Book Antiqua" w:hAnsi="Book Antiqua"/>
        </w:rPr>
      </w:pPr>
      <w:r w:rsidRPr="001A778E">
        <w:rPr>
          <w:rFonts w:ascii="Book Antiqua" w:hAnsi="Book Antiqua"/>
          <w:b/>
          <w:bCs/>
          <w:i/>
          <w:iCs/>
        </w:rPr>
        <w:t>party/party costs</w:t>
      </w:r>
      <w:r w:rsidRPr="001A778E">
        <w:rPr>
          <w:rFonts w:ascii="Book Antiqua" w:hAnsi="Book Antiqua"/>
        </w:rPr>
        <w:t xml:space="preserve"> </w:t>
      </w:r>
      <w:proofErr w:type="gramStart"/>
      <w:r w:rsidRPr="001A778E">
        <w:rPr>
          <w:rFonts w:ascii="Book Antiqua" w:hAnsi="Book Antiqua"/>
        </w:rPr>
        <w:t>means</w:t>
      </w:r>
      <w:proofErr w:type="gramEnd"/>
      <w:r w:rsidRPr="001A778E">
        <w:rPr>
          <w:rFonts w:ascii="Book Antiqua" w:hAnsi="Book Antiqua"/>
        </w:rPr>
        <w:t xml:space="preserve"> costs payable as between parties in relation to a proceeding</w:t>
      </w:r>
    </w:p>
    <w:p w14:paraId="1027BF83" w14:textId="22B44AD4" w:rsidR="00AA3C83" w:rsidRPr="001A778E" w:rsidRDefault="00AA3C83" w:rsidP="00643F1B">
      <w:pPr>
        <w:spacing w:before="120" w:after="120"/>
        <w:ind w:left="720"/>
        <w:jc w:val="both"/>
        <w:rPr>
          <w:rFonts w:ascii="Book Antiqua" w:hAnsi="Book Antiqua"/>
        </w:rPr>
      </w:pPr>
      <w:r w:rsidRPr="001A778E">
        <w:rPr>
          <w:rFonts w:ascii="Book Antiqua" w:hAnsi="Book Antiqua"/>
          <w:b/>
          <w:bCs/>
          <w:i/>
          <w:iCs/>
        </w:rPr>
        <w:t>proceeding</w:t>
      </w:r>
      <w:r w:rsidRPr="001A778E">
        <w:rPr>
          <w:rFonts w:ascii="Book Antiqua" w:hAnsi="Book Antiqua"/>
        </w:rPr>
        <w:t xml:space="preserve"> means a proceeding in relation to which the Costs Court has jurisdiction under s 17D of the </w:t>
      </w:r>
      <w:r w:rsidRPr="00FC2B7E">
        <w:rPr>
          <w:rFonts w:ascii="Book Antiqua" w:hAnsi="Book Antiqua"/>
          <w:i/>
          <w:iCs/>
        </w:rPr>
        <w:t>Supreme Court Act 1986</w:t>
      </w:r>
      <w:r w:rsidRPr="001A778E">
        <w:rPr>
          <w:rFonts w:ascii="Book Antiqua" w:hAnsi="Book Antiqua"/>
        </w:rPr>
        <w:t xml:space="preserve"> to hear and determine the assessment, settling, taxation or review of costs</w:t>
      </w:r>
    </w:p>
    <w:p w14:paraId="5FEAB55E" w14:textId="55A09456" w:rsidR="00AA3C83" w:rsidRPr="001A778E" w:rsidRDefault="00AA3C83" w:rsidP="00643F1B">
      <w:pPr>
        <w:spacing w:before="120" w:after="120"/>
        <w:ind w:left="720"/>
        <w:jc w:val="both"/>
        <w:rPr>
          <w:rFonts w:ascii="Book Antiqua" w:hAnsi="Book Antiqua"/>
        </w:rPr>
      </w:pPr>
      <w:r w:rsidRPr="001A778E">
        <w:rPr>
          <w:rFonts w:ascii="Book Antiqua" w:hAnsi="Book Antiqua"/>
          <w:b/>
          <w:bCs/>
          <w:i/>
          <w:iCs/>
        </w:rPr>
        <w:t>Rules</w:t>
      </w:r>
      <w:r w:rsidRPr="001A778E">
        <w:rPr>
          <w:rFonts w:ascii="Book Antiqua" w:hAnsi="Book Antiqua"/>
        </w:rPr>
        <w:t xml:space="preserve"> means the </w:t>
      </w:r>
      <w:r w:rsidRPr="008E6758">
        <w:rPr>
          <w:rFonts w:ascii="Book Antiqua" w:hAnsi="Book Antiqua"/>
          <w:i/>
          <w:iCs/>
        </w:rPr>
        <w:t>Supreme Court (General Civil Procedure) Rules 20</w:t>
      </w:r>
      <w:r w:rsidR="00262C09">
        <w:rPr>
          <w:rFonts w:ascii="Book Antiqua" w:hAnsi="Book Antiqua"/>
          <w:i/>
          <w:iCs/>
        </w:rPr>
        <w:t>2</w:t>
      </w:r>
      <w:r w:rsidRPr="008E6758">
        <w:rPr>
          <w:rFonts w:ascii="Book Antiqua" w:hAnsi="Book Antiqua"/>
          <w:i/>
          <w:iCs/>
        </w:rPr>
        <w:t>5</w:t>
      </w:r>
      <w:r w:rsidRPr="001A778E">
        <w:rPr>
          <w:rFonts w:ascii="Book Antiqua" w:hAnsi="Book Antiqua"/>
        </w:rPr>
        <w:t xml:space="preserve"> as in force from time to time</w:t>
      </w:r>
      <w:r w:rsidR="009210A4">
        <w:rPr>
          <w:rFonts w:ascii="Book Antiqua" w:hAnsi="Book Antiqua"/>
        </w:rPr>
        <w:t xml:space="preserve"> </w:t>
      </w:r>
      <w:r w:rsidRPr="001A778E">
        <w:rPr>
          <w:rFonts w:ascii="Book Antiqua" w:hAnsi="Book Antiqua"/>
        </w:rPr>
        <w:t>and includes any Rules that may be made in substitution for those Rules</w:t>
      </w:r>
    </w:p>
    <w:p w14:paraId="4A3CBA81" w14:textId="743A02DE" w:rsidR="00AA3C83" w:rsidRPr="001A778E" w:rsidRDefault="00AA3C83" w:rsidP="00643F1B">
      <w:pPr>
        <w:spacing w:before="120" w:after="120"/>
        <w:ind w:left="720"/>
        <w:jc w:val="both"/>
        <w:rPr>
          <w:rFonts w:ascii="Book Antiqua" w:hAnsi="Book Antiqua"/>
        </w:rPr>
      </w:pPr>
      <w:r w:rsidRPr="001A778E">
        <w:rPr>
          <w:rFonts w:ascii="Book Antiqua" w:hAnsi="Book Antiqua"/>
          <w:b/>
          <w:bCs/>
          <w:i/>
          <w:iCs/>
        </w:rPr>
        <w:t>solicitor /client costs</w:t>
      </w:r>
      <w:r w:rsidRPr="001A778E">
        <w:rPr>
          <w:rFonts w:ascii="Book Antiqua" w:hAnsi="Book Antiqua"/>
        </w:rPr>
        <w:t xml:space="preserve"> </w:t>
      </w:r>
      <w:proofErr w:type="gramStart"/>
      <w:r w:rsidRPr="001A778E">
        <w:rPr>
          <w:rFonts w:ascii="Book Antiqua" w:hAnsi="Book Antiqua"/>
        </w:rPr>
        <w:t>means</w:t>
      </w:r>
      <w:proofErr w:type="gramEnd"/>
      <w:r w:rsidRPr="001A778E">
        <w:rPr>
          <w:rFonts w:ascii="Book Antiqua" w:hAnsi="Book Antiqua"/>
        </w:rPr>
        <w:t xml:space="preserve"> costs charged to a client </w:t>
      </w:r>
      <w:r w:rsidR="004222BF" w:rsidRPr="00D80031">
        <w:rPr>
          <w:rFonts w:ascii="Book Antiqua" w:hAnsi="Book Antiqua"/>
          <w:color w:val="EE0000"/>
        </w:rPr>
        <w:t xml:space="preserve">or a third party payer </w:t>
      </w:r>
      <w:r w:rsidRPr="001A778E">
        <w:rPr>
          <w:rFonts w:ascii="Book Antiqua" w:hAnsi="Book Antiqua"/>
        </w:rPr>
        <w:t>by a law practice for the provision of legal services</w:t>
      </w:r>
    </w:p>
    <w:p w14:paraId="31F6ABA3" w14:textId="77777777" w:rsidR="00AA3C83" w:rsidRDefault="00AA3C83" w:rsidP="004213D7">
      <w:pPr>
        <w:pStyle w:val="ListParagraph"/>
        <w:spacing w:before="120" w:after="120"/>
        <w:jc w:val="both"/>
        <w:rPr>
          <w:rFonts w:ascii="Book Antiqua" w:hAnsi="Book Antiqua"/>
          <w:sz w:val="24"/>
          <w:szCs w:val="24"/>
        </w:rPr>
      </w:pPr>
    </w:p>
    <w:p w14:paraId="378135E1" w14:textId="77777777" w:rsidR="00CC7B27" w:rsidRDefault="00CC7B27" w:rsidP="00CD0331">
      <w:pPr>
        <w:pStyle w:val="ListParagraph"/>
        <w:spacing w:before="120" w:after="120"/>
        <w:ind w:left="360"/>
        <w:jc w:val="both"/>
        <w:rPr>
          <w:rFonts w:ascii="Book Antiqua" w:hAnsi="Book Antiqua"/>
          <w:b/>
          <w:i/>
          <w:sz w:val="24"/>
          <w:szCs w:val="24"/>
        </w:rPr>
      </w:pPr>
    </w:p>
    <w:p w14:paraId="72FCD93E" w14:textId="21F40D50" w:rsidR="00C02583" w:rsidRPr="007917BE" w:rsidRDefault="00680452" w:rsidP="002107A3">
      <w:pPr>
        <w:pStyle w:val="Heading1"/>
        <w:ind w:left="720" w:hanging="720"/>
      </w:pPr>
      <w:r>
        <w:t>4.</w:t>
      </w:r>
      <w:r>
        <w:tab/>
      </w:r>
      <w:r w:rsidR="008D62CC">
        <w:t>COMMENCEMENT AND CONDUCT OF PARTY/PARTY APPLICATIONS IN THE COSTS COURT</w:t>
      </w:r>
    </w:p>
    <w:p w14:paraId="69271DED" w14:textId="362AF43F" w:rsidR="00DA1779" w:rsidRPr="005C54FB" w:rsidRDefault="00680452" w:rsidP="005C54FB">
      <w:pPr>
        <w:spacing w:before="120" w:after="120"/>
        <w:ind w:left="720" w:hanging="720"/>
        <w:jc w:val="both"/>
        <w:rPr>
          <w:rFonts w:ascii="Book Antiqua" w:hAnsi="Book Antiqua"/>
        </w:rPr>
      </w:pPr>
      <w:r w:rsidRPr="005C54FB">
        <w:rPr>
          <w:rFonts w:ascii="Book Antiqua" w:hAnsi="Book Antiqua"/>
        </w:rPr>
        <w:t>4.1</w:t>
      </w:r>
      <w:r w:rsidRPr="005C54FB">
        <w:rPr>
          <w:rFonts w:ascii="Book Antiqua" w:hAnsi="Book Antiqua"/>
        </w:rPr>
        <w:tab/>
      </w:r>
      <w:r w:rsidR="001632F9" w:rsidRPr="005C54FB">
        <w:rPr>
          <w:rFonts w:ascii="Book Antiqua" w:hAnsi="Book Antiqua"/>
        </w:rPr>
        <w:t xml:space="preserve">Applications for party/party taxation in the Costs Court are commenced by summons filed with the Prothonotary: r 63.38. The following additional requirements apply.  </w:t>
      </w:r>
    </w:p>
    <w:p w14:paraId="281E3E16" w14:textId="20C6D0D2" w:rsidR="00CE33A0" w:rsidRPr="00287AEA" w:rsidRDefault="00CE33A0" w:rsidP="00680452">
      <w:pPr>
        <w:pStyle w:val="ListParagraph"/>
        <w:spacing w:before="120" w:after="120"/>
        <w:ind w:hanging="720"/>
        <w:contextualSpacing w:val="0"/>
        <w:jc w:val="both"/>
        <w:rPr>
          <w:rFonts w:ascii="Book Antiqua" w:hAnsi="Book Antiqua"/>
          <w:b/>
          <w:bCs/>
          <w:i/>
          <w:iCs/>
          <w:sz w:val="24"/>
          <w:szCs w:val="24"/>
        </w:rPr>
      </w:pPr>
      <w:r w:rsidRPr="00287AEA">
        <w:rPr>
          <w:rFonts w:ascii="Book Antiqua" w:hAnsi="Book Antiqua"/>
          <w:b/>
          <w:bCs/>
          <w:i/>
          <w:iCs/>
          <w:sz w:val="24"/>
          <w:szCs w:val="24"/>
        </w:rPr>
        <w:t>Party/Party Taxation Information Form</w:t>
      </w:r>
    </w:p>
    <w:p w14:paraId="2CF414C4" w14:textId="0756F525" w:rsidR="00343BE1" w:rsidRPr="005C54FB" w:rsidRDefault="00680452" w:rsidP="001248BC">
      <w:pPr>
        <w:spacing w:before="120" w:after="120"/>
        <w:ind w:left="720" w:hanging="720"/>
        <w:jc w:val="both"/>
        <w:rPr>
          <w:rFonts w:ascii="Book Antiqua" w:hAnsi="Book Antiqua"/>
        </w:rPr>
      </w:pPr>
      <w:r w:rsidRPr="005C54FB">
        <w:rPr>
          <w:rFonts w:ascii="Book Antiqua" w:hAnsi="Book Antiqua"/>
        </w:rPr>
        <w:t>4.2</w:t>
      </w:r>
      <w:r w:rsidRPr="005C54FB">
        <w:rPr>
          <w:rFonts w:ascii="Book Antiqua" w:hAnsi="Book Antiqua"/>
        </w:rPr>
        <w:tab/>
      </w:r>
      <w:r w:rsidR="00287AEA" w:rsidRPr="005C54FB">
        <w:rPr>
          <w:rFonts w:ascii="Book Antiqua" w:hAnsi="Book Antiqua"/>
        </w:rPr>
        <w:t xml:space="preserve">Before filing or serving a summons for taxation, the entitled party must email a completed Party/Party Taxation Information Form (Annexure A) to: </w:t>
      </w:r>
      <w:hyperlink r:id="rId14" w:history="1">
        <w:r w:rsidR="00FA7A6B" w:rsidRPr="003F07DB">
          <w:rPr>
            <w:rStyle w:val="Hyperlink"/>
            <w:rFonts w:ascii="Book Antiqua" w:hAnsi="Book Antiqua"/>
          </w:rPr>
          <w:t>costs.court@supcourt.vic.gov.au</w:t>
        </w:r>
      </w:hyperlink>
      <w:r w:rsidR="00287AEA" w:rsidRPr="005C54FB">
        <w:rPr>
          <w:rFonts w:ascii="Book Antiqua" w:hAnsi="Book Antiqua"/>
        </w:rPr>
        <w:t xml:space="preserve">. </w:t>
      </w:r>
    </w:p>
    <w:p w14:paraId="16654880" w14:textId="4B801B37" w:rsidR="00287AEA" w:rsidRPr="005C54FB" w:rsidRDefault="00343BE1" w:rsidP="001248BC">
      <w:pPr>
        <w:spacing w:before="120" w:after="120"/>
        <w:ind w:left="720" w:hanging="720"/>
        <w:jc w:val="both"/>
        <w:rPr>
          <w:rFonts w:ascii="Book Antiqua" w:hAnsi="Book Antiqua"/>
        </w:rPr>
      </w:pPr>
      <w:r w:rsidRPr="005C54FB">
        <w:rPr>
          <w:rFonts w:ascii="Book Antiqua" w:hAnsi="Book Antiqua"/>
        </w:rPr>
        <w:t>4.3</w:t>
      </w:r>
      <w:r w:rsidRPr="005C54FB">
        <w:rPr>
          <w:rFonts w:ascii="Book Antiqua" w:hAnsi="Book Antiqua"/>
        </w:rPr>
        <w:tab/>
      </w:r>
      <w:r w:rsidR="00287AEA" w:rsidRPr="005C54FB">
        <w:rPr>
          <w:rFonts w:ascii="Book Antiqua" w:hAnsi="Book Antiqua"/>
        </w:rPr>
        <w:t xml:space="preserve">The </w:t>
      </w:r>
      <w:r w:rsidR="00733D25">
        <w:rPr>
          <w:rFonts w:ascii="Book Antiqua" w:hAnsi="Book Antiqua"/>
        </w:rPr>
        <w:t>entitle</w:t>
      </w:r>
      <w:r w:rsidR="00020C4A">
        <w:rPr>
          <w:rFonts w:ascii="Book Antiqua" w:hAnsi="Book Antiqua"/>
        </w:rPr>
        <w:t>d</w:t>
      </w:r>
      <w:r w:rsidR="00733D25">
        <w:rPr>
          <w:rFonts w:ascii="Book Antiqua" w:hAnsi="Book Antiqua"/>
        </w:rPr>
        <w:t xml:space="preserve"> party </w:t>
      </w:r>
      <w:r w:rsidR="00020C4A">
        <w:rPr>
          <w:rFonts w:ascii="Book Antiqua" w:hAnsi="Book Antiqua"/>
        </w:rPr>
        <w:t>should note the following matters</w:t>
      </w:r>
      <w:r w:rsidR="00187A40">
        <w:rPr>
          <w:rFonts w:ascii="Book Antiqua" w:hAnsi="Book Antiqua"/>
        </w:rPr>
        <w:t xml:space="preserve"> when filing the Form</w:t>
      </w:r>
      <w:r w:rsidR="00020C4A">
        <w:rPr>
          <w:rFonts w:ascii="Book Antiqua" w:hAnsi="Book Antiqua"/>
        </w:rPr>
        <w:t xml:space="preserve">: </w:t>
      </w:r>
    </w:p>
    <w:p w14:paraId="469B13F1" w14:textId="0CA0E061" w:rsidR="00287AEA" w:rsidRPr="00287AEA" w:rsidRDefault="00287AEA" w:rsidP="00343BE1">
      <w:pPr>
        <w:pStyle w:val="ListParagraph"/>
        <w:spacing w:before="120" w:after="240"/>
        <w:ind w:left="1440" w:hanging="720"/>
        <w:jc w:val="both"/>
        <w:rPr>
          <w:rFonts w:ascii="Book Antiqua" w:hAnsi="Book Antiqua"/>
          <w:sz w:val="24"/>
          <w:szCs w:val="24"/>
        </w:rPr>
      </w:pPr>
      <w:r w:rsidRPr="00287AEA">
        <w:rPr>
          <w:rFonts w:ascii="Book Antiqua" w:hAnsi="Book Antiqua"/>
          <w:sz w:val="24"/>
          <w:szCs w:val="24"/>
        </w:rPr>
        <w:t>(a)</w:t>
      </w:r>
      <w:r w:rsidRPr="00287AEA">
        <w:rPr>
          <w:rFonts w:ascii="Book Antiqua" w:hAnsi="Book Antiqua"/>
          <w:sz w:val="24"/>
          <w:szCs w:val="24"/>
        </w:rPr>
        <w:tab/>
        <w:t xml:space="preserve">An estimate must be given of the time required to tax the bill of costs. </w:t>
      </w:r>
    </w:p>
    <w:p w14:paraId="4658DC4B" w14:textId="77777777" w:rsidR="00287AEA" w:rsidRPr="00287AEA" w:rsidRDefault="00287AEA" w:rsidP="00343BE1">
      <w:pPr>
        <w:pStyle w:val="ListParagraph"/>
        <w:spacing w:before="120" w:after="240"/>
        <w:ind w:left="1440" w:hanging="720"/>
        <w:jc w:val="both"/>
        <w:rPr>
          <w:rFonts w:ascii="Book Antiqua" w:hAnsi="Book Antiqua"/>
          <w:sz w:val="24"/>
          <w:szCs w:val="24"/>
        </w:rPr>
      </w:pPr>
      <w:r w:rsidRPr="00287AEA">
        <w:rPr>
          <w:rFonts w:ascii="Book Antiqua" w:hAnsi="Book Antiqua"/>
          <w:sz w:val="24"/>
          <w:szCs w:val="24"/>
        </w:rPr>
        <w:t>(b)</w:t>
      </w:r>
      <w:r w:rsidRPr="00287AEA">
        <w:rPr>
          <w:rFonts w:ascii="Book Antiqua" w:hAnsi="Book Antiqua"/>
          <w:sz w:val="24"/>
          <w:szCs w:val="24"/>
        </w:rPr>
        <w:tab/>
        <w:t xml:space="preserve">Where the entitlement to costs arises from a court order in respect of which a written judgment has been published, the medium neutral citation of the judgment is to be given. If there is a written judgment but it has not been published, a copy of the judgment should be attached to the completed Form. </w:t>
      </w:r>
    </w:p>
    <w:p w14:paraId="5A07F79F" w14:textId="77777777" w:rsidR="00287AEA" w:rsidRPr="00287AEA" w:rsidRDefault="00287AEA" w:rsidP="00343BE1">
      <w:pPr>
        <w:pStyle w:val="ListParagraph"/>
        <w:spacing w:before="120" w:after="240"/>
        <w:ind w:left="1440" w:hanging="720"/>
        <w:jc w:val="both"/>
        <w:rPr>
          <w:rFonts w:ascii="Book Antiqua" w:hAnsi="Book Antiqua"/>
          <w:sz w:val="24"/>
          <w:szCs w:val="24"/>
        </w:rPr>
      </w:pPr>
      <w:r w:rsidRPr="00287AEA">
        <w:rPr>
          <w:rFonts w:ascii="Book Antiqua" w:hAnsi="Book Antiqua"/>
          <w:sz w:val="24"/>
          <w:szCs w:val="24"/>
        </w:rPr>
        <w:t>(c)</w:t>
      </w:r>
      <w:r w:rsidRPr="00287AEA">
        <w:rPr>
          <w:rFonts w:ascii="Book Antiqua" w:hAnsi="Book Antiqua"/>
          <w:sz w:val="24"/>
          <w:szCs w:val="24"/>
        </w:rPr>
        <w:tab/>
        <w:t>Where there is no written judgment, a short summary (no more than 300 words) of the principal proceeding, with sufficient detail to enable a basic understanding of it, is to be included.</w:t>
      </w:r>
    </w:p>
    <w:p w14:paraId="7EB36873" w14:textId="77777777" w:rsidR="00287AEA" w:rsidRPr="00287AEA" w:rsidRDefault="00287AEA" w:rsidP="00343BE1">
      <w:pPr>
        <w:pStyle w:val="ListParagraph"/>
        <w:spacing w:before="120" w:after="240"/>
        <w:ind w:left="1440" w:hanging="720"/>
        <w:jc w:val="both"/>
        <w:rPr>
          <w:rFonts w:ascii="Book Antiqua" w:hAnsi="Book Antiqua"/>
          <w:sz w:val="24"/>
          <w:szCs w:val="24"/>
        </w:rPr>
      </w:pPr>
      <w:r w:rsidRPr="00287AEA">
        <w:rPr>
          <w:rFonts w:ascii="Book Antiqua" w:hAnsi="Book Antiqua"/>
          <w:sz w:val="24"/>
          <w:szCs w:val="24"/>
        </w:rPr>
        <w:t>(d)</w:t>
      </w:r>
      <w:r w:rsidRPr="00287AEA">
        <w:rPr>
          <w:rFonts w:ascii="Book Antiqua" w:hAnsi="Book Antiqua"/>
          <w:sz w:val="24"/>
          <w:szCs w:val="24"/>
        </w:rPr>
        <w:tab/>
        <w:t>If the entitled party proposes that on the first return of the summons for taxation there should be a directions hearing, the entitled party must give a reason or reasons (e.g. that the respondent is self-represented).</w:t>
      </w:r>
    </w:p>
    <w:p w14:paraId="61BBF633" w14:textId="1A8A1AE8" w:rsidR="00287AEA" w:rsidRPr="00287AEA" w:rsidRDefault="00343BE1" w:rsidP="005C54FB">
      <w:pPr>
        <w:spacing w:before="120" w:after="120"/>
        <w:ind w:left="720" w:hanging="720"/>
        <w:jc w:val="both"/>
        <w:rPr>
          <w:rFonts w:ascii="Book Antiqua" w:hAnsi="Book Antiqua"/>
        </w:rPr>
      </w:pPr>
      <w:r>
        <w:rPr>
          <w:rFonts w:ascii="Book Antiqua" w:hAnsi="Book Antiqua"/>
        </w:rPr>
        <w:t>4.4</w:t>
      </w:r>
      <w:r>
        <w:rPr>
          <w:rFonts w:ascii="Book Antiqua" w:hAnsi="Book Antiqua"/>
        </w:rPr>
        <w:tab/>
      </w:r>
      <w:r w:rsidR="00287AEA" w:rsidRPr="00287AEA">
        <w:rPr>
          <w:rFonts w:ascii="Book Antiqua" w:hAnsi="Book Antiqua"/>
        </w:rPr>
        <w:t>A return date for the summons for taxation will not be allocated without a completed Party/Party Taxation Information Form.</w:t>
      </w:r>
    </w:p>
    <w:p w14:paraId="1CB3F76C" w14:textId="0236A8F2" w:rsidR="00B92C67" w:rsidRDefault="00343BE1" w:rsidP="005C54FB">
      <w:pPr>
        <w:spacing w:before="120" w:after="120"/>
        <w:ind w:left="720" w:hanging="720"/>
        <w:jc w:val="both"/>
        <w:rPr>
          <w:rFonts w:ascii="Book Antiqua" w:hAnsi="Book Antiqua"/>
        </w:rPr>
      </w:pPr>
      <w:r>
        <w:rPr>
          <w:rFonts w:ascii="Book Antiqua" w:hAnsi="Book Antiqua"/>
        </w:rPr>
        <w:t>4.5</w:t>
      </w:r>
      <w:r>
        <w:rPr>
          <w:rFonts w:ascii="Book Antiqua" w:hAnsi="Book Antiqua"/>
        </w:rPr>
        <w:tab/>
      </w:r>
      <w:r w:rsidR="00287AEA" w:rsidRPr="00287AEA">
        <w:rPr>
          <w:rFonts w:ascii="Book Antiqua" w:hAnsi="Book Antiqua"/>
        </w:rPr>
        <w:t>Once the Form has been received and accepted, the Registry will allocate a return date for a mediation, assessment or directions hearing, and will notify the entitled party accordingly.</w:t>
      </w:r>
    </w:p>
    <w:p w14:paraId="2FC38E07" w14:textId="1FB50DD2" w:rsidR="00343BE1" w:rsidRPr="002612B2" w:rsidRDefault="00343BE1" w:rsidP="00287AEA">
      <w:pPr>
        <w:pStyle w:val="ListParagraph"/>
        <w:spacing w:before="120" w:after="240"/>
        <w:ind w:hanging="720"/>
        <w:contextualSpacing w:val="0"/>
        <w:jc w:val="both"/>
        <w:rPr>
          <w:rFonts w:ascii="Book Antiqua" w:hAnsi="Book Antiqua"/>
          <w:b/>
          <w:bCs/>
          <w:i/>
          <w:iCs/>
          <w:sz w:val="24"/>
          <w:szCs w:val="24"/>
        </w:rPr>
      </w:pPr>
      <w:r w:rsidRPr="002612B2">
        <w:rPr>
          <w:rFonts w:ascii="Book Antiqua" w:hAnsi="Book Antiqua"/>
          <w:b/>
          <w:bCs/>
          <w:i/>
          <w:iCs/>
          <w:sz w:val="24"/>
          <w:szCs w:val="24"/>
        </w:rPr>
        <w:lastRenderedPageBreak/>
        <w:t>The summons for taxation</w:t>
      </w:r>
    </w:p>
    <w:p w14:paraId="03DD6A4C" w14:textId="04591092" w:rsidR="002612B2" w:rsidRPr="002612B2" w:rsidRDefault="00343BE1" w:rsidP="005C54FB">
      <w:pPr>
        <w:spacing w:before="120" w:after="120"/>
        <w:ind w:left="720" w:hanging="720"/>
        <w:jc w:val="both"/>
        <w:rPr>
          <w:rFonts w:ascii="Book Antiqua" w:hAnsi="Book Antiqua"/>
        </w:rPr>
      </w:pPr>
      <w:r>
        <w:rPr>
          <w:rFonts w:ascii="Book Antiqua" w:hAnsi="Book Antiqua"/>
        </w:rPr>
        <w:t>4.6</w:t>
      </w:r>
      <w:r>
        <w:rPr>
          <w:rFonts w:ascii="Book Antiqua" w:hAnsi="Book Antiqua"/>
        </w:rPr>
        <w:tab/>
      </w:r>
      <w:r w:rsidR="002612B2" w:rsidRPr="002612B2">
        <w:rPr>
          <w:rFonts w:ascii="Book Antiqua" w:hAnsi="Book Antiqua"/>
        </w:rPr>
        <w:t>The entitled party must e-file the summons for taxation together with copies of:</w:t>
      </w:r>
    </w:p>
    <w:p w14:paraId="6043A9DE" w14:textId="77777777" w:rsidR="002612B2" w:rsidRPr="002612B2" w:rsidRDefault="002612B2" w:rsidP="002612B2">
      <w:pPr>
        <w:pStyle w:val="ListParagraph"/>
        <w:spacing w:before="120" w:after="240"/>
        <w:ind w:left="1440" w:hanging="720"/>
        <w:jc w:val="both"/>
        <w:rPr>
          <w:rFonts w:ascii="Book Antiqua" w:hAnsi="Book Antiqua"/>
          <w:sz w:val="24"/>
          <w:szCs w:val="24"/>
        </w:rPr>
      </w:pPr>
      <w:r w:rsidRPr="002612B2">
        <w:rPr>
          <w:rFonts w:ascii="Book Antiqua" w:hAnsi="Book Antiqua"/>
          <w:sz w:val="24"/>
          <w:szCs w:val="24"/>
        </w:rPr>
        <w:t>(a)</w:t>
      </w:r>
      <w:r w:rsidRPr="002612B2">
        <w:rPr>
          <w:rFonts w:ascii="Book Antiqua" w:hAnsi="Book Antiqua"/>
          <w:sz w:val="24"/>
          <w:szCs w:val="24"/>
        </w:rPr>
        <w:tab/>
        <w:t xml:space="preserve">the completed Party/Party Taxation Information </w:t>
      </w:r>
      <w:proofErr w:type="gramStart"/>
      <w:r w:rsidRPr="002612B2">
        <w:rPr>
          <w:rFonts w:ascii="Book Antiqua" w:hAnsi="Book Antiqua"/>
          <w:sz w:val="24"/>
          <w:szCs w:val="24"/>
        </w:rPr>
        <w:t>Form;</w:t>
      </w:r>
      <w:proofErr w:type="gramEnd"/>
      <w:r w:rsidRPr="002612B2">
        <w:rPr>
          <w:rFonts w:ascii="Book Antiqua" w:hAnsi="Book Antiqua"/>
          <w:sz w:val="24"/>
          <w:szCs w:val="24"/>
        </w:rPr>
        <w:t xml:space="preserve"> </w:t>
      </w:r>
    </w:p>
    <w:p w14:paraId="1ED895B3" w14:textId="77777777" w:rsidR="002612B2" w:rsidRPr="002612B2" w:rsidRDefault="002612B2" w:rsidP="002612B2">
      <w:pPr>
        <w:pStyle w:val="ListParagraph"/>
        <w:spacing w:before="120" w:after="240"/>
        <w:ind w:left="1440" w:hanging="720"/>
        <w:jc w:val="both"/>
        <w:rPr>
          <w:rFonts w:ascii="Book Antiqua" w:hAnsi="Book Antiqua"/>
          <w:sz w:val="24"/>
          <w:szCs w:val="24"/>
        </w:rPr>
      </w:pPr>
      <w:r w:rsidRPr="002612B2">
        <w:rPr>
          <w:rFonts w:ascii="Book Antiqua" w:hAnsi="Book Antiqua"/>
          <w:sz w:val="24"/>
          <w:szCs w:val="24"/>
        </w:rPr>
        <w:t>(b)</w:t>
      </w:r>
      <w:r w:rsidRPr="002612B2">
        <w:rPr>
          <w:rFonts w:ascii="Book Antiqua" w:hAnsi="Book Antiqua"/>
          <w:sz w:val="24"/>
          <w:szCs w:val="24"/>
        </w:rPr>
        <w:tab/>
        <w:t xml:space="preserve">the email from the Registry advising the return date of the </w:t>
      </w:r>
      <w:proofErr w:type="gramStart"/>
      <w:r w:rsidRPr="002612B2">
        <w:rPr>
          <w:rFonts w:ascii="Book Antiqua" w:hAnsi="Book Antiqua"/>
          <w:sz w:val="24"/>
          <w:szCs w:val="24"/>
        </w:rPr>
        <w:t>summons;</w:t>
      </w:r>
      <w:proofErr w:type="gramEnd"/>
    </w:p>
    <w:p w14:paraId="75F3A4A7" w14:textId="77777777" w:rsidR="002612B2" w:rsidRPr="002612B2" w:rsidRDefault="002612B2" w:rsidP="002612B2">
      <w:pPr>
        <w:pStyle w:val="ListParagraph"/>
        <w:spacing w:before="120" w:after="240"/>
        <w:ind w:left="1440" w:hanging="720"/>
        <w:jc w:val="both"/>
        <w:rPr>
          <w:rFonts w:ascii="Book Antiqua" w:hAnsi="Book Antiqua"/>
          <w:sz w:val="24"/>
          <w:szCs w:val="24"/>
        </w:rPr>
      </w:pPr>
      <w:r w:rsidRPr="002612B2">
        <w:rPr>
          <w:rFonts w:ascii="Book Antiqua" w:hAnsi="Book Antiqua"/>
          <w:sz w:val="24"/>
          <w:szCs w:val="24"/>
        </w:rPr>
        <w:t>(c)</w:t>
      </w:r>
      <w:r w:rsidRPr="002612B2">
        <w:rPr>
          <w:rFonts w:ascii="Book Antiqua" w:hAnsi="Book Antiqua"/>
          <w:sz w:val="24"/>
          <w:szCs w:val="24"/>
        </w:rPr>
        <w:tab/>
        <w:t xml:space="preserve">the bill of costs and counsel’s invoices and/or memoranda of fees together with a certification of payment or an undertaking in accordance with r 63.43 of the Rules; and </w:t>
      </w:r>
    </w:p>
    <w:p w14:paraId="1F009674" w14:textId="77777777" w:rsidR="002612B2" w:rsidRPr="002612B2" w:rsidRDefault="002612B2" w:rsidP="002612B2">
      <w:pPr>
        <w:pStyle w:val="ListParagraph"/>
        <w:spacing w:before="120" w:after="240"/>
        <w:ind w:left="1440" w:hanging="720"/>
        <w:jc w:val="both"/>
        <w:rPr>
          <w:rFonts w:ascii="Book Antiqua" w:hAnsi="Book Antiqua"/>
          <w:sz w:val="24"/>
          <w:szCs w:val="24"/>
        </w:rPr>
      </w:pPr>
      <w:r w:rsidRPr="002612B2">
        <w:rPr>
          <w:rFonts w:ascii="Book Antiqua" w:hAnsi="Book Antiqua"/>
          <w:sz w:val="24"/>
          <w:szCs w:val="24"/>
        </w:rPr>
        <w:t>(d)</w:t>
      </w:r>
      <w:r w:rsidRPr="002612B2">
        <w:rPr>
          <w:rFonts w:ascii="Book Antiqua" w:hAnsi="Book Antiqua"/>
          <w:sz w:val="24"/>
          <w:szCs w:val="24"/>
        </w:rPr>
        <w:tab/>
        <w:t>where applicable, the order for costs or the agreement pursuant to which the costs are claimed.</w:t>
      </w:r>
    </w:p>
    <w:p w14:paraId="26D3BFE2" w14:textId="77777777" w:rsidR="00F57AD1" w:rsidRPr="00413511" w:rsidRDefault="00F57AD1" w:rsidP="00F57AD1">
      <w:pPr>
        <w:spacing w:before="120" w:after="120"/>
        <w:ind w:left="720" w:hanging="720"/>
        <w:jc w:val="both"/>
        <w:rPr>
          <w:rFonts w:ascii="Book Antiqua" w:hAnsi="Book Antiqua"/>
          <w:b/>
          <w:bCs/>
          <w:i/>
          <w:iCs/>
        </w:rPr>
      </w:pPr>
      <w:r w:rsidRPr="00413511">
        <w:rPr>
          <w:rFonts w:ascii="Book Antiqua" w:hAnsi="Book Antiqua"/>
          <w:b/>
          <w:bCs/>
          <w:i/>
          <w:iCs/>
        </w:rPr>
        <w:t xml:space="preserve">Applications to allow amounts above </w:t>
      </w:r>
      <w:r>
        <w:rPr>
          <w:rFonts w:ascii="Book Antiqua" w:hAnsi="Book Antiqua"/>
          <w:b/>
          <w:bCs/>
          <w:i/>
          <w:iCs/>
        </w:rPr>
        <w:t>maximum rates</w:t>
      </w:r>
    </w:p>
    <w:p w14:paraId="247519AB" w14:textId="29AB8AF0" w:rsidR="00F57AD1" w:rsidRPr="005D4A1B" w:rsidRDefault="00F57AD1" w:rsidP="00F57AD1">
      <w:pPr>
        <w:spacing w:before="120" w:after="120"/>
        <w:ind w:left="720" w:hanging="720"/>
        <w:jc w:val="both"/>
        <w:rPr>
          <w:rFonts w:ascii="Book Antiqua" w:hAnsi="Book Antiqua"/>
        </w:rPr>
      </w:pPr>
      <w:r>
        <w:rPr>
          <w:rFonts w:ascii="Book Antiqua" w:hAnsi="Book Antiqua"/>
        </w:rPr>
        <w:t>4.</w:t>
      </w:r>
      <w:r w:rsidR="006A5F86">
        <w:rPr>
          <w:rFonts w:ascii="Book Antiqua" w:hAnsi="Book Antiqua"/>
        </w:rPr>
        <w:t>7</w:t>
      </w:r>
      <w:r w:rsidRPr="005D4A1B">
        <w:rPr>
          <w:rFonts w:ascii="Book Antiqua" w:hAnsi="Book Antiqua"/>
        </w:rPr>
        <w:tab/>
        <w:t xml:space="preserve">Any application for an increase under r 63.34(3) of the Rules must be foreshadowed in the Party/Party Taxation Information Form. </w:t>
      </w:r>
    </w:p>
    <w:p w14:paraId="3B66836C" w14:textId="0B4E213C" w:rsidR="00F57AD1" w:rsidRPr="005D4A1B" w:rsidRDefault="00F57AD1" w:rsidP="00F57AD1">
      <w:pPr>
        <w:spacing w:before="120" w:after="120"/>
        <w:ind w:left="720" w:hanging="720"/>
        <w:jc w:val="both"/>
        <w:rPr>
          <w:rFonts w:ascii="Book Antiqua" w:hAnsi="Book Antiqua"/>
        </w:rPr>
      </w:pPr>
      <w:r>
        <w:rPr>
          <w:rFonts w:ascii="Book Antiqua" w:hAnsi="Book Antiqua"/>
        </w:rPr>
        <w:t>4.</w:t>
      </w:r>
      <w:r w:rsidR="006A5F86">
        <w:rPr>
          <w:rFonts w:ascii="Book Antiqua" w:hAnsi="Book Antiqua"/>
        </w:rPr>
        <w:t>8</w:t>
      </w:r>
      <w:r w:rsidRPr="005D4A1B">
        <w:rPr>
          <w:rFonts w:ascii="Book Antiqua" w:hAnsi="Book Antiqua"/>
        </w:rPr>
        <w:tab/>
        <w:t>Any such application is to be included</w:t>
      </w:r>
      <w:r w:rsidR="00E96A5A">
        <w:rPr>
          <w:rFonts w:ascii="Book Antiqua" w:hAnsi="Book Antiqua"/>
        </w:rPr>
        <w:t xml:space="preserve"> </w:t>
      </w:r>
      <w:r w:rsidRPr="005D4A1B">
        <w:rPr>
          <w:rFonts w:ascii="Book Antiqua" w:hAnsi="Book Antiqua"/>
        </w:rPr>
        <w:t>in the summons for taxation.  It must be supported by appropriate affidavit material.  The extent of the increase sought must be specified.</w:t>
      </w:r>
    </w:p>
    <w:p w14:paraId="66CC98F4" w14:textId="7BECD071" w:rsidR="00F57AD1" w:rsidRPr="005D4A1B" w:rsidRDefault="00F57AD1" w:rsidP="00F57AD1">
      <w:pPr>
        <w:spacing w:before="120" w:after="120"/>
        <w:ind w:left="720" w:hanging="720"/>
        <w:jc w:val="both"/>
        <w:rPr>
          <w:rFonts w:ascii="Book Antiqua" w:hAnsi="Book Antiqua"/>
        </w:rPr>
      </w:pPr>
      <w:r>
        <w:rPr>
          <w:rFonts w:ascii="Book Antiqua" w:hAnsi="Book Antiqua"/>
        </w:rPr>
        <w:t>4.</w:t>
      </w:r>
      <w:r w:rsidR="006A5F86">
        <w:rPr>
          <w:rFonts w:ascii="Book Antiqua" w:hAnsi="Book Antiqua"/>
        </w:rPr>
        <w:t>9</w:t>
      </w:r>
      <w:r w:rsidRPr="005D4A1B">
        <w:rPr>
          <w:rFonts w:ascii="Book Antiqua" w:hAnsi="Book Antiqua"/>
        </w:rPr>
        <w:tab/>
        <w:t>In such cases, the summons for taxation will be made returnable, in the first instance, at a directions hearing.</w:t>
      </w:r>
    </w:p>
    <w:p w14:paraId="7C8CD5C6" w14:textId="77777777" w:rsidR="00FC2B7E" w:rsidRDefault="00F57AD1" w:rsidP="005C54FB">
      <w:pPr>
        <w:spacing w:before="120" w:after="120"/>
        <w:ind w:left="720" w:hanging="720"/>
        <w:jc w:val="both"/>
        <w:rPr>
          <w:rFonts w:ascii="Book Antiqua" w:hAnsi="Book Antiqua"/>
        </w:rPr>
      </w:pPr>
      <w:r>
        <w:rPr>
          <w:rFonts w:ascii="Book Antiqua" w:hAnsi="Book Antiqua"/>
        </w:rPr>
        <w:t>4.1</w:t>
      </w:r>
      <w:r w:rsidR="00527F47">
        <w:rPr>
          <w:rFonts w:ascii="Book Antiqua" w:hAnsi="Book Antiqua"/>
        </w:rPr>
        <w:t>0</w:t>
      </w:r>
      <w:r w:rsidRPr="005D4A1B">
        <w:rPr>
          <w:rFonts w:ascii="Book Antiqua" w:hAnsi="Book Antiqua"/>
        </w:rPr>
        <w:tab/>
        <w:t xml:space="preserve">At least seven days before the directions hearing, the liable party must file a written response to the application for an increase in the maximums.  </w:t>
      </w:r>
    </w:p>
    <w:p w14:paraId="4DC4E8F1" w14:textId="593C621D" w:rsidR="00343BE1" w:rsidRDefault="00F26A56" w:rsidP="005C54FB">
      <w:pPr>
        <w:spacing w:before="120" w:after="120"/>
        <w:ind w:left="720" w:hanging="720"/>
        <w:jc w:val="both"/>
        <w:rPr>
          <w:rFonts w:ascii="Book Antiqua" w:hAnsi="Book Antiqua"/>
        </w:rPr>
      </w:pPr>
      <w:r>
        <w:rPr>
          <w:rFonts w:ascii="Book Antiqua" w:hAnsi="Book Antiqua"/>
        </w:rPr>
        <w:t>4.</w:t>
      </w:r>
      <w:r w:rsidR="00527F47">
        <w:rPr>
          <w:rFonts w:ascii="Book Antiqua" w:hAnsi="Book Antiqua"/>
        </w:rPr>
        <w:t>11</w:t>
      </w:r>
      <w:r>
        <w:rPr>
          <w:rFonts w:ascii="Book Antiqua" w:hAnsi="Book Antiqua"/>
        </w:rPr>
        <w:tab/>
      </w:r>
      <w:r w:rsidR="002612B2" w:rsidRPr="002612B2">
        <w:rPr>
          <w:rFonts w:ascii="Book Antiqua" w:hAnsi="Book Antiqua"/>
        </w:rPr>
        <w:t>The entitled party must pay the requisite filing fee</w:t>
      </w:r>
      <w:r w:rsidR="002612B2">
        <w:rPr>
          <w:rFonts w:ascii="Book Antiqua" w:hAnsi="Book Antiqua"/>
        </w:rPr>
        <w:t>.</w:t>
      </w:r>
    </w:p>
    <w:p w14:paraId="630A79DE" w14:textId="1249B597" w:rsidR="002612B2" w:rsidRPr="001A1DEB" w:rsidRDefault="002612B2" w:rsidP="002612B2">
      <w:pPr>
        <w:pStyle w:val="ListParagraph"/>
        <w:spacing w:before="120" w:after="240"/>
        <w:ind w:hanging="720"/>
        <w:contextualSpacing w:val="0"/>
        <w:jc w:val="both"/>
        <w:rPr>
          <w:rFonts w:ascii="Book Antiqua" w:hAnsi="Book Antiqua"/>
          <w:b/>
          <w:bCs/>
          <w:i/>
          <w:iCs/>
          <w:sz w:val="24"/>
          <w:szCs w:val="24"/>
        </w:rPr>
      </w:pPr>
      <w:r w:rsidRPr="001A1DEB">
        <w:rPr>
          <w:rFonts w:ascii="Book Antiqua" w:hAnsi="Book Antiqua"/>
          <w:b/>
          <w:bCs/>
          <w:i/>
          <w:iCs/>
          <w:sz w:val="24"/>
          <w:szCs w:val="24"/>
        </w:rPr>
        <w:t>The bill of costs</w:t>
      </w:r>
    </w:p>
    <w:p w14:paraId="3458933A" w14:textId="0C678761" w:rsidR="005956B9" w:rsidRPr="005956B9" w:rsidRDefault="005956B9" w:rsidP="005C54FB">
      <w:pPr>
        <w:spacing w:before="120" w:after="120"/>
        <w:ind w:left="720" w:hanging="720"/>
        <w:jc w:val="both"/>
        <w:rPr>
          <w:rFonts w:ascii="Book Antiqua" w:hAnsi="Book Antiqua"/>
        </w:rPr>
      </w:pPr>
      <w:r>
        <w:rPr>
          <w:rFonts w:ascii="Book Antiqua" w:hAnsi="Book Antiqua"/>
        </w:rPr>
        <w:t>4.</w:t>
      </w:r>
      <w:r w:rsidR="00527F47">
        <w:rPr>
          <w:rFonts w:ascii="Book Antiqua" w:hAnsi="Book Antiqua"/>
        </w:rPr>
        <w:t>12</w:t>
      </w:r>
      <w:r>
        <w:rPr>
          <w:rFonts w:ascii="Book Antiqua" w:hAnsi="Book Antiqua"/>
        </w:rPr>
        <w:tab/>
      </w:r>
      <w:r w:rsidR="004E4183">
        <w:rPr>
          <w:rFonts w:ascii="Book Antiqua" w:hAnsi="Book Antiqua"/>
        </w:rPr>
        <w:t xml:space="preserve">The bill of costs </w:t>
      </w:r>
      <w:r w:rsidR="00882611">
        <w:rPr>
          <w:rFonts w:ascii="Book Antiqua" w:hAnsi="Book Antiqua"/>
        </w:rPr>
        <w:t>for a party</w:t>
      </w:r>
      <w:r w:rsidR="00E42734">
        <w:rPr>
          <w:rFonts w:ascii="Book Antiqua" w:hAnsi="Book Antiqua"/>
        </w:rPr>
        <w:t>/</w:t>
      </w:r>
      <w:r w:rsidR="00882611">
        <w:rPr>
          <w:rFonts w:ascii="Book Antiqua" w:hAnsi="Book Antiqua"/>
        </w:rPr>
        <w:t xml:space="preserve">party taxation must comply with r </w:t>
      </w:r>
      <w:r w:rsidR="00BA41C5">
        <w:rPr>
          <w:rFonts w:ascii="Book Antiqua" w:hAnsi="Book Antiqua"/>
        </w:rPr>
        <w:t xml:space="preserve">63.42 </w:t>
      </w:r>
      <w:r w:rsidR="00A56774">
        <w:rPr>
          <w:rFonts w:ascii="Book Antiqua" w:hAnsi="Book Antiqua"/>
        </w:rPr>
        <w:t xml:space="preserve">of the </w:t>
      </w:r>
      <w:r w:rsidR="00A56774" w:rsidRPr="00FC2B7E">
        <w:rPr>
          <w:rFonts w:ascii="Book Antiqua" w:hAnsi="Book Antiqua"/>
          <w:i/>
          <w:iCs/>
        </w:rPr>
        <w:t>Rules</w:t>
      </w:r>
      <w:r w:rsidR="00A56774">
        <w:rPr>
          <w:rFonts w:ascii="Book Antiqua" w:hAnsi="Book Antiqua"/>
        </w:rPr>
        <w:t xml:space="preserve">, </w:t>
      </w:r>
      <w:r w:rsidR="00E42734">
        <w:rPr>
          <w:rFonts w:ascii="Book Antiqua" w:hAnsi="Book Antiqua"/>
        </w:rPr>
        <w:t>as applicable to the enti</w:t>
      </w:r>
      <w:r w:rsidR="0004620A">
        <w:rPr>
          <w:rFonts w:ascii="Book Antiqua" w:hAnsi="Book Antiqua"/>
        </w:rPr>
        <w:t>t</w:t>
      </w:r>
      <w:r w:rsidR="00E42734">
        <w:rPr>
          <w:rFonts w:ascii="Book Antiqua" w:hAnsi="Book Antiqua"/>
        </w:rPr>
        <w:t xml:space="preserve">led party’s claim </w:t>
      </w:r>
      <w:r w:rsidR="0006073C">
        <w:rPr>
          <w:rFonts w:ascii="Book Antiqua" w:hAnsi="Book Antiqua"/>
        </w:rPr>
        <w:t>for</w:t>
      </w:r>
      <w:r w:rsidR="00E42734">
        <w:rPr>
          <w:rFonts w:ascii="Book Antiqua" w:hAnsi="Book Antiqua"/>
        </w:rPr>
        <w:t xml:space="preserve"> co</w:t>
      </w:r>
      <w:r w:rsidR="00A56774">
        <w:rPr>
          <w:rFonts w:ascii="Book Antiqua" w:hAnsi="Book Antiqua"/>
        </w:rPr>
        <w:t>s</w:t>
      </w:r>
      <w:r w:rsidR="00E42734">
        <w:rPr>
          <w:rFonts w:ascii="Book Antiqua" w:hAnsi="Book Antiqua"/>
        </w:rPr>
        <w:t xml:space="preserve">ts. </w:t>
      </w:r>
      <w:r w:rsidR="0080109B">
        <w:rPr>
          <w:rFonts w:ascii="Book Antiqua" w:hAnsi="Book Antiqua"/>
        </w:rPr>
        <w:t xml:space="preserve">It must have sufficient </w:t>
      </w:r>
      <w:r w:rsidR="0006073C">
        <w:rPr>
          <w:rFonts w:ascii="Book Antiqua" w:hAnsi="Book Antiqua"/>
        </w:rPr>
        <w:t>detail</w:t>
      </w:r>
      <w:r w:rsidR="0080109B">
        <w:rPr>
          <w:rFonts w:ascii="Book Antiqua" w:hAnsi="Book Antiqua"/>
        </w:rPr>
        <w:t xml:space="preserve"> to enable the </w:t>
      </w:r>
      <w:r w:rsidR="00937E6A">
        <w:rPr>
          <w:rFonts w:ascii="Book Antiqua" w:hAnsi="Book Antiqua"/>
        </w:rPr>
        <w:t xml:space="preserve">liable party </w:t>
      </w:r>
      <w:r w:rsidR="0080109B">
        <w:rPr>
          <w:rFonts w:ascii="Book Antiqua" w:hAnsi="Book Antiqua"/>
        </w:rPr>
        <w:t>to</w:t>
      </w:r>
      <w:r w:rsidR="0080109B" w:rsidRPr="005956B9">
        <w:rPr>
          <w:rFonts w:ascii="Book Antiqua" w:hAnsi="Book Antiqua"/>
        </w:rPr>
        <w:t xml:space="preserve"> </w:t>
      </w:r>
      <w:r w:rsidRPr="005956B9">
        <w:rPr>
          <w:rFonts w:ascii="Book Antiqua" w:hAnsi="Book Antiqua"/>
        </w:rPr>
        <w:t xml:space="preserve">assess </w:t>
      </w:r>
      <w:proofErr w:type="gramStart"/>
      <w:r w:rsidRPr="005956B9">
        <w:rPr>
          <w:rFonts w:ascii="Book Antiqua" w:hAnsi="Book Antiqua"/>
        </w:rPr>
        <w:t>whether or not</w:t>
      </w:r>
      <w:proofErr w:type="gramEnd"/>
      <w:r w:rsidRPr="005956B9">
        <w:rPr>
          <w:rFonts w:ascii="Book Antiqua" w:hAnsi="Book Antiqua"/>
        </w:rPr>
        <w:t xml:space="preserve"> the charges for the work are reasonable, and </w:t>
      </w:r>
      <w:r w:rsidR="00467B92">
        <w:rPr>
          <w:rFonts w:ascii="Book Antiqua" w:hAnsi="Book Antiqua"/>
        </w:rPr>
        <w:t>to</w:t>
      </w:r>
      <w:r w:rsidR="00467B92" w:rsidRPr="005956B9">
        <w:rPr>
          <w:rFonts w:ascii="Book Antiqua" w:hAnsi="Book Antiqua"/>
        </w:rPr>
        <w:t xml:space="preserve"> </w:t>
      </w:r>
      <w:r w:rsidRPr="005956B9">
        <w:rPr>
          <w:rFonts w:ascii="Book Antiqua" w:hAnsi="Book Antiqua"/>
        </w:rPr>
        <w:t>make an informed decision about the utility of challenging the bill.</w:t>
      </w:r>
    </w:p>
    <w:p w14:paraId="4514E925" w14:textId="2D05D46B" w:rsidR="005956B9" w:rsidRPr="005956B9" w:rsidRDefault="005956B9" w:rsidP="005C54FB">
      <w:pPr>
        <w:spacing w:before="120" w:after="120"/>
        <w:ind w:left="720" w:hanging="720"/>
        <w:jc w:val="both"/>
        <w:rPr>
          <w:rFonts w:ascii="Book Antiqua" w:hAnsi="Book Antiqua"/>
        </w:rPr>
      </w:pPr>
      <w:r>
        <w:rPr>
          <w:rFonts w:ascii="Book Antiqua" w:hAnsi="Book Antiqua"/>
        </w:rPr>
        <w:t>4.</w:t>
      </w:r>
      <w:r w:rsidR="00527F47">
        <w:rPr>
          <w:rFonts w:ascii="Book Antiqua" w:hAnsi="Book Antiqua"/>
        </w:rPr>
        <w:t>13</w:t>
      </w:r>
      <w:r w:rsidRPr="005956B9">
        <w:rPr>
          <w:rFonts w:ascii="Book Antiqua" w:hAnsi="Book Antiqua"/>
        </w:rPr>
        <w:tab/>
        <w:t xml:space="preserve">The detail provided in the description of each item will be important to the determination of reasonableness. For example, the length of a document produced or read will inform the liable party and the costs assessor of the reasonableness of the time spent on the task. Descriptions limited to a few words such as ‘email to counsel’, ‘conference with client’ or ‘reading affidavit’ are insufficient to determine reasonableness. </w:t>
      </w:r>
    </w:p>
    <w:p w14:paraId="4E40F872" w14:textId="53B2DEC4" w:rsidR="005956B9" w:rsidRPr="005956B9" w:rsidRDefault="005956B9" w:rsidP="005C54FB">
      <w:pPr>
        <w:spacing w:before="120" w:after="120"/>
        <w:ind w:left="720" w:hanging="720"/>
        <w:jc w:val="both"/>
        <w:rPr>
          <w:rFonts w:ascii="Book Antiqua" w:hAnsi="Book Antiqua"/>
        </w:rPr>
      </w:pPr>
      <w:r>
        <w:rPr>
          <w:rFonts w:ascii="Book Antiqua" w:hAnsi="Book Antiqua"/>
        </w:rPr>
        <w:t>4.</w:t>
      </w:r>
      <w:r w:rsidR="00527F47">
        <w:rPr>
          <w:rFonts w:ascii="Book Antiqua" w:hAnsi="Book Antiqua"/>
        </w:rPr>
        <w:t>14</w:t>
      </w:r>
      <w:r w:rsidRPr="005956B9">
        <w:rPr>
          <w:rFonts w:ascii="Book Antiqua" w:hAnsi="Book Antiqua"/>
        </w:rPr>
        <w:tab/>
        <w:t>Where a claim in a bill of costs is a ‘bundled claim’, i.e. the claim exceeds one unit and relates to more than one task performed by a legal practitioner, employee of the legal practice or counsel, the entitled party must provide sufficient information with respect to each task included in the bundled claim to enable the liable party to consider, and the costs assessor to determine, its reasonableness.</w:t>
      </w:r>
    </w:p>
    <w:p w14:paraId="432AC214" w14:textId="42E488EA" w:rsidR="00467B92" w:rsidRPr="00467B92" w:rsidRDefault="005956B9" w:rsidP="005C54FB">
      <w:pPr>
        <w:spacing w:before="120" w:after="120"/>
        <w:ind w:left="720" w:hanging="720"/>
        <w:jc w:val="both"/>
        <w:rPr>
          <w:rFonts w:ascii="Book Antiqua" w:hAnsi="Book Antiqua"/>
        </w:rPr>
      </w:pPr>
      <w:r>
        <w:rPr>
          <w:rFonts w:ascii="Book Antiqua" w:hAnsi="Book Antiqua"/>
        </w:rPr>
        <w:lastRenderedPageBreak/>
        <w:t>4.</w:t>
      </w:r>
      <w:r w:rsidR="00527F47">
        <w:rPr>
          <w:rFonts w:ascii="Book Antiqua" w:hAnsi="Book Antiqua"/>
        </w:rPr>
        <w:t>15</w:t>
      </w:r>
      <w:r w:rsidRPr="005956B9">
        <w:rPr>
          <w:rFonts w:ascii="Book Antiqua" w:hAnsi="Book Antiqua"/>
        </w:rPr>
        <w:tab/>
      </w:r>
      <w:r w:rsidR="00467B92" w:rsidRPr="00467B92">
        <w:rPr>
          <w:rFonts w:ascii="Book Antiqua" w:hAnsi="Book Antiqua"/>
        </w:rPr>
        <w:t>Where the entitled party seeks an amount or amounts referrable to GST under Rule 63.42.1 of the Rules-</w:t>
      </w:r>
    </w:p>
    <w:p w14:paraId="1A1A080E" w14:textId="397C050F" w:rsidR="00467B92" w:rsidRPr="00021A4D" w:rsidRDefault="00467B92" w:rsidP="00467B92">
      <w:pPr>
        <w:pStyle w:val="ListParagraph"/>
        <w:numPr>
          <w:ilvl w:val="0"/>
          <w:numId w:val="37"/>
        </w:numPr>
        <w:spacing w:after="120"/>
        <w:rPr>
          <w:rFonts w:ascii="Book Antiqua" w:hAnsi="Book Antiqua"/>
          <w:sz w:val="24"/>
          <w:szCs w:val="24"/>
        </w:rPr>
      </w:pPr>
      <w:r w:rsidRPr="00021A4D">
        <w:rPr>
          <w:rFonts w:ascii="Book Antiqua" w:hAnsi="Book Antiqua"/>
          <w:sz w:val="24"/>
          <w:szCs w:val="24"/>
        </w:rPr>
        <w:t xml:space="preserve">GST that has been charged to the entitled party on disbursements should be included and claimed item by item in the disbursements section of the </w:t>
      </w:r>
      <w:proofErr w:type="gramStart"/>
      <w:r w:rsidRPr="00021A4D">
        <w:rPr>
          <w:rFonts w:ascii="Book Antiqua" w:hAnsi="Book Antiqua"/>
          <w:sz w:val="24"/>
          <w:szCs w:val="24"/>
        </w:rPr>
        <w:t>bill;</w:t>
      </w:r>
      <w:proofErr w:type="gramEnd"/>
    </w:p>
    <w:p w14:paraId="7542B73E" w14:textId="77777777" w:rsidR="00467B92" w:rsidRPr="00467B92" w:rsidRDefault="00467B92" w:rsidP="00021A4D">
      <w:pPr>
        <w:pStyle w:val="ListParagraph"/>
        <w:spacing w:after="120"/>
        <w:ind w:left="1080"/>
        <w:rPr>
          <w:rFonts w:ascii="Book Antiqua" w:hAnsi="Book Antiqua"/>
        </w:rPr>
      </w:pPr>
    </w:p>
    <w:p w14:paraId="6B31F8CE" w14:textId="2EFACBD2" w:rsidR="00467B92" w:rsidRPr="00021A4D" w:rsidRDefault="00467B92" w:rsidP="00467B92">
      <w:pPr>
        <w:pStyle w:val="ListParagraph"/>
        <w:numPr>
          <w:ilvl w:val="0"/>
          <w:numId w:val="37"/>
        </w:numPr>
        <w:spacing w:after="120"/>
        <w:rPr>
          <w:rFonts w:ascii="Book Antiqua" w:hAnsi="Book Antiqua"/>
          <w:sz w:val="24"/>
          <w:szCs w:val="24"/>
        </w:rPr>
      </w:pPr>
      <w:r w:rsidRPr="00021A4D">
        <w:rPr>
          <w:rFonts w:ascii="Book Antiqua" w:hAnsi="Book Antiqua"/>
          <w:sz w:val="24"/>
          <w:szCs w:val="24"/>
        </w:rPr>
        <w:t>GST that has been charged to the entitled party on their solicitors’ professional charges should only be included and claimed on the sub-total of this category o</w:t>
      </w:r>
      <w:r w:rsidR="009E2EFE">
        <w:rPr>
          <w:rFonts w:ascii="Book Antiqua" w:hAnsi="Book Antiqua"/>
          <w:sz w:val="24"/>
          <w:szCs w:val="24"/>
        </w:rPr>
        <w:t>f</w:t>
      </w:r>
      <w:r w:rsidRPr="00021A4D">
        <w:rPr>
          <w:rFonts w:ascii="Book Antiqua" w:hAnsi="Book Antiqua"/>
          <w:sz w:val="24"/>
          <w:szCs w:val="24"/>
        </w:rPr>
        <w:t xml:space="preserve"> charges at the foot of the relevant part of the bill. To the extent (in any) that an amount for GST for this category of charges is allowed, it will be calculated and expressed as a percentage of taxed </w:t>
      </w:r>
      <w:proofErr w:type="gramStart"/>
      <w:r w:rsidRPr="00021A4D">
        <w:rPr>
          <w:rFonts w:ascii="Book Antiqua" w:hAnsi="Book Antiqua"/>
          <w:sz w:val="24"/>
          <w:szCs w:val="24"/>
        </w:rPr>
        <w:t>costs;</w:t>
      </w:r>
      <w:proofErr w:type="gramEnd"/>
    </w:p>
    <w:p w14:paraId="73B87F22" w14:textId="77777777" w:rsidR="00467B92" w:rsidRPr="00467B92" w:rsidRDefault="00467B92" w:rsidP="00021A4D">
      <w:pPr>
        <w:pStyle w:val="ListParagraph"/>
        <w:spacing w:after="120"/>
        <w:ind w:left="1080"/>
        <w:rPr>
          <w:rFonts w:ascii="Book Antiqua" w:hAnsi="Book Antiqua"/>
        </w:rPr>
      </w:pPr>
    </w:p>
    <w:p w14:paraId="3D787233" w14:textId="17D51FE0" w:rsidR="00467B92" w:rsidRPr="00021A4D" w:rsidRDefault="00467B92" w:rsidP="00467B92">
      <w:pPr>
        <w:pStyle w:val="ListParagraph"/>
        <w:numPr>
          <w:ilvl w:val="0"/>
          <w:numId w:val="37"/>
        </w:numPr>
        <w:spacing w:after="120"/>
        <w:rPr>
          <w:rFonts w:ascii="Book Antiqua" w:hAnsi="Book Antiqua"/>
          <w:sz w:val="24"/>
          <w:szCs w:val="24"/>
        </w:rPr>
      </w:pPr>
      <w:r w:rsidRPr="00021A4D">
        <w:rPr>
          <w:rFonts w:ascii="Book Antiqua" w:hAnsi="Book Antiqua"/>
          <w:sz w:val="24"/>
          <w:szCs w:val="24"/>
        </w:rPr>
        <w:t xml:space="preserve">the entitled party must declare at the end of the </w:t>
      </w:r>
      <w:r w:rsidR="009E2EFE">
        <w:rPr>
          <w:rFonts w:ascii="Book Antiqua" w:hAnsi="Book Antiqua"/>
          <w:sz w:val="24"/>
          <w:szCs w:val="24"/>
        </w:rPr>
        <w:t>b</w:t>
      </w:r>
      <w:r w:rsidRPr="00021A4D">
        <w:rPr>
          <w:rFonts w:ascii="Book Antiqua" w:hAnsi="Book Antiqua"/>
          <w:sz w:val="24"/>
          <w:szCs w:val="24"/>
        </w:rPr>
        <w:t>ill of costs that they are not entitled to make any claim for an input tax credi</w:t>
      </w:r>
      <w:r w:rsidR="009E2EFE">
        <w:rPr>
          <w:rFonts w:ascii="Book Antiqua" w:hAnsi="Book Antiqua"/>
          <w:sz w:val="24"/>
          <w:szCs w:val="24"/>
        </w:rPr>
        <w:t>t</w:t>
      </w:r>
      <w:r w:rsidRPr="00021A4D">
        <w:rPr>
          <w:rFonts w:ascii="Book Antiqua" w:hAnsi="Book Antiqua"/>
          <w:sz w:val="24"/>
          <w:szCs w:val="24"/>
        </w:rPr>
        <w:t xml:space="preserve"> in relation to the relevant amount or amounts of </w:t>
      </w:r>
      <w:proofErr w:type="gramStart"/>
      <w:r w:rsidRPr="00021A4D">
        <w:rPr>
          <w:rFonts w:ascii="Book Antiqua" w:hAnsi="Book Antiqua"/>
          <w:sz w:val="24"/>
          <w:szCs w:val="24"/>
        </w:rPr>
        <w:t>GST, and</w:t>
      </w:r>
      <w:proofErr w:type="gramEnd"/>
      <w:r w:rsidRPr="00021A4D">
        <w:rPr>
          <w:rFonts w:ascii="Book Antiqua" w:hAnsi="Book Antiqua"/>
          <w:sz w:val="24"/>
          <w:szCs w:val="24"/>
        </w:rPr>
        <w:t xml:space="preserve"> must include an explanation as to why they have no such entitlement. They may also include any other matters they consider relevant to their claim for an allowance in relation to </w:t>
      </w:r>
      <w:proofErr w:type="gramStart"/>
      <w:r w:rsidRPr="00021A4D">
        <w:rPr>
          <w:rFonts w:ascii="Book Antiqua" w:hAnsi="Book Antiqua"/>
          <w:sz w:val="24"/>
          <w:szCs w:val="24"/>
        </w:rPr>
        <w:t>GST;</w:t>
      </w:r>
      <w:proofErr w:type="gramEnd"/>
    </w:p>
    <w:p w14:paraId="44166EF2" w14:textId="77777777" w:rsidR="00467B92" w:rsidRPr="00467B92" w:rsidRDefault="00467B92" w:rsidP="00021A4D">
      <w:pPr>
        <w:pStyle w:val="ListParagraph"/>
        <w:spacing w:after="120"/>
        <w:ind w:left="1080"/>
        <w:rPr>
          <w:rFonts w:ascii="Book Antiqua" w:hAnsi="Book Antiqua"/>
        </w:rPr>
      </w:pPr>
    </w:p>
    <w:p w14:paraId="56D9BBB2" w14:textId="603C9C17" w:rsidR="00467B92" w:rsidRPr="00467B92" w:rsidRDefault="00467B92" w:rsidP="00021A4D">
      <w:pPr>
        <w:pStyle w:val="ListParagraph"/>
        <w:numPr>
          <w:ilvl w:val="0"/>
          <w:numId w:val="37"/>
        </w:numPr>
        <w:spacing w:after="120"/>
        <w:rPr>
          <w:rFonts w:ascii="Book Antiqua" w:hAnsi="Book Antiqua"/>
        </w:rPr>
      </w:pPr>
      <w:r w:rsidRPr="00467B92">
        <w:rPr>
          <w:rFonts w:ascii="Book Antiqua" w:hAnsi="Book Antiqua"/>
          <w:sz w:val="24"/>
          <w:szCs w:val="24"/>
        </w:rPr>
        <w:t>in the event of a dispute, the parties may be required to provide relevant evidence.</w:t>
      </w:r>
    </w:p>
    <w:p w14:paraId="2D881C9C" w14:textId="767DFAC4" w:rsidR="005956B9" w:rsidRPr="005956B9" w:rsidRDefault="00467B92" w:rsidP="005C54FB">
      <w:pPr>
        <w:spacing w:before="120" w:after="120"/>
        <w:ind w:left="720" w:hanging="720"/>
        <w:jc w:val="both"/>
        <w:rPr>
          <w:rFonts w:ascii="Book Antiqua" w:hAnsi="Book Antiqua"/>
        </w:rPr>
      </w:pPr>
      <w:r>
        <w:rPr>
          <w:rFonts w:ascii="Book Antiqua" w:hAnsi="Book Antiqua"/>
        </w:rPr>
        <w:t>4.16</w:t>
      </w:r>
      <w:r>
        <w:rPr>
          <w:rFonts w:ascii="Book Antiqua" w:hAnsi="Book Antiqua"/>
        </w:rPr>
        <w:tab/>
      </w:r>
      <w:r w:rsidR="005956B9" w:rsidRPr="005956B9">
        <w:rPr>
          <w:rFonts w:ascii="Book Antiqua" w:hAnsi="Book Antiqua"/>
        </w:rPr>
        <w:t xml:space="preserve">The content of the bill of costs is particularly important in matters assessed pursuant to Part 8 of Order 63, where the assessment is done on the papers and in the absence of the parties. Providing sufficient detail in the bill of costs justifying the claim achieves better outcomes. </w:t>
      </w:r>
    </w:p>
    <w:p w14:paraId="0984F16C" w14:textId="542AFB56" w:rsidR="002612B2" w:rsidRDefault="002612B2" w:rsidP="005C54FB">
      <w:pPr>
        <w:spacing w:before="120" w:after="120"/>
        <w:ind w:left="720" w:hanging="720"/>
        <w:jc w:val="both"/>
        <w:rPr>
          <w:rFonts w:ascii="Book Antiqua" w:hAnsi="Book Antiqua"/>
        </w:rPr>
      </w:pPr>
    </w:p>
    <w:p w14:paraId="288AA16F" w14:textId="694FFB9D" w:rsidR="00700E34" w:rsidRPr="00413511" w:rsidRDefault="00700E34" w:rsidP="005C54FB">
      <w:pPr>
        <w:spacing w:before="120" w:after="120"/>
        <w:ind w:left="720" w:hanging="720"/>
        <w:jc w:val="both"/>
        <w:rPr>
          <w:rFonts w:ascii="Book Antiqua" w:hAnsi="Book Antiqua"/>
          <w:b/>
          <w:bCs/>
          <w:i/>
          <w:iCs/>
        </w:rPr>
      </w:pPr>
      <w:r w:rsidRPr="00413511">
        <w:rPr>
          <w:rFonts w:ascii="Book Antiqua" w:hAnsi="Book Antiqua"/>
          <w:b/>
          <w:bCs/>
          <w:i/>
          <w:iCs/>
        </w:rPr>
        <w:t>Notice of Objections</w:t>
      </w:r>
    </w:p>
    <w:p w14:paraId="39A8929A" w14:textId="66647A1E" w:rsidR="00511435" w:rsidRDefault="004D7F79" w:rsidP="005C54FB">
      <w:pPr>
        <w:spacing w:before="120" w:after="120"/>
        <w:ind w:left="720" w:hanging="720"/>
        <w:jc w:val="both"/>
        <w:rPr>
          <w:rFonts w:ascii="Book Antiqua" w:hAnsi="Book Antiqua"/>
        </w:rPr>
      </w:pPr>
      <w:r>
        <w:rPr>
          <w:rFonts w:ascii="Book Antiqua" w:hAnsi="Book Antiqua"/>
        </w:rPr>
        <w:t>4.</w:t>
      </w:r>
      <w:r w:rsidR="009E2EFE">
        <w:rPr>
          <w:rFonts w:ascii="Book Antiqua" w:hAnsi="Book Antiqua"/>
        </w:rPr>
        <w:t>17</w:t>
      </w:r>
      <w:r>
        <w:rPr>
          <w:rFonts w:ascii="Book Antiqua" w:hAnsi="Book Antiqua"/>
        </w:rPr>
        <w:tab/>
      </w:r>
      <w:r w:rsidRPr="004D7F79">
        <w:rPr>
          <w:rFonts w:ascii="Book Antiqua" w:hAnsi="Book Antiqua"/>
        </w:rPr>
        <w:t xml:space="preserve">Under r 63.47 of the </w:t>
      </w:r>
      <w:r w:rsidRPr="00FC2B7E">
        <w:rPr>
          <w:rFonts w:ascii="Book Antiqua" w:hAnsi="Book Antiqua"/>
          <w:i/>
          <w:iCs/>
        </w:rPr>
        <w:t>Rules</w:t>
      </w:r>
      <w:r w:rsidRPr="004D7F79">
        <w:rPr>
          <w:rFonts w:ascii="Book Antiqua" w:hAnsi="Book Antiqua"/>
        </w:rPr>
        <w:t xml:space="preserve">, the liable party must file a notice of objections at least seven days prior to the return date of a summons for taxation. The notice of objections must state specifically and concisely the grounds of objection to </w:t>
      </w:r>
      <w:r w:rsidRPr="00493E60">
        <w:rPr>
          <w:rFonts w:ascii="Book Antiqua" w:hAnsi="Book Antiqua"/>
        </w:rPr>
        <w:t>each item</w:t>
      </w:r>
      <w:r w:rsidR="00C767BF" w:rsidRPr="00493E60">
        <w:rPr>
          <w:rFonts w:ascii="Book Antiqua" w:hAnsi="Book Antiqua"/>
        </w:rPr>
        <w:t xml:space="preserve"> subject to objection</w:t>
      </w:r>
      <w:r w:rsidRPr="00493E60">
        <w:rPr>
          <w:rFonts w:ascii="Book Antiqua" w:hAnsi="Book Antiqua"/>
        </w:rPr>
        <w:t xml:space="preserve">.  </w:t>
      </w:r>
      <w:r w:rsidRPr="004D7F79">
        <w:rPr>
          <w:rFonts w:ascii="Book Antiqua" w:hAnsi="Book Antiqua"/>
        </w:rPr>
        <w:t xml:space="preserve">The objections to each item must provide sufficient information to enable the entitled party to understand the nature of the objection. </w:t>
      </w:r>
      <w:r w:rsidR="00511435">
        <w:rPr>
          <w:rFonts w:ascii="Book Antiqua" w:hAnsi="Book Antiqua"/>
        </w:rPr>
        <w:t>T</w:t>
      </w:r>
      <w:r w:rsidR="00511435" w:rsidRPr="004D7F79">
        <w:rPr>
          <w:rFonts w:ascii="Book Antiqua" w:hAnsi="Book Antiqua"/>
        </w:rPr>
        <w:t xml:space="preserve">he notice of objections will need to address the specific matters relied on by the entitled party, including </w:t>
      </w:r>
      <w:r w:rsidR="00E457F7">
        <w:rPr>
          <w:rFonts w:ascii="Book Antiqua" w:hAnsi="Book Antiqua"/>
        </w:rPr>
        <w:t xml:space="preserve">considerations </w:t>
      </w:r>
      <w:proofErr w:type="gramStart"/>
      <w:r w:rsidR="00E457F7">
        <w:rPr>
          <w:rFonts w:ascii="Book Antiqua" w:hAnsi="Book Antiqua"/>
        </w:rPr>
        <w:t xml:space="preserve">of </w:t>
      </w:r>
      <w:r w:rsidR="00511435" w:rsidRPr="004D7F79">
        <w:rPr>
          <w:rFonts w:ascii="Book Antiqua" w:hAnsi="Book Antiqua"/>
        </w:rPr>
        <w:t xml:space="preserve"> reasonableness</w:t>
      </w:r>
      <w:proofErr w:type="gramEnd"/>
      <w:r w:rsidR="009E2EFE">
        <w:rPr>
          <w:rFonts w:ascii="Book Antiqua" w:hAnsi="Book Antiqua"/>
        </w:rPr>
        <w:t xml:space="preserve"> and any matters relating to GST</w:t>
      </w:r>
      <w:r w:rsidR="00511435" w:rsidRPr="004D7F79">
        <w:rPr>
          <w:rFonts w:ascii="Book Antiqua" w:hAnsi="Book Antiqua"/>
        </w:rPr>
        <w:t>.</w:t>
      </w:r>
    </w:p>
    <w:p w14:paraId="7AD2C658" w14:textId="2CD4107A" w:rsidR="004D7F79" w:rsidRPr="004D7F79" w:rsidRDefault="00AB2497" w:rsidP="005C54FB">
      <w:pPr>
        <w:spacing w:before="120" w:after="120"/>
        <w:ind w:left="720" w:hanging="720"/>
        <w:jc w:val="both"/>
        <w:rPr>
          <w:rFonts w:ascii="Book Antiqua" w:hAnsi="Book Antiqua"/>
        </w:rPr>
      </w:pPr>
      <w:r>
        <w:rPr>
          <w:rFonts w:ascii="Book Antiqua" w:hAnsi="Book Antiqua"/>
        </w:rPr>
        <w:t>4.</w:t>
      </w:r>
      <w:r w:rsidR="009E2EFE">
        <w:rPr>
          <w:rFonts w:ascii="Book Antiqua" w:hAnsi="Book Antiqua"/>
        </w:rPr>
        <w:t>18</w:t>
      </w:r>
      <w:r>
        <w:rPr>
          <w:rFonts w:ascii="Book Antiqua" w:hAnsi="Book Antiqua"/>
        </w:rPr>
        <w:tab/>
      </w:r>
      <w:r w:rsidR="004D7F79" w:rsidRPr="004D7F79">
        <w:rPr>
          <w:rFonts w:ascii="Book Antiqua" w:hAnsi="Book Antiqua"/>
        </w:rPr>
        <w:t xml:space="preserve">Objections </w:t>
      </w:r>
      <w:proofErr w:type="gramStart"/>
      <w:r w:rsidR="004D7F79" w:rsidRPr="004D7F79">
        <w:rPr>
          <w:rFonts w:ascii="Book Antiqua" w:hAnsi="Book Antiqua"/>
        </w:rPr>
        <w:t>in the nature of ‘excessive’</w:t>
      </w:r>
      <w:proofErr w:type="gramEnd"/>
      <w:r w:rsidR="004D7F79" w:rsidRPr="004D7F79">
        <w:rPr>
          <w:rFonts w:ascii="Book Antiqua" w:hAnsi="Book Antiqua"/>
        </w:rPr>
        <w:t xml:space="preserve">, ‘unreasonable’ and the like, or simply requesting the production of a document, do not comply with the </w:t>
      </w:r>
      <w:r w:rsidR="004D7F79" w:rsidRPr="00FC2B7E">
        <w:rPr>
          <w:rFonts w:ascii="Book Antiqua" w:hAnsi="Book Antiqua"/>
          <w:i/>
          <w:iCs/>
        </w:rPr>
        <w:t>Rules</w:t>
      </w:r>
      <w:r w:rsidR="004D7F79" w:rsidRPr="004D7F79">
        <w:rPr>
          <w:rFonts w:ascii="Book Antiqua" w:hAnsi="Book Antiqua"/>
        </w:rPr>
        <w:t xml:space="preserve"> and will be disregarded.</w:t>
      </w:r>
    </w:p>
    <w:p w14:paraId="5F7E0D82" w14:textId="7927AC04" w:rsidR="00700E34" w:rsidRDefault="004D7F79" w:rsidP="005C54FB">
      <w:pPr>
        <w:spacing w:before="120" w:after="120"/>
        <w:ind w:left="720" w:hanging="720"/>
        <w:jc w:val="both"/>
        <w:rPr>
          <w:rFonts w:ascii="Book Antiqua" w:hAnsi="Book Antiqua"/>
        </w:rPr>
      </w:pPr>
      <w:r>
        <w:rPr>
          <w:rFonts w:ascii="Book Antiqua" w:hAnsi="Book Antiqua"/>
        </w:rPr>
        <w:t>4.</w:t>
      </w:r>
      <w:r w:rsidR="009E2EFE">
        <w:rPr>
          <w:rFonts w:ascii="Book Antiqua" w:hAnsi="Book Antiqua"/>
        </w:rPr>
        <w:t>19</w:t>
      </w:r>
      <w:r w:rsidRPr="004D7F79">
        <w:rPr>
          <w:rFonts w:ascii="Book Antiqua" w:hAnsi="Book Antiqua"/>
        </w:rPr>
        <w:tab/>
        <w:t xml:space="preserve">The notice of objections must state the amount by which it is contended the </w:t>
      </w:r>
      <w:proofErr w:type="gramStart"/>
      <w:r w:rsidRPr="004D7F79">
        <w:rPr>
          <w:rFonts w:ascii="Book Antiqua" w:hAnsi="Book Antiqua"/>
        </w:rPr>
        <w:t>items</w:t>
      </w:r>
      <w:proofErr w:type="gramEnd"/>
      <w:r w:rsidRPr="004D7F79">
        <w:rPr>
          <w:rFonts w:ascii="Book Antiqua" w:hAnsi="Book Antiqua"/>
        </w:rPr>
        <w:t xml:space="preserve"> or the claim should be reduced, and identify any authority upon which the liable party relies in support of that contention.</w:t>
      </w:r>
    </w:p>
    <w:p w14:paraId="7B202DF7" w14:textId="77777777" w:rsidR="001A1DEB" w:rsidRDefault="001A1DEB" w:rsidP="004D7F79">
      <w:pPr>
        <w:pStyle w:val="ListParagraph"/>
        <w:spacing w:before="120" w:after="240"/>
        <w:ind w:hanging="720"/>
        <w:contextualSpacing w:val="0"/>
        <w:jc w:val="both"/>
        <w:rPr>
          <w:rFonts w:ascii="Book Antiqua" w:hAnsi="Book Antiqua"/>
          <w:sz w:val="24"/>
          <w:szCs w:val="24"/>
        </w:rPr>
      </w:pPr>
    </w:p>
    <w:p w14:paraId="3F27BA68" w14:textId="43D35A4D" w:rsidR="00B92C67" w:rsidRPr="004213D7" w:rsidRDefault="00852A50" w:rsidP="00011180">
      <w:pPr>
        <w:pStyle w:val="Heading1"/>
      </w:pPr>
      <w:r>
        <w:lastRenderedPageBreak/>
        <w:t>5.</w:t>
      </w:r>
      <w:r>
        <w:tab/>
      </w:r>
      <w:r w:rsidR="004D7F79">
        <w:t>DETERMINATION OF PARTY/PARTY COSTS DISPUTES</w:t>
      </w:r>
      <w:r w:rsidR="00B92C67" w:rsidRPr="00B92C67">
        <w:t xml:space="preserve"> </w:t>
      </w:r>
    </w:p>
    <w:p w14:paraId="05BE9C0B" w14:textId="5590C234" w:rsidR="00DA03EB" w:rsidRDefault="00852A50" w:rsidP="00852A50">
      <w:pPr>
        <w:spacing w:before="120" w:after="120"/>
        <w:ind w:left="720" w:hanging="720"/>
        <w:jc w:val="both"/>
        <w:rPr>
          <w:rFonts w:ascii="Book Antiqua" w:hAnsi="Book Antiqua"/>
        </w:rPr>
      </w:pPr>
      <w:r>
        <w:rPr>
          <w:rFonts w:ascii="Book Antiqua" w:hAnsi="Book Antiqua"/>
        </w:rPr>
        <w:t>5.1</w:t>
      </w:r>
      <w:r>
        <w:rPr>
          <w:rFonts w:ascii="Book Antiqua" w:hAnsi="Book Antiqua"/>
        </w:rPr>
        <w:tab/>
      </w:r>
      <w:r w:rsidR="00DA03EB" w:rsidRPr="00DA03EB">
        <w:rPr>
          <w:rFonts w:ascii="Book Antiqua" w:hAnsi="Book Antiqua"/>
        </w:rPr>
        <w:t xml:space="preserve">The Costs Court </w:t>
      </w:r>
      <w:r w:rsidR="009A00A1">
        <w:rPr>
          <w:rFonts w:ascii="Book Antiqua" w:hAnsi="Book Antiqua"/>
        </w:rPr>
        <w:t xml:space="preserve">will </w:t>
      </w:r>
      <w:r w:rsidR="001310FB">
        <w:rPr>
          <w:rFonts w:ascii="Book Antiqua" w:hAnsi="Book Antiqua"/>
        </w:rPr>
        <w:t>pri</w:t>
      </w:r>
      <w:r w:rsidR="002B177B">
        <w:rPr>
          <w:rFonts w:ascii="Book Antiqua" w:hAnsi="Book Antiqua"/>
        </w:rPr>
        <w:t>oritise pr</w:t>
      </w:r>
      <w:r w:rsidR="001310FB">
        <w:rPr>
          <w:rFonts w:ascii="Book Antiqua" w:hAnsi="Book Antiqua"/>
        </w:rPr>
        <w:t xml:space="preserve">ocedures for </w:t>
      </w:r>
      <w:r w:rsidR="00DA03EB" w:rsidRPr="00DA03EB">
        <w:rPr>
          <w:rFonts w:ascii="Book Antiqua" w:hAnsi="Book Antiqua"/>
        </w:rPr>
        <w:t>deal</w:t>
      </w:r>
      <w:r w:rsidR="00513722">
        <w:rPr>
          <w:rFonts w:ascii="Book Antiqua" w:hAnsi="Book Antiqua"/>
        </w:rPr>
        <w:t>ing</w:t>
      </w:r>
      <w:r w:rsidR="00DA03EB" w:rsidRPr="00DA03EB">
        <w:rPr>
          <w:rFonts w:ascii="Book Antiqua" w:hAnsi="Book Antiqua"/>
        </w:rPr>
        <w:t xml:space="preserve"> with party/party costs disputes</w:t>
      </w:r>
      <w:r w:rsidR="00154F4C">
        <w:rPr>
          <w:rFonts w:ascii="Book Antiqua" w:hAnsi="Book Antiqua"/>
        </w:rPr>
        <w:t xml:space="preserve"> as follows</w:t>
      </w:r>
      <w:r w:rsidR="00DA03EB" w:rsidRPr="00DA03EB">
        <w:rPr>
          <w:rFonts w:ascii="Book Antiqua" w:hAnsi="Book Antiqua"/>
        </w:rPr>
        <w:t xml:space="preserve">: </w:t>
      </w:r>
    </w:p>
    <w:p w14:paraId="6FB559A4" w14:textId="5AB91036" w:rsidR="00D85AD2" w:rsidRPr="00D85AD2" w:rsidRDefault="00D85AD2" w:rsidP="00D85AD2">
      <w:pPr>
        <w:spacing w:before="120" w:after="120"/>
        <w:ind w:left="1440" w:hanging="720"/>
        <w:jc w:val="both"/>
        <w:rPr>
          <w:rFonts w:ascii="Book Antiqua" w:hAnsi="Book Antiqua"/>
        </w:rPr>
      </w:pPr>
      <w:r w:rsidRPr="00D85AD2">
        <w:rPr>
          <w:rFonts w:ascii="Book Antiqua" w:hAnsi="Book Antiqua"/>
        </w:rPr>
        <w:t>(a)</w:t>
      </w:r>
      <w:r w:rsidRPr="00D85AD2">
        <w:rPr>
          <w:rFonts w:ascii="Book Antiqua" w:hAnsi="Book Antiqua"/>
        </w:rPr>
        <w:tab/>
        <w:t xml:space="preserve">Mediations are the most time and </w:t>
      </w:r>
      <w:r w:rsidR="008A4FDF" w:rsidRPr="00D85AD2">
        <w:rPr>
          <w:rFonts w:ascii="Book Antiqua" w:hAnsi="Book Antiqua"/>
        </w:rPr>
        <w:t>cost-efficient</w:t>
      </w:r>
      <w:r w:rsidRPr="00D85AD2">
        <w:rPr>
          <w:rFonts w:ascii="Book Antiqua" w:hAnsi="Book Antiqua"/>
        </w:rPr>
        <w:t xml:space="preserve"> means of dealing with costs disputes </w:t>
      </w:r>
      <w:r w:rsidR="00366B29">
        <w:rPr>
          <w:rFonts w:ascii="Book Antiqua" w:hAnsi="Book Antiqua"/>
        </w:rPr>
        <w:t xml:space="preserve">especially </w:t>
      </w:r>
      <w:r w:rsidR="00570654">
        <w:rPr>
          <w:rFonts w:ascii="Book Antiqua" w:hAnsi="Book Antiqua"/>
        </w:rPr>
        <w:t>in</w:t>
      </w:r>
      <w:r w:rsidRPr="00D85AD2">
        <w:rPr>
          <w:rFonts w:ascii="Book Antiqua" w:hAnsi="Book Antiqua"/>
        </w:rPr>
        <w:t xml:space="preserve"> complex matters with large costs claims</w:t>
      </w:r>
      <w:r w:rsidR="00513722">
        <w:rPr>
          <w:rFonts w:ascii="Book Antiqua" w:hAnsi="Book Antiqua"/>
        </w:rPr>
        <w:t>.</w:t>
      </w:r>
    </w:p>
    <w:p w14:paraId="1B3CEA48" w14:textId="08FAA030" w:rsidR="00D85AD2" w:rsidRPr="00D85AD2" w:rsidRDefault="00D85AD2" w:rsidP="00D85AD2">
      <w:pPr>
        <w:spacing w:before="120" w:after="120"/>
        <w:ind w:left="1440" w:hanging="720"/>
        <w:jc w:val="both"/>
        <w:rPr>
          <w:rFonts w:ascii="Book Antiqua" w:hAnsi="Book Antiqua"/>
        </w:rPr>
      </w:pPr>
      <w:r w:rsidRPr="00D85AD2">
        <w:rPr>
          <w:rFonts w:ascii="Book Antiqua" w:hAnsi="Book Antiqua"/>
        </w:rPr>
        <w:t>(b)</w:t>
      </w:r>
      <w:r w:rsidRPr="00D85AD2">
        <w:rPr>
          <w:rFonts w:ascii="Book Antiqua" w:hAnsi="Book Antiqua"/>
        </w:rPr>
        <w:tab/>
        <w:t xml:space="preserve">Assessments in chambers, pursuant to Part 8 of Order 63 of the </w:t>
      </w:r>
      <w:r w:rsidRPr="00FC2B7E">
        <w:rPr>
          <w:rFonts w:ascii="Book Antiqua" w:hAnsi="Book Antiqua"/>
          <w:i/>
          <w:iCs/>
        </w:rPr>
        <w:t>Rules</w:t>
      </w:r>
      <w:r w:rsidRPr="00D85AD2">
        <w:rPr>
          <w:rFonts w:ascii="Book Antiqua" w:hAnsi="Book Antiqua"/>
        </w:rPr>
        <w:t xml:space="preserve">, are done at first instance on all claims under $100,000. </w:t>
      </w:r>
      <w:r w:rsidR="00081D00">
        <w:rPr>
          <w:rFonts w:ascii="Book Antiqua" w:hAnsi="Book Antiqua"/>
        </w:rPr>
        <w:t>Additionally</w:t>
      </w:r>
      <w:r w:rsidR="005B362B">
        <w:rPr>
          <w:rFonts w:ascii="Book Antiqua" w:hAnsi="Book Antiqua"/>
        </w:rPr>
        <w:t xml:space="preserve">, </w:t>
      </w:r>
      <w:r w:rsidR="00081D00">
        <w:rPr>
          <w:rFonts w:ascii="Book Antiqua" w:hAnsi="Book Antiqua"/>
        </w:rPr>
        <w:t xml:space="preserve">in </w:t>
      </w:r>
      <w:r w:rsidR="005B362B">
        <w:rPr>
          <w:rFonts w:ascii="Book Antiqua" w:hAnsi="Book Antiqua"/>
        </w:rPr>
        <w:t>appropriate</w:t>
      </w:r>
      <w:r w:rsidR="00081D00">
        <w:rPr>
          <w:rFonts w:ascii="Book Antiqua" w:hAnsi="Book Antiqua"/>
        </w:rPr>
        <w:t xml:space="preserve"> case</w:t>
      </w:r>
      <w:r w:rsidR="005B362B">
        <w:rPr>
          <w:rFonts w:ascii="Book Antiqua" w:hAnsi="Book Antiqua"/>
        </w:rPr>
        <w:t xml:space="preserve">s, </w:t>
      </w:r>
      <w:r w:rsidRPr="00D85AD2">
        <w:rPr>
          <w:rFonts w:ascii="Book Antiqua" w:hAnsi="Book Antiqua"/>
        </w:rPr>
        <w:t>matters that fail to resolve at mediation</w:t>
      </w:r>
      <w:r w:rsidR="004264DC">
        <w:rPr>
          <w:rFonts w:ascii="Book Antiqua" w:hAnsi="Book Antiqua"/>
        </w:rPr>
        <w:t xml:space="preserve"> will be assessed </w:t>
      </w:r>
      <w:r w:rsidR="001820FF">
        <w:rPr>
          <w:rFonts w:ascii="Book Antiqua" w:hAnsi="Book Antiqua"/>
        </w:rPr>
        <w:t xml:space="preserve">in </w:t>
      </w:r>
      <w:r w:rsidR="008A4FDF">
        <w:rPr>
          <w:rFonts w:ascii="Book Antiqua" w:hAnsi="Book Antiqua"/>
        </w:rPr>
        <w:t>chambers,</w:t>
      </w:r>
      <w:r w:rsidRPr="00D85AD2">
        <w:rPr>
          <w:rFonts w:ascii="Book Antiqua" w:hAnsi="Book Antiqua"/>
        </w:rPr>
        <w:t xml:space="preserve"> irrespective of the amount of the claim. </w:t>
      </w:r>
    </w:p>
    <w:p w14:paraId="0AF48FD2" w14:textId="6429B8BE" w:rsidR="00D85AD2" w:rsidRPr="00D85AD2" w:rsidRDefault="00D85AD2" w:rsidP="00D85AD2">
      <w:pPr>
        <w:spacing w:before="120" w:after="120"/>
        <w:ind w:left="1440" w:hanging="720"/>
        <w:jc w:val="both"/>
        <w:rPr>
          <w:rFonts w:ascii="Book Antiqua" w:hAnsi="Book Antiqua"/>
        </w:rPr>
      </w:pPr>
      <w:r w:rsidRPr="00D85AD2">
        <w:rPr>
          <w:rFonts w:ascii="Book Antiqua" w:hAnsi="Book Antiqua"/>
        </w:rPr>
        <w:t>(c)</w:t>
      </w:r>
      <w:r w:rsidRPr="00D85AD2">
        <w:rPr>
          <w:rFonts w:ascii="Book Antiqua" w:hAnsi="Book Antiqua"/>
        </w:rPr>
        <w:tab/>
        <w:t xml:space="preserve">In certain cases, the Costs Court may determine costs on a gross sum basis.  </w:t>
      </w:r>
    </w:p>
    <w:p w14:paraId="633E1F96" w14:textId="61E74B98" w:rsidR="00D85AD2" w:rsidRDefault="00D85AD2" w:rsidP="00D85AD2">
      <w:pPr>
        <w:spacing w:before="120" w:after="120"/>
        <w:ind w:left="1440" w:hanging="720"/>
        <w:jc w:val="both"/>
        <w:rPr>
          <w:rFonts w:ascii="Book Antiqua" w:hAnsi="Book Antiqua"/>
        </w:rPr>
      </w:pPr>
      <w:r w:rsidRPr="00D85AD2">
        <w:rPr>
          <w:rFonts w:ascii="Book Antiqua" w:hAnsi="Book Antiqua"/>
        </w:rPr>
        <w:t>(d)</w:t>
      </w:r>
      <w:r w:rsidRPr="00D85AD2">
        <w:rPr>
          <w:rFonts w:ascii="Book Antiqua" w:hAnsi="Book Antiqua"/>
        </w:rPr>
        <w:tab/>
        <w:t>Taxations</w:t>
      </w:r>
      <w:r w:rsidR="002C0BA3">
        <w:rPr>
          <w:rFonts w:ascii="Book Antiqua" w:hAnsi="Book Antiqua"/>
        </w:rPr>
        <w:t>.</w:t>
      </w:r>
    </w:p>
    <w:p w14:paraId="490E072C" w14:textId="0BBE340D" w:rsidR="00772808" w:rsidRPr="00455B71" w:rsidRDefault="00772808" w:rsidP="00D85AD2">
      <w:pPr>
        <w:spacing w:before="120" w:after="120"/>
        <w:ind w:left="1440" w:hanging="720"/>
        <w:jc w:val="both"/>
      </w:pPr>
      <w:r>
        <w:rPr>
          <w:rFonts w:ascii="Book Antiqua" w:hAnsi="Book Antiqua"/>
        </w:rPr>
        <w:t>(e)</w:t>
      </w:r>
      <w:r>
        <w:rPr>
          <w:rFonts w:ascii="Book Antiqua" w:hAnsi="Book Antiqua"/>
        </w:rPr>
        <w:tab/>
        <w:t xml:space="preserve">Short form bills under the r </w:t>
      </w:r>
      <w:r w:rsidRPr="00997D59">
        <w:t xml:space="preserve">17.7 </w:t>
      </w:r>
      <w:r w:rsidR="00455B71" w:rsidRPr="00021A4D">
        <w:t>of</w:t>
      </w:r>
      <w:r w:rsidR="006A635C">
        <w:rPr>
          <w:i/>
          <w:iCs/>
        </w:rPr>
        <w:t xml:space="preserve"> </w:t>
      </w:r>
      <w:r w:rsidR="006A635C" w:rsidRPr="00021A4D">
        <w:t>the</w:t>
      </w:r>
      <w:r w:rsidR="00455B71" w:rsidRPr="006C4DAE">
        <w:rPr>
          <w:i/>
          <w:iCs/>
        </w:rPr>
        <w:t xml:space="preserve"> </w:t>
      </w:r>
      <w:r w:rsidR="00455B71" w:rsidRPr="006C4DAE">
        <w:rPr>
          <w:rFonts w:ascii="Book Antiqua" w:hAnsi="Book Antiqua"/>
          <w:i/>
          <w:iCs/>
        </w:rPr>
        <w:t>Supreme Court (Corporations) Rules 2023 (‘Corporations Rules’)</w:t>
      </w:r>
    </w:p>
    <w:p w14:paraId="66755F5A" w14:textId="77777777" w:rsidR="00772808" w:rsidRPr="00D85AD2" w:rsidRDefault="00772808" w:rsidP="00D85AD2">
      <w:pPr>
        <w:spacing w:before="120" w:after="120"/>
        <w:ind w:left="1440" w:hanging="720"/>
        <w:jc w:val="both"/>
        <w:rPr>
          <w:rFonts w:ascii="Book Antiqua" w:hAnsi="Book Antiqua"/>
        </w:rPr>
      </w:pPr>
    </w:p>
    <w:p w14:paraId="449BF285" w14:textId="2CFB88F7" w:rsidR="0028197B" w:rsidRPr="00DC4492" w:rsidRDefault="0028197B" w:rsidP="00D85AD2">
      <w:pPr>
        <w:spacing w:before="120" w:after="120"/>
        <w:ind w:left="720" w:hanging="720"/>
        <w:jc w:val="both"/>
        <w:rPr>
          <w:rFonts w:ascii="Book Antiqua" w:hAnsi="Book Antiqua"/>
          <w:b/>
          <w:bCs/>
          <w:i/>
          <w:iCs/>
        </w:rPr>
      </w:pPr>
      <w:r w:rsidRPr="00DC4492">
        <w:rPr>
          <w:rFonts w:ascii="Book Antiqua" w:hAnsi="Book Antiqua"/>
          <w:b/>
          <w:bCs/>
          <w:i/>
          <w:iCs/>
        </w:rPr>
        <w:t>Mediation</w:t>
      </w:r>
    </w:p>
    <w:p w14:paraId="6E28C17F" w14:textId="014BED66" w:rsidR="00085ABD" w:rsidRPr="00085ABD" w:rsidRDefault="006E0C87" w:rsidP="00085ABD">
      <w:pPr>
        <w:spacing w:before="120" w:after="120"/>
        <w:ind w:left="720" w:hanging="720"/>
        <w:jc w:val="both"/>
        <w:rPr>
          <w:rFonts w:ascii="Book Antiqua" w:hAnsi="Book Antiqua"/>
        </w:rPr>
      </w:pPr>
      <w:r>
        <w:rPr>
          <w:rFonts w:ascii="Book Antiqua" w:hAnsi="Book Antiqua"/>
        </w:rPr>
        <w:t>5.2</w:t>
      </w:r>
      <w:r w:rsidR="00D85AD2" w:rsidRPr="00D85AD2">
        <w:rPr>
          <w:rFonts w:ascii="Book Antiqua" w:hAnsi="Book Antiqua"/>
        </w:rPr>
        <w:tab/>
      </w:r>
      <w:r w:rsidR="00085ABD" w:rsidRPr="00085ABD">
        <w:rPr>
          <w:rFonts w:ascii="Book Antiqua" w:hAnsi="Book Antiqua"/>
        </w:rPr>
        <w:t xml:space="preserve">Except where a party is self-represented, claims for costs over $100,000 will generally be listed, in the first instance, for mediation pursuant to </w:t>
      </w:r>
      <w:proofErr w:type="spellStart"/>
      <w:r w:rsidR="00085ABD" w:rsidRPr="00085ABD">
        <w:rPr>
          <w:rFonts w:ascii="Book Antiqua" w:hAnsi="Book Antiqua"/>
        </w:rPr>
        <w:t>rr</w:t>
      </w:r>
      <w:proofErr w:type="spellEnd"/>
      <w:r w:rsidR="00085ABD" w:rsidRPr="00085ABD">
        <w:rPr>
          <w:rFonts w:ascii="Book Antiqua" w:hAnsi="Book Antiqua"/>
        </w:rPr>
        <w:t xml:space="preserve"> 50.07, 50.07.1, 57.07.02 and 50.07.4 of the </w:t>
      </w:r>
      <w:r w:rsidR="00085ABD" w:rsidRPr="00FC2B7E">
        <w:rPr>
          <w:rFonts w:ascii="Book Antiqua" w:hAnsi="Book Antiqua"/>
          <w:i/>
          <w:iCs/>
        </w:rPr>
        <w:t>Rules</w:t>
      </w:r>
      <w:r w:rsidR="00085ABD" w:rsidRPr="00085ABD">
        <w:rPr>
          <w:rFonts w:ascii="Book Antiqua" w:hAnsi="Book Antiqua"/>
        </w:rPr>
        <w:t xml:space="preserve">.  </w:t>
      </w:r>
    </w:p>
    <w:p w14:paraId="2C94178E" w14:textId="1048F94F" w:rsidR="00085ABD" w:rsidRPr="00085ABD" w:rsidRDefault="00085ABD" w:rsidP="00085ABD">
      <w:pPr>
        <w:spacing w:before="120" w:after="120"/>
        <w:ind w:left="720" w:hanging="720"/>
        <w:jc w:val="both"/>
        <w:rPr>
          <w:rFonts w:ascii="Book Antiqua" w:hAnsi="Book Antiqua"/>
        </w:rPr>
      </w:pPr>
      <w:r>
        <w:rPr>
          <w:rFonts w:ascii="Book Antiqua" w:hAnsi="Book Antiqua"/>
        </w:rPr>
        <w:t>5.3</w:t>
      </w:r>
      <w:r w:rsidRPr="00085ABD">
        <w:rPr>
          <w:rFonts w:ascii="Book Antiqua" w:hAnsi="Book Antiqua"/>
        </w:rPr>
        <w:tab/>
        <w:t>Where the Party/Party Taxation Information Form indicates that any party will be self-represented, the matter will be listed, in the first instance, for the next available directions hearing.  These are held monthly.</w:t>
      </w:r>
    </w:p>
    <w:p w14:paraId="48586426" w14:textId="750283B9" w:rsidR="00085ABD" w:rsidRPr="00085ABD" w:rsidRDefault="00085ABD" w:rsidP="00085ABD">
      <w:pPr>
        <w:spacing w:before="120" w:after="120"/>
        <w:ind w:left="720" w:hanging="720"/>
        <w:jc w:val="both"/>
        <w:rPr>
          <w:rFonts w:ascii="Book Antiqua" w:hAnsi="Book Antiqua"/>
        </w:rPr>
      </w:pPr>
      <w:r>
        <w:rPr>
          <w:rFonts w:ascii="Book Antiqua" w:hAnsi="Book Antiqua"/>
        </w:rPr>
        <w:t>5.4</w:t>
      </w:r>
      <w:r w:rsidRPr="00085ABD">
        <w:rPr>
          <w:rFonts w:ascii="Book Antiqua" w:hAnsi="Book Antiqua"/>
        </w:rPr>
        <w:tab/>
        <w:t xml:space="preserve">As mentioned above, a notice of objections in accordance with the </w:t>
      </w:r>
      <w:r w:rsidRPr="00FC2B7E">
        <w:rPr>
          <w:rFonts w:ascii="Book Antiqua" w:hAnsi="Book Antiqua"/>
          <w:i/>
          <w:iCs/>
        </w:rPr>
        <w:t>Rules</w:t>
      </w:r>
      <w:r w:rsidRPr="00085ABD">
        <w:rPr>
          <w:rFonts w:ascii="Book Antiqua" w:hAnsi="Book Antiqua"/>
        </w:rPr>
        <w:t xml:space="preserve"> must be filed by the liable party at least seven days prior to the return date of the summons for taxation – in this case at least seven days prior to the date fixed for the mediation. </w:t>
      </w:r>
    </w:p>
    <w:p w14:paraId="0206DD2D" w14:textId="5D29CE4F" w:rsidR="00085ABD" w:rsidRPr="00085ABD" w:rsidRDefault="00085ABD" w:rsidP="00085ABD">
      <w:pPr>
        <w:spacing w:before="120" w:after="120"/>
        <w:ind w:left="720" w:hanging="720"/>
        <w:jc w:val="both"/>
        <w:rPr>
          <w:rFonts w:ascii="Book Antiqua" w:hAnsi="Book Antiqua"/>
        </w:rPr>
      </w:pPr>
      <w:r>
        <w:rPr>
          <w:rFonts w:ascii="Book Antiqua" w:hAnsi="Book Antiqua"/>
        </w:rPr>
        <w:t>5.5</w:t>
      </w:r>
      <w:r w:rsidRPr="00085ABD">
        <w:rPr>
          <w:rFonts w:ascii="Book Antiqua" w:hAnsi="Book Antiqua"/>
        </w:rPr>
        <w:tab/>
        <w:t xml:space="preserve">The costs assessor assigned to mediate the matter will convey to the parties any further requirements regarding preparation for the mediation, such </w:t>
      </w:r>
      <w:r w:rsidR="008A4FDF" w:rsidRPr="00085ABD">
        <w:rPr>
          <w:rFonts w:ascii="Book Antiqua" w:hAnsi="Book Antiqua"/>
        </w:rPr>
        <w:t>as requirements</w:t>
      </w:r>
      <w:r w:rsidRPr="00085ABD">
        <w:rPr>
          <w:rFonts w:ascii="Book Antiqua" w:hAnsi="Book Antiqua"/>
        </w:rPr>
        <w:t xml:space="preserve"> to provide specified documents or information, position papers or confidential offers. </w:t>
      </w:r>
    </w:p>
    <w:p w14:paraId="5C5FB2E1" w14:textId="58DF1A1A" w:rsidR="00085ABD" w:rsidRDefault="00085ABD" w:rsidP="00085ABD">
      <w:pPr>
        <w:spacing w:before="120" w:after="120"/>
        <w:ind w:left="720" w:hanging="720"/>
        <w:jc w:val="both"/>
        <w:rPr>
          <w:rFonts w:ascii="Book Antiqua" w:hAnsi="Book Antiqua"/>
        </w:rPr>
      </w:pPr>
      <w:r>
        <w:rPr>
          <w:rFonts w:ascii="Book Antiqua" w:hAnsi="Book Antiqua"/>
        </w:rPr>
        <w:t>5.6</w:t>
      </w:r>
      <w:r w:rsidRPr="00085ABD">
        <w:rPr>
          <w:rFonts w:ascii="Book Antiqua" w:hAnsi="Book Antiqua"/>
        </w:rPr>
        <w:tab/>
        <w:t>Mediations will be scheduled to take place via the Zoom platform</w:t>
      </w:r>
      <w:r w:rsidR="00B511C4">
        <w:rPr>
          <w:rFonts w:ascii="Book Antiqua" w:hAnsi="Book Antiqua"/>
        </w:rPr>
        <w:t>, unless otherwise ordered</w:t>
      </w:r>
      <w:r w:rsidRPr="00085ABD">
        <w:rPr>
          <w:rFonts w:ascii="Book Antiqua" w:hAnsi="Book Antiqua"/>
        </w:rPr>
        <w:t xml:space="preserve">. If any party wishes to have the mediation conducted other than online, they should  inform the assigned costs assessor by sending an email to the Costs Court on </w:t>
      </w:r>
      <w:hyperlink r:id="rId15" w:history="1">
        <w:r w:rsidR="00660067" w:rsidRPr="003F07DB">
          <w:rPr>
            <w:rStyle w:val="Hyperlink"/>
            <w:rFonts w:ascii="Book Antiqua" w:hAnsi="Book Antiqua"/>
          </w:rPr>
          <w:t>costs.court@supcourt.vic.gov.au</w:t>
        </w:r>
      </w:hyperlink>
      <w:r w:rsidRPr="00085ABD">
        <w:rPr>
          <w:rFonts w:ascii="Book Antiqua" w:hAnsi="Book Antiqua"/>
        </w:rPr>
        <w:t>, stating reasons for the proposed change to the mode of mediation.</w:t>
      </w:r>
    </w:p>
    <w:p w14:paraId="76B34F55" w14:textId="142D5C53" w:rsidR="00485726" w:rsidRPr="00085ABD" w:rsidRDefault="00485726" w:rsidP="00085ABD">
      <w:pPr>
        <w:spacing w:before="120" w:after="120"/>
        <w:ind w:left="720" w:hanging="720"/>
        <w:jc w:val="both"/>
        <w:rPr>
          <w:rFonts w:ascii="Book Antiqua" w:hAnsi="Book Antiqua"/>
        </w:rPr>
      </w:pPr>
      <w:r>
        <w:rPr>
          <w:rFonts w:ascii="Book Antiqua" w:hAnsi="Book Antiqua"/>
        </w:rPr>
        <w:t>5.7</w:t>
      </w:r>
      <w:r>
        <w:rPr>
          <w:rFonts w:ascii="Book Antiqua" w:hAnsi="Book Antiqua"/>
        </w:rPr>
        <w:tab/>
      </w:r>
      <w:r w:rsidRPr="00085ABD">
        <w:rPr>
          <w:rFonts w:ascii="Book Antiqua" w:hAnsi="Book Antiqua"/>
        </w:rPr>
        <w:t>No later than two business days before the mediation, parties must advise the assigned costs assessor of the contact details (phone number, email address and any other necessary details) of all persons who will be attending</w:t>
      </w:r>
      <w:r>
        <w:rPr>
          <w:rFonts w:ascii="Book Antiqua" w:hAnsi="Book Antiqua"/>
        </w:rPr>
        <w:t xml:space="preserve"> including legal and other professionals (e.g</w:t>
      </w:r>
      <w:r w:rsidR="0004620A">
        <w:rPr>
          <w:rFonts w:ascii="Book Antiqua" w:hAnsi="Book Antiqua"/>
        </w:rPr>
        <w:t>.</w:t>
      </w:r>
      <w:r>
        <w:rPr>
          <w:rFonts w:ascii="Book Antiqua" w:hAnsi="Book Antiqua"/>
        </w:rPr>
        <w:t xml:space="preserve"> accountants or financial advisors) by sending an email to the Costs Court at </w:t>
      </w:r>
      <w:hyperlink r:id="rId16" w:history="1">
        <w:r w:rsidRPr="006B6CE0">
          <w:rPr>
            <w:rStyle w:val="Hyperlink"/>
            <w:rFonts w:ascii="Book Antiqua" w:hAnsi="Book Antiqua"/>
          </w:rPr>
          <w:t>costs.court@supcourt.vic.gov.au</w:t>
        </w:r>
      </w:hyperlink>
      <w:r>
        <w:rPr>
          <w:rStyle w:val="Hyperlink"/>
          <w:rFonts w:ascii="Book Antiqua" w:hAnsi="Book Antiqua"/>
        </w:rPr>
        <w:t>.</w:t>
      </w:r>
    </w:p>
    <w:p w14:paraId="5E5E5009" w14:textId="21874C84" w:rsidR="00085ABD" w:rsidRPr="00085ABD" w:rsidRDefault="00085ABD" w:rsidP="00085ABD">
      <w:pPr>
        <w:spacing w:before="120" w:after="120"/>
        <w:ind w:left="720" w:hanging="720"/>
        <w:jc w:val="both"/>
        <w:rPr>
          <w:rFonts w:ascii="Book Antiqua" w:hAnsi="Book Antiqua"/>
        </w:rPr>
      </w:pPr>
      <w:r>
        <w:rPr>
          <w:rFonts w:ascii="Book Antiqua" w:hAnsi="Book Antiqua"/>
        </w:rPr>
        <w:lastRenderedPageBreak/>
        <w:t>5.</w:t>
      </w:r>
      <w:r w:rsidR="00485726">
        <w:rPr>
          <w:rFonts w:ascii="Book Antiqua" w:hAnsi="Book Antiqua"/>
        </w:rPr>
        <w:t>8</w:t>
      </w:r>
      <w:r w:rsidRPr="00085ABD">
        <w:rPr>
          <w:rFonts w:ascii="Book Antiqua" w:hAnsi="Book Antiqua"/>
        </w:rPr>
        <w:tab/>
        <w:t>Unless parties are otherwise advised, mediation</w:t>
      </w:r>
      <w:r w:rsidR="004751D9">
        <w:rPr>
          <w:rFonts w:ascii="Book Antiqua" w:hAnsi="Book Antiqua"/>
        </w:rPr>
        <w:t>s</w:t>
      </w:r>
      <w:r w:rsidRPr="00085ABD">
        <w:rPr>
          <w:rFonts w:ascii="Book Antiqua" w:hAnsi="Book Antiqua"/>
        </w:rPr>
        <w:t xml:space="preserve"> </w:t>
      </w:r>
      <w:r w:rsidR="004751D9">
        <w:rPr>
          <w:rFonts w:ascii="Book Antiqua" w:hAnsi="Book Antiqua"/>
        </w:rPr>
        <w:t xml:space="preserve">are </w:t>
      </w:r>
      <w:r w:rsidRPr="00085ABD">
        <w:rPr>
          <w:rFonts w:ascii="Book Antiqua" w:hAnsi="Book Antiqua"/>
        </w:rPr>
        <w:t>listed for one day</w:t>
      </w:r>
      <w:r w:rsidR="008812E0">
        <w:rPr>
          <w:rFonts w:ascii="Book Antiqua" w:hAnsi="Book Antiqua"/>
        </w:rPr>
        <w:t>. P</w:t>
      </w:r>
      <w:r w:rsidRPr="00085ABD">
        <w:rPr>
          <w:rFonts w:ascii="Book Antiqua" w:hAnsi="Book Antiqua"/>
        </w:rPr>
        <w:t xml:space="preserve">ractitioners </w:t>
      </w:r>
      <w:r w:rsidR="000077B3">
        <w:rPr>
          <w:rFonts w:ascii="Book Antiqua" w:hAnsi="Book Antiqua"/>
        </w:rPr>
        <w:t xml:space="preserve">and parties </w:t>
      </w:r>
      <w:r w:rsidRPr="00085ABD">
        <w:rPr>
          <w:rFonts w:ascii="Book Antiqua" w:hAnsi="Book Antiqua"/>
        </w:rPr>
        <w:t>are expected to be available for the duration of the mediation.</w:t>
      </w:r>
    </w:p>
    <w:p w14:paraId="73C2FC86" w14:textId="53B1A9A6" w:rsidR="00085ABD" w:rsidRPr="00085ABD" w:rsidRDefault="00085ABD" w:rsidP="0004620A">
      <w:pPr>
        <w:spacing w:before="120" w:after="120"/>
        <w:ind w:left="720" w:hanging="720"/>
        <w:jc w:val="both"/>
        <w:rPr>
          <w:rFonts w:ascii="Book Antiqua" w:hAnsi="Book Antiqua"/>
        </w:rPr>
      </w:pPr>
      <w:r>
        <w:rPr>
          <w:rFonts w:ascii="Book Antiqua" w:hAnsi="Book Antiqua"/>
        </w:rPr>
        <w:t>5.</w:t>
      </w:r>
      <w:r w:rsidR="00485726">
        <w:rPr>
          <w:rFonts w:ascii="Book Antiqua" w:hAnsi="Book Antiqua"/>
        </w:rPr>
        <w:t>9</w:t>
      </w:r>
      <w:r w:rsidRPr="00085ABD">
        <w:rPr>
          <w:rFonts w:ascii="Book Antiqua" w:hAnsi="Book Antiqua"/>
        </w:rPr>
        <w:tab/>
        <w:t xml:space="preserve">Parties attending the mediation must have full authority to settle without the need to revert to an authorising party </w:t>
      </w:r>
      <w:proofErr w:type="gramStart"/>
      <w:r w:rsidRPr="00085ABD">
        <w:rPr>
          <w:rFonts w:ascii="Book Antiqua" w:hAnsi="Book Antiqua"/>
        </w:rPr>
        <w:t>during the course of</w:t>
      </w:r>
      <w:proofErr w:type="gramEnd"/>
      <w:r w:rsidRPr="00085ABD">
        <w:rPr>
          <w:rFonts w:ascii="Book Antiqua" w:hAnsi="Book Antiqua"/>
        </w:rPr>
        <w:t xml:space="preserve"> the mediation.</w:t>
      </w:r>
    </w:p>
    <w:p w14:paraId="08849A1F" w14:textId="58CDA717" w:rsidR="00D85AD2" w:rsidRDefault="00B91D3E" w:rsidP="00085ABD">
      <w:pPr>
        <w:spacing w:before="120" w:after="120"/>
        <w:ind w:left="720" w:hanging="720"/>
        <w:jc w:val="both"/>
        <w:rPr>
          <w:rFonts w:ascii="Book Antiqua" w:hAnsi="Book Antiqua"/>
        </w:rPr>
      </w:pPr>
      <w:r>
        <w:rPr>
          <w:rFonts w:ascii="Book Antiqua" w:hAnsi="Book Antiqua"/>
        </w:rPr>
        <w:t>5.10</w:t>
      </w:r>
      <w:r w:rsidR="00085ABD" w:rsidRPr="00085ABD">
        <w:rPr>
          <w:rFonts w:ascii="Book Antiqua" w:hAnsi="Book Antiqua"/>
        </w:rPr>
        <w:tab/>
        <w:t>If the matter resolves at mediation, consent orders will be made accordingly.  If the matter does not resolve at mediation, it may be listed for an assessment in chambers, for taxation or for a directions hearing.</w:t>
      </w:r>
    </w:p>
    <w:p w14:paraId="056C4F60" w14:textId="251553B1" w:rsidR="00B91D3E" w:rsidRPr="00DC4492" w:rsidRDefault="00B91D3E" w:rsidP="00085ABD">
      <w:pPr>
        <w:spacing w:before="120" w:after="120"/>
        <w:ind w:left="720" w:hanging="720"/>
        <w:jc w:val="both"/>
        <w:rPr>
          <w:rFonts w:ascii="Book Antiqua" w:hAnsi="Book Antiqua"/>
          <w:b/>
          <w:bCs/>
          <w:i/>
          <w:iCs/>
        </w:rPr>
      </w:pPr>
      <w:r w:rsidRPr="00DC4492">
        <w:rPr>
          <w:rFonts w:ascii="Book Antiqua" w:hAnsi="Book Antiqua"/>
          <w:b/>
          <w:bCs/>
          <w:i/>
          <w:iCs/>
        </w:rPr>
        <w:t>Assessment in Chambers</w:t>
      </w:r>
    </w:p>
    <w:p w14:paraId="3BFC4B3C" w14:textId="6450ADAE" w:rsidR="00E5100B" w:rsidRPr="00E5100B" w:rsidRDefault="00DC4492" w:rsidP="00E5100B">
      <w:pPr>
        <w:spacing w:before="120" w:after="120"/>
        <w:ind w:left="720" w:hanging="720"/>
        <w:jc w:val="both"/>
        <w:rPr>
          <w:rFonts w:ascii="Book Antiqua" w:hAnsi="Book Antiqua"/>
        </w:rPr>
      </w:pPr>
      <w:r>
        <w:rPr>
          <w:rFonts w:ascii="Book Antiqua" w:hAnsi="Book Antiqua"/>
        </w:rPr>
        <w:t>5.11</w:t>
      </w:r>
      <w:r w:rsidR="00E5100B" w:rsidRPr="00E5100B">
        <w:rPr>
          <w:rFonts w:ascii="Book Antiqua" w:hAnsi="Book Antiqua"/>
        </w:rPr>
        <w:tab/>
        <w:t xml:space="preserve">Party-party claims for costs of less than $100,000 will generally be listed directly for assessment in chambers pursuant to Part 8 of Order 63 of the </w:t>
      </w:r>
      <w:r w:rsidR="00E5100B" w:rsidRPr="00FC2B7E">
        <w:rPr>
          <w:rFonts w:ascii="Book Antiqua" w:hAnsi="Book Antiqua"/>
          <w:i/>
          <w:iCs/>
        </w:rPr>
        <w:t>Rules</w:t>
      </w:r>
      <w:r w:rsidR="00E5100B" w:rsidRPr="00E5100B">
        <w:rPr>
          <w:rFonts w:ascii="Book Antiqua" w:hAnsi="Book Antiqua"/>
        </w:rPr>
        <w:t xml:space="preserve">. </w:t>
      </w:r>
    </w:p>
    <w:p w14:paraId="58DF17FC" w14:textId="56111C06" w:rsidR="00E5100B" w:rsidRPr="00656A3D" w:rsidRDefault="00DC4492" w:rsidP="00E5100B">
      <w:pPr>
        <w:spacing w:before="120" w:after="120"/>
        <w:ind w:left="720" w:hanging="720"/>
        <w:jc w:val="both"/>
        <w:rPr>
          <w:rFonts w:ascii="Book Antiqua" w:hAnsi="Book Antiqua"/>
        </w:rPr>
      </w:pPr>
      <w:r>
        <w:rPr>
          <w:rFonts w:ascii="Book Antiqua" w:hAnsi="Book Antiqua"/>
        </w:rPr>
        <w:t>5.12</w:t>
      </w:r>
      <w:r w:rsidR="00E5100B" w:rsidRPr="00E5100B">
        <w:rPr>
          <w:rFonts w:ascii="Book Antiqua" w:hAnsi="Book Antiqua"/>
        </w:rPr>
        <w:tab/>
        <w:t xml:space="preserve">The entitled party will be given details of the assessment procedure in an </w:t>
      </w:r>
      <w:r w:rsidR="00E5100B" w:rsidRPr="00656A3D">
        <w:rPr>
          <w:rFonts w:ascii="Book Antiqua" w:hAnsi="Book Antiqua"/>
        </w:rPr>
        <w:t xml:space="preserve">assessment notice when the summons for taxation and bill of costs </w:t>
      </w:r>
      <w:proofErr w:type="gramStart"/>
      <w:r w:rsidR="00E5100B" w:rsidRPr="00656A3D">
        <w:rPr>
          <w:rFonts w:ascii="Book Antiqua" w:hAnsi="Book Antiqua"/>
        </w:rPr>
        <w:t>are</w:t>
      </w:r>
      <w:proofErr w:type="gramEnd"/>
      <w:r w:rsidR="00E5100B" w:rsidRPr="00656A3D">
        <w:rPr>
          <w:rFonts w:ascii="Book Antiqua" w:hAnsi="Book Antiqua"/>
        </w:rPr>
        <w:t xml:space="preserve"> filed. The entitled party must serve a copy of the assessment notice when serving the summons for taxation</w:t>
      </w:r>
      <w:r w:rsidR="00625F90" w:rsidRPr="00656A3D">
        <w:rPr>
          <w:rFonts w:ascii="Book Antiqua" w:hAnsi="Book Antiqua"/>
        </w:rPr>
        <w:t>, bill of costs and other documents.</w:t>
      </w:r>
    </w:p>
    <w:p w14:paraId="24441BE3" w14:textId="07EDA865" w:rsidR="00E5100B" w:rsidRPr="00656A3D" w:rsidRDefault="00DC4492" w:rsidP="00E5100B">
      <w:pPr>
        <w:spacing w:before="120" w:after="120"/>
        <w:ind w:left="720" w:hanging="720"/>
        <w:jc w:val="both"/>
        <w:rPr>
          <w:rFonts w:ascii="Book Antiqua" w:hAnsi="Book Antiqua"/>
        </w:rPr>
      </w:pPr>
      <w:r w:rsidRPr="00656A3D">
        <w:rPr>
          <w:rFonts w:ascii="Book Antiqua" w:hAnsi="Book Antiqua"/>
        </w:rPr>
        <w:t>5.1</w:t>
      </w:r>
      <w:r w:rsidR="0004620A" w:rsidRPr="00656A3D">
        <w:rPr>
          <w:rFonts w:ascii="Book Antiqua" w:hAnsi="Book Antiqua"/>
        </w:rPr>
        <w:t>3</w:t>
      </w:r>
      <w:r w:rsidR="00E5100B" w:rsidRPr="00656A3D">
        <w:rPr>
          <w:rFonts w:ascii="Book Antiqua" w:hAnsi="Book Antiqua"/>
        </w:rPr>
        <w:tab/>
        <w:t xml:space="preserve">Where a claim is to be assessed in chambers, the liable party’s notice of objections must be filed </w:t>
      </w:r>
      <w:r w:rsidR="000077B3" w:rsidRPr="00656A3D">
        <w:rPr>
          <w:rFonts w:ascii="Book Antiqua" w:hAnsi="Book Antiqua"/>
        </w:rPr>
        <w:t xml:space="preserve">and served </w:t>
      </w:r>
      <w:r w:rsidR="00E5100B" w:rsidRPr="00656A3D">
        <w:rPr>
          <w:rFonts w:ascii="Book Antiqua" w:hAnsi="Book Antiqua"/>
        </w:rPr>
        <w:t xml:space="preserve">at least seven days prior to the date fixed for the assessment. </w:t>
      </w:r>
    </w:p>
    <w:p w14:paraId="63EEA86F" w14:textId="1BCBB259" w:rsidR="00E5100B" w:rsidRPr="00656A3D" w:rsidRDefault="00DC4492" w:rsidP="00E5100B">
      <w:pPr>
        <w:spacing w:before="120" w:after="120"/>
        <w:ind w:left="720" w:hanging="720"/>
        <w:jc w:val="both"/>
        <w:rPr>
          <w:rFonts w:ascii="Book Antiqua" w:hAnsi="Book Antiqua"/>
        </w:rPr>
      </w:pPr>
      <w:r w:rsidRPr="00656A3D">
        <w:rPr>
          <w:rFonts w:ascii="Book Antiqua" w:hAnsi="Book Antiqua"/>
        </w:rPr>
        <w:t>5.1</w:t>
      </w:r>
      <w:r w:rsidR="0004620A" w:rsidRPr="00656A3D">
        <w:rPr>
          <w:rFonts w:ascii="Book Antiqua" w:hAnsi="Book Antiqua"/>
        </w:rPr>
        <w:t>4</w:t>
      </w:r>
      <w:r w:rsidR="00E5100B" w:rsidRPr="00656A3D">
        <w:rPr>
          <w:rFonts w:ascii="Book Antiqua" w:hAnsi="Book Antiqua"/>
        </w:rPr>
        <w:tab/>
        <w:t xml:space="preserve">If the liable party does not file </w:t>
      </w:r>
      <w:r w:rsidR="000077B3" w:rsidRPr="00656A3D">
        <w:rPr>
          <w:rFonts w:ascii="Book Antiqua" w:hAnsi="Book Antiqua"/>
        </w:rPr>
        <w:t xml:space="preserve">and serve </w:t>
      </w:r>
      <w:r w:rsidR="00E5100B" w:rsidRPr="00656A3D">
        <w:rPr>
          <w:rFonts w:ascii="Book Antiqua" w:hAnsi="Book Antiqua"/>
        </w:rPr>
        <w:t>a notice of objections, the entitled party must file an affidavit of service two business days prior to the date fixed for the assessment.</w:t>
      </w:r>
    </w:p>
    <w:p w14:paraId="55C08EEA" w14:textId="0C675983" w:rsidR="00E5100B" w:rsidRPr="00656A3D" w:rsidRDefault="00DC4492" w:rsidP="00E5100B">
      <w:pPr>
        <w:spacing w:before="120" w:after="120"/>
        <w:ind w:left="720" w:hanging="720"/>
        <w:jc w:val="both"/>
        <w:rPr>
          <w:rFonts w:ascii="Book Antiqua" w:hAnsi="Book Antiqua"/>
        </w:rPr>
      </w:pPr>
      <w:r w:rsidRPr="00656A3D">
        <w:rPr>
          <w:rFonts w:ascii="Book Antiqua" w:hAnsi="Book Antiqua"/>
        </w:rPr>
        <w:t>5.1</w:t>
      </w:r>
      <w:r w:rsidR="0004620A" w:rsidRPr="00656A3D">
        <w:rPr>
          <w:rFonts w:ascii="Book Antiqua" w:hAnsi="Book Antiqua"/>
        </w:rPr>
        <w:t>5</w:t>
      </w:r>
      <w:r w:rsidR="00E5100B" w:rsidRPr="00656A3D">
        <w:rPr>
          <w:rFonts w:ascii="Book Antiqua" w:hAnsi="Book Antiqua"/>
        </w:rPr>
        <w:tab/>
        <w:t xml:space="preserve">An assessment in chambers does not require the costs assessor to </w:t>
      </w:r>
      <w:proofErr w:type="gramStart"/>
      <w:r w:rsidR="00E5100B" w:rsidRPr="00656A3D">
        <w:rPr>
          <w:rFonts w:ascii="Book Antiqua" w:hAnsi="Book Antiqua"/>
        </w:rPr>
        <w:t>make a determination</w:t>
      </w:r>
      <w:proofErr w:type="gramEnd"/>
      <w:r w:rsidR="00E5100B" w:rsidRPr="00656A3D">
        <w:rPr>
          <w:rFonts w:ascii="Book Antiqua" w:hAnsi="Book Antiqua"/>
        </w:rPr>
        <w:t xml:space="preserve"> on each or any individual item in the bill of costs</w:t>
      </w:r>
      <w:r w:rsidR="00ED496F" w:rsidRPr="00656A3D">
        <w:rPr>
          <w:rFonts w:ascii="Book Antiqua" w:hAnsi="Book Antiqua"/>
        </w:rPr>
        <w:t xml:space="preserve">. </w:t>
      </w:r>
      <w:r w:rsidR="00E5100B" w:rsidRPr="00656A3D">
        <w:rPr>
          <w:rFonts w:ascii="Book Antiqua" w:hAnsi="Book Antiqua"/>
        </w:rPr>
        <w:t xml:space="preserve"> It requires the assessor to provide an estimate </w:t>
      </w:r>
      <w:r w:rsidR="00513722" w:rsidRPr="00656A3D">
        <w:rPr>
          <w:rFonts w:ascii="Book Antiqua" w:hAnsi="Book Antiqua"/>
        </w:rPr>
        <w:t xml:space="preserve">of </w:t>
      </w:r>
      <w:r w:rsidR="002225B3" w:rsidRPr="00656A3D">
        <w:rPr>
          <w:rFonts w:ascii="Book Antiqua" w:hAnsi="Book Antiqua"/>
        </w:rPr>
        <w:t>what the bill is likely to tax</w:t>
      </w:r>
      <w:r w:rsidR="007132B1" w:rsidRPr="00656A3D">
        <w:rPr>
          <w:rFonts w:ascii="Book Antiqua" w:hAnsi="Book Antiqua"/>
        </w:rPr>
        <w:t xml:space="preserve"> at</w:t>
      </w:r>
      <w:r w:rsidR="00513722" w:rsidRPr="00656A3D">
        <w:rPr>
          <w:rFonts w:ascii="Book Antiqua" w:hAnsi="Book Antiqua"/>
        </w:rPr>
        <w:t>:</w:t>
      </w:r>
      <w:r w:rsidR="00E5100B" w:rsidRPr="00656A3D">
        <w:rPr>
          <w:rFonts w:ascii="Book Antiqua" w:hAnsi="Book Antiqua"/>
        </w:rPr>
        <w:t xml:space="preserve"> see r 63.88(1). </w:t>
      </w:r>
    </w:p>
    <w:p w14:paraId="57378E68" w14:textId="4448F051" w:rsidR="00E5100B" w:rsidRPr="00656A3D" w:rsidRDefault="000C55CC" w:rsidP="00E5100B">
      <w:pPr>
        <w:spacing w:before="120" w:after="120"/>
        <w:ind w:left="720" w:hanging="720"/>
        <w:jc w:val="both"/>
        <w:rPr>
          <w:rFonts w:ascii="Book Antiqua" w:hAnsi="Book Antiqua"/>
        </w:rPr>
      </w:pPr>
      <w:r w:rsidRPr="00656A3D">
        <w:rPr>
          <w:rFonts w:ascii="Book Antiqua" w:hAnsi="Book Antiqua"/>
        </w:rPr>
        <w:t>5.1</w:t>
      </w:r>
      <w:r w:rsidR="0004620A" w:rsidRPr="00656A3D">
        <w:rPr>
          <w:rFonts w:ascii="Book Antiqua" w:hAnsi="Book Antiqua"/>
        </w:rPr>
        <w:t>6</w:t>
      </w:r>
      <w:r w:rsidR="00E5100B" w:rsidRPr="00656A3D">
        <w:rPr>
          <w:rFonts w:ascii="Book Antiqua" w:hAnsi="Book Antiqua"/>
        </w:rPr>
        <w:tab/>
        <w:t>If any party objects to the assessment within 21 days, the matter will be listed for taxation</w:t>
      </w:r>
      <w:r w:rsidR="00955CE3" w:rsidRPr="00656A3D">
        <w:rPr>
          <w:rFonts w:ascii="Book Antiqua" w:hAnsi="Book Antiqua"/>
        </w:rPr>
        <w:t xml:space="preserve">, </w:t>
      </w:r>
      <w:r w:rsidR="00574B61" w:rsidRPr="00656A3D">
        <w:rPr>
          <w:rFonts w:ascii="Book Antiqua" w:hAnsi="Book Antiqua"/>
        </w:rPr>
        <w:t xml:space="preserve">unless otherwise </w:t>
      </w:r>
      <w:r w:rsidR="00955CE3" w:rsidRPr="00656A3D">
        <w:rPr>
          <w:rFonts w:ascii="Book Antiqua" w:hAnsi="Book Antiqua"/>
        </w:rPr>
        <w:t>ordere</w:t>
      </w:r>
      <w:r w:rsidR="00830845" w:rsidRPr="00656A3D">
        <w:rPr>
          <w:rFonts w:ascii="Book Antiqua" w:hAnsi="Book Antiqua"/>
        </w:rPr>
        <w:t>d.</w:t>
      </w:r>
      <w:r w:rsidR="00E5100B" w:rsidRPr="00656A3D">
        <w:rPr>
          <w:rFonts w:ascii="Book Antiqua" w:hAnsi="Book Antiqua"/>
        </w:rPr>
        <w:t xml:space="preserve"> </w:t>
      </w:r>
      <w:r w:rsidR="00D8060B" w:rsidRPr="00656A3D">
        <w:rPr>
          <w:rFonts w:ascii="Book Antiqua" w:hAnsi="Book Antiqua"/>
        </w:rPr>
        <w:t>If there is no objection</w:t>
      </w:r>
      <w:r w:rsidR="00E5100B" w:rsidRPr="00656A3D">
        <w:rPr>
          <w:rFonts w:ascii="Book Antiqua" w:hAnsi="Book Antiqua"/>
        </w:rPr>
        <w:t xml:space="preserve">, the assessor may make an order on taxation </w:t>
      </w:r>
      <w:r w:rsidR="00C438ED" w:rsidRPr="00656A3D">
        <w:rPr>
          <w:rFonts w:ascii="Book Antiqua" w:hAnsi="Book Antiqua"/>
        </w:rPr>
        <w:t xml:space="preserve">in </w:t>
      </w:r>
      <w:r w:rsidR="00E5100B" w:rsidRPr="00656A3D">
        <w:rPr>
          <w:rFonts w:ascii="Book Antiqua" w:hAnsi="Book Antiqua"/>
        </w:rPr>
        <w:t>the amount of the estimate: see r</w:t>
      </w:r>
      <w:r w:rsidR="004E5F9A" w:rsidRPr="00656A3D">
        <w:rPr>
          <w:rFonts w:ascii="Book Antiqua" w:hAnsi="Book Antiqua"/>
        </w:rPr>
        <w:t> </w:t>
      </w:r>
      <w:r w:rsidR="00E5100B" w:rsidRPr="00656A3D">
        <w:rPr>
          <w:rFonts w:ascii="Book Antiqua" w:hAnsi="Book Antiqua"/>
        </w:rPr>
        <w:t>63.88(4)</w:t>
      </w:r>
      <w:r w:rsidR="00603A32" w:rsidRPr="00656A3D">
        <w:rPr>
          <w:rFonts w:ascii="Book Antiqua" w:hAnsi="Book Antiqua"/>
        </w:rPr>
        <w:t xml:space="preserve"> without further notice to the parties</w:t>
      </w:r>
      <w:r w:rsidR="00E5100B" w:rsidRPr="00656A3D">
        <w:rPr>
          <w:rFonts w:ascii="Book Antiqua" w:hAnsi="Book Antiqua"/>
        </w:rPr>
        <w:t>.</w:t>
      </w:r>
    </w:p>
    <w:p w14:paraId="095F1F19" w14:textId="58E9E855" w:rsidR="00E5100B" w:rsidRPr="00E5100B" w:rsidRDefault="00123835" w:rsidP="00E5100B">
      <w:pPr>
        <w:spacing w:before="120" w:after="120"/>
        <w:ind w:left="720" w:hanging="720"/>
        <w:jc w:val="both"/>
        <w:rPr>
          <w:rFonts w:ascii="Book Antiqua" w:hAnsi="Book Antiqua"/>
        </w:rPr>
      </w:pPr>
      <w:r>
        <w:rPr>
          <w:rFonts w:ascii="Book Antiqua" w:hAnsi="Book Antiqua"/>
        </w:rPr>
        <w:t>5.1</w:t>
      </w:r>
      <w:r w:rsidR="0004620A">
        <w:rPr>
          <w:rFonts w:ascii="Book Antiqua" w:hAnsi="Book Antiqua"/>
        </w:rPr>
        <w:t>7</w:t>
      </w:r>
      <w:r w:rsidR="00E5100B" w:rsidRPr="00E5100B">
        <w:rPr>
          <w:rFonts w:ascii="Book Antiqua" w:hAnsi="Book Antiqua"/>
        </w:rPr>
        <w:tab/>
        <w:t>Under r 63.89.1(1), where the entitled party objects to the estimate and thus triggers a taxation, the entitled party will be required to pay the costs of the taxation unless the costs are taxed at more than 115% of the estimate.  Where the liable party objects to the estimate and thus triggers the taxation, the liable party will be liable to pay the costs of the taxation unless the costs are taxed at less than 85% of the estimate. These consequences are intended to encourage parties to carefully consider whether to object to the Cost</w:t>
      </w:r>
      <w:r w:rsidR="00513722">
        <w:rPr>
          <w:rFonts w:ascii="Book Antiqua" w:hAnsi="Book Antiqua"/>
        </w:rPr>
        <w:t>s</w:t>
      </w:r>
      <w:r w:rsidR="00E5100B" w:rsidRPr="00E5100B">
        <w:rPr>
          <w:rFonts w:ascii="Book Antiqua" w:hAnsi="Book Antiqua"/>
        </w:rPr>
        <w:t xml:space="preserve"> Court’s estimate.</w:t>
      </w:r>
    </w:p>
    <w:p w14:paraId="180194A2" w14:textId="2FAA0E34" w:rsidR="00B91D3E" w:rsidRDefault="00123835" w:rsidP="00E5100B">
      <w:pPr>
        <w:spacing w:before="120" w:after="120"/>
        <w:ind w:left="720" w:hanging="720"/>
        <w:jc w:val="both"/>
        <w:rPr>
          <w:rFonts w:ascii="Book Antiqua" w:hAnsi="Book Antiqua"/>
        </w:rPr>
      </w:pPr>
      <w:r>
        <w:rPr>
          <w:rFonts w:ascii="Book Antiqua" w:hAnsi="Book Antiqua"/>
        </w:rPr>
        <w:t>5.1</w:t>
      </w:r>
      <w:r w:rsidR="0004620A">
        <w:rPr>
          <w:rFonts w:ascii="Book Antiqua" w:hAnsi="Book Antiqua"/>
        </w:rPr>
        <w:t>8</w:t>
      </w:r>
      <w:r w:rsidR="00E5100B" w:rsidRPr="00E5100B">
        <w:rPr>
          <w:rFonts w:ascii="Book Antiqua" w:hAnsi="Book Antiqua"/>
        </w:rPr>
        <w:tab/>
        <w:t xml:space="preserve">Parties </w:t>
      </w:r>
      <w:proofErr w:type="gramStart"/>
      <w:r w:rsidR="00DC4492">
        <w:rPr>
          <w:rFonts w:ascii="Book Antiqua" w:hAnsi="Book Antiqua"/>
        </w:rPr>
        <w:t xml:space="preserve">are </w:t>
      </w:r>
      <w:r w:rsidR="00E5100B" w:rsidRPr="00E5100B">
        <w:rPr>
          <w:rFonts w:ascii="Book Antiqua" w:hAnsi="Book Antiqua"/>
        </w:rPr>
        <w:t>able to</w:t>
      </w:r>
      <w:proofErr w:type="gramEnd"/>
      <w:r w:rsidR="00E5100B" w:rsidRPr="00E5100B">
        <w:rPr>
          <w:rFonts w:ascii="Book Antiqua" w:hAnsi="Book Antiqua"/>
        </w:rPr>
        <w:t xml:space="preserve"> make a</w:t>
      </w:r>
      <w:r w:rsidR="00221F75">
        <w:rPr>
          <w:rFonts w:ascii="Book Antiqua" w:hAnsi="Book Antiqua"/>
        </w:rPr>
        <w:t>n</w:t>
      </w:r>
      <w:r w:rsidR="00E5100B" w:rsidRPr="00E5100B">
        <w:rPr>
          <w:rFonts w:ascii="Book Antiqua" w:hAnsi="Book Antiqua"/>
        </w:rPr>
        <w:t xml:space="preserve"> offer of compromise as to the costs in dispute at any point in the proceeding.  </w:t>
      </w:r>
      <w:r w:rsidR="00DC4492">
        <w:rPr>
          <w:rFonts w:ascii="Book Antiqua" w:hAnsi="Book Antiqua"/>
        </w:rPr>
        <w:t>Rule</w:t>
      </w:r>
      <w:r w:rsidR="00E5100B" w:rsidRPr="00E5100B">
        <w:rPr>
          <w:rFonts w:ascii="Book Antiqua" w:hAnsi="Book Antiqua"/>
        </w:rPr>
        <w:t xml:space="preserve"> 63.89.1(2) gives the Costs Court the discretion to order that r 63.89.1(1) does not apply if a party offered to compromise the costs on terms more favourable than the costs as taxed.</w:t>
      </w:r>
    </w:p>
    <w:p w14:paraId="75F601AB" w14:textId="442B1CDD" w:rsidR="00800A09" w:rsidRPr="00E51D32" w:rsidRDefault="00800A09" w:rsidP="00A823FA">
      <w:pPr>
        <w:keepNext/>
        <w:spacing w:before="120" w:after="120"/>
        <w:ind w:left="720" w:hanging="720"/>
        <w:jc w:val="both"/>
        <w:rPr>
          <w:rFonts w:ascii="Book Antiqua" w:hAnsi="Book Antiqua"/>
          <w:b/>
          <w:bCs/>
          <w:i/>
          <w:iCs/>
        </w:rPr>
      </w:pPr>
      <w:r w:rsidRPr="00E51D32">
        <w:rPr>
          <w:rFonts w:ascii="Book Antiqua" w:hAnsi="Book Antiqua"/>
          <w:b/>
          <w:bCs/>
          <w:i/>
          <w:iCs/>
        </w:rPr>
        <w:lastRenderedPageBreak/>
        <w:t>Gross Sum Costs</w:t>
      </w:r>
    </w:p>
    <w:p w14:paraId="23C5A301" w14:textId="32EFE3BB" w:rsidR="00B21212" w:rsidRPr="00B21212" w:rsidRDefault="000F02F9" w:rsidP="00B21212">
      <w:pPr>
        <w:spacing w:before="120" w:after="120"/>
        <w:ind w:left="720" w:hanging="720"/>
        <w:jc w:val="both"/>
        <w:rPr>
          <w:rFonts w:ascii="Book Antiqua" w:hAnsi="Book Antiqua"/>
        </w:rPr>
      </w:pPr>
      <w:r>
        <w:rPr>
          <w:rFonts w:ascii="Book Antiqua" w:hAnsi="Book Antiqua"/>
        </w:rPr>
        <w:t>5.</w:t>
      </w:r>
      <w:r w:rsidR="0004620A">
        <w:rPr>
          <w:rFonts w:ascii="Book Antiqua" w:hAnsi="Book Antiqua"/>
        </w:rPr>
        <w:t>19</w:t>
      </w:r>
      <w:r w:rsidR="00B21212" w:rsidRPr="00B21212">
        <w:rPr>
          <w:rFonts w:ascii="Book Antiqua" w:hAnsi="Book Antiqua"/>
        </w:rPr>
        <w:tab/>
      </w:r>
      <w:r w:rsidR="00A823FA">
        <w:rPr>
          <w:rFonts w:ascii="Book Antiqua" w:hAnsi="Book Antiqua"/>
        </w:rPr>
        <w:t>T</w:t>
      </w:r>
      <w:r w:rsidR="00B21212" w:rsidRPr="00B21212">
        <w:rPr>
          <w:rFonts w:ascii="Book Antiqua" w:hAnsi="Book Antiqua"/>
        </w:rPr>
        <w:t xml:space="preserve">he Court may order that </w:t>
      </w:r>
      <w:r w:rsidR="00513722">
        <w:rPr>
          <w:rFonts w:ascii="Book Antiqua" w:hAnsi="Book Antiqua"/>
        </w:rPr>
        <w:t>a</w:t>
      </w:r>
      <w:r w:rsidR="00513722" w:rsidRPr="00B21212">
        <w:rPr>
          <w:rFonts w:ascii="Book Antiqua" w:hAnsi="Book Antiqua"/>
        </w:rPr>
        <w:t xml:space="preserve"> </w:t>
      </w:r>
      <w:r w:rsidR="00B21212" w:rsidRPr="00B21212">
        <w:rPr>
          <w:rFonts w:ascii="Book Antiqua" w:hAnsi="Book Antiqua"/>
        </w:rPr>
        <w:t xml:space="preserve">party will be entitled to a gross sum specified in the order instead of taxed costs, or to a sum in respect of costs to be determined in such manner as the Court directs: </w:t>
      </w:r>
      <w:proofErr w:type="spellStart"/>
      <w:r w:rsidR="00B21212" w:rsidRPr="00B21212">
        <w:rPr>
          <w:rFonts w:ascii="Book Antiqua" w:hAnsi="Book Antiqua"/>
        </w:rPr>
        <w:t>rr</w:t>
      </w:r>
      <w:proofErr w:type="spellEnd"/>
      <w:r w:rsidR="00B21212" w:rsidRPr="00B21212">
        <w:rPr>
          <w:rFonts w:ascii="Book Antiqua" w:hAnsi="Book Antiqua"/>
        </w:rPr>
        <w:t xml:space="preserve"> 63.07(2)(c) and (d).</w:t>
      </w:r>
    </w:p>
    <w:p w14:paraId="700B2631" w14:textId="48374C43" w:rsidR="00B21212" w:rsidRPr="00B21212" w:rsidRDefault="000F02F9" w:rsidP="00B21212">
      <w:pPr>
        <w:spacing w:before="120" w:after="120"/>
        <w:ind w:left="720" w:hanging="720"/>
        <w:jc w:val="both"/>
        <w:rPr>
          <w:rFonts w:ascii="Book Antiqua" w:hAnsi="Book Antiqua"/>
        </w:rPr>
      </w:pPr>
      <w:r>
        <w:rPr>
          <w:rFonts w:ascii="Book Antiqua" w:hAnsi="Book Antiqua"/>
        </w:rPr>
        <w:t>5.2</w:t>
      </w:r>
      <w:r w:rsidR="0004620A">
        <w:rPr>
          <w:rFonts w:ascii="Book Antiqua" w:hAnsi="Book Antiqua"/>
        </w:rPr>
        <w:t>0</w:t>
      </w:r>
      <w:r w:rsidR="00B21212" w:rsidRPr="00B21212">
        <w:rPr>
          <w:rFonts w:ascii="Book Antiqua" w:hAnsi="Book Antiqua"/>
        </w:rPr>
        <w:tab/>
        <w:t xml:space="preserve">Applications for orders under those provisions are necessarily dealt with, in the first instance, by the judicial officer conducting the principal proceeding.  </w:t>
      </w:r>
      <w:r w:rsidR="00260D4B">
        <w:rPr>
          <w:rFonts w:ascii="Book Antiqua" w:hAnsi="Book Antiqua"/>
        </w:rPr>
        <w:t xml:space="preserve">The Court has generally adopted one of </w:t>
      </w:r>
      <w:proofErr w:type="gramStart"/>
      <w:r w:rsidR="00260D4B">
        <w:rPr>
          <w:rFonts w:ascii="Book Antiqua" w:hAnsi="Book Antiqua"/>
        </w:rPr>
        <w:t xml:space="preserve">the </w:t>
      </w:r>
      <w:r w:rsidR="00B21212" w:rsidRPr="00B21212">
        <w:rPr>
          <w:rFonts w:ascii="Book Antiqua" w:hAnsi="Book Antiqua"/>
        </w:rPr>
        <w:t xml:space="preserve"> following</w:t>
      </w:r>
      <w:proofErr w:type="gramEnd"/>
      <w:r w:rsidR="00B21212" w:rsidRPr="00B21212">
        <w:rPr>
          <w:rFonts w:ascii="Book Antiqua" w:hAnsi="Book Antiqua"/>
        </w:rPr>
        <w:t xml:space="preserve"> three approaches</w:t>
      </w:r>
      <w:r w:rsidR="009104E7">
        <w:rPr>
          <w:rFonts w:ascii="Book Antiqua" w:hAnsi="Book Antiqua"/>
        </w:rPr>
        <w:t xml:space="preserve"> when the application </w:t>
      </w:r>
      <w:r w:rsidR="00663F14">
        <w:rPr>
          <w:rFonts w:ascii="Book Antiqua" w:hAnsi="Book Antiqua"/>
        </w:rPr>
        <w:t>has been allo</w:t>
      </w:r>
      <w:r w:rsidR="007A7818">
        <w:rPr>
          <w:rFonts w:ascii="Book Antiqua" w:hAnsi="Book Antiqua"/>
        </w:rPr>
        <w:t>w</w:t>
      </w:r>
      <w:r w:rsidR="00663F14">
        <w:rPr>
          <w:rFonts w:ascii="Book Antiqua" w:hAnsi="Book Antiqua"/>
        </w:rPr>
        <w:t>ed</w:t>
      </w:r>
      <w:r w:rsidR="00B21212" w:rsidRPr="00B21212">
        <w:rPr>
          <w:rFonts w:ascii="Book Antiqua" w:hAnsi="Book Antiqua"/>
        </w:rPr>
        <w:t xml:space="preserve">: </w:t>
      </w:r>
    </w:p>
    <w:p w14:paraId="76C514EB" w14:textId="6DD373E5" w:rsidR="00B21212" w:rsidRPr="00B21212" w:rsidRDefault="00B21212" w:rsidP="00953871">
      <w:pPr>
        <w:spacing w:before="120" w:after="120"/>
        <w:ind w:left="1440" w:hanging="720"/>
        <w:jc w:val="both"/>
        <w:rPr>
          <w:rFonts w:ascii="Book Antiqua" w:hAnsi="Book Antiqua"/>
        </w:rPr>
      </w:pPr>
      <w:r w:rsidRPr="00B21212">
        <w:rPr>
          <w:rFonts w:ascii="Book Antiqua" w:hAnsi="Book Antiqua"/>
        </w:rPr>
        <w:t>(a)</w:t>
      </w:r>
      <w:r w:rsidRPr="00B21212">
        <w:rPr>
          <w:rFonts w:ascii="Book Antiqua" w:hAnsi="Book Antiqua"/>
        </w:rPr>
        <w:tab/>
      </w:r>
      <w:r w:rsidR="001E5BB7">
        <w:rPr>
          <w:rFonts w:ascii="Book Antiqua" w:hAnsi="Book Antiqua"/>
        </w:rPr>
        <w:t>T</w:t>
      </w:r>
      <w:r w:rsidRPr="00B21212">
        <w:rPr>
          <w:rFonts w:ascii="Book Antiqua" w:hAnsi="Book Antiqua"/>
        </w:rPr>
        <w:t>he Court makes an order for gross sum costs and quantifies the sum to be paid</w:t>
      </w:r>
      <w:r w:rsidR="001E5BB7">
        <w:rPr>
          <w:rFonts w:ascii="Book Antiqua" w:hAnsi="Book Antiqua"/>
        </w:rPr>
        <w:t>.</w:t>
      </w:r>
    </w:p>
    <w:p w14:paraId="01C0639A" w14:textId="651F6636" w:rsidR="00B21212" w:rsidRPr="00B21212" w:rsidRDefault="00B21212" w:rsidP="00953871">
      <w:pPr>
        <w:spacing w:before="120" w:after="120"/>
        <w:ind w:left="1440" w:hanging="720"/>
        <w:jc w:val="both"/>
        <w:rPr>
          <w:rFonts w:ascii="Book Antiqua" w:hAnsi="Book Antiqua"/>
        </w:rPr>
      </w:pPr>
      <w:r w:rsidRPr="00B21212">
        <w:rPr>
          <w:rFonts w:ascii="Book Antiqua" w:hAnsi="Book Antiqua"/>
        </w:rPr>
        <w:t>(b)</w:t>
      </w:r>
      <w:r w:rsidRPr="00B21212">
        <w:rPr>
          <w:rFonts w:ascii="Book Antiqua" w:hAnsi="Book Antiqua"/>
        </w:rPr>
        <w:tab/>
        <w:t>The Court makes an order for gross sum costs but refers the quantification of the amount to the Costs Court</w:t>
      </w:r>
      <w:r w:rsidR="00554503">
        <w:rPr>
          <w:rFonts w:ascii="Book Antiqua" w:hAnsi="Book Antiqua"/>
        </w:rPr>
        <w:t>.</w:t>
      </w:r>
    </w:p>
    <w:p w14:paraId="0B2250EA" w14:textId="06EC7560" w:rsidR="00800A09" w:rsidRDefault="00B21212" w:rsidP="00953871">
      <w:pPr>
        <w:spacing w:before="120" w:after="120"/>
        <w:ind w:left="1440" w:hanging="720"/>
        <w:jc w:val="both"/>
        <w:rPr>
          <w:rFonts w:ascii="Book Antiqua" w:hAnsi="Book Antiqua"/>
        </w:rPr>
      </w:pPr>
      <w:r w:rsidRPr="00B21212">
        <w:rPr>
          <w:rFonts w:ascii="Book Antiqua" w:hAnsi="Book Antiqua"/>
        </w:rPr>
        <w:t>(c)</w:t>
      </w:r>
      <w:r w:rsidRPr="00B21212">
        <w:rPr>
          <w:rFonts w:ascii="Book Antiqua" w:hAnsi="Book Antiqua"/>
        </w:rPr>
        <w:tab/>
        <w:t>The Court refers to the Costs Court both the hearing of the application for an order for gross sum costs and any resulting process to quantify such costs</w:t>
      </w:r>
      <w:r w:rsidR="00657825">
        <w:rPr>
          <w:rFonts w:ascii="Book Antiqua" w:hAnsi="Book Antiqua"/>
        </w:rPr>
        <w:t>.</w:t>
      </w:r>
      <w:r w:rsidRPr="00B21212">
        <w:rPr>
          <w:rFonts w:ascii="Book Antiqua" w:hAnsi="Book Antiqua"/>
        </w:rPr>
        <w:t xml:space="preserve"> </w:t>
      </w:r>
    </w:p>
    <w:p w14:paraId="20D5DF91" w14:textId="12E5B4D5" w:rsidR="00955DEF" w:rsidRPr="00955DEF" w:rsidRDefault="00786FDD" w:rsidP="00955DEF">
      <w:pPr>
        <w:spacing w:before="120" w:after="120"/>
        <w:ind w:left="720" w:hanging="720"/>
        <w:jc w:val="both"/>
        <w:rPr>
          <w:rFonts w:ascii="Book Antiqua" w:hAnsi="Book Antiqua"/>
        </w:rPr>
      </w:pPr>
      <w:r>
        <w:rPr>
          <w:rFonts w:ascii="Book Antiqua" w:hAnsi="Book Antiqua"/>
        </w:rPr>
        <w:t>5.2</w:t>
      </w:r>
      <w:r w:rsidR="0004620A">
        <w:rPr>
          <w:rFonts w:ascii="Book Antiqua" w:hAnsi="Book Antiqua"/>
        </w:rPr>
        <w:t>1</w:t>
      </w:r>
      <w:r w:rsidR="00955DEF" w:rsidRPr="00955DEF">
        <w:rPr>
          <w:rFonts w:ascii="Book Antiqua" w:hAnsi="Book Antiqua"/>
        </w:rPr>
        <w:tab/>
      </w:r>
      <w:r w:rsidR="006B58A6">
        <w:rPr>
          <w:rFonts w:ascii="Book Antiqua" w:hAnsi="Book Antiqua"/>
        </w:rPr>
        <w:t xml:space="preserve">Under </w:t>
      </w:r>
      <w:r w:rsidR="00BB4773">
        <w:rPr>
          <w:rFonts w:ascii="Book Antiqua" w:hAnsi="Book Antiqua"/>
        </w:rPr>
        <w:t xml:space="preserve">r 63.07(3), any party </w:t>
      </w:r>
      <w:proofErr w:type="gramStart"/>
      <w:r w:rsidR="00BB4773">
        <w:rPr>
          <w:rFonts w:ascii="Book Antiqua" w:hAnsi="Book Antiqua"/>
        </w:rPr>
        <w:t>is able to</w:t>
      </w:r>
      <w:proofErr w:type="gramEnd"/>
      <w:r w:rsidR="00BB4773">
        <w:rPr>
          <w:rFonts w:ascii="Book Antiqua" w:hAnsi="Book Antiqua"/>
        </w:rPr>
        <w:t xml:space="preserve"> make an application to the Costs Court for an order for a gross sum in lieu of </w:t>
      </w:r>
      <w:r w:rsidR="008F6D18">
        <w:rPr>
          <w:rFonts w:ascii="Book Antiqua" w:hAnsi="Book Antiqua"/>
        </w:rPr>
        <w:t xml:space="preserve">taxed costs. </w:t>
      </w:r>
      <w:r w:rsidR="00955DEF" w:rsidRPr="00955DEF">
        <w:rPr>
          <w:rFonts w:ascii="Book Antiqua" w:hAnsi="Book Antiqua"/>
        </w:rPr>
        <w:t>It is anticipated that most applications for gross sum costs orders will be made by entitled parties rather than by liable parties</w:t>
      </w:r>
      <w:r w:rsidR="00EF7181">
        <w:rPr>
          <w:rFonts w:ascii="Book Antiqua" w:hAnsi="Book Antiqua"/>
        </w:rPr>
        <w:t xml:space="preserve">. </w:t>
      </w:r>
      <w:r w:rsidR="00AF0376" w:rsidRPr="00955DEF">
        <w:rPr>
          <w:rFonts w:ascii="Book Antiqua" w:hAnsi="Book Antiqua"/>
        </w:rPr>
        <w:t xml:space="preserve"> </w:t>
      </w:r>
      <w:r w:rsidR="00EF7181">
        <w:rPr>
          <w:rFonts w:ascii="Book Antiqua" w:hAnsi="Book Antiqua"/>
        </w:rPr>
        <w:t>S</w:t>
      </w:r>
      <w:r w:rsidR="00EF7181" w:rsidRPr="00955DEF">
        <w:rPr>
          <w:rFonts w:ascii="Book Antiqua" w:hAnsi="Book Antiqua"/>
        </w:rPr>
        <w:t xml:space="preserve">uch </w:t>
      </w:r>
      <w:r w:rsidR="00955DEF" w:rsidRPr="00955DEF">
        <w:rPr>
          <w:rFonts w:ascii="Book Antiqua" w:hAnsi="Book Antiqua"/>
        </w:rPr>
        <w:t>applications will usually be made before the entitled party has filed any summons for taxation.  In that situation, the following procedure will apply:</w:t>
      </w:r>
    </w:p>
    <w:p w14:paraId="47EE6E9B" w14:textId="581BB981" w:rsidR="00955DEF" w:rsidRPr="00955DEF" w:rsidRDefault="00955DEF" w:rsidP="00786FDD">
      <w:pPr>
        <w:spacing w:before="120" w:after="120"/>
        <w:ind w:left="1440" w:hanging="720"/>
        <w:jc w:val="both"/>
        <w:rPr>
          <w:rFonts w:ascii="Book Antiqua" w:hAnsi="Book Antiqua"/>
        </w:rPr>
      </w:pPr>
      <w:r w:rsidRPr="00955DEF">
        <w:rPr>
          <w:rFonts w:ascii="Book Antiqua" w:hAnsi="Book Antiqua"/>
        </w:rPr>
        <w:t>(a)</w:t>
      </w:r>
      <w:r w:rsidRPr="00955DEF">
        <w:rPr>
          <w:rFonts w:ascii="Book Antiqua" w:hAnsi="Book Antiqua"/>
        </w:rPr>
        <w:tab/>
        <w:t xml:space="preserve">Before filing the (appropriate) summons, the entitled party will need to complete a Gross Sum Information Form (Annexure B) and </w:t>
      </w:r>
      <w:bookmarkStart w:id="0" w:name="_Hlk213825281"/>
      <w:r w:rsidRPr="00955DEF">
        <w:rPr>
          <w:rFonts w:ascii="Book Antiqua" w:hAnsi="Book Antiqua"/>
        </w:rPr>
        <w:t xml:space="preserve">email it to: </w:t>
      </w:r>
      <w:hyperlink r:id="rId17" w:history="1">
        <w:r w:rsidR="00E2797C" w:rsidRPr="003F07DB">
          <w:rPr>
            <w:rStyle w:val="Hyperlink"/>
            <w:rFonts w:ascii="Book Antiqua" w:hAnsi="Book Antiqua"/>
          </w:rPr>
          <w:t>costs.court@supcourt.vic.gov.au</w:t>
        </w:r>
      </w:hyperlink>
      <w:r w:rsidR="00E2797C">
        <w:rPr>
          <w:rFonts w:ascii="Book Antiqua" w:hAnsi="Book Antiqua"/>
        </w:rPr>
        <w:t xml:space="preserve"> </w:t>
      </w:r>
      <w:r w:rsidRPr="00955DEF">
        <w:rPr>
          <w:rFonts w:ascii="Book Antiqua" w:hAnsi="Book Antiqua"/>
        </w:rPr>
        <w:t xml:space="preserve">;  </w:t>
      </w:r>
    </w:p>
    <w:bookmarkEnd w:id="0"/>
    <w:p w14:paraId="2115FB3D" w14:textId="5D662CE9" w:rsidR="00955DEF" w:rsidRPr="00955DEF" w:rsidRDefault="00955DEF" w:rsidP="00786FDD">
      <w:pPr>
        <w:spacing w:before="120" w:after="120"/>
        <w:ind w:left="1440" w:hanging="720"/>
        <w:jc w:val="both"/>
        <w:rPr>
          <w:rFonts w:ascii="Book Antiqua" w:hAnsi="Book Antiqua"/>
        </w:rPr>
      </w:pPr>
      <w:r w:rsidRPr="00955DEF">
        <w:rPr>
          <w:rFonts w:ascii="Book Antiqua" w:hAnsi="Book Antiqua"/>
        </w:rPr>
        <w:t>(b)</w:t>
      </w:r>
      <w:r w:rsidRPr="00955DEF">
        <w:rPr>
          <w:rFonts w:ascii="Book Antiqua" w:hAnsi="Book Antiqua"/>
        </w:rPr>
        <w:tab/>
      </w:r>
      <w:r w:rsidR="00AE577E">
        <w:rPr>
          <w:rFonts w:ascii="Book Antiqua" w:hAnsi="Book Antiqua"/>
        </w:rPr>
        <w:t>T</w:t>
      </w:r>
      <w:r w:rsidRPr="00955DEF">
        <w:rPr>
          <w:rFonts w:ascii="Book Antiqua" w:hAnsi="Book Antiqua"/>
        </w:rPr>
        <w:t>he entitled party should also note the corresponding information set out above relating to the Party-Party Taxation Information Form (so far as applicable</w:t>
      </w:r>
      <w:proofErr w:type="gramStart"/>
      <w:r w:rsidRPr="00955DEF">
        <w:rPr>
          <w:rFonts w:ascii="Book Antiqua" w:hAnsi="Book Antiqua"/>
        </w:rPr>
        <w:t>);</w:t>
      </w:r>
      <w:proofErr w:type="gramEnd"/>
      <w:r w:rsidRPr="00955DEF">
        <w:rPr>
          <w:rFonts w:ascii="Book Antiqua" w:hAnsi="Book Antiqua"/>
        </w:rPr>
        <w:t xml:space="preserve"> </w:t>
      </w:r>
    </w:p>
    <w:p w14:paraId="63541F36" w14:textId="77777777" w:rsidR="00955DEF" w:rsidRPr="00955DEF" w:rsidRDefault="00955DEF" w:rsidP="00786FDD">
      <w:pPr>
        <w:spacing w:before="120" w:after="120"/>
        <w:ind w:left="1440" w:hanging="720"/>
        <w:jc w:val="both"/>
        <w:rPr>
          <w:rFonts w:ascii="Book Antiqua" w:hAnsi="Book Antiqua"/>
        </w:rPr>
      </w:pPr>
      <w:r w:rsidRPr="00955DEF">
        <w:rPr>
          <w:rFonts w:ascii="Book Antiqua" w:hAnsi="Book Antiqua"/>
        </w:rPr>
        <w:t>(c)</w:t>
      </w:r>
      <w:r w:rsidRPr="00955DEF">
        <w:rPr>
          <w:rFonts w:ascii="Book Antiqua" w:hAnsi="Book Antiqua"/>
        </w:rPr>
        <w:tab/>
        <w:t xml:space="preserve">A return date for the summons for a gross sum costs order will not be allocated without a completed Gross Sum Information </w:t>
      </w:r>
      <w:proofErr w:type="gramStart"/>
      <w:r w:rsidRPr="00955DEF">
        <w:rPr>
          <w:rFonts w:ascii="Book Antiqua" w:hAnsi="Book Antiqua"/>
        </w:rPr>
        <w:t>Form;</w:t>
      </w:r>
      <w:proofErr w:type="gramEnd"/>
    </w:p>
    <w:p w14:paraId="2D3E4278" w14:textId="77777777" w:rsidR="00955DEF" w:rsidRPr="00955DEF" w:rsidRDefault="00955DEF" w:rsidP="00786FDD">
      <w:pPr>
        <w:spacing w:before="120" w:after="120"/>
        <w:ind w:left="1440" w:hanging="720"/>
        <w:jc w:val="both"/>
        <w:rPr>
          <w:rFonts w:ascii="Book Antiqua" w:hAnsi="Book Antiqua"/>
        </w:rPr>
      </w:pPr>
      <w:r w:rsidRPr="00955DEF">
        <w:rPr>
          <w:rFonts w:ascii="Book Antiqua" w:hAnsi="Book Antiqua"/>
        </w:rPr>
        <w:t>(d)</w:t>
      </w:r>
      <w:r w:rsidRPr="00955DEF">
        <w:rPr>
          <w:rFonts w:ascii="Book Antiqua" w:hAnsi="Book Antiqua"/>
        </w:rPr>
        <w:tab/>
        <w:t xml:space="preserve">Once the Form has been received and considered, the Registry will allocate a return date for the summons and will notify the entitled party </w:t>
      </w:r>
      <w:proofErr w:type="gramStart"/>
      <w:r w:rsidRPr="00955DEF">
        <w:rPr>
          <w:rFonts w:ascii="Book Antiqua" w:hAnsi="Book Antiqua"/>
        </w:rPr>
        <w:t>accordingly;</w:t>
      </w:r>
      <w:proofErr w:type="gramEnd"/>
    </w:p>
    <w:p w14:paraId="4888C5FE" w14:textId="6A643008" w:rsidR="00955DEF" w:rsidRPr="00955DEF" w:rsidRDefault="00955DEF" w:rsidP="00786FDD">
      <w:pPr>
        <w:spacing w:before="120" w:after="120"/>
        <w:ind w:left="1440" w:hanging="720"/>
        <w:jc w:val="both"/>
        <w:rPr>
          <w:rFonts w:ascii="Book Antiqua" w:hAnsi="Book Antiqua"/>
        </w:rPr>
      </w:pPr>
      <w:r w:rsidRPr="00955DEF">
        <w:rPr>
          <w:rFonts w:ascii="Book Antiqua" w:hAnsi="Book Antiqua"/>
        </w:rPr>
        <w:t>(e)</w:t>
      </w:r>
      <w:r w:rsidRPr="00955DEF">
        <w:rPr>
          <w:rFonts w:ascii="Book Antiqua" w:hAnsi="Book Antiqua"/>
        </w:rPr>
        <w:tab/>
        <w:t xml:space="preserve">The summons will need to be supported by an affidavit deposing to the matters being relied upon by the entitled party to justify proceeding by way of a gross sum </w:t>
      </w:r>
      <w:proofErr w:type="gramStart"/>
      <w:r w:rsidRPr="00955DEF">
        <w:rPr>
          <w:rFonts w:ascii="Book Antiqua" w:hAnsi="Book Antiqua"/>
        </w:rPr>
        <w:t>determination;</w:t>
      </w:r>
      <w:proofErr w:type="gramEnd"/>
      <w:r w:rsidRPr="00955DEF">
        <w:rPr>
          <w:rFonts w:ascii="Book Antiqua" w:hAnsi="Book Antiqua"/>
        </w:rPr>
        <w:t xml:space="preserve"> </w:t>
      </w:r>
    </w:p>
    <w:p w14:paraId="4220774B" w14:textId="77777777" w:rsidR="00955DEF" w:rsidRPr="00955DEF" w:rsidRDefault="00955DEF" w:rsidP="00786FDD">
      <w:pPr>
        <w:spacing w:before="120" w:after="120"/>
        <w:ind w:left="1440" w:hanging="720"/>
        <w:jc w:val="both"/>
        <w:rPr>
          <w:rFonts w:ascii="Book Antiqua" w:hAnsi="Book Antiqua"/>
        </w:rPr>
      </w:pPr>
      <w:r w:rsidRPr="00955DEF">
        <w:rPr>
          <w:rFonts w:ascii="Book Antiqua" w:hAnsi="Book Antiqua"/>
        </w:rPr>
        <w:t>(f)</w:t>
      </w:r>
      <w:r w:rsidRPr="00955DEF">
        <w:rPr>
          <w:rFonts w:ascii="Book Antiqua" w:hAnsi="Book Antiqua"/>
        </w:rPr>
        <w:tab/>
        <w:t xml:space="preserve">A bill in taxable form will not be required when an entitled party makes an application to the Costs Court for an order for gross sum </w:t>
      </w:r>
      <w:proofErr w:type="gramStart"/>
      <w:r w:rsidRPr="00955DEF">
        <w:rPr>
          <w:rFonts w:ascii="Book Antiqua" w:hAnsi="Book Antiqua"/>
        </w:rPr>
        <w:t>costs;</w:t>
      </w:r>
      <w:proofErr w:type="gramEnd"/>
    </w:p>
    <w:p w14:paraId="728D3FCD" w14:textId="38003881" w:rsidR="00955DEF" w:rsidRPr="00955DEF" w:rsidRDefault="00955DEF" w:rsidP="00786FDD">
      <w:pPr>
        <w:spacing w:before="120" w:after="120"/>
        <w:ind w:left="1440" w:hanging="720"/>
        <w:jc w:val="both"/>
        <w:rPr>
          <w:rFonts w:ascii="Book Antiqua" w:hAnsi="Book Antiqua"/>
        </w:rPr>
      </w:pPr>
      <w:r w:rsidRPr="00955DEF">
        <w:rPr>
          <w:rFonts w:ascii="Book Antiqua" w:hAnsi="Book Antiqua"/>
        </w:rPr>
        <w:t>(g)</w:t>
      </w:r>
      <w:r w:rsidRPr="00955DEF">
        <w:rPr>
          <w:rFonts w:ascii="Book Antiqua" w:hAnsi="Book Antiqua"/>
        </w:rPr>
        <w:tab/>
        <w:t xml:space="preserve">If the liable party proposes to oppose the application, they must file an affidavit responding to the matters raised in the entitled party’s summons and affidavit at least seven days before the return date for the </w:t>
      </w:r>
      <w:proofErr w:type="gramStart"/>
      <w:r w:rsidRPr="00955DEF">
        <w:rPr>
          <w:rFonts w:ascii="Book Antiqua" w:hAnsi="Book Antiqua"/>
        </w:rPr>
        <w:t>summons</w:t>
      </w:r>
      <w:r w:rsidR="00513722">
        <w:rPr>
          <w:rFonts w:ascii="Book Antiqua" w:hAnsi="Book Antiqua"/>
        </w:rPr>
        <w:t>;</w:t>
      </w:r>
      <w:proofErr w:type="gramEnd"/>
    </w:p>
    <w:p w14:paraId="2FD58739" w14:textId="77777777" w:rsidR="00955DEF" w:rsidRPr="00955DEF" w:rsidRDefault="00955DEF" w:rsidP="00786FDD">
      <w:pPr>
        <w:spacing w:before="120" w:after="120"/>
        <w:ind w:left="1440" w:hanging="720"/>
        <w:jc w:val="both"/>
        <w:rPr>
          <w:rFonts w:ascii="Book Antiqua" w:hAnsi="Book Antiqua"/>
        </w:rPr>
      </w:pPr>
      <w:r w:rsidRPr="00955DEF">
        <w:rPr>
          <w:rFonts w:ascii="Book Antiqua" w:hAnsi="Book Antiqua"/>
        </w:rPr>
        <w:lastRenderedPageBreak/>
        <w:t>(h)</w:t>
      </w:r>
      <w:r w:rsidRPr="00955DEF">
        <w:rPr>
          <w:rFonts w:ascii="Book Antiqua" w:hAnsi="Book Antiqua"/>
        </w:rPr>
        <w:tab/>
        <w:t>Unless the Costs Court otherwise orders, on the return of the summons the Costs Court will give directions in the matter, including as to:</w:t>
      </w:r>
    </w:p>
    <w:p w14:paraId="2DB150FA" w14:textId="77777777" w:rsidR="00955DEF" w:rsidRPr="00955DEF" w:rsidRDefault="00955DEF" w:rsidP="00786FDD">
      <w:pPr>
        <w:spacing w:before="120" w:after="120"/>
        <w:ind w:left="2160" w:hanging="720"/>
        <w:jc w:val="both"/>
        <w:rPr>
          <w:rFonts w:ascii="Book Antiqua" w:hAnsi="Book Antiqua"/>
        </w:rPr>
      </w:pPr>
      <w:r w:rsidRPr="00955DEF">
        <w:rPr>
          <w:rFonts w:ascii="Book Antiqua" w:hAnsi="Book Antiqua"/>
        </w:rPr>
        <w:t>(i)</w:t>
      </w:r>
      <w:r w:rsidRPr="00955DEF">
        <w:rPr>
          <w:rFonts w:ascii="Book Antiqua" w:hAnsi="Book Antiqua"/>
        </w:rPr>
        <w:tab/>
        <w:t xml:space="preserve">further </w:t>
      </w:r>
      <w:proofErr w:type="gramStart"/>
      <w:r w:rsidRPr="00955DEF">
        <w:rPr>
          <w:rFonts w:ascii="Book Antiqua" w:hAnsi="Book Antiqua"/>
        </w:rPr>
        <w:t>affidavits;</w:t>
      </w:r>
      <w:proofErr w:type="gramEnd"/>
    </w:p>
    <w:p w14:paraId="067C544D" w14:textId="77777777" w:rsidR="00955DEF" w:rsidRPr="00955DEF" w:rsidRDefault="00955DEF" w:rsidP="00786FDD">
      <w:pPr>
        <w:spacing w:before="120" w:after="120"/>
        <w:ind w:left="2160" w:hanging="720"/>
        <w:jc w:val="both"/>
        <w:rPr>
          <w:rFonts w:ascii="Book Antiqua" w:hAnsi="Book Antiqua"/>
        </w:rPr>
      </w:pPr>
      <w:r w:rsidRPr="00955DEF">
        <w:rPr>
          <w:rFonts w:ascii="Book Antiqua" w:hAnsi="Book Antiqua"/>
        </w:rPr>
        <w:t>(ii)</w:t>
      </w:r>
      <w:r w:rsidRPr="00955DEF">
        <w:rPr>
          <w:rFonts w:ascii="Book Antiqua" w:hAnsi="Book Antiqua"/>
        </w:rPr>
        <w:tab/>
        <w:t xml:space="preserve">written </w:t>
      </w:r>
      <w:proofErr w:type="gramStart"/>
      <w:r w:rsidRPr="00955DEF">
        <w:rPr>
          <w:rFonts w:ascii="Book Antiqua" w:hAnsi="Book Antiqua"/>
        </w:rPr>
        <w:t>submissions;</w:t>
      </w:r>
      <w:proofErr w:type="gramEnd"/>
    </w:p>
    <w:p w14:paraId="6ABABA67" w14:textId="3D382AF1" w:rsidR="00955DEF" w:rsidRPr="00955DEF" w:rsidRDefault="00955DEF" w:rsidP="00786FDD">
      <w:pPr>
        <w:spacing w:before="120" w:after="120"/>
        <w:ind w:left="2160" w:hanging="720"/>
        <w:jc w:val="both"/>
        <w:rPr>
          <w:rFonts w:ascii="Book Antiqua" w:hAnsi="Book Antiqua"/>
        </w:rPr>
      </w:pPr>
      <w:r w:rsidRPr="00955DEF">
        <w:rPr>
          <w:rFonts w:ascii="Book Antiqua" w:hAnsi="Book Antiqua"/>
        </w:rPr>
        <w:t>(iii)</w:t>
      </w:r>
      <w:r w:rsidRPr="00955DEF">
        <w:rPr>
          <w:rFonts w:ascii="Book Antiqua" w:hAnsi="Book Antiqua"/>
        </w:rPr>
        <w:tab/>
        <w:t>a date for the hearing of the application for the order</w:t>
      </w:r>
      <w:r w:rsidR="00331BD3">
        <w:rPr>
          <w:rFonts w:ascii="Book Antiqua" w:hAnsi="Book Antiqua"/>
        </w:rPr>
        <w:t>.</w:t>
      </w:r>
    </w:p>
    <w:p w14:paraId="188DF69C" w14:textId="2ED43F63" w:rsidR="00955DEF" w:rsidRPr="00955DEF" w:rsidRDefault="00955DEF" w:rsidP="00786FDD">
      <w:pPr>
        <w:spacing w:before="120" w:after="120"/>
        <w:ind w:left="2160" w:hanging="720"/>
        <w:jc w:val="both"/>
        <w:rPr>
          <w:rFonts w:ascii="Book Antiqua" w:hAnsi="Book Antiqua"/>
        </w:rPr>
      </w:pPr>
      <w:r w:rsidRPr="00955DEF">
        <w:rPr>
          <w:rFonts w:ascii="Book Antiqua" w:hAnsi="Book Antiqua"/>
        </w:rPr>
        <w:t xml:space="preserve">. </w:t>
      </w:r>
    </w:p>
    <w:p w14:paraId="193A7572" w14:textId="561A6EEE" w:rsidR="00955DEF" w:rsidRPr="00955DEF" w:rsidRDefault="00786FDD" w:rsidP="00955DEF">
      <w:pPr>
        <w:spacing w:before="120" w:after="120"/>
        <w:ind w:left="720" w:hanging="720"/>
        <w:jc w:val="both"/>
        <w:rPr>
          <w:rFonts w:ascii="Book Antiqua" w:hAnsi="Book Antiqua"/>
        </w:rPr>
      </w:pPr>
      <w:r>
        <w:rPr>
          <w:rFonts w:ascii="Book Antiqua" w:hAnsi="Book Antiqua"/>
        </w:rPr>
        <w:t>5.2</w:t>
      </w:r>
      <w:r w:rsidR="0004620A">
        <w:rPr>
          <w:rFonts w:ascii="Book Antiqua" w:hAnsi="Book Antiqua"/>
        </w:rPr>
        <w:t>2</w:t>
      </w:r>
      <w:r w:rsidR="00955DEF" w:rsidRPr="00955DEF">
        <w:rPr>
          <w:rFonts w:ascii="Book Antiqua" w:hAnsi="Book Antiqua"/>
        </w:rPr>
        <w:tab/>
        <w:t>Where an entitled party proposes to make an application for a gross sum costs order after having filed a summons for taxation, the entitled party must notify the Costs Court accordingly and apply for a directions hearing.</w:t>
      </w:r>
    </w:p>
    <w:p w14:paraId="72B867C9" w14:textId="62548A77" w:rsidR="00955DEF" w:rsidRPr="00955DEF" w:rsidRDefault="00786FDD" w:rsidP="00955DEF">
      <w:pPr>
        <w:spacing w:before="120" w:after="120"/>
        <w:ind w:left="720" w:hanging="720"/>
        <w:jc w:val="both"/>
        <w:rPr>
          <w:rFonts w:ascii="Book Antiqua" w:hAnsi="Book Antiqua"/>
        </w:rPr>
      </w:pPr>
      <w:r>
        <w:rPr>
          <w:rFonts w:ascii="Book Antiqua" w:hAnsi="Book Antiqua"/>
        </w:rPr>
        <w:t>5.2</w:t>
      </w:r>
      <w:r w:rsidR="0004620A">
        <w:rPr>
          <w:rFonts w:ascii="Book Antiqua" w:hAnsi="Book Antiqua"/>
        </w:rPr>
        <w:t>3</w:t>
      </w:r>
      <w:r w:rsidR="00955DEF" w:rsidRPr="00955DEF">
        <w:rPr>
          <w:rFonts w:ascii="Book Antiqua" w:hAnsi="Book Antiqua"/>
        </w:rPr>
        <w:tab/>
        <w:t>If, before any proceeding relating to the relevant costs is on foot in the Costs Court, a liable party proposes to apply for a gross sum costs order, the application will need to be made by filing and serving an appropriate summons, supported by affidavit material containing relevant evidence.  The matter would then be listed for a directions hearing.</w:t>
      </w:r>
    </w:p>
    <w:p w14:paraId="27726DE7" w14:textId="1BDDFE42" w:rsidR="00955DEF" w:rsidRPr="00955DEF" w:rsidRDefault="00786FDD" w:rsidP="00955DEF">
      <w:pPr>
        <w:spacing w:before="120" w:after="120"/>
        <w:ind w:left="720" w:hanging="720"/>
        <w:jc w:val="both"/>
        <w:rPr>
          <w:rFonts w:ascii="Book Antiqua" w:hAnsi="Book Antiqua"/>
        </w:rPr>
      </w:pPr>
      <w:r>
        <w:rPr>
          <w:rFonts w:ascii="Book Antiqua" w:hAnsi="Book Antiqua"/>
        </w:rPr>
        <w:t>5.2</w:t>
      </w:r>
      <w:r w:rsidR="0004620A">
        <w:rPr>
          <w:rFonts w:ascii="Book Antiqua" w:hAnsi="Book Antiqua"/>
        </w:rPr>
        <w:t>4</w:t>
      </w:r>
      <w:r w:rsidR="00955DEF" w:rsidRPr="00955DEF">
        <w:rPr>
          <w:rFonts w:ascii="Book Antiqua" w:hAnsi="Book Antiqua"/>
        </w:rPr>
        <w:tab/>
        <w:t xml:space="preserve">If there is already a proceeding on foot in the Costs Court relating to the relevant costs, and the liable party proposes to apply for a gross sum costs order, the liable party will not be required to file a summons but must notify the Costs Court and the entitled party of their </w:t>
      </w:r>
      <w:proofErr w:type="gramStart"/>
      <w:r w:rsidR="00955DEF" w:rsidRPr="00955DEF">
        <w:rPr>
          <w:rFonts w:ascii="Book Antiqua" w:hAnsi="Book Antiqua"/>
        </w:rPr>
        <w:t>proposal, and</w:t>
      </w:r>
      <w:proofErr w:type="gramEnd"/>
      <w:r w:rsidR="00955DEF" w:rsidRPr="00955DEF">
        <w:rPr>
          <w:rFonts w:ascii="Book Antiqua" w:hAnsi="Book Antiqua"/>
        </w:rPr>
        <w:t xml:space="preserve"> apply for a directions hearing. </w:t>
      </w:r>
    </w:p>
    <w:p w14:paraId="6BEEEF56" w14:textId="1860D0D8" w:rsidR="00955DEF" w:rsidRPr="00955DEF" w:rsidRDefault="00786FDD" w:rsidP="00955DEF">
      <w:pPr>
        <w:spacing w:before="120" w:after="120"/>
        <w:ind w:left="720" w:hanging="720"/>
        <w:jc w:val="both"/>
        <w:rPr>
          <w:rFonts w:ascii="Book Antiqua" w:hAnsi="Book Antiqua"/>
        </w:rPr>
      </w:pPr>
      <w:r>
        <w:rPr>
          <w:rFonts w:ascii="Book Antiqua" w:hAnsi="Book Antiqua"/>
        </w:rPr>
        <w:t>5.2</w:t>
      </w:r>
      <w:r w:rsidR="0004620A">
        <w:rPr>
          <w:rFonts w:ascii="Book Antiqua" w:hAnsi="Book Antiqua"/>
        </w:rPr>
        <w:t>5</w:t>
      </w:r>
      <w:r w:rsidR="00955DEF" w:rsidRPr="00955DEF">
        <w:rPr>
          <w:rFonts w:ascii="Book Antiqua" w:hAnsi="Book Antiqua"/>
        </w:rPr>
        <w:tab/>
        <w:t>Gross sum costs orders are designed to avoid the expense, delay and aggravation that can arise in large scale taxations concerning complex and sizeable claims.</w:t>
      </w:r>
    </w:p>
    <w:p w14:paraId="282C2BF6" w14:textId="7B55B3CE" w:rsidR="00955DEF" w:rsidRDefault="00786FDD" w:rsidP="0004620A">
      <w:pPr>
        <w:spacing w:before="120" w:after="120"/>
        <w:ind w:left="720" w:hanging="720"/>
        <w:jc w:val="both"/>
        <w:rPr>
          <w:rFonts w:ascii="Book Antiqua" w:hAnsi="Book Antiqua"/>
        </w:rPr>
      </w:pPr>
      <w:r>
        <w:rPr>
          <w:rFonts w:ascii="Book Antiqua" w:hAnsi="Book Antiqua"/>
        </w:rPr>
        <w:t>5.2</w:t>
      </w:r>
      <w:r w:rsidR="0004620A">
        <w:rPr>
          <w:rFonts w:ascii="Book Antiqua" w:hAnsi="Book Antiqua"/>
        </w:rPr>
        <w:t>6</w:t>
      </w:r>
      <w:r w:rsidR="00955DEF" w:rsidRPr="00955DEF">
        <w:rPr>
          <w:rFonts w:ascii="Book Antiqua" w:hAnsi="Book Antiqua"/>
        </w:rPr>
        <w:tab/>
        <w:t xml:space="preserve">The onus will be on the party applying to the Costs Court for an order for gross sum costs to satisfy the Costs Court that a gross sum determination is more appropriate than taxed costs. </w:t>
      </w:r>
    </w:p>
    <w:p w14:paraId="3BE7562B" w14:textId="5710488C" w:rsidR="00955DEF" w:rsidRPr="00786FDD" w:rsidRDefault="00955DEF" w:rsidP="00232581">
      <w:pPr>
        <w:keepNext/>
        <w:spacing w:before="120" w:after="120"/>
        <w:ind w:left="720" w:hanging="720"/>
        <w:jc w:val="both"/>
        <w:rPr>
          <w:rFonts w:ascii="Book Antiqua" w:hAnsi="Book Antiqua"/>
          <w:b/>
          <w:bCs/>
          <w:i/>
          <w:iCs/>
        </w:rPr>
      </w:pPr>
      <w:r w:rsidRPr="00786FDD">
        <w:rPr>
          <w:rFonts w:ascii="Book Antiqua" w:hAnsi="Book Antiqua"/>
          <w:b/>
          <w:bCs/>
          <w:i/>
          <w:iCs/>
        </w:rPr>
        <w:t>Taxation</w:t>
      </w:r>
    </w:p>
    <w:p w14:paraId="604593A6" w14:textId="223605AA" w:rsidR="00333E4B" w:rsidRPr="00333E4B" w:rsidRDefault="00786FDD" w:rsidP="00333E4B">
      <w:pPr>
        <w:spacing w:before="120" w:after="120"/>
        <w:ind w:left="720" w:hanging="720"/>
        <w:jc w:val="both"/>
        <w:rPr>
          <w:rFonts w:ascii="Book Antiqua" w:hAnsi="Book Antiqua"/>
        </w:rPr>
      </w:pPr>
      <w:r>
        <w:rPr>
          <w:rFonts w:ascii="Book Antiqua" w:hAnsi="Book Antiqua"/>
        </w:rPr>
        <w:t>5.2</w:t>
      </w:r>
      <w:r w:rsidR="0004620A">
        <w:rPr>
          <w:rFonts w:ascii="Book Antiqua" w:hAnsi="Book Antiqua"/>
        </w:rPr>
        <w:t>7</w:t>
      </w:r>
      <w:r w:rsidR="00333E4B" w:rsidRPr="00333E4B">
        <w:rPr>
          <w:rFonts w:ascii="Book Antiqua" w:hAnsi="Book Antiqua"/>
        </w:rPr>
        <w:tab/>
        <w:t xml:space="preserve">Taxations constitute a very small part of the Costs Court’s work. Matters will be listed for taxation following an unsuccessful mediation or where any party objects to the estimate in an assessment in chambers, or after both procedures have failed to yield a result. It will be rare that a matter is listed for taxation at first instance. </w:t>
      </w:r>
    </w:p>
    <w:p w14:paraId="683E41F6" w14:textId="1B8C37AB" w:rsidR="00333E4B" w:rsidRPr="00333E4B" w:rsidRDefault="00786FDD" w:rsidP="00333E4B">
      <w:pPr>
        <w:spacing w:before="120" w:after="120"/>
        <w:ind w:left="720" w:hanging="720"/>
        <w:jc w:val="both"/>
        <w:rPr>
          <w:rFonts w:ascii="Book Antiqua" w:hAnsi="Book Antiqua"/>
        </w:rPr>
      </w:pPr>
      <w:r>
        <w:rPr>
          <w:rFonts w:ascii="Book Antiqua" w:hAnsi="Book Antiqua"/>
        </w:rPr>
        <w:t>5.2</w:t>
      </w:r>
      <w:r w:rsidR="0004620A">
        <w:rPr>
          <w:rFonts w:ascii="Book Antiqua" w:hAnsi="Book Antiqua"/>
        </w:rPr>
        <w:t>8</w:t>
      </w:r>
      <w:r w:rsidR="00333E4B" w:rsidRPr="00333E4B">
        <w:rPr>
          <w:rFonts w:ascii="Book Antiqua" w:hAnsi="Book Antiqua"/>
        </w:rPr>
        <w:tab/>
        <w:t xml:space="preserve">In preparation for the taxation, parties should therefore use their best endeavours to narrow the scope of the items in dispute </w:t>
      </w:r>
      <w:proofErr w:type="gramStart"/>
      <w:r w:rsidR="00333E4B" w:rsidRPr="00333E4B">
        <w:rPr>
          <w:rFonts w:ascii="Book Antiqua" w:hAnsi="Book Antiqua"/>
        </w:rPr>
        <w:t>in order to</w:t>
      </w:r>
      <w:proofErr w:type="gramEnd"/>
      <w:r w:rsidR="00333E4B" w:rsidRPr="00333E4B">
        <w:rPr>
          <w:rFonts w:ascii="Book Antiqua" w:hAnsi="Book Antiqua"/>
        </w:rPr>
        <w:t xml:space="preserve"> shorten the time required to tax the bill of costs. </w:t>
      </w:r>
    </w:p>
    <w:p w14:paraId="6215D207" w14:textId="0942D104" w:rsidR="00333E4B" w:rsidRDefault="00786FDD" w:rsidP="00333E4B">
      <w:pPr>
        <w:spacing w:before="120" w:after="120"/>
        <w:ind w:left="720" w:hanging="720"/>
        <w:jc w:val="both"/>
        <w:rPr>
          <w:rFonts w:ascii="Book Antiqua" w:hAnsi="Book Antiqua"/>
        </w:rPr>
      </w:pPr>
      <w:r>
        <w:rPr>
          <w:rFonts w:ascii="Book Antiqua" w:hAnsi="Book Antiqua"/>
        </w:rPr>
        <w:t>5.</w:t>
      </w:r>
      <w:r w:rsidR="0004620A">
        <w:rPr>
          <w:rFonts w:ascii="Book Antiqua" w:hAnsi="Book Antiqua"/>
        </w:rPr>
        <w:t>29</w:t>
      </w:r>
      <w:r w:rsidR="00333E4B" w:rsidRPr="00333E4B">
        <w:rPr>
          <w:rFonts w:ascii="Book Antiqua" w:hAnsi="Book Antiqua"/>
        </w:rPr>
        <w:tab/>
        <w:t xml:space="preserve">Where a party proposes to rely upon an authority which has not been published, the party is required to provide a copy to the Costs Court and the other party.  </w:t>
      </w:r>
    </w:p>
    <w:p w14:paraId="0C723D82" w14:textId="6013DF26" w:rsidR="00772808" w:rsidRPr="002C78D7" w:rsidRDefault="00772808" w:rsidP="00656A3D">
      <w:pPr>
        <w:keepNext/>
        <w:spacing w:before="120" w:after="120"/>
        <w:jc w:val="both"/>
        <w:rPr>
          <w:rFonts w:ascii="Book Antiqua" w:hAnsi="Book Antiqua"/>
          <w:b/>
          <w:bCs/>
          <w:i/>
          <w:iCs/>
        </w:rPr>
      </w:pPr>
      <w:r w:rsidRPr="002C78D7">
        <w:rPr>
          <w:rFonts w:ascii="Book Antiqua" w:hAnsi="Book Antiqua"/>
          <w:b/>
          <w:bCs/>
          <w:i/>
          <w:iCs/>
        </w:rPr>
        <w:lastRenderedPageBreak/>
        <w:t xml:space="preserve">Short form bill under the r 17.7 of </w:t>
      </w:r>
      <w:r w:rsidR="00A30892" w:rsidRPr="002C78D7">
        <w:rPr>
          <w:rFonts w:ascii="Book Antiqua" w:hAnsi="Book Antiqua"/>
          <w:b/>
          <w:bCs/>
          <w:i/>
          <w:iCs/>
        </w:rPr>
        <w:t>Supreme Court (Corporations) Rules 2023</w:t>
      </w:r>
    </w:p>
    <w:p w14:paraId="1D36B2DB" w14:textId="35183013" w:rsidR="00455B71" w:rsidRPr="00C54AED" w:rsidRDefault="00455B71" w:rsidP="002C78D7">
      <w:pPr>
        <w:ind w:left="720" w:hanging="720"/>
        <w:jc w:val="both"/>
        <w:rPr>
          <w:rFonts w:ascii="Book Antiqua" w:hAnsi="Book Antiqua"/>
        </w:rPr>
      </w:pPr>
      <w:r w:rsidRPr="00C54AED">
        <w:rPr>
          <w:rFonts w:ascii="Book Antiqua" w:hAnsi="Book Antiqua"/>
        </w:rPr>
        <w:t>5.30</w:t>
      </w:r>
      <w:r w:rsidRPr="00C54AED">
        <w:rPr>
          <w:rFonts w:ascii="Book Antiqua" w:hAnsi="Book Antiqua"/>
        </w:rPr>
        <w:tab/>
        <w:t xml:space="preserve">Upon the making of a winding up order by the Court </w:t>
      </w:r>
      <w:r w:rsidR="002C78D7" w:rsidRPr="00C54AED">
        <w:rPr>
          <w:rFonts w:ascii="Book Antiqua" w:hAnsi="Book Antiqua"/>
        </w:rPr>
        <w:t xml:space="preserve">pursuant to </w:t>
      </w:r>
      <w:r w:rsidRPr="00C54AED">
        <w:rPr>
          <w:rFonts w:ascii="Book Antiqua" w:hAnsi="Book Antiqua"/>
        </w:rPr>
        <w:t xml:space="preserve">the Corporations </w:t>
      </w:r>
      <w:r w:rsidR="00E50A84" w:rsidRPr="00C54AED">
        <w:rPr>
          <w:rFonts w:ascii="Book Antiqua" w:hAnsi="Book Antiqua"/>
        </w:rPr>
        <w:t>Act, a</w:t>
      </w:r>
      <w:r w:rsidRPr="00C54AED">
        <w:rPr>
          <w:rFonts w:ascii="Book Antiqua" w:hAnsi="Book Antiqua"/>
        </w:rPr>
        <w:t xml:space="preserve"> party entitled to costs may make an application under r</w:t>
      </w:r>
      <w:r w:rsidR="009E2EFE" w:rsidRPr="00C54AED">
        <w:rPr>
          <w:rFonts w:ascii="Book Antiqua" w:hAnsi="Book Antiqua"/>
        </w:rPr>
        <w:t> </w:t>
      </w:r>
      <w:r w:rsidRPr="00C54AED">
        <w:rPr>
          <w:rFonts w:ascii="Book Antiqua" w:hAnsi="Book Antiqua"/>
        </w:rPr>
        <w:t xml:space="preserve">17.7 of Corporations </w:t>
      </w:r>
      <w:proofErr w:type="gramStart"/>
      <w:r w:rsidRPr="00C54AED">
        <w:rPr>
          <w:rFonts w:ascii="Book Antiqua" w:hAnsi="Book Antiqua"/>
        </w:rPr>
        <w:t xml:space="preserve">Rules </w:t>
      </w:r>
      <w:r w:rsidR="002C78D7" w:rsidRPr="00C54AED">
        <w:rPr>
          <w:rFonts w:ascii="Book Antiqua" w:hAnsi="Book Antiqua"/>
        </w:rPr>
        <w:t xml:space="preserve"> for</w:t>
      </w:r>
      <w:proofErr w:type="gramEnd"/>
      <w:r w:rsidR="002C78D7" w:rsidRPr="00C54AED">
        <w:rPr>
          <w:rFonts w:ascii="Book Antiqua" w:hAnsi="Book Antiqua"/>
        </w:rPr>
        <w:t xml:space="preserve"> costs to be assessed. </w:t>
      </w:r>
    </w:p>
    <w:p w14:paraId="063349D5" w14:textId="77777777" w:rsidR="002C78D7" w:rsidRPr="00C54AED" w:rsidRDefault="002C78D7" w:rsidP="00A30892">
      <w:pPr>
        <w:jc w:val="both"/>
        <w:rPr>
          <w:rFonts w:ascii="Book Antiqua" w:hAnsi="Book Antiqua"/>
        </w:rPr>
      </w:pPr>
    </w:p>
    <w:p w14:paraId="702E84A8" w14:textId="67A71718" w:rsidR="002C78D7" w:rsidRPr="00C54AED" w:rsidRDefault="002C78D7" w:rsidP="006419C5">
      <w:pPr>
        <w:ind w:left="720" w:hanging="720"/>
        <w:jc w:val="both"/>
        <w:rPr>
          <w:rFonts w:ascii="Book Antiqua" w:hAnsi="Book Antiqua"/>
        </w:rPr>
      </w:pPr>
      <w:r w:rsidRPr="00C54AED">
        <w:rPr>
          <w:rFonts w:ascii="Book Antiqua" w:hAnsi="Book Antiqua"/>
        </w:rPr>
        <w:t>5.31</w:t>
      </w:r>
      <w:r w:rsidRPr="00C54AED">
        <w:rPr>
          <w:rFonts w:ascii="Book Antiqua" w:hAnsi="Book Antiqua"/>
        </w:rPr>
        <w:tab/>
        <w:t xml:space="preserve">The entitled party must file the application in the proceeding in which the order was made and email the application to </w:t>
      </w:r>
      <w:hyperlink r:id="rId18" w:history="1">
        <w:r w:rsidRPr="00C54AED">
          <w:rPr>
            <w:rStyle w:val="Hyperlink"/>
            <w:rFonts w:ascii="Book Antiqua" w:hAnsi="Book Antiqua"/>
            <w:u w:val="none"/>
          </w:rPr>
          <w:t>costs.court@supcourt.vic.gov.au</w:t>
        </w:r>
      </w:hyperlink>
      <w:r w:rsidRPr="00C54AED">
        <w:rPr>
          <w:rFonts w:ascii="Book Antiqua" w:hAnsi="Book Antiqua"/>
        </w:rPr>
        <w:t>.</w:t>
      </w:r>
    </w:p>
    <w:p w14:paraId="67872735" w14:textId="77777777" w:rsidR="002C78D7" w:rsidRDefault="002C78D7" w:rsidP="00A30892">
      <w:pPr>
        <w:jc w:val="both"/>
        <w:rPr>
          <w:rFonts w:ascii="Book Antiqua" w:hAnsi="Book Antiqua"/>
        </w:rPr>
      </w:pPr>
    </w:p>
    <w:p w14:paraId="198A5485" w14:textId="685B3338" w:rsidR="002C78D7" w:rsidRDefault="002C78D7" w:rsidP="00A30892">
      <w:pPr>
        <w:jc w:val="both"/>
        <w:rPr>
          <w:rFonts w:ascii="Book Antiqua" w:hAnsi="Book Antiqua"/>
        </w:rPr>
      </w:pPr>
      <w:r>
        <w:rPr>
          <w:rFonts w:ascii="Book Antiqua" w:hAnsi="Book Antiqua"/>
        </w:rPr>
        <w:t>5.32</w:t>
      </w:r>
      <w:r>
        <w:rPr>
          <w:rFonts w:ascii="Book Antiqua" w:hAnsi="Book Antiqua"/>
        </w:rPr>
        <w:tab/>
        <w:t xml:space="preserve">The application shall </w:t>
      </w:r>
      <w:r w:rsidR="00A47219">
        <w:rPr>
          <w:rFonts w:ascii="Book Antiqua" w:hAnsi="Book Antiqua"/>
        </w:rPr>
        <w:t>consist</w:t>
      </w:r>
      <w:r>
        <w:rPr>
          <w:rFonts w:ascii="Book Antiqua" w:hAnsi="Book Antiqua"/>
        </w:rPr>
        <w:t xml:space="preserve"> of:</w:t>
      </w:r>
    </w:p>
    <w:p w14:paraId="087A8DEC" w14:textId="77777777" w:rsidR="006419C5" w:rsidRDefault="006419C5" w:rsidP="006419C5">
      <w:pPr>
        <w:ind w:left="720"/>
        <w:jc w:val="both"/>
        <w:rPr>
          <w:rFonts w:ascii="Book Antiqua" w:hAnsi="Book Antiqua"/>
        </w:rPr>
      </w:pPr>
    </w:p>
    <w:p w14:paraId="5AD6E7F4" w14:textId="76E8F8C8" w:rsidR="002C78D7" w:rsidRDefault="002C78D7" w:rsidP="006419C5">
      <w:pPr>
        <w:ind w:left="720"/>
        <w:jc w:val="both"/>
        <w:rPr>
          <w:rFonts w:ascii="Book Antiqua" w:hAnsi="Book Antiqua"/>
        </w:rPr>
      </w:pPr>
      <w:r>
        <w:rPr>
          <w:rFonts w:ascii="Book Antiqua" w:hAnsi="Book Antiqua"/>
        </w:rPr>
        <w:t xml:space="preserve">(a) a bill of costs </w:t>
      </w:r>
      <w:r w:rsidR="006419C5">
        <w:rPr>
          <w:rFonts w:ascii="Book Antiqua" w:hAnsi="Book Antiqua"/>
        </w:rPr>
        <w:t xml:space="preserve">which includes professional costs as set out in </w:t>
      </w:r>
      <w:r w:rsidR="00862B44">
        <w:t>section 6.1</w:t>
      </w:r>
      <w:r w:rsidR="006419C5" w:rsidRPr="004F5769">
        <w:t xml:space="preserve"> of the Scale of Costs</w:t>
      </w:r>
      <w:r w:rsidR="00BE5A11">
        <w:t>,</w:t>
      </w:r>
      <w:r w:rsidR="006419C5">
        <w:rPr>
          <w:rFonts w:ascii="Book Antiqua" w:hAnsi="Book Antiqua"/>
        </w:rPr>
        <w:t xml:space="preserve"> and </w:t>
      </w:r>
      <w:r>
        <w:rPr>
          <w:rFonts w:ascii="Book Antiqua" w:hAnsi="Book Antiqua"/>
        </w:rPr>
        <w:t>disbursements</w:t>
      </w:r>
      <w:r w:rsidR="006419C5">
        <w:rPr>
          <w:rFonts w:ascii="Book Antiqua" w:hAnsi="Book Antiqua"/>
        </w:rPr>
        <w:t>.</w:t>
      </w:r>
    </w:p>
    <w:p w14:paraId="0A2A4CCB" w14:textId="77777777" w:rsidR="006419C5" w:rsidRDefault="006419C5" w:rsidP="006419C5">
      <w:pPr>
        <w:ind w:left="720"/>
        <w:jc w:val="both"/>
      </w:pPr>
    </w:p>
    <w:p w14:paraId="046E63AB" w14:textId="760745E6" w:rsidR="006419C5" w:rsidRDefault="006419C5" w:rsidP="006419C5">
      <w:pPr>
        <w:ind w:left="720"/>
        <w:jc w:val="both"/>
      </w:pPr>
      <w:r>
        <w:t>(b) c</w:t>
      </w:r>
      <w:r w:rsidRPr="004F5769">
        <w:t>opies of receipts, vouchers or journals that evidence the disbursements claimed.</w:t>
      </w:r>
    </w:p>
    <w:p w14:paraId="5E6A5BB3" w14:textId="77777777" w:rsidR="006419C5" w:rsidRDefault="006419C5" w:rsidP="006419C5">
      <w:pPr>
        <w:ind w:left="720"/>
        <w:jc w:val="both"/>
      </w:pPr>
    </w:p>
    <w:p w14:paraId="65E5CD14" w14:textId="08672470" w:rsidR="006419C5" w:rsidRDefault="006419C5" w:rsidP="006419C5">
      <w:pPr>
        <w:ind w:left="720"/>
        <w:jc w:val="both"/>
      </w:pPr>
      <w:r>
        <w:t xml:space="preserve">(c) </w:t>
      </w:r>
      <w:r w:rsidRPr="004F5769">
        <w:t xml:space="preserve">an affidavit </w:t>
      </w:r>
      <w:r>
        <w:t xml:space="preserve">deposing to the service of the documents in referred to in (a) and (b) </w:t>
      </w:r>
    </w:p>
    <w:p w14:paraId="5EDFD16D" w14:textId="77777777" w:rsidR="006419C5" w:rsidRDefault="006419C5" w:rsidP="006419C5">
      <w:pPr>
        <w:jc w:val="both"/>
      </w:pPr>
    </w:p>
    <w:p w14:paraId="3CE6380D" w14:textId="46D5DBF3" w:rsidR="006419C5" w:rsidRDefault="006419C5" w:rsidP="006419C5">
      <w:pPr>
        <w:ind w:left="720"/>
        <w:jc w:val="both"/>
      </w:pPr>
      <w:r>
        <w:t xml:space="preserve">(d) </w:t>
      </w:r>
      <w:r w:rsidRPr="004F5769">
        <w:t xml:space="preserve">notice </w:t>
      </w:r>
      <w:r>
        <w:t xml:space="preserve">of the liquidator </w:t>
      </w:r>
      <w:proofErr w:type="gramStart"/>
      <w:r>
        <w:t xml:space="preserve">on </w:t>
      </w:r>
      <w:r w:rsidRPr="004F5769">
        <w:t xml:space="preserve"> whether</w:t>
      </w:r>
      <w:proofErr w:type="gramEnd"/>
      <w:r w:rsidRPr="004F5769">
        <w:t xml:space="preserve"> or not any, and, if so, which, of the costs or disbursements claimed are disputed by the liquidator. </w:t>
      </w:r>
    </w:p>
    <w:p w14:paraId="766EA23B" w14:textId="67012D2D" w:rsidR="006419C5" w:rsidRDefault="006419C5" w:rsidP="006419C5">
      <w:pPr>
        <w:ind w:left="720"/>
        <w:jc w:val="both"/>
      </w:pPr>
    </w:p>
    <w:p w14:paraId="79577DD0" w14:textId="7513C782" w:rsidR="00377B34" w:rsidRPr="004213D7" w:rsidRDefault="00852A50" w:rsidP="002107A3">
      <w:pPr>
        <w:pStyle w:val="Heading1"/>
        <w:ind w:left="720" w:hanging="720"/>
      </w:pPr>
      <w:r>
        <w:t>6.</w:t>
      </w:r>
      <w:r>
        <w:tab/>
      </w:r>
      <w:r w:rsidR="00333E4B">
        <w:t>solicitor/client applications- legal profession legislation matters</w:t>
      </w:r>
    </w:p>
    <w:p w14:paraId="47831498" w14:textId="17E76F1A" w:rsidR="00553B68" w:rsidRDefault="009E2EFE" w:rsidP="00553B68">
      <w:pPr>
        <w:pStyle w:val="ListParagraph"/>
        <w:spacing w:before="120" w:after="120"/>
        <w:ind w:hanging="720"/>
        <w:jc w:val="both"/>
        <w:rPr>
          <w:rFonts w:ascii="Book Antiqua" w:hAnsi="Book Antiqua"/>
          <w:sz w:val="24"/>
          <w:szCs w:val="24"/>
        </w:rPr>
      </w:pPr>
      <w:r>
        <w:rPr>
          <w:rFonts w:ascii="Book Antiqua" w:hAnsi="Book Antiqua"/>
          <w:sz w:val="24"/>
          <w:szCs w:val="24"/>
        </w:rPr>
        <w:t>6.1</w:t>
      </w:r>
      <w:r w:rsidR="00553B68">
        <w:rPr>
          <w:rFonts w:ascii="Book Antiqua" w:hAnsi="Book Antiqua"/>
          <w:sz w:val="24"/>
          <w:szCs w:val="24"/>
        </w:rPr>
        <w:tab/>
        <w:t xml:space="preserve">An application for costs assessment under </w:t>
      </w:r>
      <w:r w:rsidR="00092D7C">
        <w:rPr>
          <w:rFonts w:ascii="Book Antiqua" w:hAnsi="Book Antiqua"/>
          <w:sz w:val="24"/>
          <w:szCs w:val="24"/>
        </w:rPr>
        <w:t xml:space="preserve">the </w:t>
      </w:r>
      <w:r w:rsidR="00553B68">
        <w:rPr>
          <w:rFonts w:ascii="Book Antiqua" w:hAnsi="Book Antiqua"/>
          <w:sz w:val="24"/>
          <w:szCs w:val="24"/>
        </w:rPr>
        <w:t xml:space="preserve">Legal Profession Legislation is to be made in accordance with the applicable jurisdictional legislation. </w:t>
      </w:r>
    </w:p>
    <w:p w14:paraId="037C05D7" w14:textId="77777777" w:rsidR="00553B68" w:rsidRDefault="00553B68" w:rsidP="00852A50">
      <w:pPr>
        <w:pStyle w:val="ListParagraph"/>
        <w:spacing w:before="120" w:after="120"/>
        <w:ind w:hanging="720"/>
        <w:jc w:val="both"/>
        <w:rPr>
          <w:rFonts w:ascii="Book Antiqua" w:hAnsi="Book Antiqua"/>
          <w:sz w:val="24"/>
          <w:szCs w:val="24"/>
        </w:rPr>
      </w:pPr>
    </w:p>
    <w:p w14:paraId="4B43683F" w14:textId="249DEF5F" w:rsidR="00264DF3" w:rsidRDefault="00852A50" w:rsidP="00852A50">
      <w:pPr>
        <w:pStyle w:val="ListParagraph"/>
        <w:spacing w:before="120" w:after="120"/>
        <w:ind w:hanging="720"/>
        <w:jc w:val="both"/>
        <w:rPr>
          <w:rFonts w:ascii="Book Antiqua" w:hAnsi="Book Antiqua"/>
          <w:sz w:val="24"/>
          <w:szCs w:val="24"/>
        </w:rPr>
      </w:pPr>
      <w:r>
        <w:rPr>
          <w:rFonts w:ascii="Book Antiqua" w:hAnsi="Book Antiqua"/>
          <w:sz w:val="24"/>
          <w:szCs w:val="24"/>
        </w:rPr>
        <w:t>6.</w:t>
      </w:r>
      <w:r w:rsidR="009E2EFE">
        <w:rPr>
          <w:rFonts w:ascii="Book Antiqua" w:hAnsi="Book Antiqua"/>
          <w:sz w:val="24"/>
          <w:szCs w:val="24"/>
        </w:rPr>
        <w:t>2</w:t>
      </w:r>
      <w:r>
        <w:rPr>
          <w:rFonts w:ascii="Book Antiqua" w:hAnsi="Book Antiqua"/>
          <w:sz w:val="24"/>
          <w:szCs w:val="24"/>
        </w:rPr>
        <w:tab/>
      </w:r>
      <w:r w:rsidR="00264DF3" w:rsidRPr="00264DF3">
        <w:rPr>
          <w:rFonts w:ascii="Book Antiqua" w:hAnsi="Book Antiqua"/>
          <w:sz w:val="24"/>
          <w:szCs w:val="24"/>
        </w:rPr>
        <w:t xml:space="preserve">Applications to the Costs Court as between law practices and their clients under the Legal Profession Legislation are to be commenced by summons for taxation filed with the Prothonotary: </w:t>
      </w:r>
      <w:proofErr w:type="spellStart"/>
      <w:r w:rsidR="00264DF3" w:rsidRPr="00264DF3">
        <w:rPr>
          <w:rFonts w:ascii="Book Antiqua" w:hAnsi="Book Antiqua"/>
          <w:sz w:val="24"/>
          <w:szCs w:val="24"/>
        </w:rPr>
        <w:t>rr</w:t>
      </w:r>
      <w:proofErr w:type="spellEnd"/>
      <w:r w:rsidR="00264DF3" w:rsidRPr="00264DF3">
        <w:rPr>
          <w:rFonts w:ascii="Book Antiqua" w:hAnsi="Book Antiqua"/>
          <w:sz w:val="24"/>
          <w:szCs w:val="24"/>
        </w:rPr>
        <w:t xml:space="preserve"> 63.38, 63.63.</w:t>
      </w:r>
    </w:p>
    <w:p w14:paraId="1D87EFE4" w14:textId="77777777" w:rsidR="0093391E" w:rsidRDefault="0093391E" w:rsidP="00852A50">
      <w:pPr>
        <w:pStyle w:val="ListParagraph"/>
        <w:spacing w:before="120" w:after="120"/>
        <w:ind w:hanging="720"/>
        <w:jc w:val="both"/>
        <w:rPr>
          <w:rFonts w:ascii="Book Antiqua" w:hAnsi="Book Antiqua"/>
          <w:sz w:val="24"/>
          <w:szCs w:val="24"/>
        </w:rPr>
      </w:pPr>
    </w:p>
    <w:p w14:paraId="35179990" w14:textId="2B134698" w:rsidR="00264DF3" w:rsidRPr="0093391E" w:rsidRDefault="00264DF3" w:rsidP="00852A50">
      <w:pPr>
        <w:pStyle w:val="ListParagraph"/>
        <w:spacing w:before="120" w:after="120"/>
        <w:ind w:hanging="720"/>
        <w:jc w:val="both"/>
        <w:rPr>
          <w:rFonts w:ascii="Book Antiqua" w:hAnsi="Book Antiqua"/>
          <w:b/>
          <w:bCs/>
          <w:i/>
          <w:iCs/>
          <w:sz w:val="24"/>
          <w:szCs w:val="24"/>
        </w:rPr>
      </w:pPr>
      <w:r w:rsidRPr="0093391E">
        <w:rPr>
          <w:rFonts w:ascii="Book Antiqua" w:hAnsi="Book Antiqua"/>
          <w:b/>
          <w:bCs/>
          <w:i/>
          <w:iCs/>
          <w:sz w:val="24"/>
          <w:szCs w:val="24"/>
        </w:rPr>
        <w:t>The summons for taxat</w:t>
      </w:r>
      <w:r w:rsidR="0093391E" w:rsidRPr="0093391E">
        <w:rPr>
          <w:rFonts w:ascii="Book Antiqua" w:hAnsi="Book Antiqua"/>
          <w:b/>
          <w:bCs/>
          <w:i/>
          <w:iCs/>
          <w:sz w:val="24"/>
          <w:szCs w:val="24"/>
        </w:rPr>
        <w:t>ion</w:t>
      </w:r>
    </w:p>
    <w:p w14:paraId="5F5DC31E" w14:textId="77777777" w:rsidR="0093391E" w:rsidRDefault="0093391E" w:rsidP="00852A50">
      <w:pPr>
        <w:pStyle w:val="ListParagraph"/>
        <w:spacing w:before="120" w:after="120"/>
        <w:ind w:hanging="720"/>
        <w:jc w:val="both"/>
        <w:rPr>
          <w:rFonts w:ascii="Book Antiqua" w:hAnsi="Book Antiqua"/>
          <w:sz w:val="24"/>
          <w:szCs w:val="24"/>
        </w:rPr>
      </w:pPr>
    </w:p>
    <w:p w14:paraId="17635F7B" w14:textId="59F4C875" w:rsidR="00853384" w:rsidRPr="00853384" w:rsidRDefault="00FE1C71" w:rsidP="00853384">
      <w:pPr>
        <w:spacing w:after="120"/>
        <w:ind w:left="720" w:hanging="720"/>
        <w:rPr>
          <w:rFonts w:ascii="Book Antiqua" w:hAnsi="Book Antiqua"/>
        </w:rPr>
      </w:pPr>
      <w:r>
        <w:rPr>
          <w:rFonts w:ascii="Book Antiqua" w:hAnsi="Book Antiqua"/>
        </w:rPr>
        <w:t>6.</w:t>
      </w:r>
      <w:r w:rsidR="009E2EFE">
        <w:rPr>
          <w:rFonts w:ascii="Book Antiqua" w:hAnsi="Book Antiqua"/>
        </w:rPr>
        <w:t>3</w:t>
      </w:r>
      <w:r>
        <w:rPr>
          <w:rFonts w:ascii="Book Antiqua" w:hAnsi="Book Antiqua"/>
        </w:rPr>
        <w:tab/>
      </w:r>
      <w:r w:rsidR="00853384" w:rsidRPr="00853384">
        <w:rPr>
          <w:rFonts w:ascii="Book Antiqua" w:hAnsi="Book Antiqua"/>
        </w:rPr>
        <w:t>The summons for taxation should be headed ‘IN THE MATTER of … section …’ and refer to the relevant section of the applicable Legal Profession Legislation and must clearly identify the costs that the applicant seeks to have taxed.</w:t>
      </w:r>
    </w:p>
    <w:p w14:paraId="5A52B771" w14:textId="1EBB0C25" w:rsidR="00853384" w:rsidRPr="00853384" w:rsidRDefault="00812D81" w:rsidP="00853384">
      <w:pPr>
        <w:spacing w:after="120"/>
        <w:ind w:left="720" w:hanging="720"/>
        <w:rPr>
          <w:rFonts w:ascii="Book Antiqua" w:hAnsi="Book Antiqua"/>
        </w:rPr>
      </w:pPr>
      <w:r>
        <w:rPr>
          <w:rFonts w:ascii="Book Antiqua" w:hAnsi="Book Antiqua"/>
        </w:rPr>
        <w:t>6.</w:t>
      </w:r>
      <w:r w:rsidR="009E2EFE">
        <w:rPr>
          <w:rFonts w:ascii="Book Antiqua" w:hAnsi="Book Antiqua"/>
        </w:rPr>
        <w:t>4</w:t>
      </w:r>
      <w:r w:rsidR="00853384" w:rsidRPr="00853384">
        <w:rPr>
          <w:rFonts w:ascii="Book Antiqua" w:hAnsi="Book Antiqua"/>
        </w:rPr>
        <w:tab/>
        <w:t xml:space="preserve">Before filing or serving the summons for taxation, the applicant must complete the Legal Profession Legislation Taxation Information Form (Annexure C) and email it to </w:t>
      </w:r>
      <w:hyperlink r:id="rId19" w:history="1">
        <w:r w:rsidR="00B93E0A" w:rsidRPr="003F07DB">
          <w:rPr>
            <w:rStyle w:val="Hyperlink"/>
            <w:rFonts w:ascii="Book Antiqua" w:hAnsi="Book Antiqua"/>
          </w:rPr>
          <w:t>costs.court@supcourt.vic.gov.au</w:t>
        </w:r>
      </w:hyperlink>
      <w:r w:rsidR="00B93E0A">
        <w:rPr>
          <w:rFonts w:ascii="Book Antiqua" w:hAnsi="Book Antiqua"/>
        </w:rPr>
        <w:t xml:space="preserve"> </w:t>
      </w:r>
      <w:r w:rsidR="00853384" w:rsidRPr="00853384">
        <w:rPr>
          <w:rFonts w:ascii="Book Antiqua" w:hAnsi="Book Antiqua"/>
        </w:rPr>
        <w:t xml:space="preserve">.  </w:t>
      </w:r>
    </w:p>
    <w:p w14:paraId="32544803" w14:textId="08CDA08A" w:rsidR="00853384" w:rsidRPr="00853384" w:rsidRDefault="00812D81" w:rsidP="00853384">
      <w:pPr>
        <w:spacing w:after="120"/>
        <w:ind w:left="720" w:hanging="720"/>
        <w:rPr>
          <w:rFonts w:ascii="Book Antiqua" w:hAnsi="Book Antiqua"/>
        </w:rPr>
      </w:pPr>
      <w:r>
        <w:rPr>
          <w:rFonts w:ascii="Book Antiqua" w:hAnsi="Book Antiqua"/>
        </w:rPr>
        <w:t>6.</w:t>
      </w:r>
      <w:r w:rsidR="009E2EFE">
        <w:rPr>
          <w:rFonts w:ascii="Book Antiqua" w:hAnsi="Book Antiqua"/>
        </w:rPr>
        <w:t>5</w:t>
      </w:r>
      <w:r w:rsidR="00853384" w:rsidRPr="00853384">
        <w:rPr>
          <w:rFonts w:ascii="Book Antiqua" w:hAnsi="Book Antiqua"/>
        </w:rPr>
        <w:tab/>
        <w:t xml:space="preserve">The Costs Court will send an email to the applicant allocating a </w:t>
      </w:r>
      <w:proofErr w:type="gramStart"/>
      <w:r w:rsidR="00853384" w:rsidRPr="00853384">
        <w:rPr>
          <w:rFonts w:ascii="Book Antiqua" w:hAnsi="Book Antiqua"/>
        </w:rPr>
        <w:t>directions</w:t>
      </w:r>
      <w:proofErr w:type="gramEnd"/>
      <w:r w:rsidR="00853384" w:rsidRPr="00853384">
        <w:rPr>
          <w:rFonts w:ascii="Book Antiqua" w:hAnsi="Book Antiqua"/>
        </w:rPr>
        <w:t xml:space="preserve"> hearing date. This date must be entered in the summons for taxation. </w:t>
      </w:r>
    </w:p>
    <w:p w14:paraId="665B6C63" w14:textId="0365421B" w:rsidR="00853384" w:rsidRPr="00853384" w:rsidRDefault="00812D81" w:rsidP="00853384">
      <w:pPr>
        <w:spacing w:after="120"/>
        <w:ind w:left="720" w:hanging="720"/>
        <w:rPr>
          <w:rFonts w:ascii="Book Antiqua" w:hAnsi="Book Antiqua"/>
        </w:rPr>
      </w:pPr>
      <w:r>
        <w:rPr>
          <w:rFonts w:ascii="Book Antiqua" w:hAnsi="Book Antiqua"/>
        </w:rPr>
        <w:t>6</w:t>
      </w:r>
      <w:r w:rsidR="00853384" w:rsidRPr="00853384">
        <w:rPr>
          <w:rFonts w:ascii="Book Antiqua" w:hAnsi="Book Antiqua"/>
        </w:rPr>
        <w:t>.</w:t>
      </w:r>
      <w:r w:rsidR="009E2EFE">
        <w:rPr>
          <w:rFonts w:ascii="Book Antiqua" w:hAnsi="Book Antiqua"/>
        </w:rPr>
        <w:t>6</w:t>
      </w:r>
      <w:r w:rsidR="00853384" w:rsidRPr="00853384">
        <w:rPr>
          <w:rFonts w:ascii="Book Antiqua" w:hAnsi="Book Antiqua"/>
        </w:rPr>
        <w:tab/>
        <w:t xml:space="preserve">The applicant must file the completed summons in RedCrest, together with copies of the completed Legal Profession Legislation Taxation Information Form, the email from the Costs Court and the law practice’s bills/invoices. </w:t>
      </w:r>
      <w:r w:rsidR="005164D8" w:rsidRPr="00E50A84">
        <w:rPr>
          <w:rFonts w:ascii="Book Antiqua" w:hAnsi="Book Antiqua"/>
        </w:rPr>
        <w:t xml:space="preserve">Where multiple invoices are filed, a schedule of invoices must be provided </w:t>
      </w:r>
      <w:r w:rsidR="005164D8" w:rsidRPr="00E50A84">
        <w:rPr>
          <w:rFonts w:ascii="Book Antiqua" w:hAnsi="Book Antiqua"/>
        </w:rPr>
        <w:lastRenderedPageBreak/>
        <w:t xml:space="preserve">with columns setting out the date of the invoice, the invoice number, professional fees, disbursements, the total amount for each invoice and the total amount for each column. </w:t>
      </w:r>
      <w:r w:rsidR="00853384" w:rsidRPr="00E50A84">
        <w:rPr>
          <w:rFonts w:ascii="Book Antiqua" w:hAnsi="Book Antiqua"/>
        </w:rPr>
        <w:t xml:space="preserve">Once those documents have been accepted, </w:t>
      </w:r>
      <w:r w:rsidR="00853384" w:rsidRPr="00853384">
        <w:rPr>
          <w:rFonts w:ascii="Book Antiqua" w:hAnsi="Book Antiqua"/>
        </w:rPr>
        <w:t xml:space="preserve">sealed copies of the documents will be available for download. </w:t>
      </w:r>
    </w:p>
    <w:p w14:paraId="5C59EEE0" w14:textId="63676423" w:rsidR="00853384" w:rsidRPr="00812D81" w:rsidRDefault="00853384" w:rsidP="00853384">
      <w:pPr>
        <w:spacing w:after="120"/>
        <w:ind w:left="720" w:hanging="720"/>
        <w:rPr>
          <w:rFonts w:ascii="Book Antiqua" w:hAnsi="Book Antiqua"/>
          <w:b/>
          <w:bCs/>
          <w:i/>
          <w:iCs/>
        </w:rPr>
      </w:pPr>
      <w:r w:rsidRPr="00812D81">
        <w:rPr>
          <w:rFonts w:ascii="Book Antiqua" w:hAnsi="Book Antiqua"/>
          <w:b/>
          <w:bCs/>
          <w:i/>
          <w:iCs/>
        </w:rPr>
        <w:t xml:space="preserve">Directions </w:t>
      </w:r>
      <w:r w:rsidR="008B2FFC">
        <w:rPr>
          <w:rFonts w:ascii="Book Antiqua" w:hAnsi="Book Antiqua"/>
          <w:b/>
          <w:bCs/>
          <w:i/>
          <w:iCs/>
        </w:rPr>
        <w:t>H</w:t>
      </w:r>
      <w:r w:rsidR="008B2FFC" w:rsidRPr="00812D81">
        <w:rPr>
          <w:rFonts w:ascii="Book Antiqua" w:hAnsi="Book Antiqua"/>
          <w:b/>
          <w:bCs/>
          <w:i/>
          <w:iCs/>
        </w:rPr>
        <w:t>earings</w:t>
      </w:r>
    </w:p>
    <w:p w14:paraId="012DEA36" w14:textId="0598B430" w:rsidR="00853384" w:rsidRPr="00853384" w:rsidRDefault="00812D81" w:rsidP="00853384">
      <w:pPr>
        <w:spacing w:after="120"/>
        <w:ind w:left="720" w:hanging="720"/>
        <w:rPr>
          <w:rFonts w:ascii="Book Antiqua" w:hAnsi="Book Antiqua"/>
        </w:rPr>
      </w:pPr>
      <w:r>
        <w:rPr>
          <w:rFonts w:ascii="Book Antiqua" w:hAnsi="Book Antiqua"/>
        </w:rPr>
        <w:t>6.</w:t>
      </w:r>
      <w:r w:rsidR="009E2EFE">
        <w:rPr>
          <w:rFonts w:ascii="Book Antiqua" w:hAnsi="Book Antiqua"/>
        </w:rPr>
        <w:t>7</w:t>
      </w:r>
      <w:r w:rsidR="00853384" w:rsidRPr="00853384">
        <w:rPr>
          <w:rFonts w:ascii="Book Antiqua" w:hAnsi="Book Antiqua"/>
        </w:rPr>
        <w:tab/>
        <w:t>All solicitor/client summonses are listed for directions hearings. Cost</w:t>
      </w:r>
      <w:r w:rsidR="00513722">
        <w:rPr>
          <w:rFonts w:ascii="Book Antiqua" w:hAnsi="Book Antiqua"/>
        </w:rPr>
        <w:t>s</w:t>
      </w:r>
      <w:r w:rsidR="00853384" w:rsidRPr="00853384">
        <w:rPr>
          <w:rFonts w:ascii="Book Antiqua" w:hAnsi="Book Antiqua"/>
        </w:rPr>
        <w:t xml:space="preserve"> Court directions hearings are held on the first Tuesday of every month. </w:t>
      </w:r>
    </w:p>
    <w:p w14:paraId="597EBD22" w14:textId="4E455966" w:rsidR="00853384" w:rsidRPr="00853384" w:rsidRDefault="00812D81" w:rsidP="00853384">
      <w:pPr>
        <w:spacing w:after="120"/>
        <w:ind w:left="720" w:hanging="720"/>
        <w:rPr>
          <w:rFonts w:ascii="Book Antiqua" w:hAnsi="Book Antiqua"/>
        </w:rPr>
      </w:pPr>
      <w:r>
        <w:rPr>
          <w:rFonts w:ascii="Book Antiqua" w:hAnsi="Book Antiqua"/>
        </w:rPr>
        <w:t>6.</w:t>
      </w:r>
      <w:r w:rsidR="009E2EFE">
        <w:rPr>
          <w:rFonts w:ascii="Book Antiqua" w:hAnsi="Book Antiqua"/>
        </w:rPr>
        <w:t>8</w:t>
      </w:r>
      <w:r w:rsidR="00853384" w:rsidRPr="00853384">
        <w:rPr>
          <w:rFonts w:ascii="Book Antiqua" w:hAnsi="Book Antiqua"/>
        </w:rPr>
        <w:tab/>
        <w:t xml:space="preserve">Where possible, minutes of proposed consent orders for directions should be exchanged between the parties and, once signed by all parties, forwarded to the Costs Court email address: </w:t>
      </w:r>
      <w:hyperlink r:id="rId20" w:history="1">
        <w:r w:rsidR="00B93E0A" w:rsidRPr="003F07DB">
          <w:rPr>
            <w:rStyle w:val="Hyperlink"/>
            <w:rFonts w:ascii="Book Antiqua" w:hAnsi="Book Antiqua"/>
          </w:rPr>
          <w:t>costs.court@supcourt.vic.gov.au</w:t>
        </w:r>
      </w:hyperlink>
      <w:r w:rsidR="00B93E0A">
        <w:rPr>
          <w:rFonts w:ascii="Book Antiqua" w:hAnsi="Book Antiqua"/>
        </w:rPr>
        <w:t xml:space="preserve"> </w:t>
      </w:r>
      <w:r w:rsidR="00853384" w:rsidRPr="00853384">
        <w:rPr>
          <w:rFonts w:ascii="Book Antiqua" w:hAnsi="Book Antiqua"/>
        </w:rPr>
        <w:t xml:space="preserve">. </w:t>
      </w:r>
    </w:p>
    <w:p w14:paraId="6E2A9EF0" w14:textId="55836E3A" w:rsidR="00853384" w:rsidRPr="00853384" w:rsidRDefault="00812D81" w:rsidP="00853384">
      <w:pPr>
        <w:spacing w:after="120"/>
        <w:ind w:left="720" w:hanging="720"/>
        <w:rPr>
          <w:rFonts w:ascii="Book Antiqua" w:hAnsi="Book Antiqua"/>
        </w:rPr>
      </w:pPr>
      <w:r>
        <w:rPr>
          <w:rFonts w:ascii="Book Antiqua" w:hAnsi="Book Antiqua"/>
        </w:rPr>
        <w:t>6.</w:t>
      </w:r>
      <w:r w:rsidR="009E2EFE">
        <w:rPr>
          <w:rFonts w:ascii="Book Antiqua" w:hAnsi="Book Antiqua"/>
        </w:rPr>
        <w:t>9</w:t>
      </w:r>
      <w:r w:rsidR="00853384" w:rsidRPr="00853384">
        <w:rPr>
          <w:rFonts w:ascii="Book Antiqua" w:hAnsi="Book Antiqua"/>
        </w:rPr>
        <w:tab/>
        <w:t>Parties must advise the Costs Court of contact details (phone number, email address and any other necessary details) of one person who is fully briefed and authorised to attend.</w:t>
      </w:r>
    </w:p>
    <w:p w14:paraId="74203D78" w14:textId="2E288E8C" w:rsidR="00853384" w:rsidRPr="00853384" w:rsidRDefault="0097214D" w:rsidP="00853384">
      <w:pPr>
        <w:spacing w:after="120"/>
        <w:ind w:left="720" w:hanging="720"/>
        <w:rPr>
          <w:rFonts w:ascii="Book Antiqua" w:hAnsi="Book Antiqua"/>
        </w:rPr>
      </w:pPr>
      <w:r>
        <w:rPr>
          <w:rFonts w:ascii="Book Antiqua" w:hAnsi="Book Antiqua"/>
        </w:rPr>
        <w:t>6.</w:t>
      </w:r>
      <w:r w:rsidR="009E2EFE">
        <w:rPr>
          <w:rFonts w:ascii="Book Antiqua" w:hAnsi="Book Antiqua"/>
        </w:rPr>
        <w:t>10</w:t>
      </w:r>
      <w:r w:rsidR="00853384" w:rsidRPr="00853384">
        <w:rPr>
          <w:rFonts w:ascii="Book Antiqua" w:hAnsi="Book Antiqua"/>
        </w:rPr>
        <w:tab/>
        <w:t>At the directions hearing, the costs assessor will decide whether the matter should be set down for mediation, for an assessment in chambers or for taxation.  The costs assessor will ordinarily make orders requiring the law practice to file and serve:</w:t>
      </w:r>
    </w:p>
    <w:p w14:paraId="13E30E2C" w14:textId="107974E0" w:rsidR="00853384" w:rsidRPr="00853384" w:rsidRDefault="00853384" w:rsidP="0097214D">
      <w:pPr>
        <w:spacing w:after="120"/>
        <w:ind w:left="1440" w:hanging="720"/>
        <w:rPr>
          <w:rFonts w:ascii="Book Antiqua" w:hAnsi="Book Antiqua"/>
        </w:rPr>
      </w:pPr>
      <w:r w:rsidRPr="00853384">
        <w:rPr>
          <w:rFonts w:ascii="Book Antiqua" w:hAnsi="Book Antiqua"/>
        </w:rPr>
        <w:t>(a)</w:t>
      </w:r>
      <w:r w:rsidRPr="00853384">
        <w:rPr>
          <w:rFonts w:ascii="Book Antiqua" w:hAnsi="Book Antiqua"/>
        </w:rPr>
        <w:tab/>
        <w:t xml:space="preserve">in cases where only lump sum bills have been filed, or where any invoices filed lack sufficient detail to be taxed – an itemised bill of </w:t>
      </w:r>
      <w:proofErr w:type="gramStart"/>
      <w:r w:rsidRPr="00853384">
        <w:rPr>
          <w:rFonts w:ascii="Book Antiqua" w:hAnsi="Book Antiqua"/>
        </w:rPr>
        <w:t>costs</w:t>
      </w:r>
      <w:r w:rsidR="00282843">
        <w:rPr>
          <w:rFonts w:ascii="Book Antiqua" w:hAnsi="Book Antiqua"/>
        </w:rPr>
        <w:t>;</w:t>
      </w:r>
      <w:proofErr w:type="gramEnd"/>
      <w:r w:rsidRPr="00853384">
        <w:rPr>
          <w:rFonts w:ascii="Book Antiqua" w:hAnsi="Book Antiqua"/>
        </w:rPr>
        <w:t xml:space="preserve"> </w:t>
      </w:r>
    </w:p>
    <w:p w14:paraId="08A35EEB" w14:textId="77777777" w:rsidR="00853384" w:rsidRPr="00853384" w:rsidRDefault="00853384" w:rsidP="0097214D">
      <w:pPr>
        <w:spacing w:after="120"/>
        <w:ind w:left="1440" w:hanging="720"/>
        <w:rPr>
          <w:rFonts w:ascii="Book Antiqua" w:hAnsi="Book Antiqua"/>
        </w:rPr>
      </w:pPr>
      <w:r w:rsidRPr="00853384">
        <w:rPr>
          <w:rFonts w:ascii="Book Antiqua" w:hAnsi="Book Antiqua"/>
        </w:rPr>
        <w:t>(b)</w:t>
      </w:r>
      <w:r w:rsidRPr="00853384">
        <w:rPr>
          <w:rFonts w:ascii="Book Antiqua" w:hAnsi="Book Antiqua"/>
        </w:rPr>
        <w:tab/>
        <w:t>all costs agreements and costs disclosure statements given to the client upon which the law practice seeks to rely; and</w:t>
      </w:r>
    </w:p>
    <w:p w14:paraId="7E7D01EF" w14:textId="77777777" w:rsidR="00853384" w:rsidRPr="00853384" w:rsidRDefault="00853384" w:rsidP="0097214D">
      <w:pPr>
        <w:spacing w:after="120"/>
        <w:ind w:left="1440" w:hanging="720"/>
        <w:rPr>
          <w:rFonts w:ascii="Book Antiqua" w:hAnsi="Book Antiqua"/>
        </w:rPr>
      </w:pPr>
      <w:r w:rsidRPr="00853384">
        <w:rPr>
          <w:rFonts w:ascii="Book Antiqua" w:hAnsi="Book Antiqua"/>
        </w:rPr>
        <w:t>(c)</w:t>
      </w:r>
      <w:r w:rsidRPr="00853384">
        <w:rPr>
          <w:rFonts w:ascii="Book Antiqua" w:hAnsi="Book Antiqua"/>
        </w:rPr>
        <w:tab/>
        <w:t>a copy of the cash account.</w:t>
      </w:r>
    </w:p>
    <w:p w14:paraId="2E7881AB" w14:textId="64F164C7" w:rsidR="006A7D82" w:rsidRDefault="006A7D82" w:rsidP="006A7D82">
      <w:pPr>
        <w:spacing w:before="120" w:after="120"/>
        <w:ind w:left="720" w:hanging="720"/>
        <w:jc w:val="both"/>
        <w:rPr>
          <w:rFonts w:ascii="Book Antiqua" w:hAnsi="Book Antiqua"/>
        </w:rPr>
      </w:pPr>
      <w:r>
        <w:rPr>
          <w:rFonts w:ascii="Book Antiqua" w:hAnsi="Book Antiqua"/>
        </w:rPr>
        <w:t>6.1</w:t>
      </w:r>
      <w:r w:rsidR="009E2EFE">
        <w:rPr>
          <w:rFonts w:ascii="Book Antiqua" w:hAnsi="Book Antiqua"/>
        </w:rPr>
        <w:t>1</w:t>
      </w:r>
      <w:r>
        <w:rPr>
          <w:rFonts w:ascii="Book Antiqua" w:hAnsi="Book Antiqua"/>
        </w:rPr>
        <w:tab/>
      </w:r>
      <w:r w:rsidRPr="00DA03EB">
        <w:rPr>
          <w:rFonts w:ascii="Book Antiqua" w:hAnsi="Book Antiqua"/>
        </w:rPr>
        <w:t xml:space="preserve">The Costs Court </w:t>
      </w:r>
      <w:r w:rsidR="001951D1">
        <w:rPr>
          <w:rFonts w:ascii="Book Antiqua" w:hAnsi="Book Antiqua"/>
        </w:rPr>
        <w:t xml:space="preserve">will </w:t>
      </w:r>
      <w:r>
        <w:rPr>
          <w:rFonts w:ascii="Book Antiqua" w:hAnsi="Book Antiqua"/>
        </w:rPr>
        <w:t xml:space="preserve">prioritise procedures </w:t>
      </w:r>
      <w:r w:rsidR="001951D1">
        <w:rPr>
          <w:rFonts w:ascii="Book Antiqua" w:hAnsi="Book Antiqua"/>
        </w:rPr>
        <w:t>to</w:t>
      </w:r>
      <w:r>
        <w:rPr>
          <w:rFonts w:ascii="Book Antiqua" w:hAnsi="Book Antiqua"/>
        </w:rPr>
        <w:t xml:space="preserve"> </w:t>
      </w:r>
      <w:r w:rsidRPr="00DA03EB">
        <w:rPr>
          <w:rFonts w:ascii="Book Antiqua" w:hAnsi="Book Antiqua"/>
        </w:rPr>
        <w:t xml:space="preserve">deal with </w:t>
      </w:r>
      <w:r>
        <w:rPr>
          <w:rFonts w:ascii="Book Antiqua" w:hAnsi="Book Antiqua"/>
        </w:rPr>
        <w:t xml:space="preserve">solicitor/client </w:t>
      </w:r>
      <w:r w:rsidRPr="00DA03EB">
        <w:rPr>
          <w:rFonts w:ascii="Book Antiqua" w:hAnsi="Book Antiqua"/>
        </w:rPr>
        <w:t>costs disputes</w:t>
      </w:r>
      <w:r>
        <w:rPr>
          <w:rFonts w:ascii="Book Antiqua" w:hAnsi="Book Antiqua"/>
        </w:rPr>
        <w:t xml:space="preserve"> as follows</w:t>
      </w:r>
      <w:r w:rsidRPr="00DA03EB">
        <w:rPr>
          <w:rFonts w:ascii="Book Antiqua" w:hAnsi="Book Antiqua"/>
        </w:rPr>
        <w:t xml:space="preserve">: </w:t>
      </w:r>
    </w:p>
    <w:p w14:paraId="601349C5" w14:textId="013D337E" w:rsidR="006A7D82" w:rsidRPr="00D85AD2" w:rsidRDefault="006A7D82" w:rsidP="006A7D82">
      <w:pPr>
        <w:spacing w:before="120" w:after="120"/>
        <w:ind w:left="1440" w:hanging="720"/>
        <w:jc w:val="both"/>
        <w:rPr>
          <w:rFonts w:ascii="Book Antiqua" w:hAnsi="Book Antiqua"/>
        </w:rPr>
      </w:pPr>
      <w:r w:rsidRPr="00D85AD2">
        <w:rPr>
          <w:rFonts w:ascii="Book Antiqua" w:hAnsi="Book Antiqua"/>
        </w:rPr>
        <w:t>(a)</w:t>
      </w:r>
      <w:r w:rsidRPr="00D85AD2">
        <w:rPr>
          <w:rFonts w:ascii="Book Antiqua" w:hAnsi="Book Antiqua"/>
        </w:rPr>
        <w:tab/>
        <w:t>Mediations</w:t>
      </w:r>
      <w:r w:rsidR="00B838D6">
        <w:rPr>
          <w:rFonts w:ascii="Book Antiqua" w:hAnsi="Book Antiqua"/>
        </w:rPr>
        <w:t>,</w:t>
      </w:r>
    </w:p>
    <w:p w14:paraId="5F0203CC" w14:textId="77777777" w:rsidR="006A7D82" w:rsidRPr="00D85AD2" w:rsidRDefault="006A7D82" w:rsidP="006A7D82">
      <w:pPr>
        <w:spacing w:before="120" w:after="120"/>
        <w:ind w:left="1440" w:hanging="720"/>
        <w:jc w:val="both"/>
        <w:rPr>
          <w:rFonts w:ascii="Book Antiqua" w:hAnsi="Book Antiqua"/>
        </w:rPr>
      </w:pPr>
      <w:r w:rsidRPr="00D85AD2">
        <w:rPr>
          <w:rFonts w:ascii="Book Antiqua" w:hAnsi="Book Antiqua"/>
        </w:rPr>
        <w:t>(b)</w:t>
      </w:r>
      <w:r w:rsidRPr="00D85AD2">
        <w:rPr>
          <w:rFonts w:ascii="Book Antiqua" w:hAnsi="Book Antiqua"/>
        </w:rPr>
        <w:tab/>
        <w:t xml:space="preserve">Assessments in chambers, pursuant to Part 8 of Order 63 of the </w:t>
      </w:r>
      <w:r w:rsidRPr="00FC2B7E">
        <w:rPr>
          <w:rFonts w:ascii="Book Antiqua" w:hAnsi="Book Antiqua"/>
          <w:i/>
          <w:iCs/>
        </w:rPr>
        <w:t>Rules</w:t>
      </w:r>
      <w:r w:rsidRPr="00D85AD2">
        <w:rPr>
          <w:rFonts w:ascii="Book Antiqua" w:hAnsi="Book Antiqua"/>
        </w:rPr>
        <w:t xml:space="preserve">, </w:t>
      </w:r>
    </w:p>
    <w:p w14:paraId="6B58A543" w14:textId="77777777" w:rsidR="006A7D82" w:rsidRDefault="006A7D82" w:rsidP="006A7D82">
      <w:pPr>
        <w:spacing w:before="120" w:after="120"/>
        <w:ind w:left="1440" w:hanging="720"/>
        <w:jc w:val="both"/>
        <w:rPr>
          <w:rFonts w:ascii="Book Antiqua" w:hAnsi="Book Antiqua"/>
        </w:rPr>
      </w:pPr>
      <w:r w:rsidRPr="00D85AD2">
        <w:rPr>
          <w:rFonts w:ascii="Book Antiqua" w:hAnsi="Book Antiqua"/>
        </w:rPr>
        <w:t>(d)</w:t>
      </w:r>
      <w:r w:rsidRPr="00D85AD2">
        <w:rPr>
          <w:rFonts w:ascii="Book Antiqua" w:hAnsi="Book Antiqua"/>
        </w:rPr>
        <w:tab/>
        <w:t>Taxations</w:t>
      </w:r>
      <w:r>
        <w:rPr>
          <w:rFonts w:ascii="Book Antiqua" w:hAnsi="Book Antiqua"/>
        </w:rPr>
        <w:t>.</w:t>
      </w:r>
    </w:p>
    <w:p w14:paraId="2A0A76C4" w14:textId="1BB410EB" w:rsidR="001951D1" w:rsidRPr="00D85AD2" w:rsidRDefault="001951D1" w:rsidP="0004620A">
      <w:pPr>
        <w:spacing w:before="120" w:after="120"/>
        <w:ind w:left="720" w:hanging="720"/>
        <w:jc w:val="both"/>
        <w:rPr>
          <w:rFonts w:ascii="Book Antiqua" w:hAnsi="Book Antiqua"/>
        </w:rPr>
      </w:pPr>
      <w:r>
        <w:rPr>
          <w:rFonts w:ascii="Book Antiqua" w:hAnsi="Book Antiqua"/>
        </w:rPr>
        <w:t>6.1</w:t>
      </w:r>
      <w:r w:rsidR="009E2EFE">
        <w:rPr>
          <w:rFonts w:ascii="Book Antiqua" w:hAnsi="Book Antiqua"/>
        </w:rPr>
        <w:t>2</w:t>
      </w:r>
      <w:r>
        <w:rPr>
          <w:rFonts w:ascii="Book Antiqua" w:hAnsi="Book Antiqua"/>
        </w:rPr>
        <w:tab/>
        <w:t>Orders to facilitate the</w:t>
      </w:r>
      <w:r w:rsidR="00F313F7">
        <w:rPr>
          <w:rFonts w:ascii="Book Antiqua" w:hAnsi="Book Antiqua"/>
        </w:rPr>
        <w:t>se procedures will be made at the directions hearing</w:t>
      </w:r>
      <w:r w:rsidR="008B2FFC">
        <w:rPr>
          <w:rFonts w:ascii="Book Antiqua" w:hAnsi="Book Antiqua"/>
        </w:rPr>
        <w:t>. Parties should note that to th</w:t>
      </w:r>
      <w:r w:rsidR="00513722">
        <w:rPr>
          <w:rFonts w:ascii="Book Antiqua" w:hAnsi="Book Antiqua"/>
        </w:rPr>
        <w:t>e</w:t>
      </w:r>
      <w:r w:rsidR="008B2FFC">
        <w:rPr>
          <w:rFonts w:ascii="Book Antiqua" w:hAnsi="Book Antiqua"/>
        </w:rPr>
        <w:t xml:space="preserve"> </w:t>
      </w:r>
      <w:r w:rsidR="00F313F7">
        <w:rPr>
          <w:rFonts w:ascii="Book Antiqua" w:hAnsi="Book Antiqua"/>
        </w:rPr>
        <w:t xml:space="preserve">extent that they are applicable, the </w:t>
      </w:r>
      <w:r w:rsidR="009E4A6C">
        <w:rPr>
          <w:rFonts w:ascii="Book Antiqua" w:hAnsi="Book Antiqua"/>
        </w:rPr>
        <w:t xml:space="preserve">procedures and guidance referred to </w:t>
      </w:r>
      <w:r w:rsidR="004D7CE0">
        <w:rPr>
          <w:rFonts w:ascii="Book Antiqua" w:hAnsi="Book Antiqua"/>
        </w:rPr>
        <w:t xml:space="preserve">above relating to </w:t>
      </w:r>
      <w:r w:rsidR="003216D4">
        <w:rPr>
          <w:rFonts w:ascii="Book Antiqua" w:hAnsi="Book Antiqua"/>
        </w:rPr>
        <w:t>mediations</w:t>
      </w:r>
      <w:r w:rsidR="00F313F7">
        <w:rPr>
          <w:rFonts w:ascii="Book Antiqua" w:hAnsi="Book Antiqua"/>
        </w:rPr>
        <w:t xml:space="preserve">, </w:t>
      </w:r>
      <w:r w:rsidR="008B2FFC">
        <w:rPr>
          <w:rFonts w:ascii="Book Antiqua" w:hAnsi="Book Antiqua"/>
        </w:rPr>
        <w:t xml:space="preserve">assessments in chambers and </w:t>
      </w:r>
      <w:r w:rsidR="00901C11">
        <w:rPr>
          <w:rFonts w:ascii="Book Antiqua" w:hAnsi="Book Antiqua"/>
        </w:rPr>
        <w:t>taxation</w:t>
      </w:r>
      <w:r w:rsidR="003216D4">
        <w:rPr>
          <w:rFonts w:ascii="Book Antiqua" w:hAnsi="Book Antiqua"/>
        </w:rPr>
        <w:t>s in party/party d</w:t>
      </w:r>
      <w:r w:rsidR="003D3638">
        <w:rPr>
          <w:rFonts w:ascii="Book Antiqua" w:hAnsi="Book Antiqua"/>
        </w:rPr>
        <w:t>isputes</w:t>
      </w:r>
      <w:r w:rsidR="008B2FFC">
        <w:rPr>
          <w:rFonts w:ascii="Book Antiqua" w:hAnsi="Book Antiqua"/>
        </w:rPr>
        <w:t xml:space="preserve"> are equally applicable</w:t>
      </w:r>
      <w:r w:rsidR="00394483">
        <w:rPr>
          <w:rFonts w:ascii="Book Antiqua" w:hAnsi="Book Antiqua"/>
        </w:rPr>
        <w:t xml:space="preserve"> to solicitor/client disputes.</w:t>
      </w:r>
      <w:r w:rsidR="008B2FFC">
        <w:rPr>
          <w:rFonts w:ascii="Book Antiqua" w:hAnsi="Book Antiqua"/>
        </w:rPr>
        <w:t xml:space="preserve"> </w:t>
      </w:r>
      <w:r w:rsidR="00F313F7">
        <w:rPr>
          <w:rFonts w:ascii="Book Antiqua" w:hAnsi="Book Antiqua"/>
        </w:rPr>
        <w:t xml:space="preserve"> </w:t>
      </w:r>
    </w:p>
    <w:p w14:paraId="271A2AC6" w14:textId="2DC2BA9A" w:rsidR="00853384" w:rsidRPr="0097214D" w:rsidRDefault="00853384" w:rsidP="00853384">
      <w:pPr>
        <w:spacing w:after="120"/>
        <w:ind w:left="720" w:hanging="720"/>
        <w:rPr>
          <w:rFonts w:ascii="Book Antiqua" w:hAnsi="Book Antiqua"/>
          <w:b/>
          <w:bCs/>
          <w:i/>
          <w:iCs/>
        </w:rPr>
      </w:pPr>
      <w:r w:rsidRPr="0097214D">
        <w:rPr>
          <w:rFonts w:ascii="Book Antiqua" w:hAnsi="Book Antiqua"/>
          <w:b/>
          <w:bCs/>
          <w:i/>
          <w:iCs/>
        </w:rPr>
        <w:t>Self-represented litigants</w:t>
      </w:r>
    </w:p>
    <w:p w14:paraId="44238977" w14:textId="65F9CD0D" w:rsidR="00853384" w:rsidRDefault="0097214D" w:rsidP="00853384">
      <w:pPr>
        <w:spacing w:after="120"/>
        <w:ind w:left="720" w:hanging="720"/>
        <w:rPr>
          <w:rFonts w:ascii="Book Antiqua" w:hAnsi="Book Antiqua"/>
        </w:rPr>
      </w:pPr>
      <w:r>
        <w:rPr>
          <w:rFonts w:ascii="Book Antiqua" w:hAnsi="Book Antiqua"/>
        </w:rPr>
        <w:t>6</w:t>
      </w:r>
      <w:r w:rsidR="00853384" w:rsidRPr="00853384">
        <w:rPr>
          <w:rFonts w:ascii="Book Antiqua" w:hAnsi="Book Antiqua"/>
        </w:rPr>
        <w:t>.</w:t>
      </w:r>
      <w:r>
        <w:rPr>
          <w:rFonts w:ascii="Book Antiqua" w:hAnsi="Book Antiqua"/>
        </w:rPr>
        <w:t>1</w:t>
      </w:r>
      <w:r w:rsidR="009E2EFE">
        <w:rPr>
          <w:rFonts w:ascii="Book Antiqua" w:hAnsi="Book Antiqua"/>
        </w:rPr>
        <w:t>3</w:t>
      </w:r>
      <w:r w:rsidR="00853384" w:rsidRPr="00853384">
        <w:rPr>
          <w:rFonts w:ascii="Book Antiqua" w:hAnsi="Book Antiqua"/>
        </w:rPr>
        <w:tab/>
        <w:t>Self-represented litigants should familiarise themselves with the procedures applicable in the Costs Court by reference to the online information brochure titled ‘A Guide to Representing Yourself When Requesting an Assessment of Your Solicitor’s Bill in the Costs Court’. Other resources and contact details are available on the Court’s website.</w:t>
      </w:r>
    </w:p>
    <w:p w14:paraId="718922DF" w14:textId="77777777" w:rsidR="007330B0" w:rsidRDefault="007330B0" w:rsidP="00853384">
      <w:pPr>
        <w:spacing w:after="120"/>
        <w:ind w:left="720" w:hanging="720"/>
        <w:rPr>
          <w:rFonts w:ascii="Book Antiqua" w:hAnsi="Book Antiqua"/>
        </w:rPr>
      </w:pPr>
    </w:p>
    <w:p w14:paraId="6BDBD0AA" w14:textId="58A5BD05" w:rsidR="006C254C" w:rsidRDefault="00FE1C71" w:rsidP="002107A3">
      <w:pPr>
        <w:pStyle w:val="Heading1"/>
        <w:ind w:left="720" w:hanging="720"/>
      </w:pPr>
      <w:r>
        <w:lastRenderedPageBreak/>
        <w:t>7.</w:t>
      </w:r>
      <w:r>
        <w:tab/>
      </w:r>
      <w:r w:rsidR="00853384">
        <w:t>application for review or reconsideration of costs determinations</w:t>
      </w:r>
      <w:r w:rsidR="00DA1779" w:rsidRPr="007D2315">
        <w:t xml:space="preserve"> </w:t>
      </w:r>
    </w:p>
    <w:p w14:paraId="28F4592A" w14:textId="1E56C8BD" w:rsidR="00E45549" w:rsidRDefault="00FE1C71" w:rsidP="00E45549">
      <w:pPr>
        <w:pStyle w:val="ListParagraph"/>
        <w:spacing w:before="120" w:after="120"/>
        <w:ind w:hanging="720"/>
        <w:jc w:val="both"/>
        <w:rPr>
          <w:rFonts w:ascii="Book Antiqua" w:hAnsi="Book Antiqua"/>
          <w:sz w:val="24"/>
          <w:szCs w:val="24"/>
        </w:rPr>
      </w:pPr>
      <w:r>
        <w:rPr>
          <w:rFonts w:ascii="Book Antiqua" w:hAnsi="Book Antiqua"/>
          <w:sz w:val="24"/>
          <w:szCs w:val="24"/>
        </w:rPr>
        <w:t>7.</w:t>
      </w:r>
      <w:r w:rsidR="00594892">
        <w:rPr>
          <w:rFonts w:ascii="Book Antiqua" w:hAnsi="Book Antiqua"/>
          <w:sz w:val="24"/>
          <w:szCs w:val="24"/>
        </w:rPr>
        <w:t>1</w:t>
      </w:r>
      <w:r>
        <w:rPr>
          <w:rFonts w:ascii="Book Antiqua" w:hAnsi="Book Antiqua"/>
          <w:sz w:val="24"/>
          <w:szCs w:val="24"/>
        </w:rPr>
        <w:tab/>
      </w:r>
      <w:r w:rsidR="00594892" w:rsidRPr="00594892">
        <w:rPr>
          <w:rFonts w:ascii="Book Antiqua" w:hAnsi="Book Antiqua"/>
          <w:sz w:val="24"/>
          <w:szCs w:val="24"/>
        </w:rPr>
        <w:t xml:space="preserve">Applications (under s 17H of the </w:t>
      </w:r>
      <w:r w:rsidR="00594892" w:rsidRPr="0097214D">
        <w:rPr>
          <w:rFonts w:ascii="Book Antiqua" w:hAnsi="Book Antiqua"/>
          <w:i/>
          <w:iCs/>
          <w:sz w:val="24"/>
          <w:szCs w:val="24"/>
        </w:rPr>
        <w:t>Supreme Court Act 1986</w:t>
      </w:r>
      <w:r w:rsidR="00594892" w:rsidRPr="00594892">
        <w:rPr>
          <w:rFonts w:ascii="Book Antiqua" w:hAnsi="Book Antiqua"/>
          <w:sz w:val="24"/>
          <w:szCs w:val="24"/>
        </w:rPr>
        <w:t xml:space="preserve"> and r 63.91 of the </w:t>
      </w:r>
      <w:r w:rsidR="00594892" w:rsidRPr="00FC2B7E">
        <w:rPr>
          <w:rFonts w:ascii="Book Antiqua" w:hAnsi="Book Antiqua"/>
          <w:i/>
          <w:iCs/>
          <w:sz w:val="24"/>
          <w:szCs w:val="24"/>
        </w:rPr>
        <w:t xml:space="preserve">Rules </w:t>
      </w:r>
      <w:r w:rsidR="00594892" w:rsidRPr="00594892">
        <w:rPr>
          <w:rFonts w:ascii="Book Antiqua" w:hAnsi="Book Antiqua"/>
          <w:sz w:val="24"/>
          <w:szCs w:val="24"/>
        </w:rPr>
        <w:t xml:space="preserve">or under s 17HA of the </w:t>
      </w:r>
      <w:r w:rsidR="00594892" w:rsidRPr="0097214D">
        <w:rPr>
          <w:rFonts w:ascii="Book Antiqua" w:hAnsi="Book Antiqua"/>
          <w:i/>
          <w:iCs/>
          <w:sz w:val="24"/>
          <w:szCs w:val="24"/>
        </w:rPr>
        <w:t>Supreme Court Act 1986</w:t>
      </w:r>
      <w:r w:rsidR="00594892" w:rsidRPr="00594892">
        <w:rPr>
          <w:rFonts w:ascii="Book Antiqua" w:hAnsi="Book Antiqua"/>
          <w:sz w:val="24"/>
          <w:szCs w:val="24"/>
        </w:rPr>
        <w:t xml:space="preserve"> and r 63.94 of the </w:t>
      </w:r>
      <w:r w:rsidR="00594892" w:rsidRPr="00FC2B7E">
        <w:rPr>
          <w:rFonts w:ascii="Book Antiqua" w:hAnsi="Book Antiqua"/>
          <w:i/>
          <w:iCs/>
          <w:sz w:val="24"/>
          <w:szCs w:val="24"/>
        </w:rPr>
        <w:t>Rules</w:t>
      </w:r>
      <w:r w:rsidR="00594892" w:rsidRPr="00594892">
        <w:rPr>
          <w:rFonts w:ascii="Book Antiqua" w:hAnsi="Book Antiqua"/>
          <w:sz w:val="24"/>
          <w:szCs w:val="24"/>
        </w:rPr>
        <w:t xml:space="preserve">) for the review of costs determinations, and applications (under r 63.93 or r 63.95 of the </w:t>
      </w:r>
      <w:r w:rsidR="00594892" w:rsidRPr="00FC2B7E">
        <w:rPr>
          <w:rFonts w:ascii="Book Antiqua" w:hAnsi="Book Antiqua"/>
          <w:i/>
          <w:iCs/>
          <w:sz w:val="24"/>
          <w:szCs w:val="24"/>
        </w:rPr>
        <w:t>Rules</w:t>
      </w:r>
      <w:r w:rsidR="00594892" w:rsidRPr="00594892">
        <w:rPr>
          <w:rFonts w:ascii="Book Antiqua" w:hAnsi="Book Antiqua"/>
          <w:sz w:val="24"/>
          <w:szCs w:val="24"/>
        </w:rPr>
        <w:t>) for reconsideration of costs determinations, will be listed for directions at 9.30am on the monthly directions day</w:t>
      </w:r>
      <w:r w:rsidR="00E45549">
        <w:rPr>
          <w:rFonts w:ascii="Book Antiqua" w:hAnsi="Book Antiqua"/>
          <w:sz w:val="24"/>
          <w:szCs w:val="24"/>
        </w:rPr>
        <w:t>, unless otherwise advised</w:t>
      </w:r>
      <w:r w:rsidR="00486025">
        <w:rPr>
          <w:rFonts w:ascii="Book Antiqua" w:hAnsi="Book Antiqua"/>
          <w:sz w:val="24"/>
          <w:szCs w:val="24"/>
        </w:rPr>
        <w:t>.</w:t>
      </w:r>
    </w:p>
    <w:p w14:paraId="17BA6ED3" w14:textId="77777777" w:rsidR="00594892" w:rsidRDefault="00594892" w:rsidP="00FE1C71">
      <w:pPr>
        <w:pStyle w:val="ListParagraph"/>
        <w:spacing w:before="120" w:after="120"/>
        <w:ind w:hanging="720"/>
        <w:jc w:val="both"/>
        <w:rPr>
          <w:rFonts w:ascii="Book Antiqua" w:hAnsi="Book Antiqua"/>
          <w:sz w:val="24"/>
          <w:szCs w:val="24"/>
        </w:rPr>
      </w:pPr>
    </w:p>
    <w:p w14:paraId="279FF766" w14:textId="4175721F" w:rsidR="00CE0385" w:rsidRPr="00FD2C6C" w:rsidRDefault="00303C13" w:rsidP="002107A3">
      <w:pPr>
        <w:pStyle w:val="Heading1"/>
        <w:ind w:left="720" w:hanging="720"/>
      </w:pPr>
      <w:r>
        <w:t>8.</w:t>
      </w:r>
      <w:r>
        <w:tab/>
      </w:r>
      <w:r w:rsidR="001C7853" w:rsidRPr="001C7853">
        <w:t>APPLICATIONS BY A LAW PRACTICE FOR COSTS PURSUANT TO s 134</w:t>
      </w:r>
      <w:proofErr w:type="gramStart"/>
      <w:r w:rsidR="001C7853" w:rsidRPr="001C7853">
        <w:t>AB(</w:t>
      </w:r>
      <w:proofErr w:type="gramEnd"/>
      <w:r w:rsidR="001C7853" w:rsidRPr="001C7853">
        <w:t xml:space="preserve">31) OF THE </w:t>
      </w:r>
      <w:r w:rsidR="001C7853" w:rsidRPr="00FC2B7E">
        <w:rPr>
          <w:i/>
          <w:iCs/>
        </w:rPr>
        <w:t>ACCIDENT COMPENSATION ACT 1985</w:t>
      </w:r>
      <w:r w:rsidR="001C7853" w:rsidRPr="001C7853">
        <w:t xml:space="preserve"> OR s 344(7) OF THE </w:t>
      </w:r>
      <w:r w:rsidR="001C7853" w:rsidRPr="00FC2B7E">
        <w:rPr>
          <w:i/>
          <w:iCs/>
        </w:rPr>
        <w:t>WORKPLACE INJURY REHABILITATION AND COMPENSATION ACT 2013</w:t>
      </w:r>
      <w:r w:rsidR="001C7853" w:rsidRPr="001C7853">
        <w:t xml:space="preserve"> FOLLOWING RESOLUTION OR JUDGMENT IN A DAMAGES PROCEEDING </w:t>
      </w:r>
    </w:p>
    <w:p w14:paraId="220ECFBA" w14:textId="70491D1A" w:rsidR="0094600E" w:rsidRPr="0094600E" w:rsidRDefault="00303C13" w:rsidP="00413511">
      <w:pPr>
        <w:spacing w:before="120" w:after="120"/>
        <w:ind w:left="720" w:hanging="720"/>
        <w:jc w:val="both"/>
        <w:rPr>
          <w:rFonts w:ascii="Book Antiqua" w:hAnsi="Book Antiqua"/>
        </w:rPr>
      </w:pPr>
      <w:r>
        <w:rPr>
          <w:rFonts w:ascii="Book Antiqua" w:hAnsi="Book Antiqua"/>
        </w:rPr>
        <w:t>8.1</w:t>
      </w:r>
      <w:r>
        <w:rPr>
          <w:rFonts w:ascii="Book Antiqua" w:hAnsi="Book Antiqua"/>
        </w:rPr>
        <w:tab/>
      </w:r>
      <w:r w:rsidR="0094600E" w:rsidRPr="0094600E">
        <w:rPr>
          <w:rFonts w:ascii="Book Antiqua" w:hAnsi="Book Antiqua"/>
        </w:rPr>
        <w:t xml:space="preserve">Where a law practice is seeking costs pursuant to s 134AB(31) of the </w:t>
      </w:r>
      <w:r w:rsidR="0094600E" w:rsidRPr="0021787F">
        <w:rPr>
          <w:rFonts w:ascii="Book Antiqua" w:hAnsi="Book Antiqua"/>
          <w:i/>
          <w:iCs/>
        </w:rPr>
        <w:t>Accident Compensation Act 1985</w:t>
      </w:r>
      <w:r w:rsidR="0094600E" w:rsidRPr="0094600E">
        <w:rPr>
          <w:rFonts w:ascii="Book Antiqua" w:hAnsi="Book Antiqua"/>
        </w:rPr>
        <w:t xml:space="preserve"> or s 344(7) of the </w:t>
      </w:r>
      <w:r w:rsidR="0094600E" w:rsidRPr="0021787F">
        <w:rPr>
          <w:rFonts w:ascii="Book Antiqua" w:hAnsi="Book Antiqua"/>
          <w:i/>
          <w:iCs/>
        </w:rPr>
        <w:t>Workplace Injury Rehabilitation and Compensation Act 2013</w:t>
      </w:r>
      <w:r w:rsidR="0094600E" w:rsidRPr="0094600E">
        <w:rPr>
          <w:rFonts w:ascii="Book Antiqua" w:hAnsi="Book Antiqua"/>
        </w:rPr>
        <w:t xml:space="preserve"> and has complied with County Court Practice Note PNCLD 2-2016 or paragraph [13] of the Supreme Court Practice Note SC CL 3 (Personal Injuries List), as the case may be, and where the Judge of the relevant Court decides that the claim for costs is to be reviewed by the Costs Court, the following steps will apply: </w:t>
      </w:r>
    </w:p>
    <w:p w14:paraId="2D43D76E" w14:textId="77777777" w:rsidR="0094600E" w:rsidRPr="0094600E" w:rsidRDefault="0094600E" w:rsidP="0097214D">
      <w:pPr>
        <w:pStyle w:val="ListParagraph"/>
        <w:spacing w:before="120" w:after="120"/>
        <w:ind w:left="1440" w:hanging="720"/>
        <w:jc w:val="both"/>
        <w:rPr>
          <w:rFonts w:ascii="Book Antiqua" w:hAnsi="Book Antiqua"/>
          <w:sz w:val="24"/>
          <w:szCs w:val="24"/>
        </w:rPr>
      </w:pPr>
      <w:r w:rsidRPr="0094600E">
        <w:rPr>
          <w:rFonts w:ascii="Book Antiqua" w:hAnsi="Book Antiqua"/>
          <w:sz w:val="24"/>
          <w:szCs w:val="24"/>
        </w:rPr>
        <w:t>(a)</w:t>
      </w:r>
      <w:r w:rsidRPr="0094600E">
        <w:rPr>
          <w:rFonts w:ascii="Book Antiqua" w:hAnsi="Book Antiqua"/>
          <w:sz w:val="24"/>
          <w:szCs w:val="24"/>
        </w:rPr>
        <w:tab/>
        <w:t>The Judge makes an order:</w:t>
      </w:r>
    </w:p>
    <w:p w14:paraId="1EAC6E08" w14:textId="77777777" w:rsidR="0094600E" w:rsidRPr="0094600E" w:rsidRDefault="0094600E" w:rsidP="0097214D">
      <w:pPr>
        <w:pStyle w:val="ListParagraph"/>
        <w:spacing w:before="120" w:after="120"/>
        <w:ind w:left="2160" w:hanging="720"/>
        <w:jc w:val="both"/>
        <w:rPr>
          <w:rFonts w:ascii="Book Antiqua" w:hAnsi="Book Antiqua"/>
          <w:sz w:val="24"/>
          <w:szCs w:val="24"/>
        </w:rPr>
      </w:pPr>
      <w:r w:rsidRPr="0094600E">
        <w:rPr>
          <w:rFonts w:ascii="Book Antiqua" w:hAnsi="Book Antiqua"/>
          <w:sz w:val="24"/>
          <w:szCs w:val="24"/>
        </w:rPr>
        <w:t>(i)</w:t>
      </w:r>
      <w:r w:rsidRPr="0094600E">
        <w:rPr>
          <w:rFonts w:ascii="Book Antiqua" w:hAnsi="Book Antiqua"/>
          <w:sz w:val="24"/>
          <w:szCs w:val="24"/>
        </w:rPr>
        <w:tab/>
        <w:t>referring the application for costs to the Costs Court for review; and</w:t>
      </w:r>
    </w:p>
    <w:p w14:paraId="5805DEEE" w14:textId="77777777" w:rsidR="0094600E" w:rsidRPr="0094600E" w:rsidRDefault="0094600E" w:rsidP="0097214D">
      <w:pPr>
        <w:pStyle w:val="ListParagraph"/>
        <w:spacing w:before="120" w:after="120"/>
        <w:ind w:left="2160" w:hanging="720"/>
        <w:jc w:val="both"/>
        <w:rPr>
          <w:rFonts w:ascii="Book Antiqua" w:hAnsi="Book Antiqua"/>
          <w:sz w:val="24"/>
          <w:szCs w:val="24"/>
        </w:rPr>
      </w:pPr>
      <w:r w:rsidRPr="0094600E">
        <w:rPr>
          <w:rFonts w:ascii="Book Antiqua" w:hAnsi="Book Antiqua"/>
          <w:sz w:val="24"/>
          <w:szCs w:val="24"/>
        </w:rPr>
        <w:t>(ii)</w:t>
      </w:r>
      <w:r w:rsidRPr="0094600E">
        <w:rPr>
          <w:rFonts w:ascii="Book Antiqua" w:hAnsi="Book Antiqua"/>
          <w:sz w:val="24"/>
          <w:szCs w:val="24"/>
        </w:rPr>
        <w:tab/>
        <w:t>requiring the law practice to file a summons for taxation seeking a review of the costs.</w:t>
      </w:r>
    </w:p>
    <w:p w14:paraId="744628E0" w14:textId="77777777" w:rsidR="0094600E" w:rsidRPr="0094600E" w:rsidRDefault="0094600E" w:rsidP="0097214D">
      <w:pPr>
        <w:pStyle w:val="ListParagraph"/>
        <w:spacing w:before="120" w:after="120"/>
        <w:ind w:left="1440" w:hanging="720"/>
        <w:jc w:val="both"/>
        <w:rPr>
          <w:rFonts w:ascii="Book Antiqua" w:hAnsi="Book Antiqua"/>
          <w:sz w:val="24"/>
          <w:szCs w:val="24"/>
        </w:rPr>
      </w:pPr>
      <w:r w:rsidRPr="0094600E">
        <w:rPr>
          <w:rFonts w:ascii="Book Antiqua" w:hAnsi="Book Antiqua"/>
          <w:sz w:val="24"/>
          <w:szCs w:val="24"/>
        </w:rPr>
        <w:t>(b)</w:t>
      </w:r>
      <w:r w:rsidRPr="0094600E">
        <w:rPr>
          <w:rFonts w:ascii="Book Antiqua" w:hAnsi="Book Antiqua"/>
          <w:sz w:val="24"/>
          <w:szCs w:val="24"/>
        </w:rPr>
        <w:tab/>
        <w:t>The law practice files the summons for taxation.</w:t>
      </w:r>
    </w:p>
    <w:p w14:paraId="429B001A" w14:textId="77777777" w:rsidR="0094600E" w:rsidRPr="0094600E" w:rsidRDefault="0094600E" w:rsidP="00413511">
      <w:pPr>
        <w:spacing w:before="120" w:after="120"/>
        <w:ind w:left="720"/>
        <w:jc w:val="both"/>
        <w:rPr>
          <w:rFonts w:ascii="Book Antiqua" w:hAnsi="Book Antiqua"/>
        </w:rPr>
      </w:pPr>
      <w:r w:rsidRPr="0094600E">
        <w:rPr>
          <w:rFonts w:ascii="Book Antiqua" w:hAnsi="Book Antiqua"/>
        </w:rPr>
        <w:t>(c)</w:t>
      </w:r>
      <w:r w:rsidRPr="0094600E">
        <w:rPr>
          <w:rFonts w:ascii="Book Antiqua" w:hAnsi="Book Antiqua"/>
        </w:rPr>
        <w:tab/>
        <w:t>A Costs Court file is created.</w:t>
      </w:r>
    </w:p>
    <w:p w14:paraId="4F5FC07C" w14:textId="1192770A" w:rsidR="0094600E" w:rsidRPr="0094600E" w:rsidRDefault="0097214D" w:rsidP="00413511">
      <w:pPr>
        <w:spacing w:before="120" w:after="120"/>
        <w:ind w:left="720" w:hanging="720"/>
        <w:jc w:val="both"/>
        <w:rPr>
          <w:rFonts w:ascii="Book Antiqua" w:hAnsi="Book Antiqua"/>
        </w:rPr>
      </w:pPr>
      <w:r>
        <w:rPr>
          <w:rFonts w:ascii="Book Antiqua" w:hAnsi="Book Antiqua"/>
        </w:rPr>
        <w:t>8.2</w:t>
      </w:r>
      <w:r w:rsidR="0094600E" w:rsidRPr="0094600E">
        <w:rPr>
          <w:rFonts w:ascii="Book Antiqua" w:hAnsi="Book Antiqua"/>
        </w:rPr>
        <w:tab/>
        <w:t>The law practice must file with the summons for taxation a copy of the referral order and copies of any affidavits filed in the County Court or the Supreme Court in accordance with County Court Practice Note PNCLD 6-2016 or paragraph [13] of the Supreme Court Practice Note SC CL 3 (Personal Injuries List), as the case may be.</w:t>
      </w:r>
    </w:p>
    <w:p w14:paraId="27682320" w14:textId="0BDE1E70" w:rsidR="0094600E" w:rsidRPr="0094600E" w:rsidRDefault="0097214D" w:rsidP="00413511">
      <w:pPr>
        <w:spacing w:before="120" w:after="120"/>
        <w:ind w:left="720" w:hanging="720"/>
        <w:jc w:val="both"/>
        <w:rPr>
          <w:rFonts w:ascii="Book Antiqua" w:hAnsi="Book Antiqua"/>
        </w:rPr>
      </w:pPr>
      <w:r>
        <w:rPr>
          <w:rFonts w:ascii="Book Antiqua" w:hAnsi="Book Antiqua"/>
        </w:rPr>
        <w:t>8.3</w:t>
      </w:r>
      <w:r w:rsidR="0094600E" w:rsidRPr="0094600E">
        <w:rPr>
          <w:rFonts w:ascii="Book Antiqua" w:hAnsi="Book Antiqua"/>
        </w:rPr>
        <w:tab/>
        <w:t xml:space="preserve">In the first instance, the review will be dealt with by way of an assessment in chambers by a </w:t>
      </w:r>
      <w:proofErr w:type="gramStart"/>
      <w:r w:rsidR="0094600E" w:rsidRPr="0094600E">
        <w:rPr>
          <w:rFonts w:ascii="Book Antiqua" w:hAnsi="Book Antiqua"/>
        </w:rPr>
        <w:t>costs</w:t>
      </w:r>
      <w:proofErr w:type="gramEnd"/>
      <w:r w:rsidR="0094600E" w:rsidRPr="0094600E">
        <w:rPr>
          <w:rFonts w:ascii="Book Antiqua" w:hAnsi="Book Antiqua"/>
        </w:rPr>
        <w:t xml:space="preserve"> assessor.  </w:t>
      </w:r>
    </w:p>
    <w:p w14:paraId="61184070" w14:textId="676D0148" w:rsidR="0094600E" w:rsidRPr="0094600E" w:rsidRDefault="0097214D" w:rsidP="00413511">
      <w:pPr>
        <w:spacing w:before="120" w:after="120"/>
        <w:ind w:left="720" w:hanging="720"/>
        <w:jc w:val="both"/>
        <w:rPr>
          <w:rFonts w:ascii="Book Antiqua" w:hAnsi="Book Antiqua"/>
        </w:rPr>
      </w:pPr>
      <w:r>
        <w:rPr>
          <w:rFonts w:ascii="Book Antiqua" w:hAnsi="Book Antiqua"/>
        </w:rPr>
        <w:t>8.4</w:t>
      </w:r>
      <w:r w:rsidR="0094600E" w:rsidRPr="0094600E">
        <w:rPr>
          <w:rFonts w:ascii="Book Antiqua" w:hAnsi="Book Antiqua"/>
        </w:rPr>
        <w:tab/>
        <w:t>For the purpose of the assessment, the following additional requirements will apply.</w:t>
      </w:r>
    </w:p>
    <w:p w14:paraId="7A6D0344" w14:textId="77777777" w:rsidR="0094600E" w:rsidRPr="0094600E" w:rsidRDefault="0094600E" w:rsidP="0097214D">
      <w:pPr>
        <w:pStyle w:val="ListParagraph"/>
        <w:spacing w:before="120" w:after="120"/>
        <w:ind w:left="1440" w:hanging="720"/>
        <w:jc w:val="both"/>
        <w:rPr>
          <w:rFonts w:ascii="Book Antiqua" w:hAnsi="Book Antiqua"/>
          <w:sz w:val="24"/>
          <w:szCs w:val="24"/>
        </w:rPr>
      </w:pPr>
      <w:r w:rsidRPr="0094600E">
        <w:rPr>
          <w:rFonts w:ascii="Book Antiqua" w:hAnsi="Book Antiqua"/>
          <w:sz w:val="24"/>
          <w:szCs w:val="24"/>
        </w:rPr>
        <w:t>(a)</w:t>
      </w:r>
      <w:r w:rsidRPr="0094600E">
        <w:rPr>
          <w:rFonts w:ascii="Book Antiqua" w:hAnsi="Book Antiqua"/>
          <w:sz w:val="24"/>
          <w:szCs w:val="24"/>
        </w:rPr>
        <w:tab/>
      </w:r>
      <w:r w:rsidRPr="002B08F5">
        <w:rPr>
          <w:rFonts w:ascii="Book Antiqua" w:hAnsi="Book Antiqua"/>
          <w:i/>
          <w:iCs/>
          <w:sz w:val="24"/>
          <w:szCs w:val="24"/>
        </w:rPr>
        <w:t>Professional fees</w:t>
      </w:r>
    </w:p>
    <w:p w14:paraId="43234E33" w14:textId="77777777" w:rsidR="0094600E" w:rsidRPr="0094600E" w:rsidRDefault="0094600E" w:rsidP="0097214D">
      <w:pPr>
        <w:pStyle w:val="ListParagraph"/>
        <w:spacing w:before="120" w:after="120"/>
        <w:ind w:left="1440"/>
        <w:jc w:val="both"/>
        <w:rPr>
          <w:rFonts w:ascii="Book Antiqua" w:hAnsi="Book Antiqua"/>
          <w:sz w:val="24"/>
          <w:szCs w:val="24"/>
        </w:rPr>
      </w:pPr>
      <w:r w:rsidRPr="0094600E">
        <w:rPr>
          <w:rFonts w:ascii="Book Antiqua" w:hAnsi="Book Antiqua"/>
          <w:sz w:val="24"/>
          <w:szCs w:val="24"/>
        </w:rPr>
        <w:t xml:space="preserve">The law practice must file a breakdown of the professional fees being charged, itemised with sufficient particularity to enable the costs assessor to properly assess the reasonableness of the claim. To the extent that the Supreme Court scale as in force up to 31 December 2024 applies, the items in that scale should be used as a guide for the breakdown of professional fees, including details of the documents claimed as </w:t>
      </w:r>
      <w:r w:rsidRPr="0094600E">
        <w:rPr>
          <w:rFonts w:ascii="Book Antiqua" w:hAnsi="Book Antiqua"/>
          <w:sz w:val="24"/>
          <w:szCs w:val="24"/>
        </w:rPr>
        <w:lastRenderedPageBreak/>
        <w:t xml:space="preserve">perused, scanned, drawn and engrossed, skilled and non-skilled attendances, etc. The loading for care, skill and responsibility, the uplift fee (if claimed) and GST must be separately identified. </w:t>
      </w:r>
    </w:p>
    <w:p w14:paraId="3C7BD62A" w14:textId="77777777" w:rsidR="0094600E" w:rsidRPr="0094600E" w:rsidRDefault="0094600E" w:rsidP="0097214D">
      <w:pPr>
        <w:pStyle w:val="ListParagraph"/>
        <w:spacing w:before="120" w:after="120"/>
        <w:ind w:left="1440"/>
        <w:jc w:val="both"/>
        <w:rPr>
          <w:rFonts w:ascii="Book Antiqua" w:hAnsi="Book Antiqua"/>
          <w:sz w:val="24"/>
          <w:szCs w:val="24"/>
        </w:rPr>
      </w:pPr>
      <w:r w:rsidRPr="0094600E">
        <w:rPr>
          <w:rFonts w:ascii="Book Antiqua" w:hAnsi="Book Antiqua"/>
          <w:sz w:val="24"/>
          <w:szCs w:val="24"/>
        </w:rPr>
        <w:t>To the extent possible, the law practice should file an estimate of the breakdown of professional fees and disbursements recovered as between parties, including a list of disbursements which were unrecoverable from the other party.</w:t>
      </w:r>
    </w:p>
    <w:p w14:paraId="75D3E8B7" w14:textId="77777777" w:rsidR="0094600E" w:rsidRPr="0094600E" w:rsidRDefault="0094600E" w:rsidP="00554503">
      <w:pPr>
        <w:pStyle w:val="ListParagraph"/>
        <w:keepNext/>
        <w:spacing w:before="120" w:after="120"/>
        <w:ind w:left="1440" w:hanging="720"/>
        <w:jc w:val="both"/>
        <w:rPr>
          <w:rFonts w:ascii="Book Antiqua" w:hAnsi="Book Antiqua"/>
          <w:sz w:val="24"/>
          <w:szCs w:val="24"/>
        </w:rPr>
      </w:pPr>
      <w:r w:rsidRPr="0094600E">
        <w:rPr>
          <w:rFonts w:ascii="Book Antiqua" w:hAnsi="Book Antiqua"/>
          <w:sz w:val="24"/>
          <w:szCs w:val="24"/>
        </w:rPr>
        <w:t>(b)</w:t>
      </w:r>
      <w:r w:rsidRPr="0094600E">
        <w:rPr>
          <w:rFonts w:ascii="Book Antiqua" w:hAnsi="Book Antiqua"/>
          <w:sz w:val="24"/>
          <w:szCs w:val="24"/>
        </w:rPr>
        <w:tab/>
      </w:r>
      <w:r w:rsidRPr="003B75D8">
        <w:rPr>
          <w:rFonts w:ascii="Book Antiqua" w:hAnsi="Book Antiqua"/>
          <w:i/>
          <w:iCs/>
          <w:sz w:val="24"/>
          <w:szCs w:val="24"/>
        </w:rPr>
        <w:t>Disbursements</w:t>
      </w:r>
    </w:p>
    <w:p w14:paraId="5D939E0E" w14:textId="77777777" w:rsidR="0094600E" w:rsidRPr="0094600E" w:rsidRDefault="0094600E" w:rsidP="0097214D">
      <w:pPr>
        <w:pStyle w:val="ListParagraph"/>
        <w:spacing w:before="120" w:after="120"/>
        <w:ind w:left="1440"/>
        <w:jc w:val="both"/>
        <w:rPr>
          <w:rFonts w:ascii="Book Antiqua" w:hAnsi="Book Antiqua"/>
          <w:sz w:val="24"/>
          <w:szCs w:val="24"/>
        </w:rPr>
      </w:pPr>
      <w:r w:rsidRPr="0094600E">
        <w:rPr>
          <w:rFonts w:ascii="Book Antiqua" w:hAnsi="Book Antiqua"/>
          <w:sz w:val="24"/>
          <w:szCs w:val="24"/>
        </w:rPr>
        <w:t>In addition to a list of disbursements (including, where possible, recovered and unrecovered disbursements), the law practice must file:</w:t>
      </w:r>
    </w:p>
    <w:p w14:paraId="03235662" w14:textId="77777777" w:rsidR="0094600E" w:rsidRPr="0094600E" w:rsidRDefault="0094600E" w:rsidP="0097214D">
      <w:pPr>
        <w:pStyle w:val="ListParagraph"/>
        <w:spacing w:before="120" w:after="120"/>
        <w:ind w:left="2160" w:hanging="720"/>
        <w:jc w:val="both"/>
        <w:rPr>
          <w:rFonts w:ascii="Book Antiqua" w:hAnsi="Book Antiqua"/>
          <w:sz w:val="24"/>
          <w:szCs w:val="24"/>
        </w:rPr>
      </w:pPr>
      <w:r w:rsidRPr="0094600E">
        <w:rPr>
          <w:rFonts w:ascii="Book Antiqua" w:hAnsi="Book Antiqua"/>
          <w:sz w:val="24"/>
          <w:szCs w:val="24"/>
        </w:rPr>
        <w:t>(i)</w:t>
      </w:r>
      <w:r w:rsidRPr="0094600E">
        <w:rPr>
          <w:rFonts w:ascii="Book Antiqua" w:hAnsi="Book Antiqua"/>
          <w:sz w:val="24"/>
          <w:szCs w:val="24"/>
        </w:rPr>
        <w:tab/>
        <w:t xml:space="preserve">all of counsel’s </w:t>
      </w:r>
      <w:proofErr w:type="gramStart"/>
      <w:r w:rsidRPr="0094600E">
        <w:rPr>
          <w:rFonts w:ascii="Book Antiqua" w:hAnsi="Book Antiqua"/>
          <w:sz w:val="24"/>
          <w:szCs w:val="24"/>
        </w:rPr>
        <w:t>invoices;</w:t>
      </w:r>
      <w:proofErr w:type="gramEnd"/>
    </w:p>
    <w:p w14:paraId="7DB5922A" w14:textId="227D7872" w:rsidR="0094600E" w:rsidRDefault="0094600E" w:rsidP="0097214D">
      <w:pPr>
        <w:pStyle w:val="ListParagraph"/>
        <w:spacing w:before="120" w:after="120"/>
        <w:ind w:left="2160" w:hanging="720"/>
        <w:jc w:val="both"/>
        <w:rPr>
          <w:rFonts w:ascii="Book Antiqua" w:hAnsi="Book Antiqua"/>
          <w:sz w:val="24"/>
          <w:szCs w:val="24"/>
        </w:rPr>
      </w:pPr>
      <w:r w:rsidRPr="0094600E">
        <w:rPr>
          <w:rFonts w:ascii="Book Antiqua" w:hAnsi="Book Antiqua"/>
          <w:sz w:val="24"/>
          <w:szCs w:val="24"/>
        </w:rPr>
        <w:t>(ii)</w:t>
      </w:r>
      <w:r w:rsidRPr="0094600E">
        <w:rPr>
          <w:rFonts w:ascii="Book Antiqua" w:hAnsi="Book Antiqua"/>
          <w:sz w:val="24"/>
          <w:szCs w:val="24"/>
        </w:rPr>
        <w:tab/>
        <w:t>the invoices of any other law practice claimed as a disbursement (if applicable), including the charges of costs lawyers or costs consultants for preparing assessments or bills of costs for party/party and solicitor/client costs recovery</w:t>
      </w:r>
      <w:r w:rsidR="00CF1470">
        <w:rPr>
          <w:rFonts w:ascii="Book Antiqua" w:hAnsi="Book Antiqua"/>
          <w:sz w:val="24"/>
          <w:szCs w:val="24"/>
        </w:rPr>
        <w:t xml:space="preserve">; and </w:t>
      </w:r>
    </w:p>
    <w:p w14:paraId="07DBD9E9" w14:textId="0412FBAD" w:rsidR="00CF1470" w:rsidRPr="0094600E" w:rsidRDefault="00CF1470" w:rsidP="0097214D">
      <w:pPr>
        <w:pStyle w:val="ListParagraph"/>
        <w:spacing w:before="120" w:after="120"/>
        <w:ind w:left="2160" w:hanging="720"/>
        <w:jc w:val="both"/>
        <w:rPr>
          <w:rFonts w:ascii="Book Antiqua" w:hAnsi="Book Antiqua"/>
          <w:sz w:val="24"/>
          <w:szCs w:val="24"/>
        </w:rPr>
      </w:pPr>
      <w:r>
        <w:rPr>
          <w:rFonts w:ascii="Book Antiqua" w:hAnsi="Book Antiqua"/>
          <w:sz w:val="24"/>
          <w:szCs w:val="24"/>
        </w:rPr>
        <w:t xml:space="preserve">(iii) </w:t>
      </w:r>
      <w:r>
        <w:rPr>
          <w:rFonts w:ascii="Book Antiqua" w:hAnsi="Book Antiqua"/>
          <w:sz w:val="24"/>
          <w:szCs w:val="24"/>
        </w:rPr>
        <w:tab/>
        <w:t xml:space="preserve">the invoices </w:t>
      </w:r>
      <w:r w:rsidR="00855992">
        <w:rPr>
          <w:rFonts w:ascii="Book Antiqua" w:hAnsi="Book Antiqua"/>
          <w:sz w:val="24"/>
          <w:szCs w:val="24"/>
        </w:rPr>
        <w:t>fo</w:t>
      </w:r>
      <w:r w:rsidR="0004620A">
        <w:rPr>
          <w:rFonts w:ascii="Book Antiqua" w:hAnsi="Book Antiqua"/>
          <w:sz w:val="24"/>
          <w:szCs w:val="24"/>
        </w:rPr>
        <w:t>r</w:t>
      </w:r>
      <w:r w:rsidR="00855992">
        <w:rPr>
          <w:rFonts w:ascii="Book Antiqua" w:hAnsi="Book Antiqua"/>
          <w:sz w:val="24"/>
          <w:szCs w:val="24"/>
        </w:rPr>
        <w:t xml:space="preserve"> any medical, medico</w:t>
      </w:r>
      <w:r w:rsidR="00D24364">
        <w:rPr>
          <w:rFonts w:ascii="Book Antiqua" w:hAnsi="Book Antiqua"/>
          <w:sz w:val="24"/>
          <w:szCs w:val="24"/>
        </w:rPr>
        <w:t>-legal</w:t>
      </w:r>
      <w:r w:rsidR="00855992">
        <w:rPr>
          <w:rFonts w:ascii="Book Antiqua" w:hAnsi="Book Antiqua"/>
          <w:sz w:val="24"/>
          <w:szCs w:val="24"/>
        </w:rPr>
        <w:t xml:space="preserve">, financial or other expert report claimed as a disbursement </w:t>
      </w:r>
    </w:p>
    <w:p w14:paraId="39B547AD" w14:textId="77777777" w:rsidR="0094600E" w:rsidRPr="0094600E" w:rsidRDefault="0094600E" w:rsidP="0097214D">
      <w:pPr>
        <w:pStyle w:val="ListParagraph"/>
        <w:spacing w:before="120" w:after="120"/>
        <w:ind w:left="1440" w:hanging="720"/>
        <w:jc w:val="both"/>
        <w:rPr>
          <w:rFonts w:ascii="Book Antiqua" w:hAnsi="Book Antiqua"/>
          <w:sz w:val="24"/>
          <w:szCs w:val="24"/>
        </w:rPr>
      </w:pPr>
      <w:r w:rsidRPr="0094600E">
        <w:rPr>
          <w:rFonts w:ascii="Book Antiqua" w:hAnsi="Book Antiqua"/>
          <w:sz w:val="24"/>
          <w:szCs w:val="24"/>
        </w:rPr>
        <w:t>(c)</w:t>
      </w:r>
      <w:r w:rsidRPr="0094600E">
        <w:rPr>
          <w:rFonts w:ascii="Book Antiqua" w:hAnsi="Book Antiqua"/>
          <w:sz w:val="24"/>
          <w:szCs w:val="24"/>
        </w:rPr>
        <w:tab/>
      </w:r>
      <w:r w:rsidRPr="003B75D8">
        <w:rPr>
          <w:rFonts w:ascii="Book Antiqua" w:hAnsi="Book Antiqua"/>
          <w:i/>
          <w:iCs/>
          <w:sz w:val="24"/>
          <w:szCs w:val="24"/>
        </w:rPr>
        <w:t>Compliance with ss 174(1)</w:t>
      </w:r>
      <w:proofErr w:type="gramStart"/>
      <w:r w:rsidRPr="003B75D8">
        <w:rPr>
          <w:rFonts w:ascii="Book Antiqua" w:hAnsi="Book Antiqua"/>
          <w:i/>
          <w:iCs/>
          <w:sz w:val="24"/>
          <w:szCs w:val="24"/>
        </w:rPr>
        <w:t>–(</w:t>
      </w:r>
      <w:proofErr w:type="gramEnd"/>
      <w:r w:rsidRPr="003B75D8">
        <w:rPr>
          <w:rFonts w:ascii="Book Antiqua" w:hAnsi="Book Antiqua"/>
          <w:i/>
          <w:iCs/>
          <w:sz w:val="24"/>
          <w:szCs w:val="24"/>
        </w:rPr>
        <w:t>2) of Legal Profession Uniform Law (‘LPUL’)</w:t>
      </w:r>
    </w:p>
    <w:p w14:paraId="7A8B9056" w14:textId="77777777" w:rsidR="0094600E" w:rsidRPr="0094600E" w:rsidRDefault="0094600E" w:rsidP="0097214D">
      <w:pPr>
        <w:pStyle w:val="ListParagraph"/>
        <w:spacing w:before="120" w:after="120"/>
        <w:ind w:left="1440"/>
        <w:jc w:val="both"/>
        <w:rPr>
          <w:rFonts w:ascii="Book Antiqua" w:hAnsi="Book Antiqua"/>
          <w:sz w:val="24"/>
          <w:szCs w:val="24"/>
        </w:rPr>
      </w:pPr>
      <w:r w:rsidRPr="0094600E">
        <w:rPr>
          <w:rFonts w:ascii="Book Antiqua" w:hAnsi="Book Antiqua"/>
          <w:sz w:val="24"/>
          <w:szCs w:val="24"/>
        </w:rPr>
        <w:t>The law practice must file a brief statement (self-assessment) indicating whether the law practice has complied with LPUL ss 174(1)</w:t>
      </w:r>
      <w:proofErr w:type="gramStart"/>
      <w:r w:rsidRPr="0094600E">
        <w:rPr>
          <w:rFonts w:ascii="Book Antiqua" w:hAnsi="Book Antiqua"/>
          <w:sz w:val="24"/>
          <w:szCs w:val="24"/>
        </w:rPr>
        <w:t>–(</w:t>
      </w:r>
      <w:proofErr w:type="gramEnd"/>
      <w:r w:rsidRPr="0094600E">
        <w:rPr>
          <w:rFonts w:ascii="Book Antiqua" w:hAnsi="Book Antiqua"/>
          <w:sz w:val="24"/>
          <w:szCs w:val="24"/>
        </w:rPr>
        <w:t xml:space="preserve">2).  If the law practice assesses itself as ‘compliant’, it must file the information or material referred to in (d), (e) and (f) below.  If the law practice assesses itself as ‘non-compliant’, it must file a short statement on the appropriate basis of charge that should be applied </w:t>
      </w:r>
      <w:proofErr w:type="gramStart"/>
      <w:r w:rsidRPr="0094600E">
        <w:rPr>
          <w:rFonts w:ascii="Book Antiqua" w:hAnsi="Book Antiqua"/>
          <w:sz w:val="24"/>
          <w:szCs w:val="24"/>
        </w:rPr>
        <w:t>as a result of</w:t>
      </w:r>
      <w:proofErr w:type="gramEnd"/>
      <w:r w:rsidRPr="0094600E">
        <w:rPr>
          <w:rFonts w:ascii="Book Antiqua" w:hAnsi="Book Antiqua"/>
          <w:sz w:val="24"/>
          <w:szCs w:val="24"/>
        </w:rPr>
        <w:t xml:space="preserve"> the absence of a valid costs agreement.</w:t>
      </w:r>
    </w:p>
    <w:p w14:paraId="572D20F0" w14:textId="77777777" w:rsidR="0094600E" w:rsidRPr="006F5366" w:rsidRDefault="0094600E" w:rsidP="0097214D">
      <w:pPr>
        <w:pStyle w:val="ListParagraph"/>
        <w:spacing w:before="120" w:after="120"/>
        <w:ind w:left="1440" w:hanging="720"/>
        <w:jc w:val="both"/>
        <w:rPr>
          <w:rFonts w:ascii="Book Antiqua" w:hAnsi="Book Antiqua"/>
          <w:i/>
          <w:iCs/>
          <w:sz w:val="24"/>
          <w:szCs w:val="24"/>
        </w:rPr>
      </w:pPr>
      <w:r w:rsidRPr="0094600E">
        <w:rPr>
          <w:rFonts w:ascii="Book Antiqua" w:hAnsi="Book Antiqua"/>
          <w:sz w:val="24"/>
          <w:szCs w:val="24"/>
        </w:rPr>
        <w:t>(d)</w:t>
      </w:r>
      <w:r w:rsidRPr="0094600E">
        <w:rPr>
          <w:rFonts w:ascii="Book Antiqua" w:hAnsi="Book Antiqua"/>
          <w:sz w:val="24"/>
          <w:szCs w:val="24"/>
        </w:rPr>
        <w:tab/>
      </w:r>
      <w:r w:rsidRPr="006F5366">
        <w:rPr>
          <w:rFonts w:ascii="Book Antiqua" w:hAnsi="Book Antiqua"/>
          <w:i/>
          <w:iCs/>
          <w:sz w:val="24"/>
          <w:szCs w:val="24"/>
        </w:rPr>
        <w:t>Disclosure pursuant to s 177 of LPUL</w:t>
      </w:r>
    </w:p>
    <w:p w14:paraId="79556E07" w14:textId="77777777" w:rsidR="0094600E" w:rsidRPr="0094600E" w:rsidRDefault="0094600E" w:rsidP="0097214D">
      <w:pPr>
        <w:pStyle w:val="ListParagraph"/>
        <w:spacing w:before="120" w:after="120"/>
        <w:ind w:left="1440"/>
        <w:jc w:val="both"/>
        <w:rPr>
          <w:rFonts w:ascii="Book Antiqua" w:hAnsi="Book Antiqua"/>
          <w:sz w:val="24"/>
          <w:szCs w:val="24"/>
        </w:rPr>
      </w:pPr>
      <w:r w:rsidRPr="0094600E">
        <w:rPr>
          <w:rFonts w:ascii="Book Antiqua" w:hAnsi="Book Antiqua"/>
          <w:sz w:val="24"/>
          <w:szCs w:val="24"/>
        </w:rPr>
        <w:t>Details of disclosures made to the client before settlement was executed in accordance with LPUL s 177.</w:t>
      </w:r>
    </w:p>
    <w:p w14:paraId="5D6AF063" w14:textId="77777777" w:rsidR="0094600E" w:rsidRPr="0094600E" w:rsidRDefault="0094600E" w:rsidP="0097214D">
      <w:pPr>
        <w:pStyle w:val="ListParagraph"/>
        <w:spacing w:before="120" w:after="120"/>
        <w:ind w:left="1440" w:hanging="720"/>
        <w:jc w:val="both"/>
        <w:rPr>
          <w:rFonts w:ascii="Book Antiqua" w:hAnsi="Book Antiqua"/>
          <w:sz w:val="24"/>
          <w:szCs w:val="24"/>
        </w:rPr>
      </w:pPr>
      <w:r w:rsidRPr="0094600E">
        <w:rPr>
          <w:rFonts w:ascii="Book Antiqua" w:hAnsi="Book Antiqua"/>
          <w:sz w:val="24"/>
          <w:szCs w:val="24"/>
        </w:rPr>
        <w:t>(e)</w:t>
      </w:r>
      <w:r w:rsidRPr="0094600E">
        <w:rPr>
          <w:rFonts w:ascii="Book Antiqua" w:hAnsi="Book Antiqua"/>
          <w:sz w:val="24"/>
          <w:szCs w:val="24"/>
        </w:rPr>
        <w:tab/>
      </w:r>
      <w:r w:rsidRPr="006F5366">
        <w:rPr>
          <w:rFonts w:ascii="Book Antiqua" w:hAnsi="Book Antiqua"/>
          <w:i/>
          <w:iCs/>
          <w:sz w:val="24"/>
          <w:szCs w:val="24"/>
        </w:rPr>
        <w:t>Compliance with s 174(3) of LPUL</w:t>
      </w:r>
    </w:p>
    <w:p w14:paraId="6A94EAE4" w14:textId="77777777" w:rsidR="0094600E" w:rsidRPr="0094600E" w:rsidRDefault="0094600E" w:rsidP="0097214D">
      <w:pPr>
        <w:pStyle w:val="ListParagraph"/>
        <w:spacing w:before="120" w:after="120"/>
        <w:ind w:left="1440"/>
        <w:jc w:val="both"/>
        <w:rPr>
          <w:rFonts w:ascii="Book Antiqua" w:hAnsi="Book Antiqua"/>
          <w:sz w:val="24"/>
          <w:szCs w:val="24"/>
        </w:rPr>
      </w:pPr>
      <w:r w:rsidRPr="0094600E">
        <w:rPr>
          <w:rFonts w:ascii="Book Antiqua" w:hAnsi="Book Antiqua"/>
          <w:sz w:val="24"/>
          <w:szCs w:val="24"/>
        </w:rPr>
        <w:t>A brief statement setting out the steps the law practice took to satisfy itself that the client understood and consented to the disclosures given under LPUL s 174(1).</w:t>
      </w:r>
    </w:p>
    <w:p w14:paraId="6E04205D" w14:textId="77777777" w:rsidR="0094600E" w:rsidRPr="006F5366" w:rsidRDefault="0094600E" w:rsidP="0097214D">
      <w:pPr>
        <w:pStyle w:val="ListParagraph"/>
        <w:spacing w:before="120" w:after="120"/>
        <w:ind w:left="1440" w:hanging="720"/>
        <w:jc w:val="both"/>
        <w:rPr>
          <w:rFonts w:ascii="Book Antiqua" w:hAnsi="Book Antiqua"/>
          <w:i/>
          <w:iCs/>
          <w:sz w:val="24"/>
          <w:szCs w:val="24"/>
        </w:rPr>
      </w:pPr>
      <w:r w:rsidRPr="0094600E">
        <w:rPr>
          <w:rFonts w:ascii="Book Antiqua" w:hAnsi="Book Antiqua"/>
          <w:sz w:val="24"/>
          <w:szCs w:val="24"/>
        </w:rPr>
        <w:t>(f)</w:t>
      </w:r>
      <w:r w:rsidRPr="0094600E">
        <w:rPr>
          <w:rFonts w:ascii="Book Antiqua" w:hAnsi="Book Antiqua"/>
          <w:sz w:val="24"/>
          <w:szCs w:val="24"/>
        </w:rPr>
        <w:tab/>
      </w:r>
      <w:r w:rsidRPr="006F5366">
        <w:rPr>
          <w:rFonts w:ascii="Book Antiqua" w:hAnsi="Book Antiqua"/>
          <w:i/>
          <w:iCs/>
          <w:sz w:val="24"/>
          <w:szCs w:val="24"/>
        </w:rPr>
        <w:t>Compliance with s 175(1) of LPUL – Counsel’s Fees</w:t>
      </w:r>
    </w:p>
    <w:p w14:paraId="2F5A936F" w14:textId="77777777" w:rsidR="0094600E" w:rsidRPr="0094600E" w:rsidRDefault="0094600E" w:rsidP="0097214D">
      <w:pPr>
        <w:pStyle w:val="ListParagraph"/>
        <w:spacing w:before="120" w:after="120"/>
        <w:ind w:left="1440"/>
        <w:jc w:val="both"/>
        <w:rPr>
          <w:rFonts w:ascii="Book Antiqua" w:hAnsi="Book Antiqua"/>
          <w:sz w:val="24"/>
          <w:szCs w:val="24"/>
        </w:rPr>
      </w:pPr>
      <w:r w:rsidRPr="0094600E">
        <w:rPr>
          <w:rFonts w:ascii="Book Antiqua" w:hAnsi="Book Antiqua"/>
          <w:sz w:val="24"/>
          <w:szCs w:val="24"/>
        </w:rPr>
        <w:t>Evidence that the relevant disclosures with respect to counsel’s fees were made to the client in compliance with LPUL s 175(1).</w:t>
      </w:r>
    </w:p>
    <w:p w14:paraId="40D6E8B5" w14:textId="2A536D3B" w:rsidR="0094600E" w:rsidRPr="0094600E" w:rsidRDefault="0097214D" w:rsidP="00413511">
      <w:pPr>
        <w:spacing w:before="120" w:after="120"/>
        <w:ind w:left="720" w:hanging="720"/>
        <w:jc w:val="both"/>
        <w:rPr>
          <w:rFonts w:ascii="Book Antiqua" w:hAnsi="Book Antiqua"/>
        </w:rPr>
      </w:pPr>
      <w:r>
        <w:rPr>
          <w:rFonts w:ascii="Book Antiqua" w:hAnsi="Book Antiqua"/>
        </w:rPr>
        <w:t>8.5</w:t>
      </w:r>
      <w:r w:rsidR="0094600E" w:rsidRPr="0094600E">
        <w:rPr>
          <w:rFonts w:ascii="Book Antiqua" w:hAnsi="Book Antiqua"/>
        </w:rPr>
        <w:tab/>
        <w:t xml:space="preserve">Upon completion of the assessment, the Costs Court will forward a notice of estimate to the Court that made the referral and to the law practice and the client. If no objection to the estimate is filed, the referring Court will be so advised and will further consider the application and whether to make an order pursuant to s 134AB (31) of the </w:t>
      </w:r>
      <w:r w:rsidR="0094600E" w:rsidRPr="0021787F">
        <w:rPr>
          <w:rFonts w:ascii="Book Antiqua" w:hAnsi="Book Antiqua"/>
          <w:i/>
          <w:iCs/>
        </w:rPr>
        <w:t>Accident Compensation Act 1985</w:t>
      </w:r>
      <w:r w:rsidR="0094600E" w:rsidRPr="0094600E">
        <w:rPr>
          <w:rFonts w:ascii="Book Antiqua" w:hAnsi="Book Antiqua"/>
        </w:rPr>
        <w:t xml:space="preserve"> or s 344(7) of the </w:t>
      </w:r>
      <w:r w:rsidR="0094600E" w:rsidRPr="0021787F">
        <w:rPr>
          <w:rFonts w:ascii="Book Antiqua" w:hAnsi="Book Antiqua"/>
          <w:i/>
          <w:iCs/>
        </w:rPr>
        <w:t xml:space="preserve">Workplace Injury Rehabilitation and Compensation Act </w:t>
      </w:r>
      <w:proofErr w:type="gramStart"/>
      <w:r w:rsidR="0094600E" w:rsidRPr="0021787F">
        <w:rPr>
          <w:rFonts w:ascii="Book Antiqua" w:hAnsi="Book Antiqua"/>
          <w:i/>
          <w:iCs/>
        </w:rPr>
        <w:t>2013</w:t>
      </w:r>
      <w:r w:rsidR="0094600E" w:rsidRPr="0094600E">
        <w:rPr>
          <w:rFonts w:ascii="Book Antiqua" w:hAnsi="Book Antiqua"/>
        </w:rPr>
        <w:t>, as the case may be</w:t>
      </w:r>
      <w:proofErr w:type="gramEnd"/>
      <w:r w:rsidR="0094600E" w:rsidRPr="0094600E">
        <w:rPr>
          <w:rFonts w:ascii="Book Antiqua" w:hAnsi="Book Antiqua"/>
        </w:rPr>
        <w:t>.</w:t>
      </w:r>
    </w:p>
    <w:p w14:paraId="37D77B5F" w14:textId="487B36F5" w:rsidR="0094600E" w:rsidRDefault="0097214D" w:rsidP="00413511">
      <w:pPr>
        <w:spacing w:before="120" w:after="120"/>
        <w:ind w:left="720" w:hanging="720"/>
        <w:jc w:val="both"/>
        <w:rPr>
          <w:rFonts w:ascii="Book Antiqua" w:hAnsi="Book Antiqua"/>
        </w:rPr>
      </w:pPr>
      <w:r>
        <w:rPr>
          <w:rFonts w:ascii="Book Antiqua" w:hAnsi="Book Antiqua"/>
        </w:rPr>
        <w:t>8.6</w:t>
      </w:r>
      <w:r w:rsidR="0094600E" w:rsidRPr="0094600E">
        <w:rPr>
          <w:rFonts w:ascii="Book Antiqua" w:hAnsi="Book Antiqua"/>
        </w:rPr>
        <w:tab/>
        <w:t>If there is an objection to the estimate, the matter will be dealt with pursuant to the Legal Profession Legislation.</w:t>
      </w:r>
    </w:p>
    <w:p w14:paraId="05B53719" w14:textId="77777777" w:rsidR="003B75D8" w:rsidRDefault="003B75D8" w:rsidP="00413511">
      <w:pPr>
        <w:spacing w:before="120" w:after="120"/>
        <w:ind w:left="720" w:hanging="720"/>
        <w:jc w:val="both"/>
        <w:rPr>
          <w:rFonts w:ascii="Book Antiqua" w:hAnsi="Book Antiqua"/>
        </w:rPr>
      </w:pPr>
    </w:p>
    <w:p w14:paraId="42D2E955" w14:textId="59D67E8C" w:rsidR="00266BB2" w:rsidRPr="007917BE" w:rsidRDefault="00303C13" w:rsidP="002107A3">
      <w:pPr>
        <w:pStyle w:val="Heading1"/>
        <w:ind w:left="720" w:hanging="720"/>
      </w:pPr>
      <w:r>
        <w:lastRenderedPageBreak/>
        <w:t>9.</w:t>
      </w:r>
      <w:r>
        <w:tab/>
      </w:r>
      <w:r w:rsidR="00B02489" w:rsidRPr="00B02489">
        <w:t>APPEARANCES BY PERSONS WITHOUT AN ENTITLEMENT TO APPEAR IN THE COSTS COURT</w:t>
      </w:r>
    </w:p>
    <w:p w14:paraId="68BC36E8" w14:textId="28473F44" w:rsidR="008666F3" w:rsidRPr="008666F3" w:rsidRDefault="00303C13" w:rsidP="00413511">
      <w:pPr>
        <w:spacing w:before="120" w:after="120"/>
        <w:ind w:left="720" w:hanging="720"/>
        <w:jc w:val="both"/>
        <w:rPr>
          <w:rFonts w:ascii="Book Antiqua" w:hAnsi="Book Antiqua"/>
        </w:rPr>
      </w:pPr>
      <w:r>
        <w:rPr>
          <w:rFonts w:ascii="Book Antiqua" w:hAnsi="Book Antiqua"/>
        </w:rPr>
        <w:t>9.1</w:t>
      </w:r>
      <w:r>
        <w:rPr>
          <w:rFonts w:ascii="Book Antiqua" w:hAnsi="Book Antiqua"/>
        </w:rPr>
        <w:tab/>
      </w:r>
      <w:r w:rsidR="008666F3" w:rsidRPr="008666F3">
        <w:rPr>
          <w:rFonts w:ascii="Book Antiqua" w:hAnsi="Book Antiqua"/>
        </w:rPr>
        <w:t>The right to appear on behalf of another in the Supreme Court is reserved to those admitted to legal practice. Those without a right to appear must obtain the leave of the Court.</w:t>
      </w:r>
    </w:p>
    <w:p w14:paraId="179361E3" w14:textId="45EB8D95" w:rsidR="008666F3" w:rsidRPr="008666F3" w:rsidRDefault="0097214D" w:rsidP="00413511">
      <w:pPr>
        <w:spacing w:before="120" w:after="120"/>
        <w:ind w:left="720" w:hanging="720"/>
        <w:jc w:val="both"/>
        <w:rPr>
          <w:rFonts w:ascii="Book Antiqua" w:hAnsi="Book Antiqua"/>
        </w:rPr>
      </w:pPr>
      <w:r>
        <w:rPr>
          <w:rFonts w:ascii="Book Antiqua" w:hAnsi="Book Antiqua"/>
        </w:rPr>
        <w:t>9.2</w:t>
      </w:r>
      <w:r w:rsidR="008666F3" w:rsidRPr="008666F3">
        <w:rPr>
          <w:rFonts w:ascii="Book Antiqua" w:hAnsi="Book Antiqua"/>
        </w:rPr>
        <w:tab/>
        <w:t>All persons who do not have a right to appear before the Costs Court must indicate their intention to apply for leave to appear not less than 48 hours before the commencement of any hearing in which they seek to appear.</w:t>
      </w:r>
    </w:p>
    <w:p w14:paraId="0C1F01C2" w14:textId="23ED149C" w:rsidR="008666F3" w:rsidRPr="008666F3" w:rsidRDefault="0097214D" w:rsidP="00413511">
      <w:pPr>
        <w:spacing w:before="120" w:after="120"/>
        <w:ind w:left="720" w:hanging="720"/>
        <w:jc w:val="both"/>
        <w:rPr>
          <w:rFonts w:ascii="Book Antiqua" w:hAnsi="Book Antiqua"/>
        </w:rPr>
      </w:pPr>
      <w:r>
        <w:rPr>
          <w:rFonts w:ascii="Book Antiqua" w:hAnsi="Book Antiqua"/>
        </w:rPr>
        <w:t>9</w:t>
      </w:r>
      <w:r w:rsidR="008666F3" w:rsidRPr="008666F3">
        <w:rPr>
          <w:rFonts w:ascii="Book Antiqua" w:hAnsi="Book Antiqua"/>
        </w:rPr>
        <w:t>.</w:t>
      </w:r>
      <w:r>
        <w:rPr>
          <w:rFonts w:ascii="Book Antiqua" w:hAnsi="Book Antiqua"/>
        </w:rPr>
        <w:t>3</w:t>
      </w:r>
      <w:r w:rsidR="008666F3" w:rsidRPr="008666F3">
        <w:rPr>
          <w:rFonts w:ascii="Book Antiqua" w:hAnsi="Book Antiqua"/>
        </w:rPr>
        <w:tab/>
        <w:t xml:space="preserve">This should be done by letter addressed to the costs assessor before whom the matter is listed. The letter should contain an acknowledgement that the person seeking leave to appear has read and understands their obligations under the </w:t>
      </w:r>
      <w:r w:rsidR="00DB5E24" w:rsidRPr="00FC2B7E">
        <w:rPr>
          <w:rFonts w:ascii="Book Antiqua" w:hAnsi="Book Antiqua"/>
          <w:i/>
          <w:iCs/>
        </w:rPr>
        <w:t>Civil</w:t>
      </w:r>
      <w:r w:rsidR="00F85784" w:rsidRPr="00FC2B7E">
        <w:rPr>
          <w:rFonts w:ascii="Book Antiqua" w:hAnsi="Book Antiqua"/>
          <w:i/>
          <w:iCs/>
        </w:rPr>
        <w:t xml:space="preserve"> Procedure Act 2010</w:t>
      </w:r>
      <w:r w:rsidR="008666F3" w:rsidRPr="008666F3">
        <w:rPr>
          <w:rFonts w:ascii="Book Antiqua" w:hAnsi="Book Antiqua"/>
        </w:rPr>
        <w:t xml:space="preserve"> and the potential sanctions for breach of those obligations. The letter must be filed with the Costs Court electronically and a copy of the letter sent to the other parties in the matter.</w:t>
      </w:r>
    </w:p>
    <w:p w14:paraId="1C931D1C" w14:textId="23494CAD" w:rsidR="008666F3" w:rsidRPr="008666F3" w:rsidRDefault="0097214D" w:rsidP="00413511">
      <w:pPr>
        <w:spacing w:before="120" w:after="120"/>
        <w:ind w:left="720" w:hanging="720"/>
        <w:jc w:val="both"/>
        <w:rPr>
          <w:rFonts w:ascii="Book Antiqua" w:hAnsi="Book Antiqua"/>
        </w:rPr>
      </w:pPr>
      <w:r>
        <w:rPr>
          <w:rFonts w:ascii="Book Antiqua" w:hAnsi="Book Antiqua"/>
        </w:rPr>
        <w:t>9</w:t>
      </w:r>
      <w:r w:rsidR="008666F3" w:rsidRPr="008666F3">
        <w:rPr>
          <w:rFonts w:ascii="Book Antiqua" w:hAnsi="Book Antiqua"/>
        </w:rPr>
        <w:t>.</w:t>
      </w:r>
      <w:r>
        <w:rPr>
          <w:rFonts w:ascii="Book Antiqua" w:hAnsi="Book Antiqua"/>
        </w:rPr>
        <w:t>4</w:t>
      </w:r>
      <w:r w:rsidR="008666F3" w:rsidRPr="008666F3">
        <w:rPr>
          <w:rFonts w:ascii="Book Antiqua" w:hAnsi="Book Antiqua"/>
        </w:rPr>
        <w:tab/>
        <w:t>Where a person seeks leave to appear before the Costs Court, the person must disclose:</w:t>
      </w:r>
    </w:p>
    <w:p w14:paraId="52D08666" w14:textId="77777777" w:rsidR="008666F3" w:rsidRPr="008666F3" w:rsidRDefault="008666F3" w:rsidP="0097214D">
      <w:pPr>
        <w:pStyle w:val="ListParagraph"/>
        <w:spacing w:before="120" w:after="120"/>
        <w:ind w:left="1440" w:hanging="720"/>
        <w:jc w:val="both"/>
        <w:rPr>
          <w:rFonts w:ascii="Book Antiqua" w:hAnsi="Book Antiqua"/>
          <w:sz w:val="24"/>
          <w:szCs w:val="24"/>
        </w:rPr>
      </w:pPr>
      <w:r w:rsidRPr="008666F3">
        <w:rPr>
          <w:rFonts w:ascii="Book Antiqua" w:hAnsi="Book Antiqua"/>
          <w:sz w:val="24"/>
          <w:szCs w:val="24"/>
        </w:rPr>
        <w:t>(a)</w:t>
      </w:r>
      <w:r w:rsidRPr="008666F3">
        <w:rPr>
          <w:rFonts w:ascii="Book Antiqua" w:hAnsi="Book Antiqua"/>
          <w:sz w:val="24"/>
          <w:szCs w:val="24"/>
        </w:rPr>
        <w:tab/>
        <w:t>whether the person is a disqualified person or has been found guilty of a relevant offence under the Legal Profession Legislation; and</w:t>
      </w:r>
    </w:p>
    <w:p w14:paraId="24C0DEFB" w14:textId="77777777" w:rsidR="008666F3" w:rsidRPr="008666F3" w:rsidRDefault="008666F3" w:rsidP="00413511">
      <w:pPr>
        <w:spacing w:before="120" w:after="120"/>
        <w:ind w:left="1440" w:hanging="720"/>
        <w:jc w:val="both"/>
        <w:rPr>
          <w:rFonts w:ascii="Book Antiqua" w:hAnsi="Book Antiqua"/>
        </w:rPr>
      </w:pPr>
      <w:r w:rsidRPr="008666F3">
        <w:rPr>
          <w:rFonts w:ascii="Book Antiqua" w:hAnsi="Book Antiqua"/>
        </w:rPr>
        <w:t>(b)</w:t>
      </w:r>
      <w:r w:rsidRPr="008666F3">
        <w:rPr>
          <w:rFonts w:ascii="Book Antiqua" w:hAnsi="Book Antiqua"/>
        </w:rPr>
        <w:tab/>
        <w:t xml:space="preserve">if so, whether the person has so informed the client’s solicitor on the record (if any) and whether the Legal Services Board has given approval under the Legal Profession Legislation. </w:t>
      </w:r>
    </w:p>
    <w:p w14:paraId="3C7CE053" w14:textId="1F0190DE" w:rsidR="008666F3" w:rsidRDefault="0097214D" w:rsidP="00413511">
      <w:pPr>
        <w:spacing w:before="120" w:after="120"/>
        <w:ind w:left="720" w:hanging="720"/>
        <w:jc w:val="both"/>
        <w:rPr>
          <w:rFonts w:ascii="Book Antiqua" w:hAnsi="Book Antiqua"/>
        </w:rPr>
      </w:pPr>
      <w:r>
        <w:rPr>
          <w:rFonts w:ascii="Book Antiqua" w:hAnsi="Book Antiqua"/>
        </w:rPr>
        <w:t>9.5</w:t>
      </w:r>
      <w:r w:rsidR="008666F3" w:rsidRPr="008666F3">
        <w:rPr>
          <w:rFonts w:ascii="Book Antiqua" w:hAnsi="Book Antiqua"/>
        </w:rPr>
        <w:tab/>
        <w:t xml:space="preserve">Where a legal practitioner proposes to engage a person to appear before the Costs Court, and that person requires the leave of the Court to appear, the legal practitioner must first be appropriately satisfied that the person is suitable to appear on behalf of the client.  Where the costs of that appearance would not be able to be claimed on taxation (see </w:t>
      </w:r>
      <w:proofErr w:type="spellStart"/>
      <w:r w:rsidR="008666F3" w:rsidRPr="0021787F">
        <w:rPr>
          <w:rFonts w:ascii="Book Antiqua" w:hAnsi="Book Antiqua"/>
          <w:i/>
          <w:iCs/>
        </w:rPr>
        <w:t>Mietto</w:t>
      </w:r>
      <w:proofErr w:type="spellEnd"/>
      <w:r w:rsidR="008666F3" w:rsidRPr="0021787F">
        <w:rPr>
          <w:rFonts w:ascii="Book Antiqua" w:hAnsi="Book Antiqua"/>
          <w:i/>
          <w:iCs/>
        </w:rPr>
        <w:t xml:space="preserve"> v G4S Custodial Services Pty Ltd </w:t>
      </w:r>
      <w:r w:rsidR="008666F3" w:rsidRPr="008666F3">
        <w:rPr>
          <w:rFonts w:ascii="Book Antiqua" w:hAnsi="Book Antiqua"/>
        </w:rPr>
        <w:t>[2010] VSC 304), the legal practitioner must inform the client of that fact before engaging the person.</w:t>
      </w:r>
    </w:p>
    <w:p w14:paraId="72BCFA7C" w14:textId="77777777" w:rsidR="00413511" w:rsidRDefault="00413511" w:rsidP="00413511">
      <w:pPr>
        <w:spacing w:before="120" w:after="120"/>
        <w:jc w:val="both"/>
        <w:rPr>
          <w:rFonts w:ascii="Book Antiqua" w:hAnsi="Book Antiqua"/>
        </w:rPr>
      </w:pPr>
    </w:p>
    <w:p w14:paraId="1A24B0FD" w14:textId="77777777" w:rsidR="00E115C7" w:rsidRPr="00D21E39" w:rsidRDefault="00303C13" w:rsidP="00011180">
      <w:pPr>
        <w:pStyle w:val="Heading1"/>
      </w:pPr>
      <w:r>
        <w:t>10.</w:t>
      </w:r>
      <w:r>
        <w:tab/>
      </w:r>
      <w:r w:rsidR="00E115C7" w:rsidRPr="00D21E39">
        <w:t>POINTS OF CONTACT</w:t>
      </w:r>
    </w:p>
    <w:p w14:paraId="0F887B92" w14:textId="24F880F4" w:rsidR="00656BCD" w:rsidRDefault="00303C13" w:rsidP="00656BCD">
      <w:pPr>
        <w:pStyle w:val="ListBullet"/>
        <w:numPr>
          <w:ilvl w:val="0"/>
          <w:numId w:val="0"/>
        </w:numPr>
        <w:ind w:left="720" w:hanging="720"/>
        <w:rPr>
          <w:rFonts w:ascii="Book Antiqua" w:hAnsi="Book Antiqua"/>
        </w:rPr>
      </w:pPr>
      <w:r w:rsidRPr="00303C13">
        <w:rPr>
          <w:rFonts w:ascii="Book Antiqua" w:hAnsi="Book Antiqua"/>
        </w:rPr>
        <w:t>10.1</w:t>
      </w:r>
      <w:r w:rsidRPr="00303C13">
        <w:rPr>
          <w:rFonts w:ascii="Book Antiqua" w:hAnsi="Book Antiqua"/>
        </w:rPr>
        <w:tab/>
      </w:r>
      <w:r w:rsidR="00656BCD">
        <w:rPr>
          <w:rFonts w:ascii="Book Antiqua" w:hAnsi="Book Antiqua"/>
        </w:rPr>
        <w:t xml:space="preserve">Communication with respect to matters in the Costs Court must contain the Costs Court proceeding number, the names of the parties to the </w:t>
      </w:r>
      <w:r w:rsidR="00A42D6A">
        <w:rPr>
          <w:rFonts w:ascii="Book Antiqua" w:hAnsi="Book Antiqua"/>
        </w:rPr>
        <w:t>proceeding</w:t>
      </w:r>
      <w:r w:rsidR="00656BCD">
        <w:rPr>
          <w:rFonts w:ascii="Book Antiqua" w:hAnsi="Book Antiqua"/>
        </w:rPr>
        <w:t xml:space="preserve">, and if applicable, marked to the attention of the </w:t>
      </w:r>
      <w:proofErr w:type="gramStart"/>
      <w:r w:rsidR="00656BCD">
        <w:rPr>
          <w:rFonts w:ascii="Book Antiqua" w:hAnsi="Book Antiqua"/>
        </w:rPr>
        <w:t>costs</w:t>
      </w:r>
      <w:proofErr w:type="gramEnd"/>
      <w:r w:rsidR="00656BCD">
        <w:rPr>
          <w:rFonts w:ascii="Book Antiqua" w:hAnsi="Book Antiqua"/>
        </w:rPr>
        <w:t xml:space="preserve"> assessor assigned to the matter. Email communication is preferred. </w:t>
      </w:r>
    </w:p>
    <w:p w14:paraId="77D4B48B" w14:textId="01F93C8D" w:rsidR="00656BCD" w:rsidRDefault="00656BCD" w:rsidP="0097214D">
      <w:pPr>
        <w:pStyle w:val="ListBullet"/>
        <w:numPr>
          <w:ilvl w:val="0"/>
          <w:numId w:val="0"/>
        </w:numPr>
        <w:ind w:left="360" w:hanging="360"/>
        <w:rPr>
          <w:rFonts w:ascii="Book Antiqua" w:hAnsi="Book Antiqua"/>
        </w:rPr>
      </w:pPr>
    </w:p>
    <w:p w14:paraId="5CEE14BB" w14:textId="3B3C6914" w:rsidR="00E67C3F" w:rsidRPr="00E67C3F" w:rsidRDefault="00656BCD" w:rsidP="0097214D">
      <w:pPr>
        <w:pStyle w:val="ListBullet"/>
        <w:numPr>
          <w:ilvl w:val="0"/>
          <w:numId w:val="0"/>
        </w:numPr>
        <w:ind w:left="360" w:hanging="360"/>
        <w:rPr>
          <w:rFonts w:ascii="Book Antiqua" w:hAnsi="Book Antiqua"/>
        </w:rPr>
      </w:pPr>
      <w:r>
        <w:rPr>
          <w:rFonts w:ascii="Book Antiqua" w:hAnsi="Book Antiqua"/>
        </w:rPr>
        <w:t>10.2</w:t>
      </w:r>
      <w:r>
        <w:rPr>
          <w:rFonts w:ascii="Book Antiqua" w:hAnsi="Book Antiqua"/>
        </w:rPr>
        <w:tab/>
      </w:r>
      <w:r w:rsidR="00E67C3F" w:rsidRPr="00E67C3F">
        <w:rPr>
          <w:rFonts w:ascii="Book Antiqua" w:hAnsi="Book Antiqua"/>
        </w:rPr>
        <w:t>For assessment and mediation listing, contact the Registry via:</w:t>
      </w:r>
    </w:p>
    <w:p w14:paraId="349E35C2" w14:textId="77777777" w:rsidR="00E67C3F" w:rsidRPr="00E67C3F" w:rsidRDefault="00E67C3F" w:rsidP="0097214D">
      <w:pPr>
        <w:pStyle w:val="ListBullet"/>
        <w:numPr>
          <w:ilvl w:val="0"/>
          <w:numId w:val="0"/>
        </w:numPr>
        <w:ind w:left="720"/>
        <w:rPr>
          <w:rFonts w:ascii="Book Antiqua" w:hAnsi="Book Antiqua"/>
        </w:rPr>
      </w:pPr>
      <w:r w:rsidRPr="00E67C3F">
        <w:rPr>
          <w:rFonts w:ascii="Book Antiqua" w:hAnsi="Book Antiqua"/>
        </w:rPr>
        <w:t xml:space="preserve">Email: </w:t>
      </w:r>
      <w:r w:rsidRPr="00E67C3F">
        <w:rPr>
          <w:rFonts w:ascii="Book Antiqua" w:hAnsi="Book Antiqua"/>
        </w:rPr>
        <w:tab/>
        <w:t>costs.court@supcourt.vic.gov.au</w:t>
      </w:r>
    </w:p>
    <w:p w14:paraId="5738A53D" w14:textId="77777777" w:rsidR="000D453D" w:rsidRDefault="000D453D" w:rsidP="000D453D">
      <w:pPr>
        <w:pStyle w:val="ListBullet"/>
        <w:numPr>
          <w:ilvl w:val="0"/>
          <w:numId w:val="0"/>
        </w:numPr>
        <w:ind w:left="720"/>
        <w:rPr>
          <w:rFonts w:ascii="Book Antiqua" w:hAnsi="Book Antiqua"/>
        </w:rPr>
      </w:pPr>
    </w:p>
    <w:p w14:paraId="57251718" w14:textId="1376FF9B" w:rsidR="00E67C3F" w:rsidRPr="00E67C3F" w:rsidRDefault="00E67C3F" w:rsidP="000D453D">
      <w:pPr>
        <w:pStyle w:val="ListBullet"/>
        <w:numPr>
          <w:ilvl w:val="0"/>
          <w:numId w:val="0"/>
        </w:numPr>
        <w:ind w:left="720"/>
        <w:rPr>
          <w:rFonts w:ascii="Book Antiqua" w:hAnsi="Book Antiqua"/>
        </w:rPr>
      </w:pPr>
      <w:r w:rsidRPr="00E67C3F">
        <w:rPr>
          <w:rFonts w:ascii="Book Antiqua" w:hAnsi="Book Antiqua"/>
        </w:rPr>
        <w:t>Where a matter settles or the mediation is no longer required, the solicitor for the applicant must notify the Court immediately, via:</w:t>
      </w:r>
    </w:p>
    <w:p w14:paraId="44F3CF22" w14:textId="77777777" w:rsidR="00E67C3F" w:rsidRPr="00E67C3F" w:rsidRDefault="00E67C3F" w:rsidP="000D453D">
      <w:pPr>
        <w:pStyle w:val="ListBullet"/>
        <w:numPr>
          <w:ilvl w:val="0"/>
          <w:numId w:val="0"/>
        </w:numPr>
        <w:ind w:left="720"/>
        <w:rPr>
          <w:rFonts w:ascii="Book Antiqua" w:hAnsi="Book Antiqua"/>
        </w:rPr>
      </w:pPr>
      <w:r w:rsidRPr="00E67C3F">
        <w:rPr>
          <w:rFonts w:ascii="Book Antiqua" w:hAnsi="Book Antiqua"/>
        </w:rPr>
        <w:t xml:space="preserve">Email: </w:t>
      </w:r>
      <w:r w:rsidRPr="00E67C3F">
        <w:rPr>
          <w:rFonts w:ascii="Book Antiqua" w:hAnsi="Book Antiqua"/>
        </w:rPr>
        <w:tab/>
        <w:t>costs.court@supcourt.vic.gov.au</w:t>
      </w:r>
    </w:p>
    <w:p w14:paraId="27B0FC0A" w14:textId="77777777" w:rsidR="000D453D" w:rsidRDefault="000D453D" w:rsidP="000D453D">
      <w:pPr>
        <w:pStyle w:val="ListBullet"/>
        <w:numPr>
          <w:ilvl w:val="0"/>
          <w:numId w:val="0"/>
        </w:numPr>
        <w:ind w:left="720"/>
        <w:rPr>
          <w:rFonts w:ascii="Book Antiqua" w:hAnsi="Book Antiqua"/>
        </w:rPr>
      </w:pPr>
    </w:p>
    <w:p w14:paraId="0DA78BA8" w14:textId="4282605E" w:rsidR="00E67C3F" w:rsidRPr="00E67C3F" w:rsidRDefault="00E67C3F" w:rsidP="000D453D">
      <w:pPr>
        <w:pStyle w:val="ListBullet"/>
        <w:numPr>
          <w:ilvl w:val="0"/>
          <w:numId w:val="0"/>
        </w:numPr>
        <w:ind w:left="720"/>
        <w:rPr>
          <w:rFonts w:ascii="Book Antiqua" w:hAnsi="Book Antiqua"/>
        </w:rPr>
      </w:pPr>
      <w:r w:rsidRPr="00E67C3F">
        <w:rPr>
          <w:rFonts w:ascii="Book Antiqua" w:hAnsi="Book Antiqua"/>
        </w:rPr>
        <w:lastRenderedPageBreak/>
        <w:t>Minutes of proposed consent orders must be sent in an editable Word document to costs.court@</w:t>
      </w:r>
      <w:r w:rsidR="00714A4B">
        <w:rPr>
          <w:rFonts w:ascii="Book Antiqua" w:hAnsi="Book Antiqua"/>
        </w:rPr>
        <w:t>supcourt</w:t>
      </w:r>
      <w:r w:rsidRPr="00E67C3F">
        <w:rPr>
          <w:rFonts w:ascii="Book Antiqua" w:hAnsi="Book Antiqua"/>
        </w:rPr>
        <w:t>.vic.gov.au as soon as practicable prior to the hearing and preferably no later than 4pm the day before the hearing.</w:t>
      </w:r>
    </w:p>
    <w:p w14:paraId="799786FC" w14:textId="77777777" w:rsidR="000D453D" w:rsidRDefault="000D453D" w:rsidP="000D453D">
      <w:pPr>
        <w:pStyle w:val="ListBullet"/>
        <w:numPr>
          <w:ilvl w:val="0"/>
          <w:numId w:val="0"/>
        </w:numPr>
        <w:ind w:left="720"/>
        <w:rPr>
          <w:rFonts w:ascii="Book Antiqua" w:hAnsi="Book Antiqua"/>
        </w:rPr>
      </w:pPr>
    </w:p>
    <w:p w14:paraId="6FA55431" w14:textId="3F6DFD34" w:rsidR="00E67C3F" w:rsidRPr="00E67C3F" w:rsidRDefault="00E67C3F" w:rsidP="000D453D">
      <w:pPr>
        <w:pStyle w:val="ListBullet"/>
        <w:numPr>
          <w:ilvl w:val="0"/>
          <w:numId w:val="0"/>
        </w:numPr>
        <w:ind w:left="720"/>
        <w:rPr>
          <w:rFonts w:ascii="Book Antiqua" w:hAnsi="Book Antiqua"/>
        </w:rPr>
      </w:pPr>
      <w:r w:rsidRPr="00E67C3F">
        <w:rPr>
          <w:rFonts w:ascii="Book Antiqua" w:hAnsi="Book Antiqua"/>
        </w:rPr>
        <w:t>Following the issue of proceedings, the point of contact for all Legal Profession Legislation matters is the Associate to Judicial Registrar Conidi, via:</w:t>
      </w:r>
    </w:p>
    <w:p w14:paraId="349BC36D" w14:textId="77777777" w:rsidR="00E67C3F" w:rsidRPr="00E67C3F" w:rsidRDefault="00E67C3F" w:rsidP="00920AC5">
      <w:pPr>
        <w:pStyle w:val="ListBullet"/>
        <w:numPr>
          <w:ilvl w:val="0"/>
          <w:numId w:val="0"/>
        </w:numPr>
        <w:ind w:left="720"/>
        <w:rPr>
          <w:rFonts w:ascii="Book Antiqua" w:hAnsi="Book Antiqua"/>
        </w:rPr>
      </w:pPr>
      <w:r w:rsidRPr="00E67C3F">
        <w:rPr>
          <w:rFonts w:ascii="Book Antiqua" w:hAnsi="Book Antiqua"/>
        </w:rPr>
        <w:t xml:space="preserve">Email: </w:t>
      </w:r>
      <w:r w:rsidRPr="00E67C3F">
        <w:rPr>
          <w:rFonts w:ascii="Book Antiqua" w:hAnsi="Book Antiqua"/>
        </w:rPr>
        <w:tab/>
        <w:t xml:space="preserve">costs.court@supcourt.vic.gov.au </w:t>
      </w:r>
    </w:p>
    <w:p w14:paraId="55C5EDDF" w14:textId="77777777" w:rsidR="00920AC5" w:rsidRPr="00E67C3F" w:rsidRDefault="00920AC5" w:rsidP="00920AC5">
      <w:pPr>
        <w:pStyle w:val="ListBullet"/>
        <w:numPr>
          <w:ilvl w:val="0"/>
          <w:numId w:val="0"/>
        </w:numPr>
        <w:ind w:left="720"/>
        <w:rPr>
          <w:rFonts w:ascii="Book Antiqua" w:hAnsi="Book Antiqua"/>
        </w:rPr>
      </w:pPr>
    </w:p>
    <w:p w14:paraId="152B3A65" w14:textId="30F64FD0" w:rsidR="00E67C3F" w:rsidRPr="00E67C3F" w:rsidRDefault="00920AC5" w:rsidP="00920AC5">
      <w:pPr>
        <w:pStyle w:val="ListBullet"/>
        <w:numPr>
          <w:ilvl w:val="0"/>
          <w:numId w:val="0"/>
        </w:numPr>
        <w:ind w:left="720" w:hanging="720"/>
        <w:rPr>
          <w:rFonts w:ascii="Book Antiqua" w:hAnsi="Book Antiqua"/>
        </w:rPr>
      </w:pPr>
      <w:r>
        <w:rPr>
          <w:rFonts w:ascii="Book Antiqua" w:hAnsi="Book Antiqua"/>
        </w:rPr>
        <w:t>10.</w:t>
      </w:r>
      <w:r w:rsidR="00656BCD">
        <w:rPr>
          <w:rFonts w:ascii="Book Antiqua" w:hAnsi="Book Antiqua"/>
        </w:rPr>
        <w:t>3</w:t>
      </w:r>
      <w:r>
        <w:rPr>
          <w:rFonts w:ascii="Book Antiqua" w:hAnsi="Book Antiqua"/>
        </w:rPr>
        <w:tab/>
      </w:r>
      <w:r w:rsidR="00E67C3F" w:rsidRPr="00E67C3F">
        <w:rPr>
          <w:rFonts w:ascii="Book Antiqua" w:hAnsi="Book Antiqua"/>
        </w:rPr>
        <w:t>No party should communicate either by email or by telephone directly with the Costs Registrars, unless otherwise advised. These communications must be to the Court, via:</w:t>
      </w:r>
    </w:p>
    <w:p w14:paraId="366BF701" w14:textId="77777777" w:rsidR="00E67C3F" w:rsidRPr="00E67C3F" w:rsidRDefault="00E67C3F" w:rsidP="00920AC5">
      <w:pPr>
        <w:pStyle w:val="ListBullet"/>
        <w:numPr>
          <w:ilvl w:val="0"/>
          <w:numId w:val="0"/>
        </w:numPr>
        <w:ind w:left="720"/>
        <w:rPr>
          <w:rFonts w:ascii="Book Antiqua" w:hAnsi="Book Antiqua"/>
        </w:rPr>
      </w:pPr>
      <w:r w:rsidRPr="00E67C3F">
        <w:rPr>
          <w:rFonts w:ascii="Book Antiqua" w:hAnsi="Book Antiqua"/>
        </w:rPr>
        <w:t>Email:</w:t>
      </w:r>
      <w:r w:rsidRPr="00E67C3F">
        <w:rPr>
          <w:rFonts w:ascii="Book Antiqua" w:hAnsi="Book Antiqua"/>
        </w:rPr>
        <w:tab/>
      </w:r>
      <w:r w:rsidRPr="00E67C3F">
        <w:rPr>
          <w:rFonts w:ascii="Book Antiqua" w:hAnsi="Book Antiqua"/>
        </w:rPr>
        <w:tab/>
        <w:t>costs.court@supcourt.vic.gov.au</w:t>
      </w:r>
    </w:p>
    <w:p w14:paraId="66EFB1AF" w14:textId="7460A18C" w:rsidR="00E67C3F" w:rsidRDefault="00E67C3F" w:rsidP="00920AC5">
      <w:pPr>
        <w:pStyle w:val="ListBullet"/>
        <w:numPr>
          <w:ilvl w:val="0"/>
          <w:numId w:val="0"/>
        </w:numPr>
        <w:ind w:left="720"/>
        <w:rPr>
          <w:rFonts w:ascii="Book Antiqua" w:hAnsi="Book Antiqua"/>
        </w:rPr>
      </w:pPr>
      <w:r w:rsidRPr="00E67C3F">
        <w:rPr>
          <w:rFonts w:ascii="Book Antiqua" w:hAnsi="Book Antiqua"/>
        </w:rPr>
        <w:t xml:space="preserve">Phone: </w:t>
      </w:r>
      <w:r w:rsidRPr="00E67C3F">
        <w:rPr>
          <w:rFonts w:ascii="Book Antiqua" w:hAnsi="Book Antiqua"/>
        </w:rPr>
        <w:tab/>
        <w:t xml:space="preserve">+61 (03) </w:t>
      </w:r>
      <w:r w:rsidR="00EF59BE">
        <w:rPr>
          <w:rFonts w:ascii="Book Antiqua" w:hAnsi="Book Antiqua"/>
        </w:rPr>
        <w:t>8600 2000</w:t>
      </w:r>
    </w:p>
    <w:p w14:paraId="4D92F8F6" w14:textId="611674D6" w:rsidR="00DC24A7" w:rsidRPr="006F60CF" w:rsidRDefault="00DC24A7" w:rsidP="00303C13">
      <w:pPr>
        <w:pStyle w:val="ListParagraph"/>
        <w:spacing w:before="120" w:after="240"/>
        <w:ind w:left="1440" w:hanging="720"/>
        <w:contextualSpacing w:val="0"/>
        <w:jc w:val="both"/>
        <w:rPr>
          <w:rFonts w:ascii="Book Antiqua" w:hAnsi="Book Antiqua"/>
          <w:sz w:val="24"/>
          <w:szCs w:val="24"/>
        </w:rPr>
      </w:pPr>
    </w:p>
    <w:p w14:paraId="1A65CAB7" w14:textId="77777777" w:rsidR="003817CD" w:rsidRPr="007917BE" w:rsidRDefault="00277B7B" w:rsidP="00011180">
      <w:pPr>
        <w:pStyle w:val="Heading1"/>
      </w:pPr>
      <w:r>
        <w:t>AMENDMENT HISTORY</w:t>
      </w:r>
    </w:p>
    <w:p w14:paraId="29922BBE" w14:textId="3A22778A" w:rsidR="000E0B04" w:rsidRDefault="009E2EFE" w:rsidP="00680452">
      <w:pPr>
        <w:spacing w:before="120" w:after="120"/>
        <w:ind w:left="2160" w:hanging="2160"/>
        <w:jc w:val="both"/>
        <w:rPr>
          <w:rFonts w:ascii="Book Antiqua" w:hAnsi="Book Antiqua"/>
        </w:rPr>
      </w:pPr>
      <w:r>
        <w:rPr>
          <w:rFonts w:ascii="Book Antiqua" w:hAnsi="Book Antiqua"/>
        </w:rPr>
        <w:t xml:space="preserve">1 December </w:t>
      </w:r>
      <w:r w:rsidR="000E0B04">
        <w:rPr>
          <w:rFonts w:ascii="Book Antiqua" w:hAnsi="Book Antiqua"/>
        </w:rPr>
        <w:t>2025:</w:t>
      </w:r>
      <w:r w:rsidR="000E0B04">
        <w:rPr>
          <w:rFonts w:ascii="Book Antiqua" w:hAnsi="Book Antiqua"/>
        </w:rPr>
        <w:tab/>
        <w:t xml:space="preserve">This </w:t>
      </w:r>
      <w:r w:rsidR="00904787">
        <w:rPr>
          <w:rFonts w:ascii="Book Antiqua" w:hAnsi="Book Antiqua"/>
        </w:rPr>
        <w:t>P</w:t>
      </w:r>
      <w:r w:rsidR="000E0B04">
        <w:rPr>
          <w:rFonts w:ascii="Book Antiqua" w:hAnsi="Book Antiqua"/>
        </w:rPr>
        <w:t xml:space="preserve">ractice Note was </w:t>
      </w:r>
      <w:r>
        <w:rPr>
          <w:rFonts w:ascii="Book Antiqua" w:hAnsi="Book Antiqua"/>
        </w:rPr>
        <w:t>revised on 1 D</w:t>
      </w:r>
      <w:r w:rsidR="00D356E2">
        <w:rPr>
          <w:rFonts w:ascii="Book Antiqua" w:hAnsi="Book Antiqua"/>
        </w:rPr>
        <w:t>e</w:t>
      </w:r>
      <w:r>
        <w:rPr>
          <w:rFonts w:ascii="Book Antiqua" w:hAnsi="Book Antiqua"/>
        </w:rPr>
        <w:t xml:space="preserve">cember 2025 to commence on 1 January 2026 together with Part 2 of the </w:t>
      </w:r>
      <w:r w:rsidRPr="00021A4D">
        <w:rPr>
          <w:rFonts w:ascii="Book Antiqua" w:hAnsi="Book Antiqua"/>
          <w:i/>
          <w:iCs/>
        </w:rPr>
        <w:t>Supreme Court (Chapter I Costs and Other Amendments) Rules 2025</w:t>
      </w:r>
      <w:r w:rsidR="00A0034A">
        <w:rPr>
          <w:rFonts w:ascii="Book Antiqua" w:hAnsi="Book Antiqua"/>
        </w:rPr>
        <w:t>.</w:t>
      </w:r>
      <w:r>
        <w:rPr>
          <w:rFonts w:ascii="Book Antiqua" w:hAnsi="Book Antiqua"/>
        </w:rPr>
        <w:t xml:space="preserve"> It applies to legal work done on or after 1 January 2026. It replaces the version issued on 29 November 2024. </w:t>
      </w:r>
    </w:p>
    <w:p w14:paraId="5336BB69" w14:textId="451AA0A8" w:rsidR="000A6F0D" w:rsidRDefault="00FB3A50" w:rsidP="00680452">
      <w:pPr>
        <w:spacing w:before="120" w:after="120"/>
        <w:ind w:left="2160" w:hanging="2160"/>
        <w:jc w:val="both"/>
        <w:rPr>
          <w:rFonts w:ascii="Book Antiqua" w:hAnsi="Book Antiqua"/>
        </w:rPr>
      </w:pPr>
      <w:r>
        <w:rPr>
          <w:rFonts w:ascii="Book Antiqua" w:hAnsi="Book Antiqua"/>
        </w:rPr>
        <w:t>29</w:t>
      </w:r>
      <w:r w:rsidR="000A6F0D">
        <w:rPr>
          <w:rFonts w:ascii="Book Antiqua" w:hAnsi="Book Antiqua"/>
        </w:rPr>
        <w:t xml:space="preserve"> November 2024:</w:t>
      </w:r>
      <w:r w:rsidR="000A6F0D">
        <w:rPr>
          <w:rFonts w:ascii="Book Antiqua" w:hAnsi="Book Antiqua"/>
        </w:rPr>
        <w:tab/>
        <w:t xml:space="preserve">This Practice Note was reissued on </w:t>
      </w:r>
      <w:r>
        <w:rPr>
          <w:rFonts w:ascii="Book Antiqua" w:hAnsi="Book Antiqua"/>
        </w:rPr>
        <w:t>29</w:t>
      </w:r>
      <w:r w:rsidR="00B76A0D">
        <w:rPr>
          <w:rFonts w:ascii="Book Antiqua" w:hAnsi="Book Antiqua"/>
        </w:rPr>
        <w:t xml:space="preserve"> November 2024 to commence 1 January 2025 </w:t>
      </w:r>
      <w:r w:rsidR="00096EDA">
        <w:rPr>
          <w:rFonts w:ascii="Book Antiqua" w:hAnsi="Book Antiqua"/>
        </w:rPr>
        <w:t xml:space="preserve">together with substantial amendments </w:t>
      </w:r>
      <w:r w:rsidR="00755998" w:rsidRPr="00755998">
        <w:rPr>
          <w:rFonts w:ascii="Book Antiqua" w:hAnsi="Book Antiqua"/>
        </w:rPr>
        <w:t>to Order 63 (Costs) of Chapter I of the Rules of the Supreme Court in relation to legal work done on and after 1 January 2025</w:t>
      </w:r>
      <w:r w:rsidR="00AE1909">
        <w:rPr>
          <w:rFonts w:ascii="Book Antiqua" w:hAnsi="Book Antiqua"/>
        </w:rPr>
        <w:t>.</w:t>
      </w:r>
      <w:r w:rsidR="00E100BE">
        <w:rPr>
          <w:rFonts w:ascii="Book Antiqua" w:hAnsi="Book Antiqua"/>
        </w:rPr>
        <w:t xml:space="preserve"> It replaces the </w:t>
      </w:r>
      <w:r w:rsidR="004608D1">
        <w:rPr>
          <w:rFonts w:ascii="Book Antiqua" w:hAnsi="Book Antiqua"/>
        </w:rPr>
        <w:t>version issued 1 October 2018. It reflects the content of the Notice to the Profession issued</w:t>
      </w:r>
      <w:r w:rsidR="006E4BB5">
        <w:rPr>
          <w:rFonts w:ascii="Book Antiqua" w:hAnsi="Book Antiqua"/>
        </w:rPr>
        <w:t xml:space="preserve"> 25 September 2024.</w:t>
      </w:r>
    </w:p>
    <w:p w14:paraId="4E1E7DAF" w14:textId="0A5753CE" w:rsidR="00210EFB" w:rsidRDefault="00210EFB" w:rsidP="00680452">
      <w:pPr>
        <w:spacing w:before="120" w:after="120"/>
        <w:ind w:left="2160" w:hanging="2160"/>
        <w:jc w:val="both"/>
        <w:rPr>
          <w:rFonts w:ascii="Book Antiqua" w:hAnsi="Book Antiqua"/>
        </w:rPr>
      </w:pPr>
      <w:r>
        <w:rPr>
          <w:rFonts w:ascii="Book Antiqua" w:hAnsi="Book Antiqua"/>
        </w:rPr>
        <w:t>1 October 2018:</w:t>
      </w:r>
      <w:r>
        <w:rPr>
          <w:rFonts w:ascii="Book Antiqua" w:hAnsi="Book Antiqua"/>
        </w:rPr>
        <w:tab/>
        <w:t>This Practice Note was reissued on 1 October 2018 and amends the version issued on 27 June 2017.</w:t>
      </w:r>
    </w:p>
    <w:p w14:paraId="02C88D0D" w14:textId="77777777" w:rsidR="00AB3FFA" w:rsidRPr="00277B7B" w:rsidRDefault="002F1CEE" w:rsidP="00680452">
      <w:pPr>
        <w:spacing w:before="120" w:after="120"/>
        <w:ind w:left="2160" w:hanging="2160"/>
        <w:jc w:val="both"/>
        <w:rPr>
          <w:rFonts w:ascii="Book Antiqua" w:hAnsi="Book Antiqua"/>
        </w:rPr>
      </w:pPr>
      <w:r>
        <w:rPr>
          <w:rFonts w:ascii="Book Antiqua" w:hAnsi="Book Antiqua"/>
        </w:rPr>
        <w:t>27 June</w:t>
      </w:r>
      <w:r w:rsidR="00277B7B" w:rsidRPr="00277B7B">
        <w:rPr>
          <w:rFonts w:ascii="Book Antiqua" w:hAnsi="Book Antiqua"/>
        </w:rPr>
        <w:t xml:space="preserve"> 201</w:t>
      </w:r>
      <w:r w:rsidR="001A6216">
        <w:rPr>
          <w:rFonts w:ascii="Book Antiqua" w:hAnsi="Book Antiqua"/>
        </w:rPr>
        <w:t>7</w:t>
      </w:r>
      <w:r w:rsidR="00277B7B" w:rsidRPr="00277B7B">
        <w:rPr>
          <w:rFonts w:ascii="Book Antiqua" w:hAnsi="Book Antiqua"/>
        </w:rPr>
        <w:t xml:space="preserve">: </w:t>
      </w:r>
      <w:r w:rsidR="00680452">
        <w:rPr>
          <w:rFonts w:ascii="Book Antiqua" w:hAnsi="Book Antiqua"/>
        </w:rPr>
        <w:tab/>
      </w:r>
      <w:r w:rsidR="00277B7B" w:rsidRPr="00277B7B">
        <w:rPr>
          <w:rFonts w:ascii="Book Antiqua" w:hAnsi="Book Antiqua"/>
        </w:rPr>
        <w:t>This Practice Note</w:t>
      </w:r>
      <w:r>
        <w:rPr>
          <w:rFonts w:ascii="Book Antiqua" w:hAnsi="Book Antiqua"/>
        </w:rPr>
        <w:t xml:space="preserve"> was issued on 27 June</w:t>
      </w:r>
      <w:r w:rsidR="00277B7B">
        <w:rPr>
          <w:rFonts w:ascii="Book Antiqua" w:hAnsi="Book Antiqua"/>
        </w:rPr>
        <w:t xml:space="preserve"> 201</w:t>
      </w:r>
      <w:r w:rsidR="001A6216">
        <w:rPr>
          <w:rFonts w:ascii="Book Antiqua" w:hAnsi="Book Antiqua"/>
        </w:rPr>
        <w:t>7</w:t>
      </w:r>
      <w:r w:rsidR="00277B7B">
        <w:rPr>
          <w:rFonts w:ascii="Book Antiqua" w:hAnsi="Book Antiqua"/>
        </w:rPr>
        <w:t xml:space="preserve"> and </w:t>
      </w:r>
      <w:r w:rsidR="00277B7B" w:rsidRPr="00277B7B">
        <w:rPr>
          <w:rFonts w:ascii="Book Antiqua" w:hAnsi="Book Antiqua"/>
        </w:rPr>
        <w:t>replace</w:t>
      </w:r>
      <w:r w:rsidR="00277B7B">
        <w:rPr>
          <w:rFonts w:ascii="Book Antiqua" w:hAnsi="Book Antiqua"/>
        </w:rPr>
        <w:t>d</w:t>
      </w:r>
      <w:r>
        <w:rPr>
          <w:rFonts w:ascii="Book Antiqua" w:hAnsi="Book Antiqua"/>
        </w:rPr>
        <w:t xml:space="preserve"> former Practice Note SC Gen 11</w:t>
      </w:r>
      <w:r w:rsidR="00210EFB">
        <w:rPr>
          <w:rFonts w:ascii="Book Antiqua" w:hAnsi="Book Antiqua"/>
        </w:rPr>
        <w:t xml:space="preserve"> issued on 30 January 2017</w:t>
      </w:r>
      <w:r w:rsidR="00005AE6">
        <w:rPr>
          <w:rFonts w:ascii="Book Antiqua" w:hAnsi="Book Antiqua"/>
        </w:rPr>
        <w:t>.</w:t>
      </w:r>
    </w:p>
    <w:p w14:paraId="62D7E378" w14:textId="77777777" w:rsidR="00277B7B" w:rsidRPr="007917BE" w:rsidRDefault="00277B7B" w:rsidP="00CD0331">
      <w:pPr>
        <w:spacing w:before="120" w:after="120"/>
        <w:ind w:left="720" w:hanging="720"/>
        <w:jc w:val="both"/>
        <w:rPr>
          <w:rFonts w:ascii="Book Antiqua" w:hAnsi="Book Antiqua"/>
        </w:rPr>
      </w:pPr>
    </w:p>
    <w:p w14:paraId="0F3E51D5" w14:textId="77777777" w:rsidR="00AB3FFA" w:rsidRPr="007917BE" w:rsidRDefault="00AB3FFA" w:rsidP="00CD0331">
      <w:pPr>
        <w:spacing w:before="120" w:after="120"/>
        <w:ind w:left="720" w:hanging="720"/>
        <w:jc w:val="both"/>
        <w:rPr>
          <w:rFonts w:ascii="Book Antiqua" w:hAnsi="Book Antiqua"/>
        </w:rPr>
      </w:pPr>
    </w:p>
    <w:p w14:paraId="64D61DB0" w14:textId="32995847" w:rsidR="00AB3FFA" w:rsidRPr="007917BE" w:rsidRDefault="00CA6C2C" w:rsidP="00CD0331">
      <w:pPr>
        <w:spacing w:before="120" w:after="120"/>
        <w:ind w:left="720" w:hanging="720"/>
        <w:jc w:val="right"/>
        <w:rPr>
          <w:rFonts w:ascii="Book Antiqua" w:hAnsi="Book Antiqua"/>
        </w:rPr>
      </w:pPr>
      <w:r>
        <w:rPr>
          <w:rFonts w:ascii="Book Antiqua" w:hAnsi="Book Antiqua"/>
        </w:rPr>
        <w:t>Vivienne Ma</w:t>
      </w:r>
      <w:r w:rsidR="003346F1">
        <w:rPr>
          <w:rFonts w:ascii="Book Antiqua" w:hAnsi="Book Antiqua"/>
        </w:rPr>
        <w:t>hy</w:t>
      </w:r>
    </w:p>
    <w:p w14:paraId="053DC374" w14:textId="77777777" w:rsidR="00AB3FFA" w:rsidRPr="007917BE" w:rsidRDefault="00AB3FFA" w:rsidP="00CD0331">
      <w:pPr>
        <w:spacing w:before="120" w:after="120"/>
        <w:ind w:left="720" w:hanging="720"/>
        <w:jc w:val="right"/>
        <w:rPr>
          <w:rFonts w:ascii="Book Antiqua" w:hAnsi="Book Antiqua"/>
        </w:rPr>
      </w:pPr>
      <w:r w:rsidRPr="007917BE">
        <w:rPr>
          <w:rFonts w:ascii="Book Antiqua" w:hAnsi="Book Antiqua"/>
        </w:rPr>
        <w:t>Executive Associate to the Chief Justice</w:t>
      </w:r>
    </w:p>
    <w:p w14:paraId="2D7FFCCD" w14:textId="4D8BBC34" w:rsidR="00571A89" w:rsidRDefault="00F002CF" w:rsidP="00CD0331">
      <w:pPr>
        <w:spacing w:before="120" w:after="120"/>
        <w:ind w:left="720" w:hanging="720"/>
        <w:jc w:val="right"/>
        <w:rPr>
          <w:rFonts w:ascii="Book Antiqua" w:hAnsi="Book Antiqua"/>
        </w:rPr>
      </w:pPr>
      <w:r>
        <w:rPr>
          <w:rFonts w:ascii="Book Antiqua" w:hAnsi="Book Antiqua"/>
        </w:rPr>
        <w:t>1 December 2025</w:t>
      </w:r>
    </w:p>
    <w:p w14:paraId="076A67AC" w14:textId="1A2DE3D9" w:rsidR="00571A89" w:rsidRDefault="00571A89">
      <w:pPr>
        <w:rPr>
          <w:rFonts w:ascii="Book Antiqua" w:hAnsi="Book Antiqua"/>
        </w:rPr>
      </w:pPr>
      <w:r>
        <w:rPr>
          <w:rFonts w:ascii="Book Antiqua" w:hAnsi="Book Antiqua"/>
        </w:rPr>
        <w:br w:type="page"/>
      </w:r>
    </w:p>
    <w:p w14:paraId="7ACA47F0" w14:textId="1A2DE3D9" w:rsidR="00571A89" w:rsidRPr="00E20C32" w:rsidRDefault="00571A89" w:rsidP="00011180">
      <w:pPr>
        <w:pStyle w:val="Heading1"/>
      </w:pPr>
      <w:bookmarkStart w:id="1" w:name="_Toc178173298"/>
      <w:r w:rsidRPr="00E20C32">
        <w:lastRenderedPageBreak/>
        <w:t>Annexure A</w:t>
      </w:r>
      <w:bookmarkEnd w:id="1"/>
    </w:p>
    <w:p w14:paraId="3D36C157" w14:textId="77777777" w:rsidR="00571A89" w:rsidRDefault="00571A89" w:rsidP="00571A89">
      <w:pPr>
        <w:rPr>
          <w:b/>
          <w:u w:val="single"/>
        </w:rPr>
      </w:pPr>
    </w:p>
    <w:p w14:paraId="78A409E2" w14:textId="77777777" w:rsidR="00571A89" w:rsidRDefault="00571A89" w:rsidP="00571A89">
      <w:pPr>
        <w:rPr>
          <w:b/>
          <w:u w:val="single"/>
        </w:rPr>
      </w:pPr>
    </w:p>
    <w:tbl>
      <w:tblPr>
        <w:tblW w:w="1084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96"/>
        <w:gridCol w:w="1715"/>
        <w:gridCol w:w="1703"/>
        <w:gridCol w:w="1527"/>
      </w:tblGrid>
      <w:tr w:rsidR="00571A89" w:rsidRPr="00CB324B" w14:paraId="273FC761" w14:textId="77777777" w:rsidTr="00ED7308">
        <w:trPr>
          <w:trHeight w:val="371"/>
        </w:trPr>
        <w:tc>
          <w:tcPr>
            <w:tcW w:w="5896" w:type="dxa"/>
          </w:tcPr>
          <w:p w14:paraId="481C16CA" w14:textId="77777777" w:rsidR="00571A89" w:rsidRPr="00CB324B" w:rsidRDefault="00571A89" w:rsidP="00ED7308">
            <w:pPr>
              <w:pStyle w:val="Default"/>
              <w:spacing w:before="120" w:after="120" w:line="276" w:lineRule="auto"/>
              <w:rPr>
                <w:color w:val="auto"/>
                <w:sz w:val="20"/>
                <w:szCs w:val="20"/>
              </w:rPr>
            </w:pPr>
            <w:r w:rsidRPr="00CB324B">
              <w:rPr>
                <w:noProof/>
                <w:sz w:val="20"/>
                <w:szCs w:val="20"/>
              </w:rPr>
              <mc:AlternateContent>
                <mc:Choice Requires="wps">
                  <w:drawing>
                    <wp:anchor distT="0" distB="0" distL="114300" distR="114300" simplePos="0" relativeHeight="251662848" behindDoc="0" locked="1" layoutInCell="1" allowOverlap="0" wp14:anchorId="6A3E351A" wp14:editId="6F882778">
                      <wp:simplePos x="0" y="0"/>
                      <wp:positionH relativeFrom="page">
                        <wp:posOffset>15240</wp:posOffset>
                      </wp:positionH>
                      <wp:positionV relativeFrom="page">
                        <wp:posOffset>-414020</wp:posOffset>
                      </wp:positionV>
                      <wp:extent cx="6250940" cy="397510"/>
                      <wp:effectExtent l="0" t="0" r="0" b="0"/>
                      <wp:wrapNone/>
                      <wp:docPr id="418487983" name="Text Box 4184879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0940" cy="3975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01EE7C" w14:textId="77777777" w:rsidR="00571A89" w:rsidRPr="00E859F1" w:rsidRDefault="00571A89" w:rsidP="00571A89">
                                  <w:pPr>
                                    <w:pStyle w:val="FactsheetTitle"/>
                                    <w:rPr>
                                      <w:sz w:val="32"/>
                                      <w:szCs w:val="32"/>
                                    </w:rPr>
                                  </w:pPr>
                                  <w:bookmarkStart w:id="2" w:name="_Toc175833591"/>
                                  <w:bookmarkStart w:id="3" w:name="_Toc175840729"/>
                                  <w:bookmarkStart w:id="4" w:name="_Toc178173299"/>
                                  <w:r w:rsidRPr="00E859F1">
                                    <w:rPr>
                                      <w:sz w:val="32"/>
                                      <w:szCs w:val="32"/>
                                    </w:rPr>
                                    <w:t>COSTS COURT</w:t>
                                  </w:r>
                                  <w:r>
                                    <w:rPr>
                                      <w:sz w:val="32"/>
                                      <w:szCs w:val="32"/>
                                    </w:rPr>
                                    <w:t xml:space="preserve"> </w:t>
                                  </w:r>
                                  <w:r w:rsidRPr="00E859F1">
                                    <w:rPr>
                                      <w:sz w:val="32"/>
                                      <w:szCs w:val="32"/>
                                    </w:rPr>
                                    <w:t>– Party Party Taxation Information Form</w:t>
                                  </w:r>
                                  <w:bookmarkEnd w:id="2"/>
                                  <w:bookmarkEnd w:id="3"/>
                                  <w:bookmarkEnd w:id="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3E351A" id="_x0000_t202" coordsize="21600,21600" o:spt="202" path="m,l,21600r21600,l21600,xe">
                      <v:stroke joinstyle="miter"/>
                      <v:path gradientshapeok="t" o:connecttype="rect"/>
                    </v:shapetype>
                    <v:shape id="Text Box 418487983" o:spid="_x0000_s1026" type="#_x0000_t202" style="position:absolute;margin-left:1.2pt;margin-top:-32.6pt;width:492.2pt;height:31.3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WJz/QEAAOcDAAAOAAAAZHJzL2Uyb0RvYy54bWysU8GO0zAQvSPxD5bvNG1pd2nUdLV0VYS0&#10;LEgLH+A4TmLheMzYbVK+nrHTdgvcED5Ynhn7zbw34/Xd0Bl2UOg12ILPJlPOlJVQadsU/NvX3Zt3&#10;nPkgbCUMWFXwo/L8bvP61bp3uZpDC6ZSyAjE+rx3BW9DcHmWedmqTvgJOGUpWAN2IpCJTVah6Am9&#10;M9l8Or3JesDKIUjlPXkfxiDfJPy6VjJ8rmuvAjMFp9pC2jHtZdyzzVrkDQrXankqQ/xDFZ3QlpJe&#10;oB5EEGyP+i+oTksED3WYSOgyqGstVeJAbGbTP9g8t8KpxIXE8e4ik/9/sPLp8Oy+IAvDexiogYmE&#10;d48gv3tmYdsK26h7ROhbJSpKPIuSZb3z+elplNrnPoKU/SeoqMliHyABDTV2URXiyQidGnC8iK6G&#10;wCQ5b+bL6WpBIUmxt6vb5Sx1JRP5+bVDHz4o6Fg8FBypqQldHB59iNWI/HwlJvNgdLXTxiQDm3Jr&#10;kB0EDcAurfGtca0Yved0frya8H7DMDYiWYiYY7roSRpE2qMAYSgHCkYtSqiOpAbCOG30O+jQAv7k&#10;rKdJK7j/sReoODMfLSm6mi0i/ZCMxfJ2TgZeR8rriLCSoAoeOBuP2zCO896hblrKNPbQwj11odZJ&#10;oJeqTnXTNCWep8mP43ptp1sv/3PzCwAA//8DAFBLAwQUAAYACAAAACEAI1lELt4AAAAIAQAADwAA&#10;AGRycy9kb3ducmV2LnhtbEyPwU7DMBBE70j9B2uRuKDWwYIohDgVquCAVJAIcHfiJUkbr6PYbcPf&#10;dznBcXdGM2+K9ewGccQp9J403KwSEEiNtz21Gj4/npcZiBANWTN4Qg0/GGBdLi4Kk1t/onc8VrEV&#10;HEIhNxq6GMdcytB06ExY+RGJtW8/ORP5nFppJ3PicDdIlSSpdKYnbujMiJsOm311cNz7NGfjV73d&#10;7F6q63qn3qh/zUjrq8v58QFExDn+meEXn9GhZKbaH8gGMWhQt2zUsEzvFAjW77OUp9T8USnIspD/&#10;B5RnAAAA//8DAFBLAQItABQABgAIAAAAIQC2gziS/gAAAOEBAAATAAAAAAAAAAAAAAAAAAAAAABb&#10;Q29udGVudF9UeXBlc10ueG1sUEsBAi0AFAAGAAgAAAAhADj9If/WAAAAlAEAAAsAAAAAAAAAAAAA&#10;AAAALwEAAF9yZWxzLy5yZWxzUEsBAi0AFAAGAAgAAAAhAJmhYnP9AQAA5wMAAA4AAAAAAAAAAAAA&#10;AAAALgIAAGRycy9lMm9Eb2MueG1sUEsBAi0AFAAGAAgAAAAhACNZRC7eAAAACAEAAA8AAAAAAAAA&#10;AAAAAAAAVwQAAGRycy9kb3ducmV2LnhtbFBLBQYAAAAABAAEAPMAAABiBQAAAAA=&#10;" o:allowoverlap="f" stroked="f">
                      <v:fill opacity="0"/>
                      <v:textbox>
                        <w:txbxContent>
                          <w:p w14:paraId="4801EE7C" w14:textId="77777777" w:rsidR="00571A89" w:rsidRPr="00E859F1" w:rsidRDefault="00571A89" w:rsidP="00571A89">
                            <w:pPr>
                              <w:pStyle w:val="FactsheetTitle"/>
                              <w:rPr>
                                <w:sz w:val="32"/>
                                <w:szCs w:val="32"/>
                              </w:rPr>
                            </w:pPr>
                            <w:bookmarkStart w:id="5" w:name="_Toc175833591"/>
                            <w:bookmarkStart w:id="6" w:name="_Toc175840729"/>
                            <w:bookmarkStart w:id="7" w:name="_Toc178173299"/>
                            <w:r w:rsidRPr="00E859F1">
                              <w:rPr>
                                <w:sz w:val="32"/>
                                <w:szCs w:val="32"/>
                              </w:rPr>
                              <w:t>COSTS COURT</w:t>
                            </w:r>
                            <w:r>
                              <w:rPr>
                                <w:sz w:val="32"/>
                                <w:szCs w:val="32"/>
                              </w:rPr>
                              <w:t xml:space="preserve"> </w:t>
                            </w:r>
                            <w:r w:rsidRPr="00E859F1">
                              <w:rPr>
                                <w:sz w:val="32"/>
                                <w:szCs w:val="32"/>
                              </w:rPr>
                              <w:t>– Party Party Taxation Information Form</w:t>
                            </w:r>
                            <w:bookmarkEnd w:id="5"/>
                            <w:bookmarkEnd w:id="6"/>
                            <w:bookmarkEnd w:id="7"/>
                          </w:p>
                        </w:txbxContent>
                      </v:textbox>
                      <w10:wrap anchorx="page" anchory="page"/>
                      <w10:anchorlock/>
                    </v:shape>
                  </w:pict>
                </mc:Fallback>
              </mc:AlternateContent>
            </w:r>
            <w:r w:rsidRPr="00CB324B">
              <w:rPr>
                <w:rFonts w:ascii="Arial" w:hAnsi="Arial" w:cs="Arial"/>
                <w:b/>
                <w:bCs/>
                <w:color w:val="auto"/>
                <w:sz w:val="20"/>
                <w:szCs w:val="20"/>
              </w:rPr>
              <w:t xml:space="preserve">Hearing Return Date </w:t>
            </w:r>
            <w:r w:rsidRPr="00CB324B">
              <w:rPr>
                <w:rFonts w:ascii="Arial" w:hAnsi="Arial" w:cs="Arial"/>
                <w:color w:val="auto"/>
                <w:sz w:val="20"/>
                <w:szCs w:val="20"/>
              </w:rPr>
              <w:t xml:space="preserve">(Court Use Only) </w:t>
            </w:r>
          </w:p>
        </w:tc>
        <w:tc>
          <w:tcPr>
            <w:tcW w:w="4945" w:type="dxa"/>
            <w:gridSpan w:val="3"/>
          </w:tcPr>
          <w:p w14:paraId="78A32E9A" w14:textId="77777777" w:rsidR="00571A89" w:rsidRPr="00CB324B" w:rsidRDefault="00571A89" w:rsidP="00ED7308">
            <w:pPr>
              <w:pStyle w:val="Default"/>
              <w:ind w:left="720"/>
              <w:rPr>
                <w:rFonts w:ascii="Arial" w:hAnsi="Arial" w:cs="Arial"/>
                <w:color w:val="auto"/>
                <w:sz w:val="20"/>
                <w:szCs w:val="20"/>
              </w:rPr>
            </w:pPr>
          </w:p>
        </w:tc>
      </w:tr>
      <w:tr w:rsidR="00571A89" w:rsidRPr="00CB324B" w14:paraId="38311A9F" w14:textId="77777777" w:rsidTr="00ED7308">
        <w:trPr>
          <w:trHeight w:val="84"/>
        </w:trPr>
        <w:tc>
          <w:tcPr>
            <w:tcW w:w="5896" w:type="dxa"/>
          </w:tcPr>
          <w:p w14:paraId="54D08A69" w14:textId="77777777" w:rsidR="00571A89" w:rsidRPr="00CB324B" w:rsidRDefault="00571A89" w:rsidP="00ED7308">
            <w:pPr>
              <w:pStyle w:val="Default"/>
              <w:spacing w:before="120" w:after="120" w:line="276" w:lineRule="auto"/>
              <w:rPr>
                <w:rFonts w:ascii="Arial" w:hAnsi="Arial" w:cs="Arial"/>
                <w:color w:val="auto"/>
                <w:sz w:val="20"/>
                <w:szCs w:val="20"/>
              </w:rPr>
            </w:pPr>
            <w:r w:rsidRPr="00CB324B">
              <w:rPr>
                <w:rFonts w:ascii="Arial" w:hAnsi="Arial" w:cs="Arial"/>
                <w:b/>
                <w:bCs/>
                <w:color w:val="auto"/>
                <w:sz w:val="20"/>
                <w:szCs w:val="20"/>
              </w:rPr>
              <w:t xml:space="preserve">Proceeding number: </w:t>
            </w:r>
          </w:p>
        </w:tc>
        <w:tc>
          <w:tcPr>
            <w:tcW w:w="4945" w:type="dxa"/>
            <w:gridSpan w:val="3"/>
          </w:tcPr>
          <w:p w14:paraId="5F5AC47F" w14:textId="77777777" w:rsidR="00571A89" w:rsidRPr="00CB324B" w:rsidRDefault="00571A89" w:rsidP="00ED7308">
            <w:pPr>
              <w:pStyle w:val="Default"/>
              <w:rPr>
                <w:rFonts w:ascii="Arial" w:hAnsi="Arial" w:cs="Arial"/>
                <w:b/>
                <w:bCs/>
                <w:color w:val="auto"/>
                <w:sz w:val="20"/>
                <w:szCs w:val="20"/>
              </w:rPr>
            </w:pPr>
          </w:p>
        </w:tc>
      </w:tr>
      <w:tr w:rsidR="00571A89" w:rsidRPr="00CB324B" w14:paraId="69D7660D" w14:textId="77777777" w:rsidTr="00ED7308">
        <w:trPr>
          <w:trHeight w:val="485"/>
        </w:trPr>
        <w:tc>
          <w:tcPr>
            <w:tcW w:w="5896" w:type="dxa"/>
          </w:tcPr>
          <w:p w14:paraId="4ED72179" w14:textId="77777777" w:rsidR="00571A89" w:rsidRPr="00CB324B" w:rsidRDefault="00571A89" w:rsidP="00ED7308">
            <w:pPr>
              <w:pStyle w:val="Default"/>
              <w:spacing w:before="120" w:after="120" w:line="276" w:lineRule="auto"/>
              <w:rPr>
                <w:rFonts w:ascii="Arial" w:hAnsi="Arial" w:cs="Arial"/>
                <w:color w:val="auto"/>
                <w:sz w:val="20"/>
                <w:szCs w:val="20"/>
              </w:rPr>
            </w:pPr>
            <w:r w:rsidRPr="00CB324B">
              <w:rPr>
                <w:rFonts w:ascii="Arial" w:hAnsi="Arial" w:cs="Arial"/>
                <w:b/>
                <w:bCs/>
                <w:color w:val="auto"/>
                <w:sz w:val="20"/>
                <w:szCs w:val="20"/>
              </w:rPr>
              <w:t xml:space="preserve">Estimated time required for taxation hearing: </w:t>
            </w:r>
          </w:p>
        </w:tc>
        <w:tc>
          <w:tcPr>
            <w:tcW w:w="4945" w:type="dxa"/>
            <w:gridSpan w:val="3"/>
          </w:tcPr>
          <w:p w14:paraId="2E2C0563" w14:textId="77777777" w:rsidR="00571A89" w:rsidRPr="00CB324B" w:rsidRDefault="00571A89" w:rsidP="00ED7308">
            <w:pPr>
              <w:pStyle w:val="Default"/>
              <w:rPr>
                <w:rFonts w:ascii="Arial" w:hAnsi="Arial" w:cs="Arial"/>
                <w:b/>
                <w:bCs/>
                <w:color w:val="auto"/>
                <w:sz w:val="20"/>
                <w:szCs w:val="20"/>
              </w:rPr>
            </w:pPr>
          </w:p>
        </w:tc>
      </w:tr>
      <w:tr w:rsidR="00571A89" w:rsidRPr="00CB324B" w14:paraId="508B0225" w14:textId="77777777" w:rsidTr="00ED7308">
        <w:trPr>
          <w:trHeight w:val="323"/>
        </w:trPr>
        <w:tc>
          <w:tcPr>
            <w:tcW w:w="5896" w:type="dxa"/>
          </w:tcPr>
          <w:p w14:paraId="0772FEAE" w14:textId="77777777" w:rsidR="00571A89" w:rsidRPr="00CB324B" w:rsidRDefault="00571A89" w:rsidP="00ED7308">
            <w:pPr>
              <w:pStyle w:val="Default"/>
              <w:spacing w:before="120" w:after="60" w:line="276" w:lineRule="auto"/>
              <w:rPr>
                <w:rFonts w:ascii="Arial" w:hAnsi="Arial" w:cs="Arial"/>
                <w:color w:val="auto"/>
                <w:sz w:val="20"/>
                <w:szCs w:val="20"/>
              </w:rPr>
            </w:pPr>
            <w:r w:rsidRPr="00CB324B">
              <w:rPr>
                <w:rFonts w:ascii="Arial" w:hAnsi="Arial" w:cs="Arial"/>
                <w:b/>
                <w:bCs/>
                <w:color w:val="auto"/>
                <w:sz w:val="20"/>
                <w:szCs w:val="20"/>
              </w:rPr>
              <w:t>Relevant order, agreement or Rule</w:t>
            </w:r>
          </w:p>
          <w:p w14:paraId="61A119A6" w14:textId="77777777" w:rsidR="00571A89" w:rsidRPr="00CB324B" w:rsidRDefault="00571A89" w:rsidP="00ED7308">
            <w:pPr>
              <w:pStyle w:val="Default"/>
              <w:spacing w:before="60" w:after="120" w:line="276" w:lineRule="auto"/>
              <w:rPr>
                <w:rFonts w:ascii="Arial" w:hAnsi="Arial" w:cs="Arial"/>
                <w:color w:val="auto"/>
                <w:sz w:val="20"/>
                <w:szCs w:val="20"/>
              </w:rPr>
            </w:pPr>
            <w:r w:rsidRPr="00CB324B">
              <w:rPr>
                <w:rFonts w:ascii="Arial" w:hAnsi="Arial" w:cs="Arial"/>
                <w:color w:val="auto"/>
                <w:sz w:val="20"/>
                <w:szCs w:val="20"/>
              </w:rPr>
              <w:t xml:space="preserve">Identify and summarise the court order, the agreement or the Rule that establishes the entitlement to costs. </w:t>
            </w:r>
          </w:p>
        </w:tc>
        <w:tc>
          <w:tcPr>
            <w:tcW w:w="4945" w:type="dxa"/>
            <w:gridSpan w:val="3"/>
          </w:tcPr>
          <w:p w14:paraId="7C61D73C" w14:textId="77777777" w:rsidR="00571A89" w:rsidRPr="00CB324B" w:rsidRDefault="00571A89" w:rsidP="00ED7308">
            <w:pPr>
              <w:pStyle w:val="Default"/>
              <w:rPr>
                <w:rFonts w:ascii="Arial" w:hAnsi="Arial" w:cs="Arial"/>
                <w:b/>
                <w:bCs/>
                <w:color w:val="auto"/>
                <w:sz w:val="20"/>
                <w:szCs w:val="20"/>
              </w:rPr>
            </w:pPr>
          </w:p>
        </w:tc>
      </w:tr>
      <w:tr w:rsidR="00571A89" w:rsidRPr="00CB324B" w14:paraId="1E0DFEB1" w14:textId="77777777" w:rsidTr="00ED7308">
        <w:trPr>
          <w:trHeight w:val="323"/>
        </w:trPr>
        <w:tc>
          <w:tcPr>
            <w:tcW w:w="5896" w:type="dxa"/>
          </w:tcPr>
          <w:p w14:paraId="7FDE2E43" w14:textId="77777777" w:rsidR="00571A89" w:rsidRPr="00CB324B" w:rsidRDefault="00571A89" w:rsidP="00ED7308">
            <w:pPr>
              <w:pStyle w:val="Default"/>
              <w:spacing w:before="120" w:after="120" w:line="276" w:lineRule="auto"/>
              <w:rPr>
                <w:rFonts w:ascii="Arial" w:hAnsi="Arial" w:cs="Arial"/>
                <w:color w:val="auto"/>
                <w:sz w:val="20"/>
                <w:szCs w:val="20"/>
              </w:rPr>
            </w:pPr>
            <w:r w:rsidRPr="00CB324B">
              <w:rPr>
                <w:rFonts w:ascii="Arial" w:hAnsi="Arial" w:cs="Arial"/>
                <w:b/>
                <w:bCs/>
                <w:color w:val="auto"/>
                <w:sz w:val="20"/>
                <w:szCs w:val="20"/>
              </w:rPr>
              <w:t xml:space="preserve">Media neutral citation of relevant judgment or copy thereof or short summary of principal litigation </w:t>
            </w:r>
          </w:p>
        </w:tc>
        <w:tc>
          <w:tcPr>
            <w:tcW w:w="4945" w:type="dxa"/>
            <w:gridSpan w:val="3"/>
          </w:tcPr>
          <w:p w14:paraId="09A1C4F7" w14:textId="77777777" w:rsidR="00571A89" w:rsidRPr="00CB324B" w:rsidRDefault="00571A89" w:rsidP="00ED7308">
            <w:pPr>
              <w:pStyle w:val="Default"/>
              <w:rPr>
                <w:rFonts w:ascii="Arial" w:hAnsi="Arial" w:cs="Arial"/>
                <w:b/>
                <w:bCs/>
                <w:color w:val="auto"/>
                <w:sz w:val="20"/>
                <w:szCs w:val="20"/>
              </w:rPr>
            </w:pPr>
          </w:p>
        </w:tc>
      </w:tr>
      <w:tr w:rsidR="00571A89" w:rsidRPr="00CB324B" w14:paraId="77CE63E7" w14:textId="77777777" w:rsidTr="00ED7308">
        <w:trPr>
          <w:trHeight w:val="220"/>
        </w:trPr>
        <w:tc>
          <w:tcPr>
            <w:tcW w:w="5896" w:type="dxa"/>
          </w:tcPr>
          <w:p w14:paraId="19F0804E" w14:textId="77777777" w:rsidR="00571A89" w:rsidRPr="00CB324B" w:rsidRDefault="00571A89" w:rsidP="00ED7308">
            <w:pPr>
              <w:pStyle w:val="Default"/>
              <w:spacing w:before="120" w:after="60" w:line="276" w:lineRule="auto"/>
              <w:rPr>
                <w:rFonts w:ascii="Arial" w:hAnsi="Arial" w:cs="Arial"/>
                <w:color w:val="auto"/>
                <w:sz w:val="20"/>
                <w:szCs w:val="20"/>
              </w:rPr>
            </w:pPr>
            <w:r w:rsidRPr="00CB324B">
              <w:rPr>
                <w:rFonts w:ascii="Arial" w:hAnsi="Arial" w:cs="Arial"/>
                <w:b/>
                <w:bCs/>
                <w:color w:val="auto"/>
                <w:sz w:val="20"/>
                <w:szCs w:val="20"/>
              </w:rPr>
              <w:t xml:space="preserve">Who is bringing the application? </w:t>
            </w:r>
          </w:p>
          <w:p w14:paraId="3A76E60F" w14:textId="77777777" w:rsidR="00571A89" w:rsidRPr="00CB324B" w:rsidRDefault="00571A89" w:rsidP="00ED7308">
            <w:pPr>
              <w:pStyle w:val="Default"/>
              <w:spacing w:before="60" w:after="120" w:line="276" w:lineRule="auto"/>
              <w:rPr>
                <w:rFonts w:ascii="Arial" w:hAnsi="Arial" w:cs="Arial"/>
                <w:color w:val="auto"/>
                <w:sz w:val="20"/>
                <w:szCs w:val="20"/>
              </w:rPr>
            </w:pPr>
            <w:r w:rsidRPr="00CB324B">
              <w:rPr>
                <w:rFonts w:ascii="Arial" w:hAnsi="Arial" w:cs="Arial"/>
                <w:color w:val="auto"/>
                <w:sz w:val="20"/>
                <w:szCs w:val="20"/>
              </w:rPr>
              <w:t xml:space="preserve">Party type and name of party. </w:t>
            </w:r>
          </w:p>
        </w:tc>
        <w:tc>
          <w:tcPr>
            <w:tcW w:w="4945" w:type="dxa"/>
            <w:gridSpan w:val="3"/>
            <w:tcBorders>
              <w:bottom w:val="single" w:sz="4" w:space="0" w:color="auto"/>
            </w:tcBorders>
          </w:tcPr>
          <w:p w14:paraId="7E64B05A" w14:textId="77777777" w:rsidR="00571A89" w:rsidRPr="00CB324B" w:rsidRDefault="00571A89" w:rsidP="00ED7308">
            <w:pPr>
              <w:pStyle w:val="Default"/>
              <w:rPr>
                <w:rFonts w:ascii="Arial" w:hAnsi="Arial" w:cs="Arial"/>
                <w:b/>
                <w:bCs/>
                <w:color w:val="auto"/>
                <w:sz w:val="20"/>
                <w:szCs w:val="20"/>
              </w:rPr>
            </w:pPr>
          </w:p>
        </w:tc>
      </w:tr>
      <w:tr w:rsidR="00571A89" w:rsidRPr="00CB324B" w14:paraId="10419273" w14:textId="77777777" w:rsidTr="00ED7308">
        <w:trPr>
          <w:trHeight w:val="220"/>
        </w:trPr>
        <w:tc>
          <w:tcPr>
            <w:tcW w:w="5896" w:type="dxa"/>
          </w:tcPr>
          <w:p w14:paraId="43DB94D2" w14:textId="77777777" w:rsidR="00571A89" w:rsidRPr="00CB324B" w:rsidRDefault="00571A89" w:rsidP="00ED7308">
            <w:pPr>
              <w:pStyle w:val="Default"/>
              <w:spacing w:before="120" w:after="60" w:line="276" w:lineRule="auto"/>
              <w:rPr>
                <w:rFonts w:ascii="Arial" w:hAnsi="Arial" w:cs="Arial"/>
                <w:b/>
                <w:bCs/>
                <w:color w:val="auto"/>
                <w:sz w:val="20"/>
                <w:szCs w:val="20"/>
              </w:rPr>
            </w:pPr>
            <w:r w:rsidRPr="00CB324B">
              <w:rPr>
                <w:rFonts w:ascii="Arial" w:hAnsi="Arial" w:cs="Arial"/>
                <w:b/>
                <w:bCs/>
                <w:color w:val="auto"/>
                <w:sz w:val="20"/>
                <w:szCs w:val="20"/>
              </w:rPr>
              <w:t>Do the claims under Appendix A arise mainly under:</w:t>
            </w:r>
          </w:p>
          <w:p w14:paraId="59E91886" w14:textId="77777777" w:rsidR="00571A89" w:rsidRPr="00CB324B" w:rsidRDefault="00571A89" w:rsidP="00ED7308">
            <w:pPr>
              <w:pStyle w:val="Default"/>
              <w:spacing w:before="120" w:after="60" w:line="276" w:lineRule="auto"/>
              <w:rPr>
                <w:rFonts w:ascii="Arial" w:hAnsi="Arial" w:cs="Arial"/>
                <w:b/>
                <w:bCs/>
                <w:color w:val="auto"/>
                <w:sz w:val="20"/>
                <w:szCs w:val="20"/>
              </w:rPr>
            </w:pPr>
            <w:r w:rsidRPr="00CB324B">
              <w:rPr>
                <w:rFonts w:ascii="Arial" w:hAnsi="Arial" w:cs="Arial"/>
                <w:b/>
                <w:bCs/>
                <w:color w:val="auto"/>
                <w:sz w:val="20"/>
                <w:szCs w:val="20"/>
              </w:rPr>
              <w:t xml:space="preserve">(a) Section </w:t>
            </w:r>
            <w:proofErr w:type="gramStart"/>
            <w:r w:rsidRPr="00CB324B">
              <w:rPr>
                <w:rFonts w:ascii="Arial" w:hAnsi="Arial" w:cs="Arial"/>
                <w:b/>
                <w:bCs/>
                <w:color w:val="auto"/>
                <w:sz w:val="20"/>
                <w:szCs w:val="20"/>
              </w:rPr>
              <w:t>1;</w:t>
            </w:r>
            <w:proofErr w:type="gramEnd"/>
            <w:r w:rsidRPr="00CB324B">
              <w:rPr>
                <w:rFonts w:ascii="Arial" w:hAnsi="Arial" w:cs="Arial"/>
                <w:b/>
                <w:bCs/>
                <w:color w:val="auto"/>
                <w:sz w:val="20"/>
                <w:szCs w:val="20"/>
              </w:rPr>
              <w:t xml:space="preserve"> </w:t>
            </w:r>
          </w:p>
          <w:p w14:paraId="5E5EBD85" w14:textId="77777777" w:rsidR="00571A89" w:rsidRPr="00CB324B" w:rsidRDefault="00571A89" w:rsidP="00ED7308">
            <w:pPr>
              <w:pStyle w:val="Default"/>
              <w:spacing w:before="120" w:after="60" w:line="276" w:lineRule="auto"/>
              <w:rPr>
                <w:rFonts w:ascii="Arial" w:hAnsi="Arial" w:cs="Arial"/>
                <w:b/>
                <w:bCs/>
                <w:color w:val="auto"/>
                <w:sz w:val="20"/>
                <w:szCs w:val="20"/>
              </w:rPr>
            </w:pPr>
            <w:r w:rsidRPr="00CB324B">
              <w:rPr>
                <w:rFonts w:ascii="Arial" w:hAnsi="Arial" w:cs="Arial"/>
                <w:b/>
                <w:bCs/>
                <w:color w:val="auto"/>
                <w:sz w:val="20"/>
                <w:szCs w:val="20"/>
              </w:rPr>
              <w:t>(b) Section 3; or</w:t>
            </w:r>
          </w:p>
          <w:p w14:paraId="73998648" w14:textId="77777777" w:rsidR="00571A89" w:rsidRPr="00CB324B" w:rsidRDefault="00571A89" w:rsidP="00ED7308">
            <w:pPr>
              <w:pStyle w:val="Default"/>
              <w:spacing w:before="120" w:after="60" w:line="276" w:lineRule="auto"/>
              <w:rPr>
                <w:rFonts w:ascii="Arial" w:hAnsi="Arial" w:cs="Arial"/>
                <w:b/>
                <w:bCs/>
                <w:color w:val="auto"/>
                <w:sz w:val="20"/>
                <w:szCs w:val="20"/>
              </w:rPr>
            </w:pPr>
            <w:r w:rsidRPr="00CB324B">
              <w:rPr>
                <w:rFonts w:ascii="Arial" w:hAnsi="Arial" w:cs="Arial"/>
                <w:b/>
                <w:bCs/>
                <w:color w:val="auto"/>
                <w:sz w:val="20"/>
                <w:szCs w:val="20"/>
              </w:rPr>
              <w:t xml:space="preserve">(c) some other (and what) Section of Appendix A? </w:t>
            </w:r>
          </w:p>
        </w:tc>
        <w:tc>
          <w:tcPr>
            <w:tcW w:w="4945" w:type="dxa"/>
            <w:gridSpan w:val="3"/>
            <w:tcBorders>
              <w:bottom w:val="single" w:sz="4" w:space="0" w:color="auto"/>
            </w:tcBorders>
          </w:tcPr>
          <w:p w14:paraId="63C178BB" w14:textId="77777777" w:rsidR="00571A89" w:rsidRPr="00CB324B" w:rsidRDefault="00571A89" w:rsidP="00ED7308">
            <w:pPr>
              <w:pStyle w:val="Default"/>
              <w:rPr>
                <w:rFonts w:ascii="Arial" w:hAnsi="Arial" w:cs="Arial"/>
                <w:b/>
                <w:bCs/>
                <w:color w:val="auto"/>
                <w:sz w:val="20"/>
                <w:szCs w:val="20"/>
              </w:rPr>
            </w:pPr>
          </w:p>
        </w:tc>
      </w:tr>
      <w:tr w:rsidR="00571A89" w:rsidRPr="00CB324B" w14:paraId="5AB66101" w14:textId="77777777" w:rsidTr="00ED7308">
        <w:trPr>
          <w:trHeight w:val="220"/>
        </w:trPr>
        <w:tc>
          <w:tcPr>
            <w:tcW w:w="5896" w:type="dxa"/>
          </w:tcPr>
          <w:p w14:paraId="3E9C0A90" w14:textId="77777777" w:rsidR="00571A89" w:rsidRPr="00CB324B" w:rsidRDefault="00571A89" w:rsidP="00ED7308">
            <w:pPr>
              <w:pStyle w:val="Default"/>
              <w:spacing w:before="120" w:after="60" w:line="276" w:lineRule="auto"/>
              <w:rPr>
                <w:rFonts w:ascii="Arial" w:hAnsi="Arial" w:cs="Arial"/>
                <w:b/>
                <w:bCs/>
                <w:color w:val="auto"/>
                <w:sz w:val="20"/>
                <w:szCs w:val="20"/>
              </w:rPr>
            </w:pPr>
            <w:r w:rsidRPr="00CB324B">
              <w:rPr>
                <w:rFonts w:ascii="Arial" w:hAnsi="Arial" w:cs="Arial"/>
                <w:b/>
                <w:bCs/>
                <w:color w:val="auto"/>
                <w:sz w:val="20"/>
                <w:szCs w:val="20"/>
              </w:rPr>
              <w:t>Will an application claiming rates above the maximums in the scale be made?</w:t>
            </w:r>
          </w:p>
          <w:p w14:paraId="034E066A" w14:textId="77777777" w:rsidR="00571A89" w:rsidRPr="00CB324B" w:rsidRDefault="00571A89" w:rsidP="00ED7308">
            <w:pPr>
              <w:pStyle w:val="Default"/>
              <w:spacing w:before="120" w:after="60" w:line="276" w:lineRule="auto"/>
              <w:rPr>
                <w:rFonts w:ascii="Arial" w:hAnsi="Arial" w:cs="Arial"/>
                <w:b/>
                <w:bCs/>
                <w:color w:val="auto"/>
                <w:sz w:val="20"/>
                <w:szCs w:val="20"/>
              </w:rPr>
            </w:pPr>
            <w:r w:rsidRPr="00CB324B">
              <w:rPr>
                <w:rFonts w:ascii="Arial" w:hAnsi="Arial" w:cs="Arial"/>
                <w:b/>
                <w:bCs/>
                <w:color w:val="auto"/>
                <w:sz w:val="20"/>
                <w:szCs w:val="20"/>
              </w:rPr>
              <w:t>For the amounts in Section 1 of the Scale    YES          NO</w:t>
            </w:r>
          </w:p>
          <w:p w14:paraId="6358CAA6" w14:textId="77777777" w:rsidR="00571A89" w:rsidRPr="00CB324B" w:rsidRDefault="00571A89" w:rsidP="00ED7308">
            <w:pPr>
              <w:pStyle w:val="Default"/>
              <w:spacing w:before="120" w:after="60" w:line="276" w:lineRule="auto"/>
              <w:rPr>
                <w:rFonts w:ascii="Arial" w:hAnsi="Arial" w:cs="Arial"/>
                <w:b/>
                <w:bCs/>
                <w:color w:val="auto"/>
                <w:sz w:val="20"/>
                <w:szCs w:val="20"/>
              </w:rPr>
            </w:pPr>
            <w:r w:rsidRPr="00CB324B">
              <w:rPr>
                <w:rFonts w:ascii="Arial" w:hAnsi="Arial" w:cs="Arial"/>
                <w:b/>
                <w:bCs/>
                <w:color w:val="auto"/>
                <w:sz w:val="20"/>
                <w:szCs w:val="20"/>
              </w:rPr>
              <w:t>For the amounts in Section 4 of the Scale    YES          NO</w:t>
            </w:r>
          </w:p>
        </w:tc>
        <w:tc>
          <w:tcPr>
            <w:tcW w:w="4945" w:type="dxa"/>
            <w:gridSpan w:val="3"/>
            <w:tcBorders>
              <w:bottom w:val="single" w:sz="4" w:space="0" w:color="auto"/>
            </w:tcBorders>
          </w:tcPr>
          <w:p w14:paraId="606340B6" w14:textId="77777777" w:rsidR="00571A89" w:rsidRPr="00CB324B" w:rsidRDefault="00571A89" w:rsidP="00ED7308">
            <w:pPr>
              <w:pStyle w:val="Default"/>
              <w:spacing w:line="276" w:lineRule="auto"/>
              <w:rPr>
                <w:rFonts w:ascii="Arial" w:hAnsi="Arial" w:cs="Arial"/>
                <w:b/>
                <w:bCs/>
                <w:color w:val="auto"/>
                <w:sz w:val="20"/>
                <w:szCs w:val="20"/>
              </w:rPr>
            </w:pPr>
            <w:r w:rsidRPr="00CB324B">
              <w:rPr>
                <w:rFonts w:ascii="Arial" w:hAnsi="Arial" w:cs="Arial"/>
                <w:b/>
                <w:bCs/>
                <w:color w:val="auto"/>
                <w:sz w:val="20"/>
                <w:szCs w:val="20"/>
              </w:rPr>
              <w:t xml:space="preserve">Details </w:t>
            </w:r>
          </w:p>
        </w:tc>
      </w:tr>
      <w:tr w:rsidR="00571A89" w:rsidRPr="00CB324B" w14:paraId="296E8334" w14:textId="77777777" w:rsidTr="00ED7308">
        <w:trPr>
          <w:trHeight w:val="457"/>
        </w:trPr>
        <w:tc>
          <w:tcPr>
            <w:tcW w:w="5896" w:type="dxa"/>
          </w:tcPr>
          <w:p w14:paraId="21B449DE" w14:textId="77777777" w:rsidR="00571A89" w:rsidRPr="00CB324B" w:rsidRDefault="00571A89" w:rsidP="00ED7308">
            <w:pPr>
              <w:pStyle w:val="Default"/>
              <w:spacing w:before="120" w:after="120" w:line="276" w:lineRule="auto"/>
              <w:rPr>
                <w:rFonts w:ascii="Arial" w:hAnsi="Arial" w:cs="Arial"/>
                <w:b/>
                <w:bCs/>
                <w:color w:val="auto"/>
                <w:sz w:val="20"/>
                <w:szCs w:val="20"/>
              </w:rPr>
            </w:pPr>
            <w:r w:rsidRPr="00CB324B">
              <w:rPr>
                <w:rFonts w:ascii="Arial" w:hAnsi="Arial" w:cs="Arial"/>
                <w:b/>
                <w:bCs/>
                <w:color w:val="auto"/>
                <w:sz w:val="20"/>
                <w:szCs w:val="20"/>
              </w:rPr>
              <w:t>Amount of costs claimed</w:t>
            </w:r>
          </w:p>
          <w:p w14:paraId="1C828FB5" w14:textId="77777777" w:rsidR="00571A89" w:rsidRPr="00CB324B" w:rsidRDefault="00571A89" w:rsidP="00ED7308">
            <w:pPr>
              <w:pStyle w:val="Default"/>
              <w:spacing w:before="120" w:after="120" w:line="276" w:lineRule="auto"/>
              <w:rPr>
                <w:rFonts w:ascii="Arial" w:hAnsi="Arial" w:cs="Arial"/>
                <w:bCs/>
                <w:color w:val="auto"/>
                <w:sz w:val="20"/>
                <w:szCs w:val="20"/>
              </w:rPr>
            </w:pPr>
            <w:r w:rsidRPr="00CB324B">
              <w:rPr>
                <w:rFonts w:ascii="Arial" w:hAnsi="Arial" w:cs="Arial"/>
                <w:bCs/>
                <w:color w:val="auto"/>
                <w:sz w:val="20"/>
                <w:szCs w:val="20"/>
              </w:rPr>
              <w:t xml:space="preserve">The </w:t>
            </w:r>
            <w:proofErr w:type="gramStart"/>
            <w:r w:rsidRPr="00CB324B">
              <w:rPr>
                <w:rFonts w:ascii="Arial" w:hAnsi="Arial" w:cs="Arial"/>
                <w:bCs/>
                <w:color w:val="auto"/>
                <w:sz w:val="20"/>
                <w:szCs w:val="20"/>
              </w:rPr>
              <w:t>amount</w:t>
            </w:r>
            <w:proofErr w:type="gramEnd"/>
            <w:r w:rsidRPr="00CB324B">
              <w:rPr>
                <w:rFonts w:ascii="Arial" w:hAnsi="Arial" w:cs="Arial"/>
                <w:bCs/>
                <w:color w:val="auto"/>
                <w:sz w:val="20"/>
                <w:szCs w:val="20"/>
              </w:rPr>
              <w:t xml:space="preserve"> of professional charges and disbursements claimed in the bill of costs </w:t>
            </w:r>
          </w:p>
        </w:tc>
        <w:tc>
          <w:tcPr>
            <w:tcW w:w="1715" w:type="dxa"/>
            <w:tcBorders>
              <w:right w:val="single" w:sz="4" w:space="0" w:color="auto"/>
            </w:tcBorders>
          </w:tcPr>
          <w:p w14:paraId="57CFE639" w14:textId="77777777" w:rsidR="00571A89" w:rsidRPr="00CB324B" w:rsidRDefault="00571A89" w:rsidP="00ED7308">
            <w:pPr>
              <w:pStyle w:val="Default"/>
              <w:spacing w:before="60" w:after="60"/>
              <w:rPr>
                <w:rFonts w:ascii="Arial" w:hAnsi="Arial" w:cs="Arial"/>
                <w:b/>
                <w:bCs/>
                <w:color w:val="auto"/>
                <w:sz w:val="20"/>
                <w:szCs w:val="20"/>
              </w:rPr>
            </w:pPr>
            <w:r w:rsidRPr="00CB324B">
              <w:rPr>
                <w:rFonts w:ascii="Arial" w:hAnsi="Arial" w:cs="Arial"/>
                <w:b/>
                <w:bCs/>
                <w:color w:val="auto"/>
                <w:sz w:val="20"/>
                <w:szCs w:val="20"/>
              </w:rPr>
              <w:t>Professional charges</w:t>
            </w:r>
          </w:p>
          <w:p w14:paraId="5DBFFFE2" w14:textId="77777777" w:rsidR="00571A89" w:rsidRPr="00CB324B" w:rsidRDefault="00571A89" w:rsidP="00ED7308">
            <w:pPr>
              <w:pStyle w:val="Default"/>
              <w:spacing w:before="60"/>
              <w:rPr>
                <w:rFonts w:ascii="Arial" w:hAnsi="Arial" w:cs="Arial"/>
                <w:b/>
                <w:bCs/>
                <w:color w:val="auto"/>
                <w:sz w:val="20"/>
                <w:szCs w:val="20"/>
              </w:rPr>
            </w:pPr>
            <w:r w:rsidRPr="00CB324B">
              <w:rPr>
                <w:rFonts w:ascii="Arial" w:hAnsi="Arial" w:cs="Arial"/>
                <w:b/>
                <w:bCs/>
                <w:color w:val="auto"/>
                <w:sz w:val="20"/>
                <w:szCs w:val="20"/>
              </w:rPr>
              <w:t>$</w:t>
            </w:r>
          </w:p>
        </w:tc>
        <w:tc>
          <w:tcPr>
            <w:tcW w:w="1703" w:type="dxa"/>
            <w:tcBorders>
              <w:left w:val="single" w:sz="4" w:space="0" w:color="auto"/>
              <w:right w:val="single" w:sz="4" w:space="0" w:color="auto"/>
            </w:tcBorders>
          </w:tcPr>
          <w:p w14:paraId="29C85F83" w14:textId="77777777" w:rsidR="00571A89" w:rsidRPr="00CB324B" w:rsidRDefault="00571A89" w:rsidP="00ED7308">
            <w:pPr>
              <w:pStyle w:val="Default"/>
              <w:spacing w:before="60"/>
              <w:rPr>
                <w:rFonts w:ascii="Arial" w:hAnsi="Arial" w:cs="Arial"/>
                <w:b/>
                <w:bCs/>
                <w:color w:val="auto"/>
                <w:sz w:val="20"/>
                <w:szCs w:val="20"/>
              </w:rPr>
            </w:pPr>
            <w:r w:rsidRPr="00CB324B">
              <w:rPr>
                <w:rFonts w:ascii="Arial" w:hAnsi="Arial" w:cs="Arial"/>
                <w:b/>
                <w:bCs/>
                <w:color w:val="auto"/>
                <w:sz w:val="20"/>
                <w:szCs w:val="20"/>
              </w:rPr>
              <w:t xml:space="preserve">Disbursements </w:t>
            </w:r>
          </w:p>
          <w:p w14:paraId="0704F956" w14:textId="77777777" w:rsidR="00571A89" w:rsidRPr="00CB324B" w:rsidRDefault="00571A89" w:rsidP="00ED7308">
            <w:pPr>
              <w:pStyle w:val="Default"/>
              <w:spacing w:before="60"/>
              <w:rPr>
                <w:rFonts w:ascii="Arial" w:hAnsi="Arial" w:cs="Arial"/>
                <w:b/>
                <w:bCs/>
                <w:color w:val="auto"/>
                <w:sz w:val="20"/>
                <w:szCs w:val="20"/>
              </w:rPr>
            </w:pPr>
          </w:p>
          <w:p w14:paraId="64DE1C6D" w14:textId="77777777" w:rsidR="00571A89" w:rsidRPr="00CB324B" w:rsidRDefault="00571A89" w:rsidP="00ED7308">
            <w:pPr>
              <w:pStyle w:val="Default"/>
              <w:spacing w:before="60" w:after="60"/>
              <w:rPr>
                <w:rFonts w:ascii="Arial" w:hAnsi="Arial" w:cs="Arial"/>
                <w:b/>
                <w:bCs/>
                <w:color w:val="auto"/>
                <w:sz w:val="20"/>
                <w:szCs w:val="20"/>
              </w:rPr>
            </w:pPr>
            <w:r w:rsidRPr="00CB324B">
              <w:rPr>
                <w:rFonts w:ascii="Arial" w:hAnsi="Arial" w:cs="Arial"/>
                <w:b/>
                <w:bCs/>
                <w:color w:val="auto"/>
                <w:sz w:val="20"/>
                <w:szCs w:val="20"/>
              </w:rPr>
              <w:t>$</w:t>
            </w:r>
          </w:p>
        </w:tc>
        <w:tc>
          <w:tcPr>
            <w:tcW w:w="1527" w:type="dxa"/>
            <w:tcBorders>
              <w:left w:val="single" w:sz="4" w:space="0" w:color="auto"/>
            </w:tcBorders>
          </w:tcPr>
          <w:p w14:paraId="37F566AD" w14:textId="77777777" w:rsidR="00571A89" w:rsidRPr="00CB324B" w:rsidRDefault="00571A89" w:rsidP="00ED7308">
            <w:pPr>
              <w:pStyle w:val="Default"/>
              <w:spacing w:before="60"/>
              <w:rPr>
                <w:rFonts w:ascii="Arial" w:hAnsi="Arial" w:cs="Arial"/>
                <w:b/>
                <w:bCs/>
                <w:color w:val="auto"/>
                <w:sz w:val="20"/>
                <w:szCs w:val="20"/>
              </w:rPr>
            </w:pPr>
            <w:r w:rsidRPr="00CB324B">
              <w:rPr>
                <w:rFonts w:ascii="Arial" w:hAnsi="Arial" w:cs="Arial"/>
                <w:b/>
                <w:bCs/>
                <w:color w:val="auto"/>
                <w:sz w:val="20"/>
                <w:szCs w:val="20"/>
              </w:rPr>
              <w:t>Total</w:t>
            </w:r>
          </w:p>
          <w:p w14:paraId="5C70D5F6" w14:textId="77777777" w:rsidR="00571A89" w:rsidRPr="00CB324B" w:rsidRDefault="00571A89" w:rsidP="00ED7308">
            <w:pPr>
              <w:pStyle w:val="Default"/>
              <w:spacing w:before="60"/>
              <w:rPr>
                <w:rFonts w:ascii="Arial" w:hAnsi="Arial" w:cs="Arial"/>
                <w:b/>
                <w:bCs/>
                <w:color w:val="auto"/>
                <w:sz w:val="20"/>
                <w:szCs w:val="20"/>
              </w:rPr>
            </w:pPr>
          </w:p>
          <w:p w14:paraId="6FCD1369" w14:textId="77777777" w:rsidR="00571A89" w:rsidRPr="00CB324B" w:rsidRDefault="00571A89" w:rsidP="00ED7308">
            <w:pPr>
              <w:pStyle w:val="Default"/>
              <w:spacing w:before="60"/>
              <w:rPr>
                <w:rFonts w:ascii="Arial" w:hAnsi="Arial" w:cs="Arial"/>
                <w:b/>
                <w:bCs/>
                <w:color w:val="auto"/>
                <w:sz w:val="20"/>
                <w:szCs w:val="20"/>
              </w:rPr>
            </w:pPr>
            <w:r w:rsidRPr="00CB324B">
              <w:rPr>
                <w:rFonts w:ascii="Arial" w:hAnsi="Arial" w:cs="Arial"/>
                <w:b/>
                <w:bCs/>
                <w:color w:val="auto"/>
                <w:sz w:val="20"/>
                <w:szCs w:val="20"/>
              </w:rPr>
              <w:t>$</w:t>
            </w:r>
          </w:p>
        </w:tc>
      </w:tr>
      <w:tr w:rsidR="00571A89" w:rsidRPr="00CB324B" w14:paraId="38F96122" w14:textId="77777777" w:rsidTr="00ED7308">
        <w:trPr>
          <w:trHeight w:val="634"/>
        </w:trPr>
        <w:tc>
          <w:tcPr>
            <w:tcW w:w="5896" w:type="dxa"/>
          </w:tcPr>
          <w:p w14:paraId="0FAC36A3" w14:textId="77777777" w:rsidR="00571A89" w:rsidRPr="00CB324B" w:rsidRDefault="00571A89" w:rsidP="00ED7308">
            <w:pPr>
              <w:spacing w:before="60" w:after="60"/>
              <w:rPr>
                <w:rFonts w:ascii="Arial" w:hAnsi="Arial" w:cs="Arial"/>
                <w:b/>
                <w:sz w:val="20"/>
                <w:szCs w:val="20"/>
              </w:rPr>
            </w:pPr>
            <w:r w:rsidRPr="00CB324B">
              <w:rPr>
                <w:rFonts w:ascii="Arial" w:hAnsi="Arial" w:cs="Arial"/>
                <w:b/>
                <w:sz w:val="20"/>
                <w:szCs w:val="20"/>
              </w:rPr>
              <w:t xml:space="preserve">Any reason why the matter should be referred to a directions hearing – e.g. self-represented litigant as applicant or respondent.   </w:t>
            </w:r>
          </w:p>
        </w:tc>
        <w:tc>
          <w:tcPr>
            <w:tcW w:w="4945" w:type="dxa"/>
            <w:gridSpan w:val="3"/>
          </w:tcPr>
          <w:p w14:paraId="5CB8CF66" w14:textId="77777777" w:rsidR="00571A89" w:rsidRPr="00CB324B" w:rsidRDefault="00571A89" w:rsidP="00ED7308">
            <w:pPr>
              <w:pStyle w:val="Default"/>
              <w:rPr>
                <w:rFonts w:ascii="Arial" w:hAnsi="Arial" w:cs="Arial"/>
                <w:b/>
                <w:bCs/>
                <w:color w:val="auto"/>
                <w:sz w:val="20"/>
                <w:szCs w:val="20"/>
              </w:rPr>
            </w:pPr>
          </w:p>
        </w:tc>
      </w:tr>
      <w:tr w:rsidR="00571A89" w:rsidRPr="00CB324B" w14:paraId="7ED0C300" w14:textId="77777777" w:rsidTr="00ED7308">
        <w:trPr>
          <w:trHeight w:val="187"/>
        </w:trPr>
        <w:tc>
          <w:tcPr>
            <w:tcW w:w="5896" w:type="dxa"/>
          </w:tcPr>
          <w:p w14:paraId="52103077" w14:textId="77777777" w:rsidR="00571A89" w:rsidRPr="00CB324B" w:rsidRDefault="00571A89" w:rsidP="00ED7308">
            <w:pPr>
              <w:pStyle w:val="Default"/>
              <w:spacing w:before="120" w:after="120" w:line="276" w:lineRule="auto"/>
              <w:rPr>
                <w:rFonts w:ascii="Arial" w:hAnsi="Arial" w:cs="Arial"/>
                <w:b/>
                <w:bCs/>
                <w:color w:val="auto"/>
                <w:sz w:val="20"/>
                <w:szCs w:val="20"/>
              </w:rPr>
            </w:pPr>
            <w:r w:rsidRPr="00CB324B">
              <w:rPr>
                <w:rFonts w:ascii="Arial" w:hAnsi="Arial" w:cs="Arial"/>
                <w:b/>
                <w:bCs/>
                <w:color w:val="auto"/>
                <w:sz w:val="20"/>
                <w:szCs w:val="20"/>
              </w:rPr>
              <w:t>Is the matter likely to be opposed/unopposed/</w:t>
            </w:r>
            <w:r w:rsidRPr="00CB324B">
              <w:rPr>
                <w:rFonts w:ascii="Arial" w:hAnsi="Arial" w:cs="Arial"/>
                <w:b/>
                <w:bCs/>
                <w:i/>
                <w:iCs/>
                <w:color w:val="auto"/>
                <w:sz w:val="20"/>
                <w:szCs w:val="20"/>
              </w:rPr>
              <w:t xml:space="preserve">ex </w:t>
            </w:r>
            <w:proofErr w:type="spellStart"/>
            <w:r w:rsidRPr="00CB324B">
              <w:rPr>
                <w:rFonts w:ascii="Arial" w:hAnsi="Arial" w:cs="Arial"/>
                <w:b/>
                <w:bCs/>
                <w:i/>
                <w:iCs/>
                <w:color w:val="auto"/>
                <w:sz w:val="20"/>
                <w:szCs w:val="20"/>
              </w:rPr>
              <w:t>parte</w:t>
            </w:r>
            <w:proofErr w:type="spellEnd"/>
            <w:r w:rsidRPr="00CB324B">
              <w:rPr>
                <w:rFonts w:ascii="Arial" w:hAnsi="Arial" w:cs="Arial"/>
                <w:b/>
                <w:bCs/>
                <w:color w:val="auto"/>
                <w:sz w:val="20"/>
                <w:szCs w:val="20"/>
              </w:rPr>
              <w:t>/by consent?</w:t>
            </w:r>
          </w:p>
          <w:p w14:paraId="52201A46" w14:textId="77777777" w:rsidR="00571A89" w:rsidRPr="00CB324B" w:rsidRDefault="00571A89" w:rsidP="00ED7308">
            <w:pPr>
              <w:pStyle w:val="Default"/>
              <w:spacing w:before="120" w:after="120" w:line="276" w:lineRule="auto"/>
              <w:rPr>
                <w:rFonts w:ascii="Arial" w:hAnsi="Arial" w:cs="Arial"/>
                <w:b/>
                <w:bCs/>
                <w:color w:val="auto"/>
                <w:sz w:val="20"/>
                <w:szCs w:val="20"/>
              </w:rPr>
            </w:pPr>
            <w:r w:rsidRPr="00CB324B">
              <w:rPr>
                <w:rFonts w:ascii="Arial" w:hAnsi="Arial" w:cs="Arial"/>
                <w:b/>
                <w:bCs/>
                <w:color w:val="auto"/>
                <w:sz w:val="20"/>
                <w:szCs w:val="20"/>
              </w:rPr>
              <w:t xml:space="preserve">If by consent, attached signed minutes of consent order. </w:t>
            </w:r>
          </w:p>
        </w:tc>
        <w:tc>
          <w:tcPr>
            <w:tcW w:w="4945" w:type="dxa"/>
            <w:gridSpan w:val="3"/>
          </w:tcPr>
          <w:p w14:paraId="349CCF7D" w14:textId="77777777" w:rsidR="00571A89" w:rsidRPr="00CB324B" w:rsidRDefault="00571A89" w:rsidP="00ED7308">
            <w:pPr>
              <w:pStyle w:val="Default"/>
              <w:rPr>
                <w:rFonts w:ascii="Arial" w:hAnsi="Arial" w:cs="Arial"/>
                <w:b/>
                <w:bCs/>
                <w:color w:val="auto"/>
                <w:sz w:val="20"/>
                <w:szCs w:val="20"/>
              </w:rPr>
            </w:pPr>
          </w:p>
        </w:tc>
      </w:tr>
      <w:tr w:rsidR="00571A89" w:rsidRPr="00CB324B" w14:paraId="129536A9" w14:textId="77777777" w:rsidTr="00ED7308">
        <w:trPr>
          <w:trHeight w:val="187"/>
        </w:trPr>
        <w:tc>
          <w:tcPr>
            <w:tcW w:w="5896" w:type="dxa"/>
          </w:tcPr>
          <w:p w14:paraId="29D5D9FA" w14:textId="77777777" w:rsidR="00571A89" w:rsidRPr="00CB324B" w:rsidRDefault="00571A89" w:rsidP="00ED7308">
            <w:pPr>
              <w:pStyle w:val="Default"/>
              <w:spacing w:before="120" w:after="120" w:line="276" w:lineRule="auto"/>
              <w:rPr>
                <w:rFonts w:ascii="Arial" w:hAnsi="Arial" w:cs="Arial"/>
                <w:b/>
                <w:bCs/>
                <w:color w:val="auto"/>
                <w:sz w:val="20"/>
                <w:szCs w:val="20"/>
              </w:rPr>
            </w:pPr>
            <w:r w:rsidRPr="00CB324B">
              <w:rPr>
                <w:rFonts w:ascii="Arial" w:hAnsi="Arial" w:cs="Arial"/>
                <w:b/>
                <w:bCs/>
                <w:color w:val="auto"/>
                <w:sz w:val="20"/>
                <w:szCs w:val="20"/>
              </w:rPr>
              <w:t xml:space="preserve">Details of respondent’s legal practitioner if known </w:t>
            </w:r>
          </w:p>
        </w:tc>
        <w:tc>
          <w:tcPr>
            <w:tcW w:w="4945" w:type="dxa"/>
            <w:gridSpan w:val="3"/>
          </w:tcPr>
          <w:p w14:paraId="0C1812C8" w14:textId="77777777" w:rsidR="00571A89" w:rsidRPr="00CB324B" w:rsidRDefault="00571A89" w:rsidP="00ED7308">
            <w:pPr>
              <w:pStyle w:val="Default"/>
              <w:rPr>
                <w:rFonts w:ascii="Arial" w:hAnsi="Arial" w:cs="Arial"/>
                <w:b/>
                <w:bCs/>
                <w:color w:val="auto"/>
                <w:sz w:val="20"/>
                <w:szCs w:val="20"/>
              </w:rPr>
            </w:pPr>
          </w:p>
        </w:tc>
      </w:tr>
      <w:tr w:rsidR="00571A89" w:rsidRPr="00CB324B" w14:paraId="127E0BB0" w14:textId="77777777" w:rsidTr="00ED7308">
        <w:trPr>
          <w:trHeight w:val="84"/>
        </w:trPr>
        <w:tc>
          <w:tcPr>
            <w:tcW w:w="5896" w:type="dxa"/>
          </w:tcPr>
          <w:p w14:paraId="015EA71F" w14:textId="77777777" w:rsidR="00571A89" w:rsidRPr="00CB324B" w:rsidRDefault="00571A89" w:rsidP="00ED7308">
            <w:pPr>
              <w:pStyle w:val="Default"/>
              <w:spacing w:before="120" w:after="120" w:line="276" w:lineRule="auto"/>
              <w:rPr>
                <w:rFonts w:ascii="Arial" w:hAnsi="Arial" w:cs="Arial"/>
                <w:b/>
                <w:bCs/>
                <w:color w:val="auto"/>
                <w:sz w:val="20"/>
                <w:szCs w:val="20"/>
              </w:rPr>
            </w:pPr>
            <w:r w:rsidRPr="00CB324B">
              <w:rPr>
                <w:rFonts w:ascii="Arial" w:hAnsi="Arial" w:cs="Arial"/>
                <w:b/>
                <w:bCs/>
                <w:color w:val="auto"/>
                <w:sz w:val="20"/>
                <w:szCs w:val="20"/>
              </w:rPr>
              <w:t xml:space="preserve">Applicant’s firm name: </w:t>
            </w:r>
          </w:p>
        </w:tc>
        <w:tc>
          <w:tcPr>
            <w:tcW w:w="4945" w:type="dxa"/>
            <w:gridSpan w:val="3"/>
          </w:tcPr>
          <w:p w14:paraId="273E0CCE" w14:textId="77777777" w:rsidR="00571A89" w:rsidRPr="00CB324B" w:rsidRDefault="00571A89" w:rsidP="00ED7308">
            <w:pPr>
              <w:pStyle w:val="Default"/>
              <w:rPr>
                <w:rFonts w:ascii="Arial" w:hAnsi="Arial" w:cs="Arial"/>
                <w:b/>
                <w:bCs/>
                <w:color w:val="auto"/>
                <w:sz w:val="20"/>
                <w:szCs w:val="20"/>
              </w:rPr>
            </w:pPr>
          </w:p>
        </w:tc>
      </w:tr>
      <w:tr w:rsidR="00571A89" w:rsidRPr="00CB324B" w14:paraId="6CD4B0DD" w14:textId="77777777" w:rsidTr="00ED7308">
        <w:trPr>
          <w:trHeight w:val="84"/>
        </w:trPr>
        <w:tc>
          <w:tcPr>
            <w:tcW w:w="5896" w:type="dxa"/>
          </w:tcPr>
          <w:p w14:paraId="08931D8B" w14:textId="77777777" w:rsidR="00571A89" w:rsidRPr="00CB324B" w:rsidRDefault="00571A89" w:rsidP="00ED7308">
            <w:pPr>
              <w:pStyle w:val="Default"/>
              <w:spacing w:before="120" w:after="120" w:line="276" w:lineRule="auto"/>
              <w:rPr>
                <w:rFonts w:ascii="Arial" w:hAnsi="Arial" w:cs="Arial"/>
                <w:b/>
                <w:bCs/>
                <w:color w:val="auto"/>
                <w:sz w:val="20"/>
                <w:szCs w:val="20"/>
              </w:rPr>
            </w:pPr>
            <w:r w:rsidRPr="00CB324B">
              <w:rPr>
                <w:rFonts w:ascii="Arial" w:hAnsi="Arial" w:cs="Arial"/>
                <w:b/>
                <w:bCs/>
                <w:color w:val="auto"/>
                <w:sz w:val="20"/>
                <w:szCs w:val="20"/>
              </w:rPr>
              <w:t xml:space="preserve">Practitioner with conduct: </w:t>
            </w:r>
          </w:p>
        </w:tc>
        <w:tc>
          <w:tcPr>
            <w:tcW w:w="4945" w:type="dxa"/>
            <w:gridSpan w:val="3"/>
          </w:tcPr>
          <w:p w14:paraId="0EE11AFA" w14:textId="77777777" w:rsidR="00571A89" w:rsidRPr="00CB324B" w:rsidRDefault="00571A89" w:rsidP="00ED7308">
            <w:pPr>
              <w:pStyle w:val="Default"/>
              <w:rPr>
                <w:rFonts w:ascii="Arial" w:hAnsi="Arial" w:cs="Arial"/>
                <w:b/>
                <w:bCs/>
                <w:color w:val="auto"/>
                <w:sz w:val="20"/>
                <w:szCs w:val="20"/>
              </w:rPr>
            </w:pPr>
          </w:p>
        </w:tc>
      </w:tr>
      <w:tr w:rsidR="00571A89" w:rsidRPr="00CB324B" w14:paraId="3C6BF88D" w14:textId="77777777" w:rsidTr="00ED7308">
        <w:trPr>
          <w:trHeight w:val="84"/>
        </w:trPr>
        <w:tc>
          <w:tcPr>
            <w:tcW w:w="5896" w:type="dxa"/>
          </w:tcPr>
          <w:p w14:paraId="3691EDC8" w14:textId="77777777" w:rsidR="00571A89" w:rsidRPr="00CB324B" w:rsidRDefault="00571A89" w:rsidP="00ED7308">
            <w:pPr>
              <w:pStyle w:val="Default"/>
              <w:spacing w:before="120" w:after="120" w:line="276" w:lineRule="auto"/>
              <w:rPr>
                <w:rFonts w:ascii="Arial" w:hAnsi="Arial" w:cs="Arial"/>
                <w:b/>
                <w:bCs/>
                <w:color w:val="auto"/>
                <w:sz w:val="20"/>
                <w:szCs w:val="20"/>
              </w:rPr>
            </w:pPr>
            <w:r w:rsidRPr="00CB324B">
              <w:rPr>
                <w:rFonts w:ascii="Arial" w:hAnsi="Arial" w:cs="Arial"/>
                <w:b/>
                <w:bCs/>
                <w:color w:val="auto"/>
                <w:sz w:val="20"/>
                <w:szCs w:val="20"/>
              </w:rPr>
              <w:t xml:space="preserve">Costs lawyer or consultant who drew the bill </w:t>
            </w:r>
          </w:p>
        </w:tc>
        <w:tc>
          <w:tcPr>
            <w:tcW w:w="4945" w:type="dxa"/>
            <w:gridSpan w:val="3"/>
          </w:tcPr>
          <w:p w14:paraId="175BEBA6" w14:textId="77777777" w:rsidR="00571A89" w:rsidRPr="00CB324B" w:rsidRDefault="00571A89" w:rsidP="00ED7308">
            <w:pPr>
              <w:pStyle w:val="Default"/>
              <w:rPr>
                <w:rFonts w:ascii="Arial" w:hAnsi="Arial" w:cs="Arial"/>
                <w:b/>
                <w:bCs/>
                <w:color w:val="auto"/>
                <w:sz w:val="20"/>
                <w:szCs w:val="20"/>
              </w:rPr>
            </w:pPr>
          </w:p>
        </w:tc>
      </w:tr>
      <w:tr w:rsidR="00571A89" w:rsidRPr="00CB324B" w14:paraId="52C1591E" w14:textId="77777777" w:rsidTr="00ED7308">
        <w:trPr>
          <w:trHeight w:val="84"/>
        </w:trPr>
        <w:tc>
          <w:tcPr>
            <w:tcW w:w="5896" w:type="dxa"/>
          </w:tcPr>
          <w:p w14:paraId="152B0A5F" w14:textId="77777777" w:rsidR="00571A89" w:rsidRPr="00CB324B" w:rsidRDefault="00571A89" w:rsidP="00ED7308">
            <w:pPr>
              <w:pStyle w:val="Default"/>
              <w:spacing w:before="120" w:after="120" w:line="276" w:lineRule="auto"/>
              <w:rPr>
                <w:rFonts w:ascii="Arial" w:hAnsi="Arial" w:cs="Arial"/>
                <w:b/>
                <w:bCs/>
                <w:color w:val="auto"/>
                <w:sz w:val="20"/>
                <w:szCs w:val="20"/>
              </w:rPr>
            </w:pPr>
            <w:r w:rsidRPr="00CB324B">
              <w:rPr>
                <w:rFonts w:ascii="Arial" w:hAnsi="Arial" w:cs="Arial"/>
                <w:b/>
                <w:bCs/>
                <w:color w:val="auto"/>
                <w:sz w:val="20"/>
                <w:szCs w:val="20"/>
              </w:rPr>
              <w:lastRenderedPageBreak/>
              <w:t xml:space="preserve">Direct telephone number: </w:t>
            </w:r>
          </w:p>
        </w:tc>
        <w:tc>
          <w:tcPr>
            <w:tcW w:w="4945" w:type="dxa"/>
            <w:gridSpan w:val="3"/>
          </w:tcPr>
          <w:p w14:paraId="2F39AD7D" w14:textId="77777777" w:rsidR="00571A89" w:rsidRPr="00CB324B" w:rsidRDefault="00571A89" w:rsidP="00ED7308">
            <w:pPr>
              <w:pStyle w:val="Default"/>
              <w:rPr>
                <w:rFonts w:ascii="Arial" w:hAnsi="Arial" w:cs="Arial"/>
                <w:b/>
                <w:bCs/>
                <w:color w:val="auto"/>
                <w:sz w:val="20"/>
                <w:szCs w:val="20"/>
              </w:rPr>
            </w:pPr>
          </w:p>
        </w:tc>
      </w:tr>
      <w:tr w:rsidR="00571A89" w:rsidRPr="00CB324B" w14:paraId="4EC609AB" w14:textId="77777777" w:rsidTr="00ED7308">
        <w:trPr>
          <w:trHeight w:val="84"/>
        </w:trPr>
        <w:tc>
          <w:tcPr>
            <w:tcW w:w="5896" w:type="dxa"/>
          </w:tcPr>
          <w:p w14:paraId="5E84C364" w14:textId="77777777" w:rsidR="00571A89" w:rsidRPr="00CB324B" w:rsidRDefault="00571A89" w:rsidP="00ED7308">
            <w:pPr>
              <w:pStyle w:val="Default"/>
              <w:spacing w:before="120" w:after="120" w:line="276" w:lineRule="auto"/>
              <w:rPr>
                <w:rFonts w:ascii="Arial" w:hAnsi="Arial" w:cs="Arial"/>
                <w:b/>
                <w:bCs/>
                <w:color w:val="auto"/>
                <w:sz w:val="20"/>
                <w:szCs w:val="20"/>
              </w:rPr>
            </w:pPr>
            <w:r w:rsidRPr="00CB324B">
              <w:rPr>
                <w:rFonts w:ascii="Arial" w:hAnsi="Arial" w:cs="Arial"/>
                <w:b/>
                <w:bCs/>
                <w:color w:val="auto"/>
                <w:sz w:val="20"/>
                <w:szCs w:val="20"/>
              </w:rPr>
              <w:t xml:space="preserve">Email address: </w:t>
            </w:r>
          </w:p>
        </w:tc>
        <w:tc>
          <w:tcPr>
            <w:tcW w:w="4945" w:type="dxa"/>
            <w:gridSpan w:val="3"/>
          </w:tcPr>
          <w:p w14:paraId="2648B7F5" w14:textId="77777777" w:rsidR="00571A89" w:rsidRPr="00CB324B" w:rsidRDefault="00571A89" w:rsidP="00ED7308">
            <w:pPr>
              <w:pStyle w:val="Default"/>
              <w:rPr>
                <w:rFonts w:ascii="Arial" w:hAnsi="Arial" w:cs="Arial"/>
                <w:b/>
                <w:bCs/>
                <w:color w:val="auto"/>
                <w:sz w:val="20"/>
                <w:szCs w:val="20"/>
              </w:rPr>
            </w:pPr>
          </w:p>
        </w:tc>
      </w:tr>
      <w:tr w:rsidR="00571A89" w:rsidRPr="00CB324B" w14:paraId="058F7C6B" w14:textId="77777777" w:rsidTr="00ED7308">
        <w:trPr>
          <w:trHeight w:val="84"/>
        </w:trPr>
        <w:tc>
          <w:tcPr>
            <w:tcW w:w="5896" w:type="dxa"/>
          </w:tcPr>
          <w:p w14:paraId="1E6DD2E5" w14:textId="77777777" w:rsidR="00571A89" w:rsidRPr="00CB324B" w:rsidRDefault="00571A89" w:rsidP="00ED7308">
            <w:pPr>
              <w:pStyle w:val="Default"/>
              <w:spacing w:before="120" w:after="60" w:line="276" w:lineRule="auto"/>
              <w:rPr>
                <w:rFonts w:ascii="Arial" w:hAnsi="Arial" w:cs="Arial"/>
                <w:b/>
                <w:bCs/>
                <w:color w:val="auto"/>
                <w:sz w:val="20"/>
                <w:szCs w:val="20"/>
              </w:rPr>
            </w:pPr>
            <w:r w:rsidRPr="00CB324B">
              <w:rPr>
                <w:rFonts w:ascii="Arial" w:hAnsi="Arial" w:cs="Arial"/>
                <w:b/>
                <w:bCs/>
                <w:color w:val="auto"/>
                <w:sz w:val="20"/>
                <w:szCs w:val="20"/>
              </w:rPr>
              <w:t xml:space="preserve">Unavailable hearing date/s (if any): </w:t>
            </w:r>
          </w:p>
          <w:p w14:paraId="764052A3" w14:textId="77777777" w:rsidR="00571A89" w:rsidRPr="00CB324B" w:rsidRDefault="00571A89" w:rsidP="00ED7308">
            <w:pPr>
              <w:pStyle w:val="Default"/>
              <w:spacing w:before="60" w:after="120" w:line="276" w:lineRule="auto"/>
              <w:rPr>
                <w:rFonts w:ascii="Arial" w:hAnsi="Arial" w:cs="Arial"/>
                <w:color w:val="auto"/>
                <w:sz w:val="20"/>
                <w:szCs w:val="20"/>
              </w:rPr>
            </w:pPr>
            <w:r w:rsidRPr="00CB324B">
              <w:rPr>
                <w:rFonts w:ascii="Arial" w:hAnsi="Arial" w:cs="Arial"/>
                <w:color w:val="auto"/>
                <w:sz w:val="20"/>
                <w:szCs w:val="20"/>
              </w:rPr>
              <w:t xml:space="preserve">List any dates within two months of the filing date that the filing party is </w:t>
            </w:r>
            <w:r w:rsidRPr="00CB324B">
              <w:rPr>
                <w:rFonts w:ascii="Arial" w:hAnsi="Arial" w:cs="Arial"/>
                <w:b/>
                <w:color w:val="auto"/>
                <w:sz w:val="20"/>
                <w:szCs w:val="20"/>
                <w:u w:val="single"/>
              </w:rPr>
              <w:t xml:space="preserve">not </w:t>
            </w:r>
            <w:r w:rsidRPr="00CB324B">
              <w:rPr>
                <w:rFonts w:ascii="Arial" w:hAnsi="Arial" w:cs="Arial"/>
                <w:color w:val="auto"/>
                <w:sz w:val="20"/>
                <w:szCs w:val="20"/>
              </w:rPr>
              <w:t xml:space="preserve">available </w:t>
            </w:r>
          </w:p>
        </w:tc>
        <w:tc>
          <w:tcPr>
            <w:tcW w:w="4945" w:type="dxa"/>
            <w:gridSpan w:val="3"/>
          </w:tcPr>
          <w:p w14:paraId="1CAF20F1" w14:textId="77777777" w:rsidR="00571A89" w:rsidRPr="00CB324B" w:rsidRDefault="00571A89" w:rsidP="00ED7308">
            <w:pPr>
              <w:pStyle w:val="Default"/>
              <w:rPr>
                <w:rFonts w:ascii="Arial" w:hAnsi="Arial" w:cs="Arial"/>
                <w:b/>
                <w:bCs/>
                <w:color w:val="auto"/>
                <w:sz w:val="20"/>
                <w:szCs w:val="20"/>
              </w:rPr>
            </w:pPr>
          </w:p>
        </w:tc>
      </w:tr>
      <w:tr w:rsidR="00571A89" w:rsidRPr="00CB324B" w14:paraId="745C87A1" w14:textId="77777777" w:rsidTr="00ED7308">
        <w:trPr>
          <w:trHeight w:val="619"/>
        </w:trPr>
        <w:tc>
          <w:tcPr>
            <w:tcW w:w="5896" w:type="dxa"/>
          </w:tcPr>
          <w:p w14:paraId="6CA4D78E" w14:textId="77777777" w:rsidR="00571A89" w:rsidRPr="00CB324B" w:rsidRDefault="00571A89" w:rsidP="00ED7308">
            <w:pPr>
              <w:pStyle w:val="Default"/>
              <w:spacing w:before="120" w:after="120" w:line="276" w:lineRule="auto"/>
              <w:rPr>
                <w:rFonts w:ascii="Arial" w:hAnsi="Arial" w:cs="Arial"/>
                <w:b/>
                <w:bCs/>
                <w:color w:val="auto"/>
                <w:sz w:val="20"/>
                <w:szCs w:val="20"/>
              </w:rPr>
            </w:pPr>
            <w:r w:rsidRPr="00CB324B">
              <w:rPr>
                <w:rFonts w:ascii="Arial" w:hAnsi="Arial" w:cs="Arial"/>
                <w:b/>
                <w:bCs/>
                <w:color w:val="auto"/>
                <w:sz w:val="20"/>
                <w:szCs w:val="20"/>
              </w:rPr>
              <w:t xml:space="preserve">Date and signature </w:t>
            </w:r>
          </w:p>
        </w:tc>
        <w:tc>
          <w:tcPr>
            <w:tcW w:w="4945" w:type="dxa"/>
            <w:gridSpan w:val="3"/>
          </w:tcPr>
          <w:p w14:paraId="0AEE55C1" w14:textId="77777777" w:rsidR="00571A89" w:rsidRPr="00CB324B" w:rsidRDefault="00571A89" w:rsidP="00ED7308">
            <w:pPr>
              <w:pStyle w:val="Default"/>
              <w:rPr>
                <w:rFonts w:ascii="Arial" w:hAnsi="Arial" w:cs="Arial"/>
                <w:b/>
                <w:bCs/>
                <w:color w:val="auto"/>
                <w:sz w:val="20"/>
                <w:szCs w:val="20"/>
              </w:rPr>
            </w:pPr>
          </w:p>
        </w:tc>
      </w:tr>
    </w:tbl>
    <w:p w14:paraId="5EE8E027" w14:textId="77777777" w:rsidR="00571A89" w:rsidRDefault="00571A89" w:rsidP="00571A89">
      <w:pPr>
        <w:rPr>
          <w:rFonts w:ascii="Book Antiqua" w:hAnsi="Book Antiqua"/>
          <w:b/>
          <w:bCs/>
          <w:kern w:val="32"/>
        </w:rPr>
      </w:pPr>
      <w:r>
        <w:br w:type="page"/>
      </w:r>
    </w:p>
    <w:p w14:paraId="26EC299C" w14:textId="77777777" w:rsidR="00571A89" w:rsidRPr="00122423" w:rsidRDefault="00571A89" w:rsidP="00011180">
      <w:pPr>
        <w:pStyle w:val="Heading1"/>
      </w:pPr>
      <w:bookmarkStart w:id="5" w:name="_Toc178173300"/>
      <w:r w:rsidRPr="00122423">
        <w:lastRenderedPageBreak/>
        <w:t>Annexure B</w:t>
      </w:r>
      <w:bookmarkEnd w:id="5"/>
    </w:p>
    <w:p w14:paraId="4D051FA9" w14:textId="77777777" w:rsidR="00571A89" w:rsidRDefault="00571A89" w:rsidP="00571A89"/>
    <w:p w14:paraId="589C7600" w14:textId="77777777" w:rsidR="00571A89" w:rsidRPr="00EA0D05" w:rsidRDefault="00571A89" w:rsidP="00571A89">
      <w:r w:rsidRPr="00EA0D05">
        <w:rPr>
          <w:noProof/>
        </w:rPr>
        <mc:AlternateContent>
          <mc:Choice Requires="wps">
            <w:drawing>
              <wp:anchor distT="0" distB="0" distL="114300" distR="114300" simplePos="0" relativeHeight="251661824" behindDoc="0" locked="1" layoutInCell="1" allowOverlap="0" wp14:anchorId="555F1E8E" wp14:editId="3D240015">
                <wp:simplePos x="0" y="0"/>
                <wp:positionH relativeFrom="page">
                  <wp:posOffset>444500</wp:posOffset>
                </wp:positionH>
                <wp:positionV relativeFrom="page">
                  <wp:posOffset>1250950</wp:posOffset>
                </wp:positionV>
                <wp:extent cx="6843395" cy="685800"/>
                <wp:effectExtent l="0" t="0" r="0" b="0"/>
                <wp:wrapNone/>
                <wp:docPr id="741670779" name="Text Box 7416707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3395" cy="6858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280129" w14:textId="77777777" w:rsidR="00571A89" w:rsidRPr="00814A5D" w:rsidRDefault="00571A89" w:rsidP="00571A89">
                            <w:pPr>
                              <w:pStyle w:val="FactsheetTitle"/>
                              <w:rPr>
                                <w:sz w:val="32"/>
                                <w:szCs w:val="32"/>
                              </w:rPr>
                            </w:pPr>
                            <w:bookmarkStart w:id="6" w:name="_Toc175833593"/>
                            <w:bookmarkStart w:id="7" w:name="_Toc175840731"/>
                            <w:bookmarkStart w:id="8" w:name="_Toc178173301"/>
                            <w:r w:rsidRPr="00814A5D">
                              <w:rPr>
                                <w:sz w:val="32"/>
                                <w:szCs w:val="32"/>
                              </w:rPr>
                              <w:t>COSTS COURT</w:t>
                            </w:r>
                            <w:r>
                              <w:rPr>
                                <w:sz w:val="32"/>
                                <w:szCs w:val="32"/>
                              </w:rPr>
                              <w:t xml:space="preserve"> </w:t>
                            </w:r>
                            <w:r w:rsidRPr="00814A5D">
                              <w:rPr>
                                <w:sz w:val="32"/>
                                <w:szCs w:val="32"/>
                              </w:rPr>
                              <w:t>– Gross Sum Information Form</w:t>
                            </w:r>
                            <w:bookmarkEnd w:id="6"/>
                            <w:bookmarkEnd w:id="7"/>
                            <w:bookmarkEnd w:id="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5F1E8E" id="Text Box 741670779" o:spid="_x0000_s1027" type="#_x0000_t202" style="position:absolute;margin-left:35pt;margin-top:98.5pt;width:538.85pt;height:54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AbAwIAAO4DAAAOAAAAZHJzL2Uyb0RvYy54bWysU9tu2zAMfR+wfxD0vjhJkyw14hRdigwD&#10;ugvQ7QNkWbaFyaJGKbG7rx8lJ2m2vQ3TgyCS0iHPIbW5GzrDjgq9Blvw2WTKmbISKm2bgn/7un+z&#10;5swHYSthwKqCPyvP77avX216l6s5tGAqhYxArM97V/A2BJdnmZet6oSfgFOWgjVgJwKZ2GQVip7Q&#10;O5PNp9NV1gNWDkEq78n7MAb5NuHXtZLhc117FZgpONUW0o5pL+OebTcib1C4VstTGeIfquiEtpT0&#10;AvUggmAH1H9BdVoieKjDREKXQV1rqRIHYjOb/sHmqRVOJS4kjncXmfz/g5Wfjk/uC7IwvIOBGphI&#10;ePcI8rtnFnatsI26R4S+VaKixLMoWdY7n5+eRql97iNI2X+EiposDgES0FBjF1UhnozQqQHPF9HV&#10;EJgk52q9uLm5XXImKbZaL9fT1JVM5OfXDn14r6Bj8VBwpKYmdHF89CFWI/LzlZjMg9HVXhuTDGzK&#10;nUF2FDQA+7TGt8a1YvSe0/nxasL7DcPYiGQhYo7poidpEGmPAoShHJiuTgJFSUqonkkUhHHo6JPQ&#10;oQX8yVlPA1dw/+MgUHFmPlgS9na2WMQJTcZi+XZOBl5HyuuIsJKgCh44G4+7ME71waFuWso0ttLC&#10;PTWj1kmnl6pO5dNQJbqnDxCn9tpOt16+6fYXAAAA//8DAFBLAwQUAAYACAAAACEA9d0fi+AAAAAL&#10;AQAADwAAAGRycy9kb3ducmV2LnhtbEyPzU7DMBCE70i8g7VIXFBrt0ATQpwKVXBAKkgEuDvxkqTE&#10;6yh22/D2bE9w25/RzDf5enK9OOAYOk8aFnMFAqn2tqNGw8f70ywFEaIha3pPqOEHA6yL87PcZNYf&#10;6Q0PZWwEm1DIjIY2xiGTMtQtOhPmfkDi35cfnYm8jo20ozmyuevlUqmVdKYjTmjNgJsW6+9y7zj3&#10;cUqHz2q72T2XV9Vu+UrdS0paX15MD/cgIk7xTwwnfEaHgpkqvycbRK8hUVwl8v0u4eEkWNwkCYhK&#10;w7W6VSCLXP7vUPwCAAD//wMAUEsBAi0AFAAGAAgAAAAhALaDOJL+AAAA4QEAABMAAAAAAAAAAAAA&#10;AAAAAAAAAFtDb250ZW50X1R5cGVzXS54bWxQSwECLQAUAAYACAAAACEAOP0h/9YAAACUAQAACwAA&#10;AAAAAAAAAAAAAAAvAQAAX3JlbHMvLnJlbHNQSwECLQAUAAYACAAAACEA/fpAGwMCAADuAwAADgAA&#10;AAAAAAAAAAAAAAAuAgAAZHJzL2Uyb0RvYy54bWxQSwECLQAUAAYACAAAACEA9d0fi+AAAAALAQAA&#10;DwAAAAAAAAAAAAAAAABdBAAAZHJzL2Rvd25yZXYueG1sUEsFBgAAAAAEAAQA8wAAAGoFAAAAAA==&#10;" o:allowoverlap="f" stroked="f">
                <v:fill opacity="0"/>
                <v:textbox>
                  <w:txbxContent>
                    <w:p w14:paraId="26280129" w14:textId="77777777" w:rsidR="00571A89" w:rsidRPr="00814A5D" w:rsidRDefault="00571A89" w:rsidP="00571A89">
                      <w:pPr>
                        <w:pStyle w:val="FactsheetTitle"/>
                        <w:rPr>
                          <w:sz w:val="32"/>
                          <w:szCs w:val="32"/>
                        </w:rPr>
                      </w:pPr>
                      <w:bookmarkStart w:id="12" w:name="_Toc175833593"/>
                      <w:bookmarkStart w:id="13" w:name="_Toc175840731"/>
                      <w:bookmarkStart w:id="14" w:name="_Toc178173301"/>
                      <w:r w:rsidRPr="00814A5D">
                        <w:rPr>
                          <w:sz w:val="32"/>
                          <w:szCs w:val="32"/>
                        </w:rPr>
                        <w:t>COSTS COURT</w:t>
                      </w:r>
                      <w:r>
                        <w:rPr>
                          <w:sz w:val="32"/>
                          <w:szCs w:val="32"/>
                        </w:rPr>
                        <w:t xml:space="preserve"> </w:t>
                      </w:r>
                      <w:r w:rsidRPr="00814A5D">
                        <w:rPr>
                          <w:sz w:val="32"/>
                          <w:szCs w:val="32"/>
                        </w:rPr>
                        <w:t>– Gross Sum Information Form</w:t>
                      </w:r>
                      <w:bookmarkEnd w:id="12"/>
                      <w:bookmarkEnd w:id="13"/>
                      <w:bookmarkEnd w:id="14"/>
                    </w:p>
                  </w:txbxContent>
                </v:textbox>
                <w10:wrap anchorx="page" anchory="page"/>
                <w10:anchorlock/>
              </v:shape>
            </w:pict>
          </mc:Fallback>
        </mc:AlternateContent>
      </w:r>
    </w:p>
    <w:p w14:paraId="0567D584" w14:textId="77777777" w:rsidR="00571A89" w:rsidRPr="00EA0D05" w:rsidRDefault="00571A89" w:rsidP="00571A89">
      <w:pPr>
        <w:rPr>
          <w:b/>
          <w:u w:val="single"/>
        </w:rPr>
      </w:pPr>
    </w:p>
    <w:tbl>
      <w:tblPr>
        <w:tblW w:w="1084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96"/>
        <w:gridCol w:w="1715"/>
        <w:gridCol w:w="1703"/>
        <w:gridCol w:w="1527"/>
      </w:tblGrid>
      <w:tr w:rsidR="00571A89" w:rsidRPr="00EA0D05" w14:paraId="2D14DB2C" w14:textId="77777777" w:rsidTr="00ED7308">
        <w:trPr>
          <w:trHeight w:val="371"/>
        </w:trPr>
        <w:tc>
          <w:tcPr>
            <w:tcW w:w="5896" w:type="dxa"/>
          </w:tcPr>
          <w:p w14:paraId="7B76D190" w14:textId="77777777" w:rsidR="00571A89" w:rsidRPr="00EA0D05" w:rsidRDefault="00571A89" w:rsidP="00ED7308">
            <w:pPr>
              <w:pStyle w:val="Default"/>
              <w:spacing w:before="120" w:after="120" w:line="276" w:lineRule="auto"/>
              <w:rPr>
                <w:color w:val="auto"/>
                <w:sz w:val="18"/>
                <w:szCs w:val="18"/>
              </w:rPr>
            </w:pPr>
            <w:r w:rsidRPr="00EA0D05">
              <w:rPr>
                <w:rFonts w:ascii="Arial" w:hAnsi="Arial" w:cs="Arial"/>
                <w:b/>
                <w:bCs/>
                <w:color w:val="auto"/>
                <w:sz w:val="18"/>
                <w:szCs w:val="18"/>
              </w:rPr>
              <w:t xml:space="preserve">Directions Hearing Return Date </w:t>
            </w:r>
            <w:r w:rsidRPr="00EA0D05">
              <w:rPr>
                <w:rFonts w:ascii="Arial" w:hAnsi="Arial" w:cs="Arial"/>
                <w:color w:val="auto"/>
                <w:sz w:val="18"/>
                <w:szCs w:val="18"/>
              </w:rPr>
              <w:t xml:space="preserve">(Court Use Only) </w:t>
            </w:r>
          </w:p>
        </w:tc>
        <w:tc>
          <w:tcPr>
            <w:tcW w:w="4945" w:type="dxa"/>
            <w:gridSpan w:val="3"/>
          </w:tcPr>
          <w:p w14:paraId="18526C63" w14:textId="77777777" w:rsidR="00571A89" w:rsidRPr="00EA0D05" w:rsidRDefault="00571A89" w:rsidP="00ED7308">
            <w:pPr>
              <w:pStyle w:val="Default"/>
              <w:ind w:left="720"/>
              <w:rPr>
                <w:rFonts w:ascii="Arial" w:hAnsi="Arial" w:cs="Arial"/>
                <w:color w:val="auto"/>
                <w:sz w:val="40"/>
                <w:szCs w:val="40"/>
              </w:rPr>
            </w:pPr>
          </w:p>
        </w:tc>
      </w:tr>
      <w:tr w:rsidR="00571A89" w:rsidRPr="00EA0D05" w14:paraId="366B399C" w14:textId="77777777" w:rsidTr="00ED7308">
        <w:trPr>
          <w:trHeight w:val="84"/>
        </w:trPr>
        <w:tc>
          <w:tcPr>
            <w:tcW w:w="5896" w:type="dxa"/>
          </w:tcPr>
          <w:p w14:paraId="1428EC39" w14:textId="77777777" w:rsidR="00571A89" w:rsidRPr="00EA0D05" w:rsidRDefault="00571A89" w:rsidP="00ED7308">
            <w:pPr>
              <w:pStyle w:val="Default"/>
              <w:spacing w:before="120" w:after="120" w:line="276" w:lineRule="auto"/>
              <w:rPr>
                <w:rFonts w:ascii="Arial" w:hAnsi="Arial" w:cs="Arial"/>
                <w:color w:val="auto"/>
                <w:sz w:val="18"/>
                <w:szCs w:val="18"/>
              </w:rPr>
            </w:pPr>
            <w:r w:rsidRPr="00EA0D05">
              <w:rPr>
                <w:rFonts w:ascii="Arial" w:hAnsi="Arial" w:cs="Arial"/>
                <w:b/>
                <w:bCs/>
                <w:color w:val="auto"/>
                <w:sz w:val="18"/>
                <w:szCs w:val="18"/>
              </w:rPr>
              <w:t xml:space="preserve">Proceeding number: </w:t>
            </w:r>
          </w:p>
        </w:tc>
        <w:tc>
          <w:tcPr>
            <w:tcW w:w="4945" w:type="dxa"/>
            <w:gridSpan w:val="3"/>
          </w:tcPr>
          <w:p w14:paraId="00FAF3E5" w14:textId="77777777" w:rsidR="00571A89" w:rsidRPr="00EA0D05" w:rsidRDefault="00571A89" w:rsidP="00ED7308">
            <w:pPr>
              <w:pStyle w:val="Default"/>
              <w:rPr>
                <w:rFonts w:ascii="Arial" w:hAnsi="Arial" w:cs="Arial"/>
                <w:b/>
                <w:bCs/>
                <w:color w:val="auto"/>
                <w:sz w:val="18"/>
                <w:szCs w:val="18"/>
              </w:rPr>
            </w:pPr>
          </w:p>
        </w:tc>
      </w:tr>
      <w:tr w:rsidR="00571A89" w:rsidRPr="00EA0D05" w14:paraId="0234994A" w14:textId="77777777" w:rsidTr="00ED7308">
        <w:trPr>
          <w:trHeight w:val="485"/>
        </w:trPr>
        <w:tc>
          <w:tcPr>
            <w:tcW w:w="5896" w:type="dxa"/>
          </w:tcPr>
          <w:p w14:paraId="4A8DEFF6" w14:textId="77777777" w:rsidR="00571A89" w:rsidRPr="00043FFC" w:rsidRDefault="00571A89" w:rsidP="00ED7308">
            <w:pPr>
              <w:pStyle w:val="Default"/>
              <w:spacing w:before="120" w:after="120" w:line="276" w:lineRule="auto"/>
              <w:rPr>
                <w:rFonts w:ascii="Arial" w:hAnsi="Arial" w:cs="Arial"/>
                <w:color w:val="auto"/>
                <w:sz w:val="18"/>
                <w:szCs w:val="18"/>
              </w:rPr>
            </w:pPr>
            <w:r w:rsidRPr="00043FFC">
              <w:rPr>
                <w:rFonts w:ascii="Arial" w:hAnsi="Arial" w:cs="Arial"/>
                <w:b/>
                <w:bCs/>
                <w:color w:val="auto"/>
                <w:sz w:val="18"/>
                <w:szCs w:val="18"/>
              </w:rPr>
              <w:t xml:space="preserve">Estimated time required for application for gross sum costs </w:t>
            </w:r>
            <w:r>
              <w:rPr>
                <w:rFonts w:ascii="Arial" w:hAnsi="Arial" w:cs="Arial"/>
                <w:b/>
                <w:bCs/>
                <w:color w:val="auto"/>
                <w:sz w:val="18"/>
                <w:szCs w:val="18"/>
              </w:rPr>
              <w:t>order</w:t>
            </w:r>
            <w:r w:rsidRPr="00043FFC">
              <w:rPr>
                <w:rFonts w:ascii="Arial" w:hAnsi="Arial" w:cs="Arial"/>
                <w:b/>
                <w:bCs/>
                <w:color w:val="auto"/>
                <w:sz w:val="18"/>
                <w:szCs w:val="18"/>
              </w:rPr>
              <w:t xml:space="preserve">: </w:t>
            </w:r>
          </w:p>
        </w:tc>
        <w:tc>
          <w:tcPr>
            <w:tcW w:w="4945" w:type="dxa"/>
            <w:gridSpan w:val="3"/>
          </w:tcPr>
          <w:p w14:paraId="423B90F3" w14:textId="77777777" w:rsidR="00571A89" w:rsidRPr="00EA0D05" w:rsidRDefault="00571A89" w:rsidP="00ED7308">
            <w:pPr>
              <w:pStyle w:val="Default"/>
              <w:rPr>
                <w:rFonts w:ascii="Arial" w:hAnsi="Arial" w:cs="Arial"/>
                <w:b/>
                <w:bCs/>
                <w:color w:val="auto"/>
                <w:sz w:val="18"/>
                <w:szCs w:val="18"/>
              </w:rPr>
            </w:pPr>
          </w:p>
        </w:tc>
      </w:tr>
      <w:tr w:rsidR="00571A89" w:rsidRPr="00EA0D05" w14:paraId="4465D1F3" w14:textId="77777777" w:rsidTr="00ED7308">
        <w:trPr>
          <w:trHeight w:val="323"/>
        </w:trPr>
        <w:tc>
          <w:tcPr>
            <w:tcW w:w="5896" w:type="dxa"/>
          </w:tcPr>
          <w:p w14:paraId="36E96BA6" w14:textId="77777777" w:rsidR="00571A89" w:rsidRPr="00C044A7" w:rsidRDefault="00571A89" w:rsidP="00ED7308">
            <w:pPr>
              <w:pStyle w:val="Default"/>
              <w:spacing w:before="120" w:after="60" w:line="276" w:lineRule="auto"/>
              <w:rPr>
                <w:rFonts w:ascii="Arial" w:hAnsi="Arial" w:cs="Arial"/>
                <w:color w:val="auto"/>
                <w:sz w:val="17"/>
                <w:szCs w:val="17"/>
              </w:rPr>
            </w:pPr>
            <w:r>
              <w:rPr>
                <w:rFonts w:ascii="Arial" w:hAnsi="Arial" w:cs="Arial"/>
                <w:b/>
                <w:bCs/>
                <w:color w:val="auto"/>
                <w:sz w:val="17"/>
                <w:szCs w:val="17"/>
              </w:rPr>
              <w:t>Relevant order,</w:t>
            </w:r>
            <w:r w:rsidRPr="00C044A7">
              <w:rPr>
                <w:rFonts w:ascii="Arial" w:hAnsi="Arial" w:cs="Arial"/>
                <w:b/>
                <w:bCs/>
                <w:color w:val="auto"/>
                <w:sz w:val="17"/>
                <w:szCs w:val="17"/>
              </w:rPr>
              <w:t xml:space="preserve"> agreement </w:t>
            </w:r>
            <w:r>
              <w:rPr>
                <w:rFonts w:ascii="Arial" w:hAnsi="Arial" w:cs="Arial"/>
                <w:b/>
                <w:bCs/>
                <w:color w:val="auto"/>
                <w:sz w:val="17"/>
                <w:szCs w:val="17"/>
              </w:rPr>
              <w:t>or Rule</w:t>
            </w:r>
          </w:p>
          <w:p w14:paraId="33D388E3" w14:textId="77777777" w:rsidR="00571A89" w:rsidRPr="00043FFC" w:rsidRDefault="00571A89" w:rsidP="00ED7308">
            <w:pPr>
              <w:pStyle w:val="Default"/>
              <w:spacing w:before="120" w:after="60" w:line="276" w:lineRule="auto"/>
              <w:rPr>
                <w:rFonts w:ascii="Arial" w:hAnsi="Arial" w:cs="Arial"/>
                <w:b/>
                <w:bCs/>
                <w:color w:val="auto"/>
                <w:sz w:val="18"/>
                <w:szCs w:val="18"/>
              </w:rPr>
            </w:pPr>
            <w:r>
              <w:rPr>
                <w:rFonts w:ascii="Arial" w:hAnsi="Arial" w:cs="Arial"/>
                <w:color w:val="auto"/>
                <w:sz w:val="17"/>
                <w:szCs w:val="17"/>
              </w:rPr>
              <w:t xml:space="preserve">Identify and summarise the court order, the agreement or the Rule that establishes </w:t>
            </w:r>
            <w:r w:rsidRPr="00C044A7">
              <w:rPr>
                <w:rFonts w:ascii="Arial" w:hAnsi="Arial" w:cs="Arial"/>
                <w:color w:val="auto"/>
                <w:sz w:val="17"/>
                <w:szCs w:val="17"/>
              </w:rPr>
              <w:t xml:space="preserve">the entitlement </w:t>
            </w:r>
            <w:r>
              <w:rPr>
                <w:rFonts w:ascii="Arial" w:hAnsi="Arial" w:cs="Arial"/>
                <w:color w:val="auto"/>
                <w:sz w:val="17"/>
                <w:szCs w:val="17"/>
              </w:rPr>
              <w:t>to</w:t>
            </w:r>
            <w:r w:rsidRPr="00C044A7">
              <w:rPr>
                <w:rFonts w:ascii="Arial" w:hAnsi="Arial" w:cs="Arial"/>
                <w:color w:val="auto"/>
                <w:sz w:val="17"/>
                <w:szCs w:val="17"/>
              </w:rPr>
              <w:t xml:space="preserve"> costs. </w:t>
            </w:r>
          </w:p>
        </w:tc>
        <w:tc>
          <w:tcPr>
            <w:tcW w:w="4945" w:type="dxa"/>
            <w:gridSpan w:val="3"/>
          </w:tcPr>
          <w:p w14:paraId="5537452E" w14:textId="77777777" w:rsidR="00571A89" w:rsidRPr="00EA0D05" w:rsidRDefault="00571A89" w:rsidP="00ED7308">
            <w:pPr>
              <w:pStyle w:val="Default"/>
              <w:rPr>
                <w:rFonts w:ascii="Arial" w:hAnsi="Arial" w:cs="Arial"/>
                <w:b/>
                <w:bCs/>
                <w:color w:val="auto"/>
                <w:sz w:val="18"/>
                <w:szCs w:val="18"/>
              </w:rPr>
            </w:pPr>
          </w:p>
        </w:tc>
      </w:tr>
      <w:tr w:rsidR="00571A89" w:rsidRPr="00EA0D05" w14:paraId="4D1177D8" w14:textId="77777777" w:rsidTr="00ED7308">
        <w:trPr>
          <w:trHeight w:val="323"/>
        </w:trPr>
        <w:tc>
          <w:tcPr>
            <w:tcW w:w="5896" w:type="dxa"/>
          </w:tcPr>
          <w:p w14:paraId="113421C2" w14:textId="77777777" w:rsidR="00571A89" w:rsidRPr="00043FFC" w:rsidRDefault="00571A89" w:rsidP="00ED7308">
            <w:pPr>
              <w:pStyle w:val="Default"/>
              <w:spacing w:before="120" w:after="120" w:line="276" w:lineRule="auto"/>
              <w:rPr>
                <w:rFonts w:ascii="Arial" w:hAnsi="Arial" w:cs="Arial"/>
                <w:color w:val="auto"/>
                <w:sz w:val="18"/>
                <w:szCs w:val="18"/>
              </w:rPr>
            </w:pPr>
            <w:r>
              <w:rPr>
                <w:rFonts w:ascii="Arial" w:hAnsi="Arial" w:cs="Arial"/>
                <w:b/>
                <w:bCs/>
                <w:color w:val="auto"/>
                <w:sz w:val="17"/>
                <w:szCs w:val="17"/>
              </w:rPr>
              <w:t>Media neutral citation of relevant judgment or copy thereof or s</w:t>
            </w:r>
            <w:r w:rsidRPr="00C044A7">
              <w:rPr>
                <w:rFonts w:ascii="Arial" w:hAnsi="Arial" w:cs="Arial"/>
                <w:b/>
                <w:bCs/>
                <w:color w:val="auto"/>
                <w:sz w:val="17"/>
                <w:szCs w:val="17"/>
              </w:rPr>
              <w:t xml:space="preserve">hort </w:t>
            </w:r>
            <w:r>
              <w:rPr>
                <w:rFonts w:ascii="Arial" w:hAnsi="Arial" w:cs="Arial"/>
                <w:b/>
                <w:bCs/>
                <w:color w:val="auto"/>
                <w:sz w:val="17"/>
                <w:szCs w:val="17"/>
              </w:rPr>
              <w:t>s</w:t>
            </w:r>
            <w:r w:rsidRPr="00C044A7">
              <w:rPr>
                <w:rFonts w:ascii="Arial" w:hAnsi="Arial" w:cs="Arial"/>
                <w:b/>
                <w:bCs/>
                <w:color w:val="auto"/>
                <w:sz w:val="17"/>
                <w:szCs w:val="17"/>
              </w:rPr>
              <w:t>ummary of principal litigation</w:t>
            </w:r>
          </w:p>
        </w:tc>
        <w:tc>
          <w:tcPr>
            <w:tcW w:w="4945" w:type="dxa"/>
            <w:gridSpan w:val="3"/>
          </w:tcPr>
          <w:p w14:paraId="17FFD816" w14:textId="77777777" w:rsidR="00571A89" w:rsidRPr="00EA0D05" w:rsidRDefault="00571A89" w:rsidP="00ED7308">
            <w:pPr>
              <w:pStyle w:val="Default"/>
              <w:rPr>
                <w:rFonts w:ascii="Arial" w:hAnsi="Arial" w:cs="Arial"/>
                <w:b/>
                <w:bCs/>
                <w:color w:val="auto"/>
                <w:sz w:val="18"/>
                <w:szCs w:val="18"/>
              </w:rPr>
            </w:pPr>
          </w:p>
        </w:tc>
      </w:tr>
      <w:tr w:rsidR="00571A89" w:rsidRPr="00EA0D05" w14:paraId="1ECC5484" w14:textId="77777777" w:rsidTr="00ED7308">
        <w:trPr>
          <w:trHeight w:val="220"/>
        </w:trPr>
        <w:tc>
          <w:tcPr>
            <w:tcW w:w="5896" w:type="dxa"/>
          </w:tcPr>
          <w:p w14:paraId="322F679F" w14:textId="77777777" w:rsidR="00571A89" w:rsidRPr="00043FFC" w:rsidRDefault="00571A89" w:rsidP="00ED7308">
            <w:pPr>
              <w:pStyle w:val="Default"/>
              <w:spacing w:before="120" w:after="60" w:line="276" w:lineRule="auto"/>
              <w:rPr>
                <w:rFonts w:ascii="Arial" w:hAnsi="Arial" w:cs="Arial"/>
                <w:color w:val="auto"/>
                <w:sz w:val="18"/>
                <w:szCs w:val="18"/>
              </w:rPr>
            </w:pPr>
            <w:r w:rsidRPr="00043FFC">
              <w:rPr>
                <w:rFonts w:ascii="Arial" w:hAnsi="Arial" w:cs="Arial"/>
                <w:b/>
                <w:bCs/>
                <w:color w:val="auto"/>
                <w:sz w:val="18"/>
                <w:szCs w:val="18"/>
              </w:rPr>
              <w:t xml:space="preserve">Who is bringing the application? </w:t>
            </w:r>
          </w:p>
          <w:p w14:paraId="5FA7038B" w14:textId="77777777" w:rsidR="00571A89" w:rsidRPr="00043FFC" w:rsidRDefault="00571A89" w:rsidP="00ED7308">
            <w:pPr>
              <w:pStyle w:val="Default"/>
              <w:spacing w:before="60" w:after="120" w:line="276" w:lineRule="auto"/>
              <w:rPr>
                <w:rFonts w:ascii="Arial" w:hAnsi="Arial" w:cs="Arial"/>
                <w:color w:val="auto"/>
                <w:sz w:val="18"/>
                <w:szCs w:val="18"/>
              </w:rPr>
            </w:pPr>
            <w:r w:rsidRPr="00043FFC">
              <w:rPr>
                <w:rFonts w:ascii="Arial" w:hAnsi="Arial" w:cs="Arial"/>
                <w:color w:val="auto"/>
                <w:sz w:val="18"/>
                <w:szCs w:val="18"/>
              </w:rPr>
              <w:t xml:space="preserve">Party type and name of party. </w:t>
            </w:r>
          </w:p>
        </w:tc>
        <w:tc>
          <w:tcPr>
            <w:tcW w:w="4945" w:type="dxa"/>
            <w:gridSpan w:val="3"/>
            <w:tcBorders>
              <w:bottom w:val="single" w:sz="4" w:space="0" w:color="auto"/>
            </w:tcBorders>
          </w:tcPr>
          <w:p w14:paraId="253FE1F6" w14:textId="77777777" w:rsidR="00571A89" w:rsidRPr="00EA0D05" w:rsidRDefault="00571A89" w:rsidP="00ED7308">
            <w:pPr>
              <w:pStyle w:val="Default"/>
              <w:rPr>
                <w:rFonts w:ascii="Arial" w:hAnsi="Arial" w:cs="Arial"/>
                <w:b/>
                <w:bCs/>
                <w:color w:val="auto"/>
                <w:sz w:val="18"/>
                <w:szCs w:val="18"/>
              </w:rPr>
            </w:pPr>
          </w:p>
        </w:tc>
      </w:tr>
      <w:tr w:rsidR="00571A89" w:rsidRPr="00EA0D05" w14:paraId="08DA47FB" w14:textId="77777777" w:rsidTr="00ED7308">
        <w:trPr>
          <w:trHeight w:val="457"/>
        </w:trPr>
        <w:tc>
          <w:tcPr>
            <w:tcW w:w="5896" w:type="dxa"/>
          </w:tcPr>
          <w:p w14:paraId="1FD2FDA2" w14:textId="77777777" w:rsidR="00571A89" w:rsidRPr="00043FFC" w:rsidRDefault="00571A89" w:rsidP="00ED7308">
            <w:pPr>
              <w:pStyle w:val="Default"/>
              <w:spacing w:before="120" w:after="120" w:line="276" w:lineRule="auto"/>
              <w:rPr>
                <w:rFonts w:ascii="Arial" w:hAnsi="Arial" w:cs="Arial"/>
                <w:b/>
                <w:bCs/>
                <w:color w:val="auto"/>
                <w:sz w:val="18"/>
                <w:szCs w:val="18"/>
              </w:rPr>
            </w:pPr>
            <w:r w:rsidRPr="00043FFC">
              <w:rPr>
                <w:rFonts w:ascii="Arial" w:hAnsi="Arial" w:cs="Arial"/>
                <w:b/>
                <w:bCs/>
                <w:color w:val="auto"/>
                <w:sz w:val="18"/>
                <w:szCs w:val="18"/>
              </w:rPr>
              <w:t>Amount of costs claimed</w:t>
            </w:r>
          </w:p>
          <w:p w14:paraId="7C58F3BC" w14:textId="09EA0EA9" w:rsidR="00571A89" w:rsidRPr="00043FFC" w:rsidRDefault="00F04D0E" w:rsidP="00ED7308">
            <w:pPr>
              <w:pStyle w:val="Default"/>
              <w:spacing w:before="120" w:after="120" w:line="276" w:lineRule="auto"/>
              <w:rPr>
                <w:rFonts w:ascii="Arial" w:hAnsi="Arial" w:cs="Arial"/>
                <w:bCs/>
                <w:color w:val="auto"/>
                <w:sz w:val="18"/>
                <w:szCs w:val="18"/>
              </w:rPr>
            </w:pPr>
            <w:r>
              <w:rPr>
                <w:rFonts w:ascii="Arial" w:hAnsi="Arial" w:cs="Arial"/>
                <w:bCs/>
                <w:color w:val="auto"/>
                <w:sz w:val="18"/>
                <w:szCs w:val="18"/>
              </w:rPr>
              <w:t xml:space="preserve">An estimate </w:t>
            </w:r>
            <w:proofErr w:type="gramStart"/>
            <w:r>
              <w:rPr>
                <w:rFonts w:ascii="Arial" w:hAnsi="Arial" w:cs="Arial"/>
                <w:bCs/>
                <w:color w:val="auto"/>
                <w:sz w:val="18"/>
                <w:szCs w:val="18"/>
              </w:rPr>
              <w:t xml:space="preserve">of </w:t>
            </w:r>
            <w:r w:rsidRPr="00043FFC">
              <w:rPr>
                <w:rFonts w:ascii="Arial" w:hAnsi="Arial" w:cs="Arial"/>
                <w:bCs/>
                <w:color w:val="auto"/>
                <w:sz w:val="18"/>
                <w:szCs w:val="18"/>
              </w:rPr>
              <w:t xml:space="preserve"> </w:t>
            </w:r>
            <w:r w:rsidR="00571A89" w:rsidRPr="00043FFC">
              <w:rPr>
                <w:rFonts w:ascii="Arial" w:hAnsi="Arial" w:cs="Arial"/>
                <w:bCs/>
                <w:color w:val="auto"/>
                <w:sz w:val="18"/>
                <w:szCs w:val="18"/>
              </w:rPr>
              <w:t>amount</w:t>
            </w:r>
            <w:proofErr w:type="gramEnd"/>
            <w:r w:rsidR="00571A89" w:rsidRPr="00043FFC">
              <w:rPr>
                <w:rFonts w:ascii="Arial" w:hAnsi="Arial" w:cs="Arial"/>
                <w:bCs/>
                <w:color w:val="auto"/>
                <w:sz w:val="18"/>
                <w:szCs w:val="18"/>
              </w:rPr>
              <w:t xml:space="preserve"> of professional charges and disbursements </w:t>
            </w:r>
            <w:r w:rsidR="00546C78">
              <w:rPr>
                <w:rFonts w:ascii="Arial" w:hAnsi="Arial" w:cs="Arial"/>
                <w:bCs/>
                <w:color w:val="auto"/>
                <w:sz w:val="18"/>
                <w:szCs w:val="18"/>
              </w:rPr>
              <w:t xml:space="preserve">to be </w:t>
            </w:r>
            <w:r w:rsidR="00571A89" w:rsidRPr="00043FFC">
              <w:rPr>
                <w:rFonts w:ascii="Arial" w:hAnsi="Arial" w:cs="Arial"/>
                <w:bCs/>
                <w:color w:val="auto"/>
                <w:sz w:val="18"/>
                <w:szCs w:val="18"/>
              </w:rPr>
              <w:t xml:space="preserve">claimed as a gross sum </w:t>
            </w:r>
          </w:p>
        </w:tc>
        <w:tc>
          <w:tcPr>
            <w:tcW w:w="1715" w:type="dxa"/>
            <w:tcBorders>
              <w:right w:val="single" w:sz="4" w:space="0" w:color="auto"/>
            </w:tcBorders>
          </w:tcPr>
          <w:p w14:paraId="7B8B62DD" w14:textId="77777777" w:rsidR="00571A89" w:rsidRPr="00EA0D05" w:rsidRDefault="00571A89" w:rsidP="00ED7308">
            <w:pPr>
              <w:pStyle w:val="Default"/>
              <w:spacing w:before="60" w:after="60"/>
              <w:rPr>
                <w:rFonts w:ascii="Arial" w:hAnsi="Arial" w:cs="Arial"/>
                <w:b/>
                <w:bCs/>
                <w:color w:val="auto"/>
                <w:sz w:val="18"/>
                <w:szCs w:val="18"/>
              </w:rPr>
            </w:pPr>
            <w:r w:rsidRPr="00EA0D05">
              <w:rPr>
                <w:rFonts w:ascii="Arial" w:hAnsi="Arial" w:cs="Arial"/>
                <w:b/>
                <w:bCs/>
                <w:color w:val="auto"/>
                <w:sz w:val="18"/>
                <w:szCs w:val="18"/>
              </w:rPr>
              <w:t>Professional charges</w:t>
            </w:r>
          </w:p>
          <w:p w14:paraId="2D5CA3F5" w14:textId="77777777" w:rsidR="00571A89" w:rsidRPr="00EA0D05" w:rsidRDefault="00571A89" w:rsidP="00ED7308">
            <w:pPr>
              <w:pStyle w:val="Default"/>
              <w:spacing w:before="60"/>
              <w:rPr>
                <w:rFonts w:ascii="Arial" w:hAnsi="Arial" w:cs="Arial"/>
                <w:b/>
                <w:bCs/>
                <w:color w:val="auto"/>
                <w:sz w:val="18"/>
                <w:szCs w:val="18"/>
              </w:rPr>
            </w:pPr>
            <w:r w:rsidRPr="00EA0D05">
              <w:rPr>
                <w:rFonts w:ascii="Arial" w:hAnsi="Arial" w:cs="Arial"/>
                <w:b/>
                <w:bCs/>
                <w:color w:val="auto"/>
                <w:sz w:val="18"/>
                <w:szCs w:val="18"/>
              </w:rPr>
              <w:t>$</w:t>
            </w:r>
          </w:p>
        </w:tc>
        <w:tc>
          <w:tcPr>
            <w:tcW w:w="1703" w:type="dxa"/>
            <w:tcBorders>
              <w:left w:val="single" w:sz="4" w:space="0" w:color="auto"/>
              <w:right w:val="single" w:sz="4" w:space="0" w:color="auto"/>
            </w:tcBorders>
          </w:tcPr>
          <w:p w14:paraId="560AC897" w14:textId="77777777" w:rsidR="00571A89" w:rsidRPr="00EA0D05" w:rsidRDefault="00571A89" w:rsidP="00ED7308">
            <w:pPr>
              <w:pStyle w:val="Default"/>
              <w:spacing w:before="60"/>
              <w:rPr>
                <w:rFonts w:ascii="Arial" w:hAnsi="Arial" w:cs="Arial"/>
                <w:b/>
                <w:bCs/>
                <w:color w:val="auto"/>
                <w:sz w:val="18"/>
                <w:szCs w:val="18"/>
              </w:rPr>
            </w:pPr>
            <w:r w:rsidRPr="00EA0D05">
              <w:rPr>
                <w:rFonts w:ascii="Arial" w:hAnsi="Arial" w:cs="Arial"/>
                <w:b/>
                <w:bCs/>
                <w:color w:val="auto"/>
                <w:sz w:val="18"/>
                <w:szCs w:val="18"/>
              </w:rPr>
              <w:t xml:space="preserve">Disbursements </w:t>
            </w:r>
          </w:p>
          <w:p w14:paraId="76BE39D8" w14:textId="77777777" w:rsidR="00571A89" w:rsidRPr="00EA0D05" w:rsidRDefault="00571A89" w:rsidP="00ED7308">
            <w:pPr>
              <w:pStyle w:val="Default"/>
              <w:spacing w:before="60"/>
              <w:rPr>
                <w:rFonts w:ascii="Arial" w:hAnsi="Arial" w:cs="Arial"/>
                <w:b/>
                <w:bCs/>
                <w:color w:val="auto"/>
                <w:sz w:val="18"/>
                <w:szCs w:val="18"/>
              </w:rPr>
            </w:pPr>
          </w:p>
          <w:p w14:paraId="7ABE105F" w14:textId="77777777" w:rsidR="00571A89" w:rsidRPr="00EA0D05" w:rsidRDefault="00571A89" w:rsidP="00ED7308">
            <w:pPr>
              <w:pStyle w:val="Default"/>
              <w:spacing w:before="60" w:after="60"/>
              <w:rPr>
                <w:rFonts w:ascii="Arial" w:hAnsi="Arial" w:cs="Arial"/>
                <w:b/>
                <w:bCs/>
                <w:color w:val="auto"/>
                <w:sz w:val="18"/>
                <w:szCs w:val="18"/>
              </w:rPr>
            </w:pPr>
            <w:r w:rsidRPr="00EA0D05">
              <w:rPr>
                <w:rFonts w:ascii="Arial" w:hAnsi="Arial" w:cs="Arial"/>
                <w:b/>
                <w:bCs/>
                <w:color w:val="auto"/>
                <w:sz w:val="18"/>
                <w:szCs w:val="18"/>
              </w:rPr>
              <w:t>$</w:t>
            </w:r>
          </w:p>
        </w:tc>
        <w:tc>
          <w:tcPr>
            <w:tcW w:w="1527" w:type="dxa"/>
            <w:tcBorders>
              <w:left w:val="single" w:sz="4" w:space="0" w:color="auto"/>
            </w:tcBorders>
          </w:tcPr>
          <w:p w14:paraId="688704EB" w14:textId="77777777" w:rsidR="00571A89" w:rsidRPr="00EA0D05" w:rsidRDefault="00571A89" w:rsidP="00ED7308">
            <w:pPr>
              <w:pStyle w:val="Default"/>
              <w:spacing w:before="60"/>
              <w:rPr>
                <w:rFonts w:ascii="Arial" w:hAnsi="Arial" w:cs="Arial"/>
                <w:b/>
                <w:bCs/>
                <w:color w:val="auto"/>
                <w:sz w:val="18"/>
                <w:szCs w:val="18"/>
              </w:rPr>
            </w:pPr>
            <w:r w:rsidRPr="00EA0D05">
              <w:rPr>
                <w:rFonts w:ascii="Arial" w:hAnsi="Arial" w:cs="Arial"/>
                <w:b/>
                <w:bCs/>
                <w:color w:val="auto"/>
                <w:sz w:val="18"/>
                <w:szCs w:val="18"/>
              </w:rPr>
              <w:t>Total</w:t>
            </w:r>
          </w:p>
          <w:p w14:paraId="1ED4A7AE" w14:textId="77777777" w:rsidR="00571A89" w:rsidRPr="00EA0D05" w:rsidRDefault="00571A89" w:rsidP="00ED7308">
            <w:pPr>
              <w:pStyle w:val="Default"/>
              <w:spacing w:before="60"/>
              <w:rPr>
                <w:rFonts w:ascii="Arial" w:hAnsi="Arial" w:cs="Arial"/>
                <w:b/>
                <w:bCs/>
                <w:color w:val="auto"/>
                <w:sz w:val="18"/>
                <w:szCs w:val="18"/>
              </w:rPr>
            </w:pPr>
          </w:p>
          <w:p w14:paraId="5F317ECC" w14:textId="77777777" w:rsidR="00571A89" w:rsidRPr="00EA0D05" w:rsidRDefault="00571A89" w:rsidP="00ED7308">
            <w:pPr>
              <w:pStyle w:val="Default"/>
              <w:spacing w:before="60"/>
              <w:rPr>
                <w:rFonts w:ascii="Arial" w:hAnsi="Arial" w:cs="Arial"/>
                <w:b/>
                <w:bCs/>
                <w:color w:val="auto"/>
                <w:sz w:val="18"/>
                <w:szCs w:val="18"/>
              </w:rPr>
            </w:pPr>
            <w:r w:rsidRPr="00EA0D05">
              <w:rPr>
                <w:rFonts w:ascii="Arial" w:hAnsi="Arial" w:cs="Arial"/>
                <w:b/>
                <w:bCs/>
                <w:color w:val="auto"/>
                <w:sz w:val="18"/>
                <w:szCs w:val="18"/>
              </w:rPr>
              <w:t>$</w:t>
            </w:r>
          </w:p>
        </w:tc>
      </w:tr>
      <w:tr w:rsidR="00571A89" w:rsidRPr="00EA0D05" w14:paraId="41273192" w14:textId="77777777" w:rsidTr="00ED7308">
        <w:trPr>
          <w:trHeight w:val="187"/>
        </w:trPr>
        <w:tc>
          <w:tcPr>
            <w:tcW w:w="5896" w:type="dxa"/>
          </w:tcPr>
          <w:p w14:paraId="390822EE" w14:textId="77777777" w:rsidR="00571A89" w:rsidRDefault="00571A89" w:rsidP="00ED7308">
            <w:pPr>
              <w:pStyle w:val="Default"/>
              <w:spacing w:before="120" w:after="120" w:line="276" w:lineRule="auto"/>
              <w:rPr>
                <w:rFonts w:ascii="Arial" w:hAnsi="Arial" w:cs="Arial"/>
                <w:b/>
                <w:bCs/>
                <w:color w:val="auto"/>
                <w:sz w:val="18"/>
                <w:szCs w:val="18"/>
              </w:rPr>
            </w:pPr>
            <w:r>
              <w:rPr>
                <w:rFonts w:ascii="Arial" w:hAnsi="Arial" w:cs="Arial"/>
                <w:b/>
                <w:bCs/>
                <w:color w:val="auto"/>
                <w:sz w:val="18"/>
                <w:szCs w:val="18"/>
              </w:rPr>
              <w:t>Is</w:t>
            </w:r>
            <w:r w:rsidRPr="00EA0D05">
              <w:rPr>
                <w:rFonts w:ascii="Arial" w:hAnsi="Arial" w:cs="Arial"/>
                <w:b/>
                <w:bCs/>
                <w:color w:val="auto"/>
                <w:sz w:val="18"/>
                <w:szCs w:val="18"/>
              </w:rPr>
              <w:t xml:space="preserve"> the application for gross sum costs likely to be</w:t>
            </w:r>
            <w:r>
              <w:rPr>
                <w:rFonts w:ascii="Arial" w:hAnsi="Arial" w:cs="Arial"/>
                <w:b/>
                <w:bCs/>
                <w:color w:val="auto"/>
                <w:sz w:val="18"/>
                <w:szCs w:val="18"/>
              </w:rPr>
              <w:t xml:space="preserve"> o</w:t>
            </w:r>
            <w:r w:rsidRPr="00EA0D05">
              <w:rPr>
                <w:rFonts w:ascii="Arial" w:hAnsi="Arial" w:cs="Arial"/>
                <w:b/>
                <w:bCs/>
                <w:color w:val="auto"/>
                <w:sz w:val="18"/>
                <w:szCs w:val="18"/>
              </w:rPr>
              <w:t>pposed/</w:t>
            </w:r>
            <w:r>
              <w:rPr>
                <w:rFonts w:ascii="Arial" w:hAnsi="Arial" w:cs="Arial"/>
                <w:b/>
                <w:bCs/>
                <w:color w:val="auto"/>
                <w:sz w:val="18"/>
                <w:szCs w:val="18"/>
              </w:rPr>
              <w:t>u</w:t>
            </w:r>
            <w:r w:rsidRPr="00EA0D05">
              <w:rPr>
                <w:rFonts w:ascii="Arial" w:hAnsi="Arial" w:cs="Arial"/>
                <w:b/>
                <w:bCs/>
                <w:color w:val="auto"/>
                <w:sz w:val="18"/>
                <w:szCs w:val="18"/>
              </w:rPr>
              <w:t>nopposed/</w:t>
            </w:r>
            <w:r w:rsidRPr="00387282">
              <w:rPr>
                <w:rFonts w:ascii="Arial" w:hAnsi="Arial" w:cs="Arial"/>
                <w:b/>
                <w:bCs/>
                <w:i/>
                <w:iCs/>
                <w:color w:val="auto"/>
                <w:sz w:val="18"/>
                <w:szCs w:val="18"/>
              </w:rPr>
              <w:t>ex</w:t>
            </w:r>
            <w:r>
              <w:rPr>
                <w:rFonts w:ascii="Arial" w:hAnsi="Arial" w:cs="Arial"/>
                <w:b/>
                <w:bCs/>
                <w:i/>
                <w:iCs/>
                <w:color w:val="auto"/>
                <w:sz w:val="18"/>
                <w:szCs w:val="18"/>
              </w:rPr>
              <w:t xml:space="preserve"> </w:t>
            </w:r>
            <w:proofErr w:type="spellStart"/>
            <w:r w:rsidRPr="00387282">
              <w:rPr>
                <w:rFonts w:ascii="Arial" w:hAnsi="Arial" w:cs="Arial"/>
                <w:b/>
                <w:bCs/>
                <w:i/>
                <w:iCs/>
                <w:color w:val="auto"/>
                <w:sz w:val="18"/>
                <w:szCs w:val="18"/>
              </w:rPr>
              <w:t>parte</w:t>
            </w:r>
            <w:proofErr w:type="spellEnd"/>
            <w:r w:rsidRPr="00EA0D05">
              <w:rPr>
                <w:rFonts w:ascii="Arial" w:hAnsi="Arial" w:cs="Arial"/>
                <w:b/>
                <w:bCs/>
                <w:color w:val="auto"/>
                <w:sz w:val="18"/>
                <w:szCs w:val="18"/>
              </w:rPr>
              <w:t xml:space="preserve">/by </w:t>
            </w:r>
            <w:r>
              <w:rPr>
                <w:rFonts w:ascii="Arial" w:hAnsi="Arial" w:cs="Arial"/>
                <w:b/>
                <w:bCs/>
                <w:color w:val="auto"/>
                <w:sz w:val="18"/>
                <w:szCs w:val="18"/>
              </w:rPr>
              <w:t>c</w:t>
            </w:r>
            <w:r w:rsidRPr="00EA0D05">
              <w:rPr>
                <w:rFonts w:ascii="Arial" w:hAnsi="Arial" w:cs="Arial"/>
                <w:b/>
                <w:bCs/>
                <w:color w:val="auto"/>
                <w:sz w:val="18"/>
                <w:szCs w:val="18"/>
              </w:rPr>
              <w:t xml:space="preserve">onsent? </w:t>
            </w:r>
          </w:p>
          <w:p w14:paraId="0830C787" w14:textId="77777777" w:rsidR="00571A89" w:rsidRPr="009A5DC0" w:rsidRDefault="00571A89" w:rsidP="00ED7308">
            <w:pPr>
              <w:pStyle w:val="Default"/>
              <w:spacing w:before="120" w:after="120" w:line="276" w:lineRule="auto"/>
              <w:rPr>
                <w:rFonts w:ascii="Arial" w:hAnsi="Arial" w:cs="Arial"/>
                <w:color w:val="auto"/>
                <w:sz w:val="18"/>
                <w:szCs w:val="18"/>
              </w:rPr>
            </w:pPr>
            <w:r w:rsidRPr="009A5DC0">
              <w:rPr>
                <w:rFonts w:ascii="Arial" w:hAnsi="Arial" w:cs="Arial"/>
                <w:color w:val="auto"/>
                <w:sz w:val="18"/>
                <w:szCs w:val="18"/>
              </w:rPr>
              <w:t>If by</w:t>
            </w:r>
            <w:r>
              <w:rPr>
                <w:rFonts w:ascii="Arial" w:hAnsi="Arial" w:cs="Arial"/>
                <w:color w:val="auto"/>
                <w:sz w:val="18"/>
                <w:szCs w:val="18"/>
              </w:rPr>
              <w:t xml:space="preserve"> consent, attached signed minutes of consent order</w:t>
            </w:r>
          </w:p>
        </w:tc>
        <w:tc>
          <w:tcPr>
            <w:tcW w:w="4945" w:type="dxa"/>
            <w:gridSpan w:val="3"/>
          </w:tcPr>
          <w:p w14:paraId="526328F5" w14:textId="77777777" w:rsidR="00571A89" w:rsidRPr="00EA0D05" w:rsidRDefault="00571A89" w:rsidP="00ED7308">
            <w:pPr>
              <w:pStyle w:val="Default"/>
              <w:rPr>
                <w:rFonts w:ascii="Arial" w:hAnsi="Arial" w:cs="Arial"/>
                <w:b/>
                <w:bCs/>
                <w:color w:val="auto"/>
                <w:sz w:val="18"/>
                <w:szCs w:val="18"/>
              </w:rPr>
            </w:pPr>
          </w:p>
        </w:tc>
      </w:tr>
      <w:tr w:rsidR="00571A89" w:rsidRPr="00EA0D05" w14:paraId="01C0DABC" w14:textId="77777777" w:rsidTr="00ED7308">
        <w:trPr>
          <w:trHeight w:val="187"/>
        </w:trPr>
        <w:tc>
          <w:tcPr>
            <w:tcW w:w="5896" w:type="dxa"/>
          </w:tcPr>
          <w:p w14:paraId="17A57D77" w14:textId="77777777" w:rsidR="00571A89" w:rsidRPr="00EA0D05" w:rsidRDefault="00571A89" w:rsidP="00ED7308">
            <w:pPr>
              <w:pStyle w:val="Default"/>
              <w:spacing w:before="120" w:after="120" w:line="276" w:lineRule="auto"/>
              <w:rPr>
                <w:rFonts w:ascii="Arial" w:hAnsi="Arial" w:cs="Arial"/>
                <w:b/>
                <w:bCs/>
                <w:color w:val="auto"/>
                <w:sz w:val="18"/>
                <w:szCs w:val="18"/>
              </w:rPr>
            </w:pPr>
            <w:r w:rsidRPr="00C044A7">
              <w:rPr>
                <w:rFonts w:ascii="Arial" w:hAnsi="Arial" w:cs="Arial"/>
                <w:b/>
                <w:bCs/>
                <w:color w:val="auto"/>
                <w:sz w:val="17"/>
                <w:szCs w:val="17"/>
              </w:rPr>
              <w:t xml:space="preserve">Details of </w:t>
            </w:r>
            <w:r>
              <w:rPr>
                <w:rFonts w:ascii="Arial" w:hAnsi="Arial" w:cs="Arial"/>
                <w:b/>
                <w:bCs/>
                <w:color w:val="auto"/>
                <w:sz w:val="17"/>
                <w:szCs w:val="17"/>
              </w:rPr>
              <w:t>r</w:t>
            </w:r>
            <w:r w:rsidRPr="00C044A7">
              <w:rPr>
                <w:rFonts w:ascii="Arial" w:hAnsi="Arial" w:cs="Arial"/>
                <w:b/>
                <w:bCs/>
                <w:color w:val="auto"/>
                <w:sz w:val="17"/>
                <w:szCs w:val="17"/>
              </w:rPr>
              <w:t>espondent’s legal practitioner if known</w:t>
            </w:r>
          </w:p>
        </w:tc>
        <w:tc>
          <w:tcPr>
            <w:tcW w:w="4945" w:type="dxa"/>
            <w:gridSpan w:val="3"/>
          </w:tcPr>
          <w:p w14:paraId="42CB0663" w14:textId="77777777" w:rsidR="00571A89" w:rsidRPr="00EA0D05" w:rsidRDefault="00571A89" w:rsidP="00ED7308">
            <w:pPr>
              <w:pStyle w:val="Default"/>
              <w:rPr>
                <w:rFonts w:ascii="Arial" w:hAnsi="Arial" w:cs="Arial"/>
                <w:b/>
                <w:bCs/>
                <w:color w:val="auto"/>
                <w:sz w:val="18"/>
                <w:szCs w:val="18"/>
              </w:rPr>
            </w:pPr>
          </w:p>
        </w:tc>
      </w:tr>
      <w:tr w:rsidR="00571A89" w:rsidRPr="00EA0D05" w14:paraId="7DCBBF4F" w14:textId="77777777" w:rsidTr="00ED7308">
        <w:trPr>
          <w:trHeight w:val="84"/>
        </w:trPr>
        <w:tc>
          <w:tcPr>
            <w:tcW w:w="5896" w:type="dxa"/>
          </w:tcPr>
          <w:p w14:paraId="5E941ECF" w14:textId="77777777" w:rsidR="00571A89" w:rsidRPr="00EA0D05" w:rsidRDefault="00571A89" w:rsidP="00ED7308">
            <w:pPr>
              <w:pStyle w:val="Default"/>
              <w:spacing w:before="120" w:after="120" w:line="276" w:lineRule="auto"/>
              <w:rPr>
                <w:rFonts w:ascii="Arial" w:hAnsi="Arial" w:cs="Arial"/>
                <w:b/>
                <w:bCs/>
                <w:color w:val="auto"/>
                <w:sz w:val="18"/>
                <w:szCs w:val="18"/>
              </w:rPr>
            </w:pPr>
            <w:r w:rsidRPr="00EA0D05">
              <w:rPr>
                <w:rFonts w:ascii="Arial" w:hAnsi="Arial" w:cs="Arial"/>
                <w:b/>
                <w:bCs/>
                <w:color w:val="auto"/>
                <w:sz w:val="18"/>
                <w:szCs w:val="18"/>
              </w:rPr>
              <w:t xml:space="preserve">Applicant’s </w:t>
            </w:r>
            <w:r>
              <w:rPr>
                <w:rFonts w:ascii="Arial" w:hAnsi="Arial" w:cs="Arial"/>
                <w:b/>
                <w:bCs/>
                <w:color w:val="auto"/>
                <w:sz w:val="18"/>
                <w:szCs w:val="18"/>
              </w:rPr>
              <w:t>f</w:t>
            </w:r>
            <w:r w:rsidRPr="00EA0D05">
              <w:rPr>
                <w:rFonts w:ascii="Arial" w:hAnsi="Arial" w:cs="Arial"/>
                <w:b/>
                <w:bCs/>
                <w:color w:val="auto"/>
                <w:sz w:val="18"/>
                <w:szCs w:val="18"/>
              </w:rPr>
              <w:t xml:space="preserve">irm name: </w:t>
            </w:r>
          </w:p>
        </w:tc>
        <w:tc>
          <w:tcPr>
            <w:tcW w:w="4945" w:type="dxa"/>
            <w:gridSpan w:val="3"/>
          </w:tcPr>
          <w:p w14:paraId="736ED419" w14:textId="77777777" w:rsidR="00571A89" w:rsidRPr="00EA0D05" w:rsidRDefault="00571A89" w:rsidP="00ED7308">
            <w:pPr>
              <w:pStyle w:val="Default"/>
              <w:rPr>
                <w:rFonts w:ascii="Arial" w:hAnsi="Arial" w:cs="Arial"/>
                <w:b/>
                <w:bCs/>
                <w:color w:val="auto"/>
                <w:sz w:val="18"/>
                <w:szCs w:val="18"/>
              </w:rPr>
            </w:pPr>
          </w:p>
        </w:tc>
      </w:tr>
      <w:tr w:rsidR="00571A89" w:rsidRPr="00EA0D05" w14:paraId="0AA72CEF" w14:textId="77777777" w:rsidTr="00ED7308">
        <w:trPr>
          <w:trHeight w:val="84"/>
        </w:trPr>
        <w:tc>
          <w:tcPr>
            <w:tcW w:w="5896" w:type="dxa"/>
          </w:tcPr>
          <w:p w14:paraId="0C774033" w14:textId="77777777" w:rsidR="00571A89" w:rsidRPr="00EA0D05" w:rsidRDefault="00571A89" w:rsidP="00ED7308">
            <w:pPr>
              <w:pStyle w:val="Default"/>
              <w:spacing w:before="120" w:after="120" w:line="276" w:lineRule="auto"/>
              <w:rPr>
                <w:rFonts w:ascii="Arial" w:hAnsi="Arial" w:cs="Arial"/>
                <w:b/>
                <w:bCs/>
                <w:color w:val="auto"/>
                <w:sz w:val="18"/>
                <w:szCs w:val="18"/>
              </w:rPr>
            </w:pPr>
            <w:r w:rsidRPr="00EA0D05">
              <w:rPr>
                <w:rFonts w:ascii="Arial" w:hAnsi="Arial" w:cs="Arial"/>
                <w:b/>
                <w:bCs/>
                <w:color w:val="auto"/>
                <w:sz w:val="18"/>
                <w:szCs w:val="18"/>
              </w:rPr>
              <w:t xml:space="preserve">Practitioner with conduct: </w:t>
            </w:r>
          </w:p>
        </w:tc>
        <w:tc>
          <w:tcPr>
            <w:tcW w:w="4945" w:type="dxa"/>
            <w:gridSpan w:val="3"/>
          </w:tcPr>
          <w:p w14:paraId="55E699CD" w14:textId="77777777" w:rsidR="00571A89" w:rsidRPr="00EA0D05" w:rsidRDefault="00571A89" w:rsidP="00ED7308">
            <w:pPr>
              <w:pStyle w:val="Default"/>
              <w:rPr>
                <w:rFonts w:ascii="Arial" w:hAnsi="Arial" w:cs="Arial"/>
                <w:b/>
                <w:bCs/>
                <w:color w:val="auto"/>
                <w:sz w:val="18"/>
                <w:szCs w:val="18"/>
              </w:rPr>
            </w:pPr>
          </w:p>
        </w:tc>
      </w:tr>
      <w:tr w:rsidR="00571A89" w:rsidRPr="00EA0D05" w14:paraId="4072FF5F" w14:textId="77777777" w:rsidTr="00ED7308">
        <w:trPr>
          <w:trHeight w:val="84"/>
        </w:trPr>
        <w:tc>
          <w:tcPr>
            <w:tcW w:w="5896" w:type="dxa"/>
          </w:tcPr>
          <w:p w14:paraId="4A739009" w14:textId="77777777" w:rsidR="00571A89" w:rsidRPr="00EA0D05" w:rsidRDefault="00571A89" w:rsidP="00ED7308">
            <w:pPr>
              <w:pStyle w:val="Default"/>
              <w:spacing w:before="120" w:after="120" w:line="276" w:lineRule="auto"/>
              <w:rPr>
                <w:rFonts w:ascii="Arial" w:hAnsi="Arial" w:cs="Arial"/>
                <w:b/>
                <w:bCs/>
                <w:color w:val="auto"/>
                <w:sz w:val="18"/>
                <w:szCs w:val="18"/>
              </w:rPr>
            </w:pPr>
            <w:r w:rsidRPr="00EA0D05">
              <w:rPr>
                <w:rFonts w:ascii="Arial" w:hAnsi="Arial" w:cs="Arial"/>
                <w:b/>
                <w:bCs/>
                <w:color w:val="auto"/>
                <w:sz w:val="18"/>
                <w:szCs w:val="18"/>
              </w:rPr>
              <w:t xml:space="preserve">Costs </w:t>
            </w:r>
            <w:r>
              <w:rPr>
                <w:rFonts w:ascii="Arial" w:hAnsi="Arial" w:cs="Arial"/>
                <w:b/>
                <w:bCs/>
                <w:color w:val="auto"/>
                <w:sz w:val="18"/>
                <w:szCs w:val="18"/>
              </w:rPr>
              <w:t>l</w:t>
            </w:r>
            <w:r w:rsidRPr="00EA0D05">
              <w:rPr>
                <w:rFonts w:ascii="Arial" w:hAnsi="Arial" w:cs="Arial"/>
                <w:b/>
                <w:bCs/>
                <w:color w:val="auto"/>
                <w:sz w:val="18"/>
                <w:szCs w:val="18"/>
              </w:rPr>
              <w:t xml:space="preserve">awyer or </w:t>
            </w:r>
            <w:r>
              <w:rPr>
                <w:rFonts w:ascii="Arial" w:hAnsi="Arial" w:cs="Arial"/>
                <w:b/>
                <w:bCs/>
                <w:color w:val="auto"/>
                <w:sz w:val="18"/>
                <w:szCs w:val="18"/>
              </w:rPr>
              <w:t>c</w:t>
            </w:r>
            <w:r w:rsidRPr="00043FFC">
              <w:rPr>
                <w:rFonts w:ascii="Arial" w:hAnsi="Arial" w:cs="Arial"/>
                <w:b/>
                <w:bCs/>
                <w:color w:val="auto"/>
                <w:sz w:val="18"/>
                <w:szCs w:val="18"/>
              </w:rPr>
              <w:t xml:space="preserve">onsultant engaged in the matter </w:t>
            </w:r>
          </w:p>
        </w:tc>
        <w:tc>
          <w:tcPr>
            <w:tcW w:w="4945" w:type="dxa"/>
            <w:gridSpan w:val="3"/>
          </w:tcPr>
          <w:p w14:paraId="4E69807C" w14:textId="77777777" w:rsidR="00571A89" w:rsidRPr="00EA0D05" w:rsidRDefault="00571A89" w:rsidP="00ED7308">
            <w:pPr>
              <w:pStyle w:val="Default"/>
              <w:rPr>
                <w:rFonts w:ascii="Arial" w:hAnsi="Arial" w:cs="Arial"/>
                <w:b/>
                <w:bCs/>
                <w:color w:val="auto"/>
                <w:sz w:val="18"/>
                <w:szCs w:val="18"/>
              </w:rPr>
            </w:pPr>
          </w:p>
        </w:tc>
      </w:tr>
      <w:tr w:rsidR="00571A89" w:rsidRPr="00EA0D05" w14:paraId="41BB2AA4" w14:textId="77777777" w:rsidTr="00ED7308">
        <w:trPr>
          <w:trHeight w:val="84"/>
        </w:trPr>
        <w:tc>
          <w:tcPr>
            <w:tcW w:w="5896" w:type="dxa"/>
          </w:tcPr>
          <w:p w14:paraId="16BBAFB0" w14:textId="77777777" w:rsidR="00571A89" w:rsidRPr="00EA0D05" w:rsidRDefault="00571A89" w:rsidP="00ED7308">
            <w:pPr>
              <w:pStyle w:val="Default"/>
              <w:spacing w:before="120" w:after="120" w:line="276" w:lineRule="auto"/>
              <w:rPr>
                <w:rFonts w:ascii="Arial" w:hAnsi="Arial" w:cs="Arial"/>
                <w:b/>
                <w:bCs/>
                <w:color w:val="auto"/>
                <w:sz w:val="18"/>
                <w:szCs w:val="18"/>
              </w:rPr>
            </w:pPr>
            <w:r w:rsidRPr="00EA0D05">
              <w:rPr>
                <w:rFonts w:ascii="Arial" w:hAnsi="Arial" w:cs="Arial"/>
                <w:b/>
                <w:bCs/>
                <w:color w:val="auto"/>
                <w:sz w:val="18"/>
                <w:szCs w:val="18"/>
              </w:rPr>
              <w:t xml:space="preserve">Direct telephone number: </w:t>
            </w:r>
          </w:p>
        </w:tc>
        <w:tc>
          <w:tcPr>
            <w:tcW w:w="4945" w:type="dxa"/>
            <w:gridSpan w:val="3"/>
          </w:tcPr>
          <w:p w14:paraId="394FB40D" w14:textId="77777777" w:rsidR="00571A89" w:rsidRPr="00EA0D05" w:rsidRDefault="00571A89" w:rsidP="00ED7308">
            <w:pPr>
              <w:pStyle w:val="Default"/>
              <w:rPr>
                <w:rFonts w:ascii="Arial" w:hAnsi="Arial" w:cs="Arial"/>
                <w:b/>
                <w:bCs/>
                <w:color w:val="auto"/>
                <w:sz w:val="18"/>
                <w:szCs w:val="18"/>
              </w:rPr>
            </w:pPr>
          </w:p>
        </w:tc>
      </w:tr>
      <w:tr w:rsidR="00571A89" w:rsidRPr="00EA0D05" w14:paraId="1EE8EE65" w14:textId="77777777" w:rsidTr="00ED7308">
        <w:trPr>
          <w:trHeight w:val="84"/>
        </w:trPr>
        <w:tc>
          <w:tcPr>
            <w:tcW w:w="5896" w:type="dxa"/>
          </w:tcPr>
          <w:p w14:paraId="445FC033" w14:textId="77777777" w:rsidR="00571A89" w:rsidRPr="00EA0D05" w:rsidRDefault="00571A89" w:rsidP="00ED7308">
            <w:pPr>
              <w:pStyle w:val="Default"/>
              <w:spacing w:before="120" w:after="120" w:line="276" w:lineRule="auto"/>
              <w:rPr>
                <w:rFonts w:ascii="Arial" w:hAnsi="Arial" w:cs="Arial"/>
                <w:b/>
                <w:bCs/>
                <w:color w:val="auto"/>
                <w:sz w:val="18"/>
                <w:szCs w:val="18"/>
              </w:rPr>
            </w:pPr>
            <w:r w:rsidRPr="00EA0D05">
              <w:rPr>
                <w:rFonts w:ascii="Arial" w:hAnsi="Arial" w:cs="Arial"/>
                <w:b/>
                <w:bCs/>
                <w:color w:val="auto"/>
                <w:sz w:val="18"/>
                <w:szCs w:val="18"/>
              </w:rPr>
              <w:t xml:space="preserve">Email address: </w:t>
            </w:r>
          </w:p>
        </w:tc>
        <w:tc>
          <w:tcPr>
            <w:tcW w:w="4945" w:type="dxa"/>
            <w:gridSpan w:val="3"/>
          </w:tcPr>
          <w:p w14:paraId="285D5093" w14:textId="77777777" w:rsidR="00571A89" w:rsidRPr="00EA0D05" w:rsidRDefault="00571A89" w:rsidP="00ED7308">
            <w:pPr>
              <w:pStyle w:val="Default"/>
              <w:rPr>
                <w:rFonts w:ascii="Arial" w:hAnsi="Arial" w:cs="Arial"/>
                <w:b/>
                <w:bCs/>
                <w:color w:val="auto"/>
                <w:sz w:val="18"/>
                <w:szCs w:val="18"/>
              </w:rPr>
            </w:pPr>
          </w:p>
        </w:tc>
      </w:tr>
      <w:tr w:rsidR="00571A89" w:rsidRPr="00EA0D05" w14:paraId="30713C4B" w14:textId="77777777" w:rsidTr="00ED7308">
        <w:trPr>
          <w:trHeight w:val="84"/>
        </w:trPr>
        <w:tc>
          <w:tcPr>
            <w:tcW w:w="5896" w:type="dxa"/>
          </w:tcPr>
          <w:p w14:paraId="690E6E1C" w14:textId="77777777" w:rsidR="00571A89" w:rsidRPr="00EA0D05" w:rsidRDefault="00571A89" w:rsidP="00ED7308">
            <w:pPr>
              <w:pStyle w:val="Default"/>
              <w:spacing w:before="120" w:after="60" w:line="276" w:lineRule="auto"/>
              <w:rPr>
                <w:rFonts w:ascii="Arial" w:hAnsi="Arial" w:cs="Arial"/>
                <w:b/>
                <w:bCs/>
                <w:color w:val="auto"/>
                <w:sz w:val="18"/>
                <w:szCs w:val="18"/>
              </w:rPr>
            </w:pPr>
            <w:r w:rsidRPr="00EA0D05">
              <w:rPr>
                <w:rFonts w:ascii="Arial" w:hAnsi="Arial" w:cs="Arial"/>
                <w:b/>
                <w:bCs/>
                <w:color w:val="auto"/>
                <w:sz w:val="18"/>
                <w:szCs w:val="18"/>
              </w:rPr>
              <w:t xml:space="preserve">Unavailable directions hearing date/s (if any): </w:t>
            </w:r>
          </w:p>
          <w:p w14:paraId="69A304B5" w14:textId="77777777" w:rsidR="00571A89" w:rsidRPr="00EA0D05" w:rsidRDefault="00571A89" w:rsidP="00ED7308">
            <w:pPr>
              <w:pStyle w:val="Default"/>
              <w:spacing w:before="60" w:after="120" w:line="276" w:lineRule="auto"/>
              <w:rPr>
                <w:rFonts w:ascii="Arial" w:hAnsi="Arial" w:cs="Arial"/>
                <w:color w:val="auto"/>
                <w:sz w:val="18"/>
                <w:szCs w:val="18"/>
              </w:rPr>
            </w:pPr>
            <w:r w:rsidRPr="00EA0D05">
              <w:rPr>
                <w:rFonts w:ascii="Arial" w:hAnsi="Arial" w:cs="Arial"/>
                <w:color w:val="auto"/>
                <w:sz w:val="18"/>
                <w:szCs w:val="18"/>
              </w:rPr>
              <w:t xml:space="preserve">List any dates within two months of the filing date that the filing party is </w:t>
            </w:r>
            <w:r w:rsidRPr="00EA0D05">
              <w:rPr>
                <w:rFonts w:ascii="Arial" w:hAnsi="Arial" w:cs="Arial"/>
                <w:b/>
                <w:color w:val="auto"/>
                <w:sz w:val="18"/>
                <w:szCs w:val="18"/>
                <w:u w:val="single"/>
              </w:rPr>
              <w:t xml:space="preserve">not </w:t>
            </w:r>
            <w:r w:rsidRPr="00EA0D05">
              <w:rPr>
                <w:rFonts w:ascii="Arial" w:hAnsi="Arial" w:cs="Arial"/>
                <w:color w:val="auto"/>
                <w:sz w:val="18"/>
                <w:szCs w:val="18"/>
              </w:rPr>
              <w:t xml:space="preserve">available </w:t>
            </w:r>
          </w:p>
        </w:tc>
        <w:tc>
          <w:tcPr>
            <w:tcW w:w="4945" w:type="dxa"/>
            <w:gridSpan w:val="3"/>
          </w:tcPr>
          <w:p w14:paraId="2DF87A1B" w14:textId="77777777" w:rsidR="00571A89" w:rsidRPr="00EA0D05" w:rsidRDefault="00571A89" w:rsidP="00ED7308">
            <w:pPr>
              <w:pStyle w:val="Default"/>
              <w:rPr>
                <w:rFonts w:ascii="Arial" w:hAnsi="Arial" w:cs="Arial"/>
                <w:b/>
                <w:bCs/>
                <w:color w:val="auto"/>
                <w:sz w:val="18"/>
                <w:szCs w:val="18"/>
              </w:rPr>
            </w:pPr>
          </w:p>
        </w:tc>
      </w:tr>
      <w:tr w:rsidR="00571A89" w:rsidRPr="00EA0D05" w14:paraId="2E2A6E6B" w14:textId="77777777" w:rsidTr="00ED7308">
        <w:trPr>
          <w:trHeight w:val="619"/>
        </w:trPr>
        <w:tc>
          <w:tcPr>
            <w:tcW w:w="5896" w:type="dxa"/>
          </w:tcPr>
          <w:p w14:paraId="0322E4F6" w14:textId="77777777" w:rsidR="00571A89" w:rsidRPr="00EA0D05" w:rsidRDefault="00571A89" w:rsidP="00ED7308">
            <w:pPr>
              <w:pStyle w:val="Default"/>
              <w:spacing w:before="120" w:after="120" w:line="276" w:lineRule="auto"/>
              <w:rPr>
                <w:rFonts w:ascii="Arial" w:hAnsi="Arial" w:cs="Arial"/>
                <w:b/>
                <w:bCs/>
                <w:color w:val="auto"/>
                <w:sz w:val="18"/>
                <w:szCs w:val="18"/>
              </w:rPr>
            </w:pPr>
            <w:r w:rsidRPr="00EA0D05">
              <w:rPr>
                <w:rFonts w:ascii="Arial" w:hAnsi="Arial" w:cs="Arial"/>
                <w:b/>
                <w:bCs/>
                <w:color w:val="auto"/>
                <w:sz w:val="18"/>
                <w:szCs w:val="18"/>
              </w:rPr>
              <w:t xml:space="preserve">Date and signature </w:t>
            </w:r>
          </w:p>
        </w:tc>
        <w:tc>
          <w:tcPr>
            <w:tcW w:w="4945" w:type="dxa"/>
            <w:gridSpan w:val="3"/>
          </w:tcPr>
          <w:p w14:paraId="6CB6716E" w14:textId="77777777" w:rsidR="00571A89" w:rsidRPr="00EA0D05" w:rsidRDefault="00571A89" w:rsidP="00ED7308">
            <w:pPr>
              <w:pStyle w:val="Default"/>
              <w:rPr>
                <w:rFonts w:ascii="Arial" w:hAnsi="Arial" w:cs="Arial"/>
                <w:b/>
                <w:bCs/>
                <w:color w:val="auto"/>
                <w:sz w:val="18"/>
                <w:szCs w:val="18"/>
              </w:rPr>
            </w:pPr>
          </w:p>
        </w:tc>
      </w:tr>
    </w:tbl>
    <w:p w14:paraId="2CDAC72E" w14:textId="77777777" w:rsidR="00571A89" w:rsidRPr="00EA0D05" w:rsidRDefault="00571A89" w:rsidP="00571A89">
      <w:pPr>
        <w:rPr>
          <w:rFonts w:ascii="Book Antiqua" w:hAnsi="Book Antiqua"/>
        </w:rPr>
      </w:pPr>
      <w:r w:rsidRPr="00EA0D05">
        <w:rPr>
          <w:rFonts w:ascii="Book Antiqua" w:hAnsi="Book Antiqua"/>
        </w:rPr>
        <w:br w:type="page"/>
      </w:r>
    </w:p>
    <w:p w14:paraId="6017EE0D" w14:textId="77777777" w:rsidR="00571A89" w:rsidRDefault="00571A89" w:rsidP="00011180">
      <w:pPr>
        <w:pStyle w:val="Heading1"/>
      </w:pPr>
      <w:bookmarkStart w:id="9" w:name="_Toc178173302"/>
      <w:r w:rsidRPr="00355ED4">
        <w:lastRenderedPageBreak/>
        <w:t>Annexure</w:t>
      </w:r>
      <w:r w:rsidRPr="00B63F3B">
        <w:t xml:space="preserve"> C</w:t>
      </w:r>
      <w:bookmarkEnd w:id="9"/>
    </w:p>
    <w:p w14:paraId="1114475C" w14:textId="77777777" w:rsidR="00571A89" w:rsidRPr="00B63F3B" w:rsidRDefault="00571A89" w:rsidP="00571A89">
      <w:pPr>
        <w:jc w:val="center"/>
        <w:rPr>
          <w:rFonts w:ascii="Arial" w:hAnsi="Arial" w:cs="Arial"/>
          <w:b/>
          <w:bCs/>
          <w:color w:val="C00000"/>
        </w:rPr>
      </w:pPr>
    </w:p>
    <w:p w14:paraId="520257B5" w14:textId="77777777" w:rsidR="00571A89" w:rsidRPr="00E91984" w:rsidRDefault="00571A89" w:rsidP="00571A89">
      <w:pPr>
        <w:ind w:left="-720" w:right="-244"/>
        <w:rPr>
          <w:rFonts w:ascii="Arial" w:hAnsi="Arial" w:cs="Arial"/>
          <w:b/>
          <w:bCs/>
          <w:color w:val="981E32"/>
          <w:sz w:val="30"/>
          <w:szCs w:val="30"/>
        </w:rPr>
      </w:pPr>
      <w:r w:rsidRPr="00E91984">
        <w:rPr>
          <w:rFonts w:ascii="Arial" w:hAnsi="Arial" w:cs="Arial"/>
          <w:color w:val="981E32"/>
          <w:sz w:val="30"/>
          <w:szCs w:val="30"/>
        </w:rPr>
        <w:t>COSTS COURT – Legal Profession Legislation Taxation Information Form</w:t>
      </w:r>
    </w:p>
    <w:p w14:paraId="3EEB98F0" w14:textId="77777777" w:rsidR="00571A89" w:rsidRPr="00EA0D05" w:rsidRDefault="00571A89" w:rsidP="00571A89"/>
    <w:tbl>
      <w:tblPr>
        <w:tblW w:w="1084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96"/>
        <w:gridCol w:w="1715"/>
        <w:gridCol w:w="1703"/>
        <w:gridCol w:w="1527"/>
      </w:tblGrid>
      <w:tr w:rsidR="00571A89" w:rsidRPr="00A273FC" w14:paraId="75700E67" w14:textId="77777777" w:rsidTr="00ED7308">
        <w:trPr>
          <w:trHeight w:val="371"/>
        </w:trPr>
        <w:tc>
          <w:tcPr>
            <w:tcW w:w="5896" w:type="dxa"/>
          </w:tcPr>
          <w:p w14:paraId="6F571563" w14:textId="77777777" w:rsidR="00571A89" w:rsidRPr="00A273FC" w:rsidRDefault="00571A89" w:rsidP="00ED7308">
            <w:pPr>
              <w:pStyle w:val="Default"/>
              <w:spacing w:before="120" w:after="120" w:line="276" w:lineRule="auto"/>
              <w:rPr>
                <w:color w:val="auto"/>
                <w:sz w:val="20"/>
                <w:szCs w:val="20"/>
              </w:rPr>
            </w:pPr>
            <w:r w:rsidRPr="00A273FC">
              <w:rPr>
                <w:rFonts w:ascii="Arial" w:hAnsi="Arial" w:cs="Arial"/>
                <w:b/>
                <w:bCs/>
                <w:color w:val="auto"/>
                <w:sz w:val="20"/>
                <w:szCs w:val="20"/>
              </w:rPr>
              <w:t xml:space="preserve">Hearing Return Date </w:t>
            </w:r>
            <w:r w:rsidRPr="00A273FC">
              <w:rPr>
                <w:rFonts w:ascii="Arial" w:hAnsi="Arial" w:cs="Arial"/>
                <w:color w:val="auto"/>
                <w:sz w:val="20"/>
                <w:szCs w:val="20"/>
              </w:rPr>
              <w:t xml:space="preserve">(Court Use Only) </w:t>
            </w:r>
          </w:p>
        </w:tc>
        <w:tc>
          <w:tcPr>
            <w:tcW w:w="4945" w:type="dxa"/>
            <w:gridSpan w:val="3"/>
          </w:tcPr>
          <w:p w14:paraId="7ADC6DDF" w14:textId="77777777" w:rsidR="00571A89" w:rsidRPr="00A273FC" w:rsidRDefault="00571A89" w:rsidP="00ED7308">
            <w:pPr>
              <w:pStyle w:val="Default"/>
              <w:ind w:left="720"/>
              <w:rPr>
                <w:rFonts w:ascii="Arial" w:hAnsi="Arial" w:cs="Arial"/>
                <w:color w:val="auto"/>
                <w:sz w:val="20"/>
                <w:szCs w:val="20"/>
              </w:rPr>
            </w:pPr>
          </w:p>
        </w:tc>
      </w:tr>
      <w:tr w:rsidR="00571A89" w:rsidRPr="00A273FC" w14:paraId="60D12E03" w14:textId="77777777" w:rsidTr="00ED7308">
        <w:trPr>
          <w:trHeight w:val="84"/>
        </w:trPr>
        <w:tc>
          <w:tcPr>
            <w:tcW w:w="5896" w:type="dxa"/>
          </w:tcPr>
          <w:p w14:paraId="66E57223" w14:textId="77777777" w:rsidR="00571A89" w:rsidRPr="00A273FC" w:rsidRDefault="00571A89" w:rsidP="00ED7308">
            <w:pPr>
              <w:pStyle w:val="Default"/>
              <w:spacing w:before="120" w:after="120" w:line="276" w:lineRule="auto"/>
              <w:rPr>
                <w:rFonts w:ascii="Arial" w:hAnsi="Arial" w:cs="Arial"/>
                <w:color w:val="auto"/>
                <w:sz w:val="20"/>
                <w:szCs w:val="20"/>
              </w:rPr>
            </w:pPr>
            <w:r w:rsidRPr="00A273FC">
              <w:rPr>
                <w:rFonts w:ascii="Arial" w:hAnsi="Arial" w:cs="Arial"/>
                <w:b/>
                <w:bCs/>
                <w:color w:val="auto"/>
                <w:sz w:val="20"/>
                <w:szCs w:val="20"/>
              </w:rPr>
              <w:t xml:space="preserve">Proceeding number: </w:t>
            </w:r>
          </w:p>
        </w:tc>
        <w:tc>
          <w:tcPr>
            <w:tcW w:w="4945" w:type="dxa"/>
            <w:gridSpan w:val="3"/>
          </w:tcPr>
          <w:p w14:paraId="0B589823" w14:textId="77777777" w:rsidR="00571A89" w:rsidRPr="00A273FC" w:rsidRDefault="00571A89" w:rsidP="00ED7308">
            <w:pPr>
              <w:pStyle w:val="Default"/>
              <w:rPr>
                <w:rFonts w:ascii="Arial" w:hAnsi="Arial" w:cs="Arial"/>
                <w:b/>
                <w:bCs/>
                <w:color w:val="auto"/>
                <w:sz w:val="20"/>
                <w:szCs w:val="20"/>
              </w:rPr>
            </w:pPr>
          </w:p>
        </w:tc>
      </w:tr>
      <w:tr w:rsidR="00571A89" w:rsidRPr="00A273FC" w14:paraId="5DD050E6" w14:textId="77777777" w:rsidTr="00ED7308">
        <w:trPr>
          <w:trHeight w:val="485"/>
        </w:trPr>
        <w:tc>
          <w:tcPr>
            <w:tcW w:w="5896" w:type="dxa"/>
          </w:tcPr>
          <w:p w14:paraId="53DF04E0" w14:textId="77777777" w:rsidR="00571A89" w:rsidRPr="00A273FC" w:rsidRDefault="00571A89" w:rsidP="00ED7308">
            <w:pPr>
              <w:pStyle w:val="Default"/>
              <w:spacing w:before="120" w:after="120" w:line="276" w:lineRule="auto"/>
              <w:rPr>
                <w:rFonts w:ascii="Arial" w:hAnsi="Arial" w:cs="Arial"/>
                <w:color w:val="auto"/>
                <w:sz w:val="20"/>
                <w:szCs w:val="20"/>
              </w:rPr>
            </w:pPr>
            <w:r w:rsidRPr="00A273FC">
              <w:rPr>
                <w:rFonts w:ascii="Arial" w:hAnsi="Arial" w:cs="Arial"/>
                <w:b/>
                <w:bCs/>
                <w:color w:val="auto"/>
                <w:sz w:val="20"/>
                <w:szCs w:val="20"/>
              </w:rPr>
              <w:t xml:space="preserve">Estimated time required for taxation hearing: </w:t>
            </w:r>
          </w:p>
        </w:tc>
        <w:tc>
          <w:tcPr>
            <w:tcW w:w="4945" w:type="dxa"/>
            <w:gridSpan w:val="3"/>
          </w:tcPr>
          <w:p w14:paraId="2DCAF2C6" w14:textId="77777777" w:rsidR="00571A89" w:rsidRPr="00A273FC" w:rsidRDefault="00571A89" w:rsidP="00ED7308">
            <w:pPr>
              <w:pStyle w:val="Default"/>
              <w:rPr>
                <w:rFonts w:ascii="Arial" w:hAnsi="Arial" w:cs="Arial"/>
                <w:b/>
                <w:bCs/>
                <w:color w:val="auto"/>
                <w:sz w:val="20"/>
                <w:szCs w:val="20"/>
              </w:rPr>
            </w:pPr>
          </w:p>
        </w:tc>
      </w:tr>
      <w:tr w:rsidR="00571A89" w:rsidRPr="00A273FC" w14:paraId="0F1F3EE9" w14:textId="77777777" w:rsidTr="00ED7308">
        <w:trPr>
          <w:trHeight w:val="323"/>
        </w:trPr>
        <w:tc>
          <w:tcPr>
            <w:tcW w:w="5896" w:type="dxa"/>
          </w:tcPr>
          <w:p w14:paraId="1BBC5F86" w14:textId="77777777" w:rsidR="00571A89" w:rsidRPr="00A273FC" w:rsidRDefault="00571A89" w:rsidP="00ED7308">
            <w:pPr>
              <w:pStyle w:val="Default"/>
              <w:spacing w:before="120" w:after="60" w:line="276" w:lineRule="auto"/>
              <w:rPr>
                <w:rFonts w:ascii="Arial" w:hAnsi="Arial" w:cs="Arial"/>
                <w:color w:val="auto"/>
                <w:sz w:val="20"/>
                <w:szCs w:val="20"/>
              </w:rPr>
            </w:pPr>
            <w:r w:rsidRPr="00A273FC">
              <w:rPr>
                <w:rFonts w:ascii="Arial" w:hAnsi="Arial" w:cs="Arial"/>
                <w:b/>
                <w:bCs/>
                <w:color w:val="auto"/>
                <w:sz w:val="20"/>
                <w:szCs w:val="20"/>
              </w:rPr>
              <w:t xml:space="preserve">Summary of application including details of retainer </w:t>
            </w:r>
            <w:r w:rsidRPr="00A273FC">
              <w:rPr>
                <w:rFonts w:ascii="Arial" w:hAnsi="Arial" w:cs="Arial"/>
                <w:color w:val="auto"/>
                <w:sz w:val="20"/>
                <w:szCs w:val="20"/>
              </w:rPr>
              <w:t xml:space="preserve"> </w:t>
            </w:r>
          </w:p>
        </w:tc>
        <w:tc>
          <w:tcPr>
            <w:tcW w:w="4945" w:type="dxa"/>
            <w:gridSpan w:val="3"/>
          </w:tcPr>
          <w:p w14:paraId="24A95499" w14:textId="77777777" w:rsidR="00571A89" w:rsidRPr="00A273FC" w:rsidRDefault="00571A89" w:rsidP="00ED7308">
            <w:pPr>
              <w:pStyle w:val="Default"/>
              <w:rPr>
                <w:rFonts w:ascii="Arial" w:hAnsi="Arial" w:cs="Arial"/>
                <w:b/>
                <w:bCs/>
                <w:color w:val="auto"/>
                <w:sz w:val="20"/>
                <w:szCs w:val="20"/>
              </w:rPr>
            </w:pPr>
          </w:p>
        </w:tc>
      </w:tr>
      <w:tr w:rsidR="00571A89" w:rsidRPr="00A273FC" w14:paraId="27F1C2D9" w14:textId="77777777" w:rsidTr="00ED7308">
        <w:trPr>
          <w:trHeight w:val="323"/>
        </w:trPr>
        <w:tc>
          <w:tcPr>
            <w:tcW w:w="5896" w:type="dxa"/>
          </w:tcPr>
          <w:p w14:paraId="3CBD3581" w14:textId="77777777" w:rsidR="00571A89" w:rsidRPr="00A273FC" w:rsidRDefault="00571A89" w:rsidP="00ED7308">
            <w:pPr>
              <w:pStyle w:val="Default"/>
              <w:spacing w:before="120" w:after="120" w:line="276" w:lineRule="auto"/>
              <w:rPr>
                <w:rFonts w:ascii="Arial" w:hAnsi="Arial" w:cs="Arial"/>
                <w:color w:val="auto"/>
                <w:sz w:val="20"/>
                <w:szCs w:val="20"/>
              </w:rPr>
            </w:pPr>
            <w:r w:rsidRPr="00A273FC">
              <w:rPr>
                <w:rFonts w:ascii="Arial" w:hAnsi="Arial" w:cs="Arial"/>
                <w:b/>
                <w:bCs/>
                <w:color w:val="auto"/>
                <w:sz w:val="20"/>
                <w:szCs w:val="20"/>
              </w:rPr>
              <w:t>Media neutral citation of relevant judgment or copy thereof or short summary of principal litigation</w:t>
            </w:r>
            <w:r w:rsidRPr="00A273FC">
              <w:rPr>
                <w:rFonts w:ascii="Arial" w:hAnsi="Arial" w:cs="Arial"/>
                <w:color w:val="auto"/>
                <w:sz w:val="20"/>
                <w:szCs w:val="20"/>
              </w:rPr>
              <w:t xml:space="preserve"> </w:t>
            </w:r>
          </w:p>
        </w:tc>
        <w:tc>
          <w:tcPr>
            <w:tcW w:w="4945" w:type="dxa"/>
            <w:gridSpan w:val="3"/>
          </w:tcPr>
          <w:p w14:paraId="41BA6CEE" w14:textId="77777777" w:rsidR="00571A89" w:rsidRPr="00A273FC" w:rsidRDefault="00571A89" w:rsidP="00ED7308">
            <w:pPr>
              <w:pStyle w:val="Default"/>
              <w:rPr>
                <w:rFonts w:ascii="Arial" w:hAnsi="Arial" w:cs="Arial"/>
                <w:b/>
                <w:bCs/>
                <w:color w:val="auto"/>
                <w:sz w:val="20"/>
                <w:szCs w:val="20"/>
              </w:rPr>
            </w:pPr>
          </w:p>
        </w:tc>
      </w:tr>
      <w:tr w:rsidR="00571A89" w:rsidRPr="00A273FC" w14:paraId="4A8DEE92" w14:textId="77777777" w:rsidTr="00ED7308">
        <w:trPr>
          <w:trHeight w:val="220"/>
        </w:trPr>
        <w:tc>
          <w:tcPr>
            <w:tcW w:w="5896" w:type="dxa"/>
          </w:tcPr>
          <w:p w14:paraId="00CCD740" w14:textId="77777777" w:rsidR="00571A89" w:rsidRPr="00A273FC" w:rsidRDefault="00571A89" w:rsidP="00ED7308">
            <w:pPr>
              <w:pStyle w:val="Default"/>
              <w:spacing w:before="120" w:after="60" w:line="276" w:lineRule="auto"/>
              <w:rPr>
                <w:rFonts w:ascii="Arial" w:hAnsi="Arial" w:cs="Arial"/>
                <w:color w:val="auto"/>
                <w:sz w:val="20"/>
                <w:szCs w:val="20"/>
              </w:rPr>
            </w:pPr>
            <w:r w:rsidRPr="00A273FC">
              <w:rPr>
                <w:rFonts w:ascii="Arial" w:hAnsi="Arial" w:cs="Arial"/>
                <w:b/>
                <w:bCs/>
                <w:color w:val="auto"/>
                <w:sz w:val="20"/>
                <w:szCs w:val="20"/>
              </w:rPr>
              <w:t xml:space="preserve">Who is bringing the application? </w:t>
            </w:r>
          </w:p>
          <w:p w14:paraId="4D6A729D" w14:textId="77777777" w:rsidR="00571A89" w:rsidRPr="00A273FC" w:rsidRDefault="00571A89" w:rsidP="00ED7308">
            <w:pPr>
              <w:pStyle w:val="Default"/>
              <w:spacing w:before="60" w:after="120" w:line="276" w:lineRule="auto"/>
              <w:rPr>
                <w:rFonts w:ascii="Arial" w:hAnsi="Arial" w:cs="Arial"/>
                <w:color w:val="auto"/>
                <w:sz w:val="20"/>
                <w:szCs w:val="20"/>
              </w:rPr>
            </w:pPr>
            <w:r w:rsidRPr="00A273FC">
              <w:rPr>
                <w:rFonts w:ascii="Arial" w:hAnsi="Arial" w:cs="Arial"/>
                <w:color w:val="auto"/>
                <w:sz w:val="20"/>
                <w:szCs w:val="20"/>
              </w:rPr>
              <w:t xml:space="preserve">Party type and name of party. </w:t>
            </w:r>
          </w:p>
        </w:tc>
        <w:tc>
          <w:tcPr>
            <w:tcW w:w="4945" w:type="dxa"/>
            <w:gridSpan w:val="3"/>
            <w:tcBorders>
              <w:bottom w:val="single" w:sz="4" w:space="0" w:color="auto"/>
            </w:tcBorders>
          </w:tcPr>
          <w:p w14:paraId="07BBCC01" w14:textId="77777777" w:rsidR="00571A89" w:rsidRPr="00A273FC" w:rsidRDefault="00571A89" w:rsidP="00ED7308">
            <w:pPr>
              <w:pStyle w:val="Default"/>
              <w:rPr>
                <w:rFonts w:ascii="Arial" w:hAnsi="Arial" w:cs="Arial"/>
                <w:b/>
                <w:bCs/>
                <w:color w:val="auto"/>
                <w:sz w:val="20"/>
                <w:szCs w:val="20"/>
              </w:rPr>
            </w:pPr>
          </w:p>
        </w:tc>
      </w:tr>
      <w:tr w:rsidR="00571A89" w:rsidRPr="00A273FC" w14:paraId="596AD0A6" w14:textId="77777777" w:rsidTr="00ED7308">
        <w:trPr>
          <w:trHeight w:val="457"/>
        </w:trPr>
        <w:tc>
          <w:tcPr>
            <w:tcW w:w="5896" w:type="dxa"/>
          </w:tcPr>
          <w:p w14:paraId="42063752" w14:textId="77777777" w:rsidR="00571A89" w:rsidRPr="00A273FC" w:rsidRDefault="00571A89" w:rsidP="00ED7308">
            <w:pPr>
              <w:pStyle w:val="Default"/>
              <w:spacing w:before="120" w:after="120" w:line="276" w:lineRule="auto"/>
              <w:rPr>
                <w:rFonts w:ascii="Arial" w:hAnsi="Arial" w:cs="Arial"/>
                <w:b/>
                <w:bCs/>
                <w:color w:val="auto"/>
                <w:sz w:val="20"/>
                <w:szCs w:val="20"/>
              </w:rPr>
            </w:pPr>
            <w:r w:rsidRPr="00A273FC">
              <w:rPr>
                <w:rFonts w:ascii="Arial" w:hAnsi="Arial" w:cs="Arial"/>
                <w:b/>
                <w:bCs/>
                <w:color w:val="auto"/>
                <w:sz w:val="20"/>
                <w:szCs w:val="20"/>
              </w:rPr>
              <w:t>Amount of costs charged</w:t>
            </w:r>
          </w:p>
          <w:p w14:paraId="03852E4B" w14:textId="77777777" w:rsidR="00571A89" w:rsidRPr="00A273FC" w:rsidRDefault="00571A89" w:rsidP="00ED7308">
            <w:pPr>
              <w:pStyle w:val="Default"/>
              <w:spacing w:before="120" w:after="120" w:line="276" w:lineRule="auto"/>
              <w:rPr>
                <w:rFonts w:ascii="Arial" w:hAnsi="Arial" w:cs="Arial"/>
                <w:bCs/>
                <w:color w:val="auto"/>
                <w:sz w:val="20"/>
                <w:szCs w:val="20"/>
              </w:rPr>
            </w:pPr>
            <w:r w:rsidRPr="00A273FC">
              <w:rPr>
                <w:rFonts w:ascii="Arial" w:hAnsi="Arial" w:cs="Arial"/>
                <w:bCs/>
                <w:color w:val="auto"/>
                <w:sz w:val="20"/>
                <w:szCs w:val="20"/>
              </w:rPr>
              <w:t xml:space="preserve">The </w:t>
            </w:r>
            <w:proofErr w:type="gramStart"/>
            <w:r w:rsidRPr="00A273FC">
              <w:rPr>
                <w:rFonts w:ascii="Arial" w:hAnsi="Arial" w:cs="Arial"/>
                <w:bCs/>
                <w:color w:val="auto"/>
                <w:sz w:val="20"/>
                <w:szCs w:val="20"/>
              </w:rPr>
              <w:t>amount</w:t>
            </w:r>
            <w:proofErr w:type="gramEnd"/>
            <w:r w:rsidRPr="00A273FC">
              <w:rPr>
                <w:rFonts w:ascii="Arial" w:hAnsi="Arial" w:cs="Arial"/>
                <w:bCs/>
                <w:color w:val="auto"/>
                <w:sz w:val="20"/>
                <w:szCs w:val="20"/>
              </w:rPr>
              <w:t xml:space="preserve"> of professional charges and disbursements charged in the bill of costs </w:t>
            </w:r>
          </w:p>
        </w:tc>
        <w:tc>
          <w:tcPr>
            <w:tcW w:w="1715" w:type="dxa"/>
            <w:tcBorders>
              <w:right w:val="single" w:sz="4" w:space="0" w:color="auto"/>
            </w:tcBorders>
          </w:tcPr>
          <w:p w14:paraId="274D9D22" w14:textId="77777777" w:rsidR="00571A89" w:rsidRPr="00A273FC" w:rsidRDefault="00571A89" w:rsidP="00ED7308">
            <w:pPr>
              <w:pStyle w:val="Default"/>
              <w:spacing w:before="60" w:after="60"/>
              <w:rPr>
                <w:rFonts w:ascii="Arial" w:hAnsi="Arial" w:cs="Arial"/>
                <w:b/>
                <w:bCs/>
                <w:color w:val="auto"/>
                <w:sz w:val="20"/>
                <w:szCs w:val="20"/>
              </w:rPr>
            </w:pPr>
            <w:r w:rsidRPr="00A273FC">
              <w:rPr>
                <w:rFonts w:ascii="Arial" w:hAnsi="Arial" w:cs="Arial"/>
                <w:b/>
                <w:bCs/>
                <w:color w:val="auto"/>
                <w:sz w:val="20"/>
                <w:szCs w:val="20"/>
              </w:rPr>
              <w:t>Professional charges</w:t>
            </w:r>
          </w:p>
          <w:p w14:paraId="6791E96E" w14:textId="77777777" w:rsidR="00571A89" w:rsidRPr="00A273FC" w:rsidRDefault="00571A89" w:rsidP="00ED7308">
            <w:pPr>
              <w:pStyle w:val="Default"/>
              <w:spacing w:before="60"/>
              <w:rPr>
                <w:rFonts w:ascii="Arial" w:hAnsi="Arial" w:cs="Arial"/>
                <w:b/>
                <w:bCs/>
                <w:color w:val="auto"/>
                <w:sz w:val="20"/>
                <w:szCs w:val="20"/>
              </w:rPr>
            </w:pPr>
            <w:r w:rsidRPr="00A273FC">
              <w:rPr>
                <w:rFonts w:ascii="Arial" w:hAnsi="Arial" w:cs="Arial"/>
                <w:b/>
                <w:bCs/>
                <w:color w:val="auto"/>
                <w:sz w:val="20"/>
                <w:szCs w:val="20"/>
              </w:rPr>
              <w:t>$</w:t>
            </w:r>
          </w:p>
        </w:tc>
        <w:tc>
          <w:tcPr>
            <w:tcW w:w="1703" w:type="dxa"/>
            <w:tcBorders>
              <w:left w:val="single" w:sz="4" w:space="0" w:color="auto"/>
              <w:right w:val="single" w:sz="4" w:space="0" w:color="auto"/>
            </w:tcBorders>
          </w:tcPr>
          <w:p w14:paraId="63B5171F" w14:textId="77777777" w:rsidR="00571A89" w:rsidRPr="00A273FC" w:rsidRDefault="00571A89" w:rsidP="00ED7308">
            <w:pPr>
              <w:pStyle w:val="Default"/>
              <w:spacing w:before="60"/>
              <w:rPr>
                <w:rFonts w:ascii="Arial" w:hAnsi="Arial" w:cs="Arial"/>
                <w:b/>
                <w:bCs/>
                <w:color w:val="auto"/>
                <w:sz w:val="20"/>
                <w:szCs w:val="20"/>
              </w:rPr>
            </w:pPr>
            <w:r w:rsidRPr="00A273FC">
              <w:rPr>
                <w:rFonts w:ascii="Arial" w:hAnsi="Arial" w:cs="Arial"/>
                <w:b/>
                <w:bCs/>
                <w:color w:val="auto"/>
                <w:sz w:val="20"/>
                <w:szCs w:val="20"/>
              </w:rPr>
              <w:t xml:space="preserve">Disbursements </w:t>
            </w:r>
          </w:p>
          <w:p w14:paraId="3544EB43" w14:textId="77777777" w:rsidR="00571A89" w:rsidRPr="00A273FC" w:rsidRDefault="00571A89" w:rsidP="00ED7308">
            <w:pPr>
              <w:pStyle w:val="Default"/>
              <w:spacing w:before="60"/>
              <w:rPr>
                <w:rFonts w:ascii="Arial" w:hAnsi="Arial" w:cs="Arial"/>
                <w:b/>
                <w:bCs/>
                <w:color w:val="auto"/>
                <w:sz w:val="20"/>
                <w:szCs w:val="20"/>
              </w:rPr>
            </w:pPr>
          </w:p>
          <w:p w14:paraId="30022B81" w14:textId="77777777" w:rsidR="00571A89" w:rsidRPr="00A273FC" w:rsidRDefault="00571A89" w:rsidP="00ED7308">
            <w:pPr>
              <w:pStyle w:val="Default"/>
              <w:spacing w:before="60" w:after="60"/>
              <w:rPr>
                <w:rFonts w:ascii="Arial" w:hAnsi="Arial" w:cs="Arial"/>
                <w:b/>
                <w:bCs/>
                <w:color w:val="auto"/>
                <w:sz w:val="20"/>
                <w:szCs w:val="20"/>
              </w:rPr>
            </w:pPr>
            <w:r w:rsidRPr="00A273FC">
              <w:rPr>
                <w:rFonts w:ascii="Arial" w:hAnsi="Arial" w:cs="Arial"/>
                <w:b/>
                <w:bCs/>
                <w:color w:val="auto"/>
                <w:sz w:val="20"/>
                <w:szCs w:val="20"/>
              </w:rPr>
              <w:t>$</w:t>
            </w:r>
          </w:p>
        </w:tc>
        <w:tc>
          <w:tcPr>
            <w:tcW w:w="1527" w:type="dxa"/>
            <w:tcBorders>
              <w:left w:val="single" w:sz="4" w:space="0" w:color="auto"/>
            </w:tcBorders>
          </w:tcPr>
          <w:p w14:paraId="5E4BB640" w14:textId="77777777" w:rsidR="00571A89" w:rsidRPr="00A273FC" w:rsidRDefault="00571A89" w:rsidP="00ED7308">
            <w:pPr>
              <w:pStyle w:val="Default"/>
              <w:spacing w:before="60"/>
              <w:rPr>
                <w:rFonts w:ascii="Arial" w:hAnsi="Arial" w:cs="Arial"/>
                <w:b/>
                <w:bCs/>
                <w:color w:val="auto"/>
                <w:sz w:val="20"/>
                <w:szCs w:val="20"/>
              </w:rPr>
            </w:pPr>
            <w:r w:rsidRPr="00A273FC">
              <w:rPr>
                <w:rFonts w:ascii="Arial" w:hAnsi="Arial" w:cs="Arial"/>
                <w:b/>
                <w:bCs/>
                <w:color w:val="auto"/>
                <w:sz w:val="20"/>
                <w:szCs w:val="20"/>
              </w:rPr>
              <w:t>Total</w:t>
            </w:r>
          </w:p>
          <w:p w14:paraId="199B8C8B" w14:textId="77777777" w:rsidR="00571A89" w:rsidRPr="00A273FC" w:rsidRDefault="00571A89" w:rsidP="00ED7308">
            <w:pPr>
              <w:pStyle w:val="Default"/>
              <w:spacing w:before="60"/>
              <w:rPr>
                <w:rFonts w:ascii="Arial" w:hAnsi="Arial" w:cs="Arial"/>
                <w:b/>
                <w:bCs/>
                <w:color w:val="auto"/>
                <w:sz w:val="20"/>
                <w:szCs w:val="20"/>
              </w:rPr>
            </w:pPr>
          </w:p>
          <w:p w14:paraId="7F6B7B6C" w14:textId="77777777" w:rsidR="00571A89" w:rsidRPr="00A273FC" w:rsidRDefault="00571A89" w:rsidP="00ED7308">
            <w:pPr>
              <w:pStyle w:val="Default"/>
              <w:spacing w:before="60"/>
              <w:rPr>
                <w:rFonts w:ascii="Arial" w:hAnsi="Arial" w:cs="Arial"/>
                <w:b/>
                <w:bCs/>
                <w:color w:val="auto"/>
                <w:sz w:val="20"/>
                <w:szCs w:val="20"/>
              </w:rPr>
            </w:pPr>
            <w:r w:rsidRPr="00A273FC">
              <w:rPr>
                <w:rFonts w:ascii="Arial" w:hAnsi="Arial" w:cs="Arial"/>
                <w:b/>
                <w:bCs/>
                <w:color w:val="auto"/>
                <w:sz w:val="20"/>
                <w:szCs w:val="20"/>
              </w:rPr>
              <w:t>$</w:t>
            </w:r>
          </w:p>
        </w:tc>
      </w:tr>
      <w:tr w:rsidR="00571A89" w:rsidRPr="00A273FC" w14:paraId="38C7D885" w14:textId="77777777" w:rsidTr="00ED7308">
        <w:trPr>
          <w:trHeight w:val="634"/>
        </w:trPr>
        <w:tc>
          <w:tcPr>
            <w:tcW w:w="5896" w:type="dxa"/>
          </w:tcPr>
          <w:p w14:paraId="71D3583A" w14:textId="149C7C2C" w:rsidR="00571A89" w:rsidRPr="00A273FC" w:rsidRDefault="00571A89" w:rsidP="00ED7308">
            <w:pPr>
              <w:spacing w:before="60" w:after="120"/>
              <w:rPr>
                <w:rFonts w:ascii="Arial" w:hAnsi="Arial" w:cs="Arial"/>
                <w:b/>
                <w:sz w:val="20"/>
                <w:szCs w:val="20"/>
              </w:rPr>
            </w:pPr>
            <w:r w:rsidRPr="00A273FC">
              <w:rPr>
                <w:rFonts w:ascii="Arial" w:hAnsi="Arial" w:cs="Arial"/>
                <w:b/>
                <w:sz w:val="20"/>
                <w:szCs w:val="20"/>
              </w:rPr>
              <w:t xml:space="preserve">Is the applicant </w:t>
            </w:r>
            <w:r w:rsidR="00532383">
              <w:rPr>
                <w:rFonts w:ascii="Arial" w:hAnsi="Arial" w:cs="Arial"/>
                <w:b/>
                <w:sz w:val="20"/>
                <w:szCs w:val="20"/>
              </w:rPr>
              <w:t xml:space="preserve">or respondent </w:t>
            </w:r>
            <w:r w:rsidRPr="00A273FC">
              <w:rPr>
                <w:rFonts w:ascii="Arial" w:hAnsi="Arial" w:cs="Arial"/>
                <w:b/>
                <w:sz w:val="20"/>
                <w:szCs w:val="20"/>
              </w:rPr>
              <w:t xml:space="preserve">self-represented?  Any other relevant matter.  </w:t>
            </w:r>
          </w:p>
        </w:tc>
        <w:tc>
          <w:tcPr>
            <w:tcW w:w="4945" w:type="dxa"/>
            <w:gridSpan w:val="3"/>
          </w:tcPr>
          <w:p w14:paraId="53ECA6CD" w14:textId="77777777" w:rsidR="00571A89" w:rsidRPr="00A273FC" w:rsidRDefault="00571A89" w:rsidP="00ED7308">
            <w:pPr>
              <w:pStyle w:val="Default"/>
              <w:rPr>
                <w:rFonts w:ascii="Arial" w:hAnsi="Arial" w:cs="Arial"/>
                <w:b/>
                <w:bCs/>
                <w:color w:val="auto"/>
                <w:sz w:val="20"/>
                <w:szCs w:val="20"/>
              </w:rPr>
            </w:pPr>
          </w:p>
        </w:tc>
      </w:tr>
      <w:tr w:rsidR="00571A89" w:rsidRPr="00A273FC" w14:paraId="676B21A2" w14:textId="77777777" w:rsidTr="00ED7308">
        <w:trPr>
          <w:trHeight w:val="187"/>
        </w:trPr>
        <w:tc>
          <w:tcPr>
            <w:tcW w:w="5896" w:type="dxa"/>
          </w:tcPr>
          <w:p w14:paraId="65CA3C2F" w14:textId="77777777" w:rsidR="00571A89" w:rsidRPr="00A273FC" w:rsidRDefault="00571A89" w:rsidP="00ED7308">
            <w:pPr>
              <w:pStyle w:val="Default"/>
              <w:spacing w:before="120" w:after="120" w:line="276" w:lineRule="auto"/>
              <w:rPr>
                <w:rFonts w:ascii="Arial" w:hAnsi="Arial" w:cs="Arial"/>
                <w:b/>
                <w:bCs/>
                <w:color w:val="auto"/>
                <w:sz w:val="20"/>
                <w:szCs w:val="20"/>
              </w:rPr>
            </w:pPr>
            <w:r w:rsidRPr="00A273FC">
              <w:rPr>
                <w:rFonts w:ascii="Arial" w:hAnsi="Arial" w:cs="Arial"/>
                <w:b/>
                <w:bCs/>
                <w:color w:val="auto"/>
                <w:sz w:val="20"/>
                <w:szCs w:val="20"/>
              </w:rPr>
              <w:t>Is the matter likely to be opposed/unopposed/</w:t>
            </w:r>
            <w:r w:rsidRPr="00A273FC">
              <w:rPr>
                <w:rFonts w:ascii="Arial" w:hAnsi="Arial" w:cs="Arial"/>
                <w:b/>
                <w:bCs/>
                <w:i/>
                <w:iCs/>
                <w:color w:val="auto"/>
                <w:sz w:val="20"/>
                <w:szCs w:val="20"/>
              </w:rPr>
              <w:t xml:space="preserve">ex </w:t>
            </w:r>
            <w:proofErr w:type="spellStart"/>
            <w:r w:rsidRPr="00A273FC">
              <w:rPr>
                <w:rFonts w:ascii="Arial" w:hAnsi="Arial" w:cs="Arial"/>
                <w:b/>
                <w:bCs/>
                <w:i/>
                <w:iCs/>
                <w:color w:val="auto"/>
                <w:sz w:val="20"/>
                <w:szCs w:val="20"/>
              </w:rPr>
              <w:t>parte</w:t>
            </w:r>
            <w:proofErr w:type="spellEnd"/>
            <w:r w:rsidRPr="00A273FC">
              <w:rPr>
                <w:rFonts w:ascii="Arial" w:hAnsi="Arial" w:cs="Arial"/>
                <w:b/>
                <w:bCs/>
                <w:color w:val="auto"/>
                <w:sz w:val="20"/>
                <w:szCs w:val="20"/>
              </w:rPr>
              <w:t>/by consent?</w:t>
            </w:r>
          </w:p>
          <w:p w14:paraId="1A73B70F" w14:textId="77777777" w:rsidR="00571A89" w:rsidRPr="00A273FC" w:rsidRDefault="00571A89" w:rsidP="00ED7308">
            <w:pPr>
              <w:pStyle w:val="Default"/>
              <w:spacing w:before="120" w:after="120" w:line="276" w:lineRule="auto"/>
              <w:rPr>
                <w:rFonts w:ascii="Arial" w:hAnsi="Arial" w:cs="Arial"/>
                <w:b/>
                <w:bCs/>
                <w:color w:val="auto"/>
                <w:sz w:val="20"/>
                <w:szCs w:val="20"/>
              </w:rPr>
            </w:pPr>
            <w:r w:rsidRPr="00A273FC">
              <w:rPr>
                <w:rFonts w:ascii="Arial" w:hAnsi="Arial" w:cs="Arial"/>
                <w:color w:val="auto"/>
                <w:sz w:val="20"/>
                <w:szCs w:val="20"/>
              </w:rPr>
              <w:t>If by consent, attached signed minutes of consent order</w:t>
            </w:r>
          </w:p>
        </w:tc>
        <w:tc>
          <w:tcPr>
            <w:tcW w:w="4945" w:type="dxa"/>
            <w:gridSpan w:val="3"/>
          </w:tcPr>
          <w:p w14:paraId="64428813" w14:textId="77777777" w:rsidR="00571A89" w:rsidRPr="00A273FC" w:rsidRDefault="00571A89" w:rsidP="00ED7308">
            <w:pPr>
              <w:pStyle w:val="Default"/>
              <w:rPr>
                <w:rFonts w:ascii="Arial" w:hAnsi="Arial" w:cs="Arial"/>
                <w:b/>
                <w:bCs/>
                <w:color w:val="auto"/>
                <w:sz w:val="20"/>
                <w:szCs w:val="20"/>
              </w:rPr>
            </w:pPr>
          </w:p>
        </w:tc>
      </w:tr>
      <w:tr w:rsidR="00571A89" w:rsidRPr="00A273FC" w14:paraId="2A3003F8" w14:textId="77777777" w:rsidTr="00ED7308">
        <w:trPr>
          <w:trHeight w:val="187"/>
        </w:trPr>
        <w:tc>
          <w:tcPr>
            <w:tcW w:w="5896" w:type="dxa"/>
          </w:tcPr>
          <w:p w14:paraId="13F630CD" w14:textId="77777777" w:rsidR="00571A89" w:rsidRPr="00A273FC" w:rsidRDefault="00571A89" w:rsidP="00ED7308">
            <w:pPr>
              <w:pStyle w:val="Default"/>
              <w:spacing w:before="120" w:after="120" w:line="276" w:lineRule="auto"/>
              <w:rPr>
                <w:rFonts w:ascii="Arial" w:hAnsi="Arial" w:cs="Arial"/>
                <w:b/>
                <w:bCs/>
                <w:color w:val="auto"/>
                <w:sz w:val="20"/>
                <w:szCs w:val="20"/>
              </w:rPr>
            </w:pPr>
            <w:r w:rsidRPr="00A273FC">
              <w:rPr>
                <w:rFonts w:ascii="Arial" w:hAnsi="Arial" w:cs="Arial"/>
                <w:b/>
                <w:bCs/>
                <w:color w:val="auto"/>
                <w:sz w:val="20"/>
                <w:szCs w:val="20"/>
              </w:rPr>
              <w:t xml:space="preserve">Details of Respondent </w:t>
            </w:r>
          </w:p>
        </w:tc>
        <w:tc>
          <w:tcPr>
            <w:tcW w:w="4945" w:type="dxa"/>
            <w:gridSpan w:val="3"/>
          </w:tcPr>
          <w:p w14:paraId="66BADFFE" w14:textId="77777777" w:rsidR="00571A89" w:rsidRPr="00A273FC" w:rsidRDefault="00571A89" w:rsidP="00ED7308">
            <w:pPr>
              <w:pStyle w:val="Default"/>
              <w:rPr>
                <w:rFonts w:ascii="Arial" w:hAnsi="Arial" w:cs="Arial"/>
                <w:b/>
                <w:bCs/>
                <w:color w:val="auto"/>
                <w:sz w:val="20"/>
                <w:szCs w:val="20"/>
              </w:rPr>
            </w:pPr>
          </w:p>
        </w:tc>
      </w:tr>
      <w:tr w:rsidR="00571A89" w:rsidRPr="00A273FC" w14:paraId="532E1302" w14:textId="77777777" w:rsidTr="00ED7308">
        <w:trPr>
          <w:trHeight w:val="84"/>
        </w:trPr>
        <w:tc>
          <w:tcPr>
            <w:tcW w:w="5896" w:type="dxa"/>
          </w:tcPr>
          <w:p w14:paraId="0F14FBC4" w14:textId="77777777" w:rsidR="00571A89" w:rsidRPr="00A273FC" w:rsidRDefault="00571A89" w:rsidP="00ED7308">
            <w:pPr>
              <w:pStyle w:val="Default"/>
              <w:spacing w:before="120" w:after="120" w:line="276" w:lineRule="auto"/>
              <w:rPr>
                <w:rFonts w:ascii="Arial" w:hAnsi="Arial" w:cs="Arial"/>
                <w:b/>
                <w:bCs/>
                <w:color w:val="auto"/>
                <w:sz w:val="20"/>
                <w:szCs w:val="20"/>
              </w:rPr>
            </w:pPr>
            <w:r w:rsidRPr="00A273FC">
              <w:rPr>
                <w:rFonts w:ascii="Arial" w:hAnsi="Arial" w:cs="Arial"/>
                <w:b/>
                <w:bCs/>
                <w:color w:val="auto"/>
                <w:sz w:val="20"/>
                <w:szCs w:val="20"/>
              </w:rPr>
              <w:t xml:space="preserve">Applicant’s firm name: </w:t>
            </w:r>
          </w:p>
        </w:tc>
        <w:tc>
          <w:tcPr>
            <w:tcW w:w="4945" w:type="dxa"/>
            <w:gridSpan w:val="3"/>
          </w:tcPr>
          <w:p w14:paraId="330B4A4C" w14:textId="77777777" w:rsidR="00571A89" w:rsidRPr="00A273FC" w:rsidRDefault="00571A89" w:rsidP="00ED7308">
            <w:pPr>
              <w:pStyle w:val="Default"/>
              <w:rPr>
                <w:rFonts w:ascii="Arial" w:hAnsi="Arial" w:cs="Arial"/>
                <w:b/>
                <w:bCs/>
                <w:color w:val="auto"/>
                <w:sz w:val="20"/>
                <w:szCs w:val="20"/>
              </w:rPr>
            </w:pPr>
          </w:p>
        </w:tc>
      </w:tr>
      <w:tr w:rsidR="00571A89" w:rsidRPr="00A273FC" w14:paraId="2AF2AF30" w14:textId="77777777" w:rsidTr="00ED7308">
        <w:trPr>
          <w:trHeight w:val="84"/>
        </w:trPr>
        <w:tc>
          <w:tcPr>
            <w:tcW w:w="5896" w:type="dxa"/>
          </w:tcPr>
          <w:p w14:paraId="299C25EB" w14:textId="77777777" w:rsidR="00571A89" w:rsidRPr="00A273FC" w:rsidRDefault="00571A89" w:rsidP="00ED7308">
            <w:pPr>
              <w:pStyle w:val="Default"/>
              <w:spacing w:before="120" w:after="120" w:line="276" w:lineRule="auto"/>
              <w:rPr>
                <w:rFonts w:ascii="Arial" w:hAnsi="Arial" w:cs="Arial"/>
                <w:b/>
                <w:bCs/>
                <w:color w:val="auto"/>
                <w:sz w:val="20"/>
                <w:szCs w:val="20"/>
              </w:rPr>
            </w:pPr>
            <w:r w:rsidRPr="00A273FC">
              <w:rPr>
                <w:rFonts w:ascii="Arial" w:hAnsi="Arial" w:cs="Arial"/>
                <w:b/>
                <w:bCs/>
                <w:color w:val="auto"/>
                <w:sz w:val="20"/>
                <w:szCs w:val="20"/>
              </w:rPr>
              <w:t xml:space="preserve">Practitioner with conduct: </w:t>
            </w:r>
          </w:p>
        </w:tc>
        <w:tc>
          <w:tcPr>
            <w:tcW w:w="4945" w:type="dxa"/>
            <w:gridSpan w:val="3"/>
          </w:tcPr>
          <w:p w14:paraId="66677B51" w14:textId="77777777" w:rsidR="00571A89" w:rsidRPr="00A273FC" w:rsidRDefault="00571A89" w:rsidP="00ED7308">
            <w:pPr>
              <w:pStyle w:val="Default"/>
              <w:rPr>
                <w:rFonts w:ascii="Arial" w:hAnsi="Arial" w:cs="Arial"/>
                <w:b/>
                <w:bCs/>
                <w:color w:val="auto"/>
                <w:sz w:val="20"/>
                <w:szCs w:val="20"/>
              </w:rPr>
            </w:pPr>
          </w:p>
        </w:tc>
      </w:tr>
      <w:tr w:rsidR="00571A89" w:rsidRPr="00A273FC" w14:paraId="702BF0D5" w14:textId="77777777" w:rsidTr="00ED7308">
        <w:trPr>
          <w:trHeight w:val="84"/>
        </w:trPr>
        <w:tc>
          <w:tcPr>
            <w:tcW w:w="5896" w:type="dxa"/>
          </w:tcPr>
          <w:p w14:paraId="3B379955" w14:textId="77777777" w:rsidR="00571A89" w:rsidRPr="00A273FC" w:rsidRDefault="00571A89" w:rsidP="00ED7308">
            <w:pPr>
              <w:pStyle w:val="Default"/>
              <w:spacing w:before="120" w:after="120" w:line="276" w:lineRule="auto"/>
              <w:rPr>
                <w:rFonts w:ascii="Arial" w:hAnsi="Arial" w:cs="Arial"/>
                <w:b/>
                <w:bCs/>
                <w:color w:val="auto"/>
                <w:sz w:val="20"/>
                <w:szCs w:val="20"/>
              </w:rPr>
            </w:pPr>
            <w:r w:rsidRPr="00A273FC">
              <w:rPr>
                <w:rFonts w:ascii="Arial" w:hAnsi="Arial" w:cs="Arial"/>
                <w:b/>
                <w:bCs/>
                <w:color w:val="auto"/>
                <w:sz w:val="20"/>
                <w:szCs w:val="20"/>
              </w:rPr>
              <w:t xml:space="preserve">Costs lawyer or consultant engaged on behalf of the applicant </w:t>
            </w:r>
          </w:p>
        </w:tc>
        <w:tc>
          <w:tcPr>
            <w:tcW w:w="4945" w:type="dxa"/>
            <w:gridSpan w:val="3"/>
          </w:tcPr>
          <w:p w14:paraId="5F022400" w14:textId="77777777" w:rsidR="00571A89" w:rsidRPr="00A273FC" w:rsidRDefault="00571A89" w:rsidP="00ED7308">
            <w:pPr>
              <w:pStyle w:val="Default"/>
              <w:rPr>
                <w:rFonts w:ascii="Arial" w:hAnsi="Arial" w:cs="Arial"/>
                <w:b/>
                <w:bCs/>
                <w:color w:val="auto"/>
                <w:sz w:val="20"/>
                <w:szCs w:val="20"/>
              </w:rPr>
            </w:pPr>
          </w:p>
        </w:tc>
      </w:tr>
      <w:tr w:rsidR="00571A89" w:rsidRPr="00A273FC" w14:paraId="790020A6" w14:textId="77777777" w:rsidTr="00ED7308">
        <w:trPr>
          <w:trHeight w:val="84"/>
        </w:trPr>
        <w:tc>
          <w:tcPr>
            <w:tcW w:w="5896" w:type="dxa"/>
          </w:tcPr>
          <w:p w14:paraId="60C31D9A" w14:textId="77777777" w:rsidR="00571A89" w:rsidRPr="00A273FC" w:rsidRDefault="00571A89" w:rsidP="00ED7308">
            <w:pPr>
              <w:pStyle w:val="Default"/>
              <w:spacing w:before="120" w:after="120" w:line="276" w:lineRule="auto"/>
              <w:rPr>
                <w:rFonts w:ascii="Arial" w:hAnsi="Arial" w:cs="Arial"/>
                <w:b/>
                <w:bCs/>
                <w:color w:val="auto"/>
                <w:sz w:val="20"/>
                <w:szCs w:val="20"/>
              </w:rPr>
            </w:pPr>
            <w:r w:rsidRPr="00A273FC">
              <w:rPr>
                <w:rFonts w:ascii="Arial" w:hAnsi="Arial" w:cs="Arial"/>
                <w:b/>
                <w:bCs/>
                <w:color w:val="auto"/>
                <w:sz w:val="20"/>
                <w:szCs w:val="20"/>
              </w:rPr>
              <w:t xml:space="preserve">Direct telephone number: </w:t>
            </w:r>
          </w:p>
        </w:tc>
        <w:tc>
          <w:tcPr>
            <w:tcW w:w="4945" w:type="dxa"/>
            <w:gridSpan w:val="3"/>
          </w:tcPr>
          <w:p w14:paraId="38539176" w14:textId="77777777" w:rsidR="00571A89" w:rsidRPr="00A273FC" w:rsidRDefault="00571A89" w:rsidP="00ED7308">
            <w:pPr>
              <w:pStyle w:val="Default"/>
              <w:rPr>
                <w:rFonts w:ascii="Arial" w:hAnsi="Arial" w:cs="Arial"/>
                <w:b/>
                <w:bCs/>
                <w:color w:val="auto"/>
                <w:sz w:val="20"/>
                <w:szCs w:val="20"/>
              </w:rPr>
            </w:pPr>
          </w:p>
        </w:tc>
      </w:tr>
      <w:tr w:rsidR="00571A89" w:rsidRPr="00A273FC" w14:paraId="7E918706" w14:textId="77777777" w:rsidTr="00ED7308">
        <w:trPr>
          <w:trHeight w:val="84"/>
        </w:trPr>
        <w:tc>
          <w:tcPr>
            <w:tcW w:w="5896" w:type="dxa"/>
          </w:tcPr>
          <w:p w14:paraId="14F176C5" w14:textId="77777777" w:rsidR="00571A89" w:rsidRPr="00A273FC" w:rsidRDefault="00571A89" w:rsidP="00ED7308">
            <w:pPr>
              <w:pStyle w:val="Default"/>
              <w:spacing w:before="120" w:after="120" w:line="276" w:lineRule="auto"/>
              <w:rPr>
                <w:rFonts w:ascii="Arial" w:hAnsi="Arial" w:cs="Arial"/>
                <w:b/>
                <w:bCs/>
                <w:color w:val="auto"/>
                <w:sz w:val="20"/>
                <w:szCs w:val="20"/>
              </w:rPr>
            </w:pPr>
            <w:r w:rsidRPr="00A273FC">
              <w:rPr>
                <w:rFonts w:ascii="Arial" w:hAnsi="Arial" w:cs="Arial"/>
                <w:b/>
                <w:bCs/>
                <w:color w:val="auto"/>
                <w:sz w:val="20"/>
                <w:szCs w:val="20"/>
              </w:rPr>
              <w:t xml:space="preserve">Email address: </w:t>
            </w:r>
          </w:p>
        </w:tc>
        <w:tc>
          <w:tcPr>
            <w:tcW w:w="4945" w:type="dxa"/>
            <w:gridSpan w:val="3"/>
          </w:tcPr>
          <w:p w14:paraId="0E661DCA" w14:textId="77777777" w:rsidR="00571A89" w:rsidRPr="00A273FC" w:rsidRDefault="00571A89" w:rsidP="00ED7308">
            <w:pPr>
              <w:pStyle w:val="Default"/>
              <w:rPr>
                <w:rFonts w:ascii="Arial" w:hAnsi="Arial" w:cs="Arial"/>
                <w:b/>
                <w:bCs/>
                <w:color w:val="auto"/>
                <w:sz w:val="20"/>
                <w:szCs w:val="20"/>
              </w:rPr>
            </w:pPr>
          </w:p>
        </w:tc>
      </w:tr>
      <w:tr w:rsidR="00571A89" w:rsidRPr="00A273FC" w14:paraId="017F4DAA" w14:textId="77777777" w:rsidTr="00ED7308">
        <w:trPr>
          <w:trHeight w:val="84"/>
        </w:trPr>
        <w:tc>
          <w:tcPr>
            <w:tcW w:w="5896" w:type="dxa"/>
          </w:tcPr>
          <w:p w14:paraId="2FF5FDAC" w14:textId="77777777" w:rsidR="00571A89" w:rsidRPr="00A273FC" w:rsidRDefault="00571A89" w:rsidP="00ED7308">
            <w:pPr>
              <w:pStyle w:val="Default"/>
              <w:spacing w:before="120" w:after="60" w:line="276" w:lineRule="auto"/>
              <w:rPr>
                <w:rFonts w:ascii="Arial" w:hAnsi="Arial" w:cs="Arial"/>
                <w:b/>
                <w:bCs/>
                <w:color w:val="auto"/>
                <w:sz w:val="20"/>
                <w:szCs w:val="20"/>
              </w:rPr>
            </w:pPr>
            <w:r w:rsidRPr="00A273FC">
              <w:rPr>
                <w:rFonts w:ascii="Arial" w:hAnsi="Arial" w:cs="Arial"/>
                <w:b/>
                <w:bCs/>
                <w:color w:val="auto"/>
                <w:sz w:val="20"/>
                <w:szCs w:val="20"/>
              </w:rPr>
              <w:t xml:space="preserve">Unavailable mediation/hearing date/s (if any): </w:t>
            </w:r>
          </w:p>
          <w:p w14:paraId="0B117924" w14:textId="77777777" w:rsidR="00571A89" w:rsidRPr="00A273FC" w:rsidRDefault="00571A89" w:rsidP="00ED7308">
            <w:pPr>
              <w:pStyle w:val="Default"/>
              <w:spacing w:before="60" w:after="120" w:line="276" w:lineRule="auto"/>
              <w:rPr>
                <w:rFonts w:ascii="Arial" w:hAnsi="Arial" w:cs="Arial"/>
                <w:color w:val="auto"/>
                <w:sz w:val="20"/>
                <w:szCs w:val="20"/>
              </w:rPr>
            </w:pPr>
            <w:r w:rsidRPr="00A273FC">
              <w:rPr>
                <w:rFonts w:ascii="Arial" w:hAnsi="Arial" w:cs="Arial"/>
                <w:color w:val="auto"/>
                <w:sz w:val="20"/>
                <w:szCs w:val="20"/>
              </w:rPr>
              <w:t xml:space="preserve">List any dates within two months of the filing date that the filing party is </w:t>
            </w:r>
            <w:r w:rsidRPr="00A273FC">
              <w:rPr>
                <w:rFonts w:ascii="Arial" w:hAnsi="Arial" w:cs="Arial"/>
                <w:b/>
                <w:color w:val="auto"/>
                <w:sz w:val="20"/>
                <w:szCs w:val="20"/>
                <w:u w:val="single"/>
              </w:rPr>
              <w:t xml:space="preserve">not </w:t>
            </w:r>
            <w:r w:rsidRPr="00A273FC">
              <w:rPr>
                <w:rFonts w:ascii="Arial" w:hAnsi="Arial" w:cs="Arial"/>
                <w:color w:val="auto"/>
                <w:sz w:val="20"/>
                <w:szCs w:val="20"/>
              </w:rPr>
              <w:t xml:space="preserve">available </w:t>
            </w:r>
          </w:p>
        </w:tc>
        <w:tc>
          <w:tcPr>
            <w:tcW w:w="4945" w:type="dxa"/>
            <w:gridSpan w:val="3"/>
          </w:tcPr>
          <w:p w14:paraId="386122C2" w14:textId="77777777" w:rsidR="00571A89" w:rsidRPr="00A273FC" w:rsidRDefault="00571A89" w:rsidP="00ED7308">
            <w:pPr>
              <w:pStyle w:val="Default"/>
              <w:rPr>
                <w:rFonts w:ascii="Arial" w:hAnsi="Arial" w:cs="Arial"/>
                <w:b/>
                <w:bCs/>
                <w:color w:val="auto"/>
                <w:sz w:val="20"/>
                <w:szCs w:val="20"/>
              </w:rPr>
            </w:pPr>
          </w:p>
        </w:tc>
      </w:tr>
      <w:tr w:rsidR="00571A89" w:rsidRPr="00A273FC" w14:paraId="5092A28E" w14:textId="77777777" w:rsidTr="00ED7308">
        <w:trPr>
          <w:trHeight w:val="619"/>
        </w:trPr>
        <w:tc>
          <w:tcPr>
            <w:tcW w:w="5896" w:type="dxa"/>
          </w:tcPr>
          <w:p w14:paraId="0BD3166D" w14:textId="77777777" w:rsidR="00571A89" w:rsidRPr="00A273FC" w:rsidRDefault="00571A89" w:rsidP="00ED7308">
            <w:pPr>
              <w:pStyle w:val="Default"/>
              <w:spacing w:before="120" w:after="120" w:line="276" w:lineRule="auto"/>
              <w:rPr>
                <w:rFonts w:ascii="Arial" w:hAnsi="Arial" w:cs="Arial"/>
                <w:b/>
                <w:bCs/>
                <w:color w:val="auto"/>
                <w:sz w:val="20"/>
                <w:szCs w:val="20"/>
              </w:rPr>
            </w:pPr>
            <w:r w:rsidRPr="00A273FC">
              <w:rPr>
                <w:rFonts w:ascii="Arial" w:hAnsi="Arial" w:cs="Arial"/>
                <w:b/>
                <w:bCs/>
                <w:color w:val="auto"/>
                <w:sz w:val="20"/>
                <w:szCs w:val="20"/>
              </w:rPr>
              <w:t xml:space="preserve">Date and signature </w:t>
            </w:r>
          </w:p>
        </w:tc>
        <w:tc>
          <w:tcPr>
            <w:tcW w:w="4945" w:type="dxa"/>
            <w:gridSpan w:val="3"/>
          </w:tcPr>
          <w:p w14:paraId="3C1018C2" w14:textId="77777777" w:rsidR="00571A89" w:rsidRPr="00A273FC" w:rsidRDefault="00571A89" w:rsidP="00ED7308">
            <w:pPr>
              <w:pStyle w:val="Default"/>
              <w:rPr>
                <w:rFonts w:ascii="Arial" w:hAnsi="Arial" w:cs="Arial"/>
                <w:b/>
                <w:bCs/>
                <w:color w:val="auto"/>
                <w:sz w:val="20"/>
                <w:szCs w:val="20"/>
              </w:rPr>
            </w:pPr>
          </w:p>
        </w:tc>
      </w:tr>
    </w:tbl>
    <w:p w14:paraId="2472FC1A" w14:textId="77777777" w:rsidR="00571A89" w:rsidRPr="00EA0D05" w:rsidRDefault="00571A89" w:rsidP="00571A89">
      <w:pPr>
        <w:spacing w:before="120" w:after="120"/>
        <w:ind w:left="720" w:hanging="720"/>
        <w:rPr>
          <w:rFonts w:ascii="Book Antiqua" w:hAnsi="Book Antiqua"/>
        </w:rPr>
      </w:pPr>
    </w:p>
    <w:p w14:paraId="29F15F4F" w14:textId="470F2FC2" w:rsidR="003639B5" w:rsidRPr="009A3795" w:rsidRDefault="003639B5" w:rsidP="009A3795">
      <w:pPr>
        <w:pStyle w:val="FactsheetTitle"/>
        <w:rPr>
          <w:sz w:val="24"/>
        </w:rPr>
      </w:pPr>
    </w:p>
    <w:sectPr w:rsidR="003639B5" w:rsidRPr="009A3795" w:rsidSect="003817CD">
      <w:headerReference w:type="default"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42334" w14:textId="77777777" w:rsidR="00484D82" w:rsidRDefault="00484D82">
      <w:r>
        <w:separator/>
      </w:r>
    </w:p>
  </w:endnote>
  <w:endnote w:type="continuationSeparator" w:id="0">
    <w:p w14:paraId="037C9BF3" w14:textId="77777777" w:rsidR="00484D82" w:rsidRDefault="00484D82">
      <w:r>
        <w:continuationSeparator/>
      </w:r>
    </w:p>
  </w:endnote>
  <w:endnote w:type="continuationNotice" w:id="1">
    <w:p w14:paraId="24ED6CCC" w14:textId="77777777" w:rsidR="00484D82" w:rsidRDefault="00484D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CE10" w14:textId="126F57BE" w:rsidR="00ED38F9" w:rsidRDefault="00ED38F9">
    <w:pPr>
      <w:pStyle w:val="Footer"/>
      <w:jc w:val="right"/>
    </w:pPr>
    <w:r>
      <w:fldChar w:fldCharType="begin"/>
    </w:r>
    <w:r>
      <w:instrText xml:space="preserve"> PAGE   \* MERGEFORMAT </w:instrText>
    </w:r>
    <w:r>
      <w:fldChar w:fldCharType="separate"/>
    </w:r>
    <w:r w:rsidR="00663B56">
      <w:rPr>
        <w:noProof/>
      </w:rPr>
      <w:t>4</w:t>
    </w:r>
    <w:r>
      <w:rPr>
        <w:noProof/>
      </w:rPr>
      <w:fldChar w:fldCharType="end"/>
    </w:r>
  </w:p>
  <w:p w14:paraId="7AA3F607" w14:textId="77777777" w:rsidR="00ED38F9" w:rsidRDefault="00ED3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BD781" w14:textId="77777777" w:rsidR="00484D82" w:rsidRDefault="00484D82">
      <w:r>
        <w:separator/>
      </w:r>
    </w:p>
  </w:footnote>
  <w:footnote w:type="continuationSeparator" w:id="0">
    <w:p w14:paraId="12B19EDD" w14:textId="77777777" w:rsidR="00484D82" w:rsidRDefault="00484D82">
      <w:r>
        <w:continuationSeparator/>
      </w:r>
    </w:p>
  </w:footnote>
  <w:footnote w:type="continuationNotice" w:id="1">
    <w:p w14:paraId="7CF7F715" w14:textId="77777777" w:rsidR="00484D82" w:rsidRDefault="00484D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C855E" w14:textId="77777777" w:rsidR="00ED38F9" w:rsidRDefault="00ED3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A0075F1"/>
    <w:multiLevelType w:val="hybridMultilevel"/>
    <w:tmpl w:val="119240A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63BCA6C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72A8C"/>
    <w:multiLevelType w:val="multilevel"/>
    <w:tmpl w:val="C64A9E2A"/>
    <w:lvl w:ilvl="0">
      <w:start w:val="1"/>
      <w:numFmt w:val="decimal"/>
      <w:lvlText w:val="%1."/>
      <w:lvlJc w:val="left"/>
      <w:pPr>
        <w:ind w:left="72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6313F46"/>
    <w:multiLevelType w:val="hybridMultilevel"/>
    <w:tmpl w:val="F1DE61D2"/>
    <w:lvl w:ilvl="0" w:tplc="0C09000F">
      <w:start w:val="1"/>
      <w:numFmt w:val="decimal"/>
      <w:lvlText w:val="%1."/>
      <w:lvlJc w:val="left"/>
      <w:pPr>
        <w:tabs>
          <w:tab w:val="num" w:pos="360"/>
        </w:tabs>
        <w:ind w:left="360" w:hanging="360"/>
      </w:pPr>
    </w:lvl>
    <w:lvl w:ilvl="1" w:tplc="5710611E">
      <w:start w:val="1"/>
      <w:numFmt w:val="lowerRoman"/>
      <w:lvlText w:val="%2."/>
      <w:lvlJc w:val="right"/>
      <w:pPr>
        <w:tabs>
          <w:tab w:val="num" w:pos="720"/>
        </w:tabs>
        <w:ind w:left="720" w:hanging="180"/>
      </w:pPr>
      <w:rPr>
        <w:rFonts w:hint="default"/>
      </w:r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4" w15:restartNumberingAfterBreak="0">
    <w:nsid w:val="06D67535"/>
    <w:multiLevelType w:val="hybridMultilevel"/>
    <w:tmpl w:val="629A2C02"/>
    <w:lvl w:ilvl="0" w:tplc="0C090001">
      <w:start w:val="1"/>
      <w:numFmt w:val="bullet"/>
      <w:lvlText w:val=""/>
      <w:lvlJc w:val="left"/>
      <w:pPr>
        <w:ind w:left="1440" w:hanging="360"/>
      </w:pPr>
      <w:rPr>
        <w:rFonts w:ascii="Symbol" w:hAnsi="Symbol"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0835799E"/>
    <w:multiLevelType w:val="hybridMultilevel"/>
    <w:tmpl w:val="CE46FD42"/>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0E574432"/>
    <w:multiLevelType w:val="hybridMultilevel"/>
    <w:tmpl w:val="F744B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AC67A9"/>
    <w:multiLevelType w:val="multilevel"/>
    <w:tmpl w:val="5C02168E"/>
    <w:lvl w:ilvl="0">
      <w:start w:val="1"/>
      <w:numFmt w:val="decimal"/>
      <w:lvlText w:val="%1."/>
      <w:lvlJc w:val="left"/>
      <w:pPr>
        <w:ind w:left="720" w:hanging="720"/>
      </w:pPr>
      <w:rPr>
        <w:rFonts w:hint="default"/>
      </w:rPr>
    </w:lvl>
    <w:lvl w:ilvl="1">
      <w:start w:val="1"/>
      <w:numFmt w:val="bullet"/>
      <w:lvlText w:val=""/>
      <w:lvlJc w:val="left"/>
      <w:pPr>
        <w:ind w:left="360" w:hanging="360"/>
      </w:pPr>
      <w:rPr>
        <w:rFonts w:ascii="Symbol" w:hAnsi="Symbol" w:hint="default"/>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A0D11B3"/>
    <w:multiLevelType w:val="hybridMultilevel"/>
    <w:tmpl w:val="06683334"/>
    <w:lvl w:ilvl="0" w:tplc="CF187DD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DBA23FD"/>
    <w:multiLevelType w:val="hybridMultilevel"/>
    <w:tmpl w:val="5FA21E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42F6039"/>
    <w:multiLevelType w:val="hybridMultilevel"/>
    <w:tmpl w:val="50F439F8"/>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1" w15:restartNumberingAfterBreak="0">
    <w:nsid w:val="243A104B"/>
    <w:multiLevelType w:val="hybridMultilevel"/>
    <w:tmpl w:val="306CF6F8"/>
    <w:lvl w:ilvl="0" w:tplc="363AB554">
      <w:start w:val="1"/>
      <w:numFmt w:val="lowerLetter"/>
      <w:lvlText w:val="(%1)"/>
      <w:lvlJc w:val="left"/>
      <w:pPr>
        <w:ind w:left="1080" w:hanging="360"/>
      </w:pPr>
      <w:rPr>
        <w:rFonts w:hint="default"/>
        <w:sz w:val="24"/>
        <w:szCs w:val="24"/>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256E210B"/>
    <w:multiLevelType w:val="hybridMultilevel"/>
    <w:tmpl w:val="A89CEFF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2AFA00FA"/>
    <w:multiLevelType w:val="hybridMultilevel"/>
    <w:tmpl w:val="7D8CF6D2"/>
    <w:lvl w:ilvl="0" w:tplc="0C090001">
      <w:start w:val="1"/>
      <w:numFmt w:val="bullet"/>
      <w:lvlText w:val=""/>
      <w:lvlJc w:val="left"/>
      <w:pPr>
        <w:tabs>
          <w:tab w:val="num" w:pos="1440"/>
        </w:tabs>
        <w:ind w:left="1440" w:hanging="360"/>
      </w:pPr>
      <w:rPr>
        <w:rFonts w:ascii="Symbol" w:hAnsi="Symbol" w:hint="default"/>
      </w:rPr>
    </w:lvl>
    <w:lvl w:ilvl="1" w:tplc="0C090003">
      <w:start w:val="1"/>
      <w:numFmt w:val="bullet"/>
      <w:lvlText w:val="o"/>
      <w:lvlJc w:val="left"/>
      <w:pPr>
        <w:tabs>
          <w:tab w:val="num" w:pos="2160"/>
        </w:tabs>
        <w:ind w:left="2160" w:hanging="360"/>
      </w:pPr>
      <w:rPr>
        <w:rFonts w:ascii="Courier New" w:hAnsi="Courier New" w:cs="Courier New" w:hint="default"/>
      </w:rPr>
    </w:lvl>
    <w:lvl w:ilvl="2" w:tplc="0C090005">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BDF542E"/>
    <w:multiLevelType w:val="hybridMultilevel"/>
    <w:tmpl w:val="766469A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3812791"/>
    <w:multiLevelType w:val="hybridMultilevel"/>
    <w:tmpl w:val="3948FEEA"/>
    <w:lvl w:ilvl="0" w:tplc="0C090017">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3DD97CCC"/>
    <w:multiLevelType w:val="hybridMultilevel"/>
    <w:tmpl w:val="D8166156"/>
    <w:lvl w:ilvl="0" w:tplc="0C090017">
      <w:start w:val="1"/>
      <w:numFmt w:val="lowerLetter"/>
      <w:lvlText w:val="%1)"/>
      <w:lvlJc w:val="left"/>
      <w:pPr>
        <w:ind w:left="1507" w:hanging="360"/>
      </w:pPr>
    </w:lvl>
    <w:lvl w:ilvl="1" w:tplc="0C090019" w:tentative="1">
      <w:start w:val="1"/>
      <w:numFmt w:val="lowerLetter"/>
      <w:lvlText w:val="%2."/>
      <w:lvlJc w:val="left"/>
      <w:pPr>
        <w:ind w:left="2227" w:hanging="360"/>
      </w:pPr>
    </w:lvl>
    <w:lvl w:ilvl="2" w:tplc="0C09001B" w:tentative="1">
      <w:start w:val="1"/>
      <w:numFmt w:val="lowerRoman"/>
      <w:lvlText w:val="%3."/>
      <w:lvlJc w:val="right"/>
      <w:pPr>
        <w:ind w:left="2947" w:hanging="180"/>
      </w:pPr>
    </w:lvl>
    <w:lvl w:ilvl="3" w:tplc="0C09000F" w:tentative="1">
      <w:start w:val="1"/>
      <w:numFmt w:val="decimal"/>
      <w:lvlText w:val="%4."/>
      <w:lvlJc w:val="left"/>
      <w:pPr>
        <w:ind w:left="3667" w:hanging="360"/>
      </w:pPr>
    </w:lvl>
    <w:lvl w:ilvl="4" w:tplc="0C090019" w:tentative="1">
      <w:start w:val="1"/>
      <w:numFmt w:val="lowerLetter"/>
      <w:lvlText w:val="%5."/>
      <w:lvlJc w:val="left"/>
      <w:pPr>
        <w:ind w:left="4387" w:hanging="360"/>
      </w:pPr>
    </w:lvl>
    <w:lvl w:ilvl="5" w:tplc="0C09001B" w:tentative="1">
      <w:start w:val="1"/>
      <w:numFmt w:val="lowerRoman"/>
      <w:lvlText w:val="%6."/>
      <w:lvlJc w:val="right"/>
      <w:pPr>
        <w:ind w:left="5107" w:hanging="180"/>
      </w:pPr>
    </w:lvl>
    <w:lvl w:ilvl="6" w:tplc="0C09000F" w:tentative="1">
      <w:start w:val="1"/>
      <w:numFmt w:val="decimal"/>
      <w:lvlText w:val="%7."/>
      <w:lvlJc w:val="left"/>
      <w:pPr>
        <w:ind w:left="5827" w:hanging="360"/>
      </w:pPr>
    </w:lvl>
    <w:lvl w:ilvl="7" w:tplc="0C090019" w:tentative="1">
      <w:start w:val="1"/>
      <w:numFmt w:val="lowerLetter"/>
      <w:lvlText w:val="%8."/>
      <w:lvlJc w:val="left"/>
      <w:pPr>
        <w:ind w:left="6547" w:hanging="360"/>
      </w:pPr>
    </w:lvl>
    <w:lvl w:ilvl="8" w:tplc="0C09001B" w:tentative="1">
      <w:start w:val="1"/>
      <w:numFmt w:val="lowerRoman"/>
      <w:lvlText w:val="%9."/>
      <w:lvlJc w:val="right"/>
      <w:pPr>
        <w:ind w:left="7267" w:hanging="180"/>
      </w:pPr>
    </w:lvl>
  </w:abstractNum>
  <w:abstractNum w:abstractNumId="17" w15:restartNumberingAfterBreak="0">
    <w:nsid w:val="3F4E5529"/>
    <w:multiLevelType w:val="hybridMultilevel"/>
    <w:tmpl w:val="830CCCAC"/>
    <w:lvl w:ilvl="0" w:tplc="0C090019">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3F5E422B"/>
    <w:multiLevelType w:val="multilevel"/>
    <w:tmpl w:val="753855F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10945CC"/>
    <w:multiLevelType w:val="hybridMultilevel"/>
    <w:tmpl w:val="C95A1674"/>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15:restartNumberingAfterBreak="0">
    <w:nsid w:val="5359ECCC"/>
    <w:multiLevelType w:val="hybridMultilevel"/>
    <w:tmpl w:val="C7535ED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63038E7"/>
    <w:multiLevelType w:val="hybridMultilevel"/>
    <w:tmpl w:val="4C2241B2"/>
    <w:lvl w:ilvl="0" w:tplc="0C090019">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15:restartNumberingAfterBreak="0">
    <w:nsid w:val="5F660FD9"/>
    <w:multiLevelType w:val="hybridMultilevel"/>
    <w:tmpl w:val="4C96A19E"/>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2082660"/>
    <w:multiLevelType w:val="hybridMultilevel"/>
    <w:tmpl w:val="F3884C4A"/>
    <w:lvl w:ilvl="0" w:tplc="2990EDA2">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635874F1"/>
    <w:multiLevelType w:val="hybridMultilevel"/>
    <w:tmpl w:val="47FE3D8C"/>
    <w:lvl w:ilvl="0" w:tplc="0C090019">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15:restartNumberingAfterBreak="0">
    <w:nsid w:val="664770E4"/>
    <w:multiLevelType w:val="multilevel"/>
    <w:tmpl w:val="512ED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CF36E8"/>
    <w:multiLevelType w:val="multilevel"/>
    <w:tmpl w:val="1DB88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7D3488"/>
    <w:multiLevelType w:val="multilevel"/>
    <w:tmpl w:val="0148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B21FB7"/>
    <w:multiLevelType w:val="hybridMultilevel"/>
    <w:tmpl w:val="DA92C3AE"/>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721F6A44"/>
    <w:multiLevelType w:val="multilevel"/>
    <w:tmpl w:val="1F488E60"/>
    <w:lvl w:ilvl="0">
      <w:start w:val="1"/>
      <w:numFmt w:val="decimal"/>
      <w:lvlText w:val="%1."/>
      <w:lvlJc w:val="left"/>
      <w:pPr>
        <w:ind w:left="720" w:hanging="720"/>
      </w:pPr>
      <w:rPr>
        <w:rFonts w:hint="default"/>
      </w:rPr>
    </w:lvl>
    <w:lvl w:ilvl="1">
      <w:start w:val="1"/>
      <w:numFmt w:val="decimal"/>
      <w:isLg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7F484A6E"/>
    <w:multiLevelType w:val="hybridMultilevel"/>
    <w:tmpl w:val="1EE8314E"/>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num w:numId="1" w16cid:durableId="1707440652">
    <w:abstractNumId w:val="28"/>
  </w:num>
  <w:num w:numId="2" w16cid:durableId="1078401542">
    <w:abstractNumId w:val="13"/>
  </w:num>
  <w:num w:numId="3" w16cid:durableId="1220171755">
    <w:abstractNumId w:val="22"/>
  </w:num>
  <w:num w:numId="4" w16cid:durableId="1700155599">
    <w:abstractNumId w:val="30"/>
  </w:num>
  <w:num w:numId="5" w16cid:durableId="1118179777">
    <w:abstractNumId w:val="10"/>
  </w:num>
  <w:num w:numId="6" w16cid:durableId="1498182720">
    <w:abstractNumId w:val="25"/>
  </w:num>
  <w:num w:numId="7" w16cid:durableId="1666283135">
    <w:abstractNumId w:val="27"/>
  </w:num>
  <w:num w:numId="8" w16cid:durableId="612323278">
    <w:abstractNumId w:val="19"/>
  </w:num>
  <w:num w:numId="9" w16cid:durableId="1961647313">
    <w:abstractNumId w:val="3"/>
  </w:num>
  <w:num w:numId="10" w16cid:durableId="296642489">
    <w:abstractNumId w:val="17"/>
  </w:num>
  <w:num w:numId="11" w16cid:durableId="330911259">
    <w:abstractNumId w:val="21"/>
  </w:num>
  <w:num w:numId="12" w16cid:durableId="2070303020">
    <w:abstractNumId w:val="24"/>
  </w:num>
  <w:num w:numId="13" w16cid:durableId="269438698">
    <w:abstractNumId w:val="5"/>
  </w:num>
  <w:num w:numId="14" w16cid:durableId="728191253">
    <w:abstractNumId w:val="4"/>
  </w:num>
  <w:num w:numId="15" w16cid:durableId="2145466986">
    <w:abstractNumId w:val="14"/>
  </w:num>
  <w:num w:numId="16" w16cid:durableId="1745713933">
    <w:abstractNumId w:val="0"/>
  </w:num>
  <w:num w:numId="17" w16cid:durableId="1720325158">
    <w:abstractNumId w:val="12"/>
  </w:num>
  <w:num w:numId="18" w16cid:durableId="713311421">
    <w:abstractNumId w:val="26"/>
  </w:num>
  <w:num w:numId="19" w16cid:durableId="507795405">
    <w:abstractNumId w:val="9"/>
  </w:num>
  <w:num w:numId="20" w16cid:durableId="177282176">
    <w:abstractNumId w:val="6"/>
  </w:num>
  <w:num w:numId="21" w16cid:durableId="97914295">
    <w:abstractNumId w:val="16"/>
  </w:num>
  <w:num w:numId="22" w16cid:durableId="301037381">
    <w:abstractNumId w:val="15"/>
  </w:num>
  <w:num w:numId="23" w16cid:durableId="1143160456">
    <w:abstractNumId w:val="18"/>
  </w:num>
  <w:num w:numId="24" w16cid:durableId="1787309609">
    <w:abstractNumId w:val="2"/>
  </w:num>
  <w:num w:numId="25" w16cid:durableId="1072971707">
    <w:abstractNumId w:val="2"/>
  </w:num>
  <w:num w:numId="26" w16cid:durableId="1936134000">
    <w:abstractNumId w:val="2"/>
  </w:num>
  <w:num w:numId="27" w16cid:durableId="1157913272">
    <w:abstractNumId w:val="2"/>
  </w:num>
  <w:num w:numId="28" w16cid:durableId="838691199">
    <w:abstractNumId w:val="2"/>
  </w:num>
  <w:num w:numId="29" w16cid:durableId="70590511">
    <w:abstractNumId w:val="7"/>
  </w:num>
  <w:num w:numId="30" w16cid:durableId="2068531514">
    <w:abstractNumId w:val="29"/>
  </w:num>
  <w:num w:numId="31" w16cid:durableId="504903633">
    <w:abstractNumId w:val="20"/>
  </w:num>
  <w:num w:numId="32" w16cid:durableId="653334495">
    <w:abstractNumId w:val="2"/>
  </w:num>
  <w:num w:numId="33" w16cid:durableId="1548026605">
    <w:abstractNumId w:val="2"/>
  </w:num>
  <w:num w:numId="34" w16cid:durableId="1606107783">
    <w:abstractNumId w:val="1"/>
  </w:num>
  <w:num w:numId="35" w16cid:durableId="1388602594">
    <w:abstractNumId w:val="23"/>
  </w:num>
  <w:num w:numId="36" w16cid:durableId="732702174">
    <w:abstractNumId w:val="8"/>
  </w:num>
  <w:num w:numId="37" w16cid:durableId="17150382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336"/>
    <w:rsid w:val="00000850"/>
    <w:rsid w:val="00001E13"/>
    <w:rsid w:val="00005AE6"/>
    <w:rsid w:val="000077B3"/>
    <w:rsid w:val="00007DBA"/>
    <w:rsid w:val="00011180"/>
    <w:rsid w:val="000118DD"/>
    <w:rsid w:val="0001288E"/>
    <w:rsid w:val="000128D0"/>
    <w:rsid w:val="00013D3B"/>
    <w:rsid w:val="00014B10"/>
    <w:rsid w:val="00020C4A"/>
    <w:rsid w:val="00021A4D"/>
    <w:rsid w:val="00032D2B"/>
    <w:rsid w:val="0003306E"/>
    <w:rsid w:val="00034D85"/>
    <w:rsid w:val="00035057"/>
    <w:rsid w:val="00036894"/>
    <w:rsid w:val="000373E9"/>
    <w:rsid w:val="00037D26"/>
    <w:rsid w:val="00043448"/>
    <w:rsid w:val="000451A0"/>
    <w:rsid w:val="0004620A"/>
    <w:rsid w:val="00053DBC"/>
    <w:rsid w:val="00055F43"/>
    <w:rsid w:val="000566C3"/>
    <w:rsid w:val="0005724E"/>
    <w:rsid w:val="00060727"/>
    <w:rsid w:val="0006073C"/>
    <w:rsid w:val="00064FB2"/>
    <w:rsid w:val="00070CA2"/>
    <w:rsid w:val="00070D66"/>
    <w:rsid w:val="00071A96"/>
    <w:rsid w:val="00072350"/>
    <w:rsid w:val="00073139"/>
    <w:rsid w:val="00073769"/>
    <w:rsid w:val="00077863"/>
    <w:rsid w:val="00081A41"/>
    <w:rsid w:val="00081D00"/>
    <w:rsid w:val="00084365"/>
    <w:rsid w:val="00085ABD"/>
    <w:rsid w:val="00087CE4"/>
    <w:rsid w:val="00087D75"/>
    <w:rsid w:val="00091ECA"/>
    <w:rsid w:val="00092D7C"/>
    <w:rsid w:val="00095BA5"/>
    <w:rsid w:val="0009625F"/>
    <w:rsid w:val="00096EDA"/>
    <w:rsid w:val="000A1DE7"/>
    <w:rsid w:val="000A4F62"/>
    <w:rsid w:val="000A553C"/>
    <w:rsid w:val="000A6B25"/>
    <w:rsid w:val="000A6B76"/>
    <w:rsid w:val="000A6F0D"/>
    <w:rsid w:val="000B2E54"/>
    <w:rsid w:val="000B5F50"/>
    <w:rsid w:val="000C0998"/>
    <w:rsid w:val="000C1777"/>
    <w:rsid w:val="000C2CE1"/>
    <w:rsid w:val="000C55CC"/>
    <w:rsid w:val="000C5F4B"/>
    <w:rsid w:val="000C75E1"/>
    <w:rsid w:val="000D07F1"/>
    <w:rsid w:val="000D3250"/>
    <w:rsid w:val="000D33F8"/>
    <w:rsid w:val="000D44C6"/>
    <w:rsid w:val="000D453D"/>
    <w:rsid w:val="000D4612"/>
    <w:rsid w:val="000D5E28"/>
    <w:rsid w:val="000D7A64"/>
    <w:rsid w:val="000E0B04"/>
    <w:rsid w:val="000E12FA"/>
    <w:rsid w:val="000E4EB5"/>
    <w:rsid w:val="000E524A"/>
    <w:rsid w:val="000E594E"/>
    <w:rsid w:val="000E70DA"/>
    <w:rsid w:val="000F02F9"/>
    <w:rsid w:val="000F05DC"/>
    <w:rsid w:val="000F1398"/>
    <w:rsid w:val="000F2E95"/>
    <w:rsid w:val="000F36EA"/>
    <w:rsid w:val="000F3B18"/>
    <w:rsid w:val="000F6EA7"/>
    <w:rsid w:val="00100006"/>
    <w:rsid w:val="0010196D"/>
    <w:rsid w:val="00101EC5"/>
    <w:rsid w:val="001033CC"/>
    <w:rsid w:val="00104D1E"/>
    <w:rsid w:val="00121C72"/>
    <w:rsid w:val="00123835"/>
    <w:rsid w:val="001248BC"/>
    <w:rsid w:val="00125980"/>
    <w:rsid w:val="00125C07"/>
    <w:rsid w:val="00127135"/>
    <w:rsid w:val="001310FB"/>
    <w:rsid w:val="00133A51"/>
    <w:rsid w:val="001344BA"/>
    <w:rsid w:val="00140683"/>
    <w:rsid w:val="00141943"/>
    <w:rsid w:val="00143136"/>
    <w:rsid w:val="00143818"/>
    <w:rsid w:val="0014390F"/>
    <w:rsid w:val="00144DAA"/>
    <w:rsid w:val="00145C92"/>
    <w:rsid w:val="00145D28"/>
    <w:rsid w:val="0014603C"/>
    <w:rsid w:val="0015063E"/>
    <w:rsid w:val="00154F4C"/>
    <w:rsid w:val="00155A8E"/>
    <w:rsid w:val="0015650D"/>
    <w:rsid w:val="0016054E"/>
    <w:rsid w:val="00161B6C"/>
    <w:rsid w:val="00161CA2"/>
    <w:rsid w:val="001632F9"/>
    <w:rsid w:val="00166621"/>
    <w:rsid w:val="001667FC"/>
    <w:rsid w:val="001716EF"/>
    <w:rsid w:val="001723D4"/>
    <w:rsid w:val="0018061B"/>
    <w:rsid w:val="001820FF"/>
    <w:rsid w:val="001858C1"/>
    <w:rsid w:val="00186E37"/>
    <w:rsid w:val="00187A40"/>
    <w:rsid w:val="001913C5"/>
    <w:rsid w:val="00194089"/>
    <w:rsid w:val="00194A80"/>
    <w:rsid w:val="001951D1"/>
    <w:rsid w:val="00195776"/>
    <w:rsid w:val="00197CA4"/>
    <w:rsid w:val="001A1DEB"/>
    <w:rsid w:val="001A22B3"/>
    <w:rsid w:val="001A5036"/>
    <w:rsid w:val="001A5B39"/>
    <w:rsid w:val="001A6216"/>
    <w:rsid w:val="001A667F"/>
    <w:rsid w:val="001A7651"/>
    <w:rsid w:val="001A778E"/>
    <w:rsid w:val="001A78B6"/>
    <w:rsid w:val="001B0864"/>
    <w:rsid w:val="001B3484"/>
    <w:rsid w:val="001B4283"/>
    <w:rsid w:val="001B609C"/>
    <w:rsid w:val="001B69C2"/>
    <w:rsid w:val="001B7E2C"/>
    <w:rsid w:val="001C116C"/>
    <w:rsid w:val="001C2F4B"/>
    <w:rsid w:val="001C4A34"/>
    <w:rsid w:val="001C634B"/>
    <w:rsid w:val="001C7853"/>
    <w:rsid w:val="001D186B"/>
    <w:rsid w:val="001D416C"/>
    <w:rsid w:val="001D69C2"/>
    <w:rsid w:val="001D7956"/>
    <w:rsid w:val="001E0318"/>
    <w:rsid w:val="001E3A8A"/>
    <w:rsid w:val="001E5BB7"/>
    <w:rsid w:val="001E64BC"/>
    <w:rsid w:val="001F0F7A"/>
    <w:rsid w:val="00200972"/>
    <w:rsid w:val="00207367"/>
    <w:rsid w:val="002107A3"/>
    <w:rsid w:val="00210EFB"/>
    <w:rsid w:val="00211B32"/>
    <w:rsid w:val="00216DCF"/>
    <w:rsid w:val="00217758"/>
    <w:rsid w:val="0021787F"/>
    <w:rsid w:val="00217E88"/>
    <w:rsid w:val="002218C5"/>
    <w:rsid w:val="00221F75"/>
    <w:rsid w:val="00222544"/>
    <w:rsid w:val="002225B3"/>
    <w:rsid w:val="00223A62"/>
    <w:rsid w:val="0022666D"/>
    <w:rsid w:val="00226D9F"/>
    <w:rsid w:val="0023078F"/>
    <w:rsid w:val="00232581"/>
    <w:rsid w:val="0023426A"/>
    <w:rsid w:val="00234B7B"/>
    <w:rsid w:val="0023728C"/>
    <w:rsid w:val="00241A4E"/>
    <w:rsid w:val="00245746"/>
    <w:rsid w:val="00247EA1"/>
    <w:rsid w:val="00247F50"/>
    <w:rsid w:val="00255D95"/>
    <w:rsid w:val="002572C2"/>
    <w:rsid w:val="0026005D"/>
    <w:rsid w:val="00260D4B"/>
    <w:rsid w:val="002612B2"/>
    <w:rsid w:val="002613E8"/>
    <w:rsid w:val="00262C09"/>
    <w:rsid w:val="00264DF3"/>
    <w:rsid w:val="00265BF9"/>
    <w:rsid w:val="00266BB2"/>
    <w:rsid w:val="00271B59"/>
    <w:rsid w:val="00275A5A"/>
    <w:rsid w:val="00277B7B"/>
    <w:rsid w:val="002812ED"/>
    <w:rsid w:val="0028130B"/>
    <w:rsid w:val="0028197B"/>
    <w:rsid w:val="00282843"/>
    <w:rsid w:val="00285750"/>
    <w:rsid w:val="00287AEA"/>
    <w:rsid w:val="00297491"/>
    <w:rsid w:val="002A36DF"/>
    <w:rsid w:val="002A69FE"/>
    <w:rsid w:val="002B08F5"/>
    <w:rsid w:val="002B177B"/>
    <w:rsid w:val="002B465A"/>
    <w:rsid w:val="002C0BA3"/>
    <w:rsid w:val="002C1134"/>
    <w:rsid w:val="002C56E8"/>
    <w:rsid w:val="002C6005"/>
    <w:rsid w:val="002C78D7"/>
    <w:rsid w:val="002D0AB0"/>
    <w:rsid w:val="002D0FD3"/>
    <w:rsid w:val="002D23D8"/>
    <w:rsid w:val="002D6E79"/>
    <w:rsid w:val="002D6F15"/>
    <w:rsid w:val="002E0F6B"/>
    <w:rsid w:val="002E6B43"/>
    <w:rsid w:val="002E7FD2"/>
    <w:rsid w:val="002F1CEE"/>
    <w:rsid w:val="002F4D7F"/>
    <w:rsid w:val="002F7B4E"/>
    <w:rsid w:val="00300F4B"/>
    <w:rsid w:val="00302981"/>
    <w:rsid w:val="0030352D"/>
    <w:rsid w:val="00303C13"/>
    <w:rsid w:val="00305761"/>
    <w:rsid w:val="00307B60"/>
    <w:rsid w:val="00310655"/>
    <w:rsid w:val="00310A32"/>
    <w:rsid w:val="00311051"/>
    <w:rsid w:val="0031222C"/>
    <w:rsid w:val="003166D1"/>
    <w:rsid w:val="003216D4"/>
    <w:rsid w:val="00321C75"/>
    <w:rsid w:val="0032286C"/>
    <w:rsid w:val="00327A14"/>
    <w:rsid w:val="00331BD3"/>
    <w:rsid w:val="00333E4B"/>
    <w:rsid w:val="003346F1"/>
    <w:rsid w:val="00334DD3"/>
    <w:rsid w:val="0033723A"/>
    <w:rsid w:val="00337260"/>
    <w:rsid w:val="00340257"/>
    <w:rsid w:val="00341F51"/>
    <w:rsid w:val="0034260E"/>
    <w:rsid w:val="00343BE1"/>
    <w:rsid w:val="00350055"/>
    <w:rsid w:val="003500B9"/>
    <w:rsid w:val="003508E0"/>
    <w:rsid w:val="00353E4C"/>
    <w:rsid w:val="00356593"/>
    <w:rsid w:val="00356969"/>
    <w:rsid w:val="00357A0D"/>
    <w:rsid w:val="003639B5"/>
    <w:rsid w:val="00365D0E"/>
    <w:rsid w:val="00366B29"/>
    <w:rsid w:val="00367AD0"/>
    <w:rsid w:val="00371E6C"/>
    <w:rsid w:val="00375E27"/>
    <w:rsid w:val="00377999"/>
    <w:rsid w:val="00377B34"/>
    <w:rsid w:val="003817CD"/>
    <w:rsid w:val="00381991"/>
    <w:rsid w:val="00381FDA"/>
    <w:rsid w:val="00386C9F"/>
    <w:rsid w:val="00387D2D"/>
    <w:rsid w:val="00387DB3"/>
    <w:rsid w:val="00391CA0"/>
    <w:rsid w:val="00393F0A"/>
    <w:rsid w:val="00394483"/>
    <w:rsid w:val="003945D8"/>
    <w:rsid w:val="00396EF2"/>
    <w:rsid w:val="00397AAE"/>
    <w:rsid w:val="003A5693"/>
    <w:rsid w:val="003A7A5A"/>
    <w:rsid w:val="003A7E6C"/>
    <w:rsid w:val="003B7248"/>
    <w:rsid w:val="003B75D8"/>
    <w:rsid w:val="003C07C2"/>
    <w:rsid w:val="003C343E"/>
    <w:rsid w:val="003C5C64"/>
    <w:rsid w:val="003C62F1"/>
    <w:rsid w:val="003D0A67"/>
    <w:rsid w:val="003D3638"/>
    <w:rsid w:val="003D672F"/>
    <w:rsid w:val="003E1F9A"/>
    <w:rsid w:val="003E4C44"/>
    <w:rsid w:val="003E6152"/>
    <w:rsid w:val="003E66CF"/>
    <w:rsid w:val="003F0D9C"/>
    <w:rsid w:val="003F284B"/>
    <w:rsid w:val="003F2FDF"/>
    <w:rsid w:val="003F4E0A"/>
    <w:rsid w:val="003F6BC1"/>
    <w:rsid w:val="0040410A"/>
    <w:rsid w:val="00404CB0"/>
    <w:rsid w:val="00413511"/>
    <w:rsid w:val="00414B77"/>
    <w:rsid w:val="0042138B"/>
    <w:rsid w:val="004213D7"/>
    <w:rsid w:val="004222BF"/>
    <w:rsid w:val="00424AD5"/>
    <w:rsid w:val="004264DC"/>
    <w:rsid w:val="0043429A"/>
    <w:rsid w:val="00434BEE"/>
    <w:rsid w:val="004361F0"/>
    <w:rsid w:val="00441431"/>
    <w:rsid w:val="00454495"/>
    <w:rsid w:val="00454E93"/>
    <w:rsid w:val="00455B71"/>
    <w:rsid w:val="00455D46"/>
    <w:rsid w:val="004608D1"/>
    <w:rsid w:val="00461361"/>
    <w:rsid w:val="004620E7"/>
    <w:rsid w:val="00467B92"/>
    <w:rsid w:val="00471414"/>
    <w:rsid w:val="00474F94"/>
    <w:rsid w:val="004751D9"/>
    <w:rsid w:val="00481814"/>
    <w:rsid w:val="00482EBE"/>
    <w:rsid w:val="00483F1E"/>
    <w:rsid w:val="00484D82"/>
    <w:rsid w:val="00485726"/>
    <w:rsid w:val="00486025"/>
    <w:rsid w:val="004912F2"/>
    <w:rsid w:val="00492363"/>
    <w:rsid w:val="0049246E"/>
    <w:rsid w:val="00493E60"/>
    <w:rsid w:val="00494220"/>
    <w:rsid w:val="004946BD"/>
    <w:rsid w:val="0049669C"/>
    <w:rsid w:val="00496F08"/>
    <w:rsid w:val="004A1291"/>
    <w:rsid w:val="004A25B1"/>
    <w:rsid w:val="004A7193"/>
    <w:rsid w:val="004B1AC7"/>
    <w:rsid w:val="004B28FD"/>
    <w:rsid w:val="004B2A72"/>
    <w:rsid w:val="004B4458"/>
    <w:rsid w:val="004B5756"/>
    <w:rsid w:val="004B5D22"/>
    <w:rsid w:val="004B6E9A"/>
    <w:rsid w:val="004C1FFA"/>
    <w:rsid w:val="004C29B1"/>
    <w:rsid w:val="004C59D0"/>
    <w:rsid w:val="004D07F1"/>
    <w:rsid w:val="004D1112"/>
    <w:rsid w:val="004D2141"/>
    <w:rsid w:val="004D7CE0"/>
    <w:rsid w:val="004D7F79"/>
    <w:rsid w:val="004E1038"/>
    <w:rsid w:val="004E1052"/>
    <w:rsid w:val="004E10CA"/>
    <w:rsid w:val="004E1CF9"/>
    <w:rsid w:val="004E284B"/>
    <w:rsid w:val="004E37E5"/>
    <w:rsid w:val="004E4183"/>
    <w:rsid w:val="004E5CB0"/>
    <w:rsid w:val="004E5F9A"/>
    <w:rsid w:val="004F61E8"/>
    <w:rsid w:val="004F6662"/>
    <w:rsid w:val="004F7972"/>
    <w:rsid w:val="004F7E81"/>
    <w:rsid w:val="0050429E"/>
    <w:rsid w:val="005050A8"/>
    <w:rsid w:val="00505539"/>
    <w:rsid w:val="00506B52"/>
    <w:rsid w:val="00507D3A"/>
    <w:rsid w:val="00511435"/>
    <w:rsid w:val="00512025"/>
    <w:rsid w:val="005123B0"/>
    <w:rsid w:val="00513446"/>
    <w:rsid w:val="00513722"/>
    <w:rsid w:val="00514FFD"/>
    <w:rsid w:val="005158D2"/>
    <w:rsid w:val="00516270"/>
    <w:rsid w:val="005164D8"/>
    <w:rsid w:val="005173D2"/>
    <w:rsid w:val="00524CCD"/>
    <w:rsid w:val="00526E42"/>
    <w:rsid w:val="005278A1"/>
    <w:rsid w:val="00527F47"/>
    <w:rsid w:val="005313BF"/>
    <w:rsid w:val="00532383"/>
    <w:rsid w:val="0053483B"/>
    <w:rsid w:val="0053799E"/>
    <w:rsid w:val="00540E14"/>
    <w:rsid w:val="00541B0D"/>
    <w:rsid w:val="00541EAB"/>
    <w:rsid w:val="00546C78"/>
    <w:rsid w:val="00547600"/>
    <w:rsid w:val="00550871"/>
    <w:rsid w:val="005534A5"/>
    <w:rsid w:val="00553534"/>
    <w:rsid w:val="00553B68"/>
    <w:rsid w:val="00554503"/>
    <w:rsid w:val="00554A65"/>
    <w:rsid w:val="0055503D"/>
    <w:rsid w:val="00561105"/>
    <w:rsid w:val="0056389E"/>
    <w:rsid w:val="00563E70"/>
    <w:rsid w:val="00565B62"/>
    <w:rsid w:val="00570654"/>
    <w:rsid w:val="00571A89"/>
    <w:rsid w:val="00571E15"/>
    <w:rsid w:val="005734DA"/>
    <w:rsid w:val="00574B61"/>
    <w:rsid w:val="00575849"/>
    <w:rsid w:val="00582015"/>
    <w:rsid w:val="005825BE"/>
    <w:rsid w:val="00582DAF"/>
    <w:rsid w:val="00587AC9"/>
    <w:rsid w:val="00593530"/>
    <w:rsid w:val="00594892"/>
    <w:rsid w:val="00594C2B"/>
    <w:rsid w:val="005956B9"/>
    <w:rsid w:val="00595CED"/>
    <w:rsid w:val="00597489"/>
    <w:rsid w:val="005A0CFA"/>
    <w:rsid w:val="005A291A"/>
    <w:rsid w:val="005A386C"/>
    <w:rsid w:val="005A4134"/>
    <w:rsid w:val="005A59BA"/>
    <w:rsid w:val="005A68BF"/>
    <w:rsid w:val="005A6984"/>
    <w:rsid w:val="005B362B"/>
    <w:rsid w:val="005B3FF4"/>
    <w:rsid w:val="005B499F"/>
    <w:rsid w:val="005B5CFE"/>
    <w:rsid w:val="005B7E00"/>
    <w:rsid w:val="005C542A"/>
    <w:rsid w:val="005C54FB"/>
    <w:rsid w:val="005C7F57"/>
    <w:rsid w:val="005D3383"/>
    <w:rsid w:val="005D4A1B"/>
    <w:rsid w:val="005E04B4"/>
    <w:rsid w:val="005E3BB5"/>
    <w:rsid w:val="005E46B0"/>
    <w:rsid w:val="005E5273"/>
    <w:rsid w:val="005E62C0"/>
    <w:rsid w:val="005E704A"/>
    <w:rsid w:val="005F02B1"/>
    <w:rsid w:val="005F067C"/>
    <w:rsid w:val="00601CBD"/>
    <w:rsid w:val="00603A32"/>
    <w:rsid w:val="006041CE"/>
    <w:rsid w:val="006067AF"/>
    <w:rsid w:val="0060771E"/>
    <w:rsid w:val="00607B05"/>
    <w:rsid w:val="006124C3"/>
    <w:rsid w:val="006135A6"/>
    <w:rsid w:val="00613FA8"/>
    <w:rsid w:val="0061776B"/>
    <w:rsid w:val="00620678"/>
    <w:rsid w:val="006206CE"/>
    <w:rsid w:val="00620D68"/>
    <w:rsid w:val="00624DF2"/>
    <w:rsid w:val="00625C50"/>
    <w:rsid w:val="00625F90"/>
    <w:rsid w:val="0062755D"/>
    <w:rsid w:val="00630F3F"/>
    <w:rsid w:val="00631A27"/>
    <w:rsid w:val="006328C6"/>
    <w:rsid w:val="00634832"/>
    <w:rsid w:val="00635413"/>
    <w:rsid w:val="00636D64"/>
    <w:rsid w:val="00637EE8"/>
    <w:rsid w:val="0064057F"/>
    <w:rsid w:val="0064143C"/>
    <w:rsid w:val="006419C5"/>
    <w:rsid w:val="00643F1B"/>
    <w:rsid w:val="00646E7F"/>
    <w:rsid w:val="006513DD"/>
    <w:rsid w:val="00655347"/>
    <w:rsid w:val="00656A3D"/>
    <w:rsid w:val="00656BCD"/>
    <w:rsid w:val="00657825"/>
    <w:rsid w:val="00660067"/>
    <w:rsid w:val="006602C5"/>
    <w:rsid w:val="006613C4"/>
    <w:rsid w:val="0066386D"/>
    <w:rsid w:val="00663B56"/>
    <w:rsid w:val="00663F14"/>
    <w:rsid w:val="00664909"/>
    <w:rsid w:val="006652B3"/>
    <w:rsid w:val="006661AC"/>
    <w:rsid w:val="00666E4A"/>
    <w:rsid w:val="00666F54"/>
    <w:rsid w:val="006676CA"/>
    <w:rsid w:val="006710C3"/>
    <w:rsid w:val="0067457A"/>
    <w:rsid w:val="006756F2"/>
    <w:rsid w:val="006763E3"/>
    <w:rsid w:val="00676B57"/>
    <w:rsid w:val="00676CE9"/>
    <w:rsid w:val="0067716A"/>
    <w:rsid w:val="00680452"/>
    <w:rsid w:val="0068364B"/>
    <w:rsid w:val="00685296"/>
    <w:rsid w:val="00686402"/>
    <w:rsid w:val="0069029C"/>
    <w:rsid w:val="00691BC6"/>
    <w:rsid w:val="006921D0"/>
    <w:rsid w:val="00695864"/>
    <w:rsid w:val="006A29AF"/>
    <w:rsid w:val="006A34BA"/>
    <w:rsid w:val="006A386D"/>
    <w:rsid w:val="006A437F"/>
    <w:rsid w:val="006A4CCD"/>
    <w:rsid w:val="006A5DA3"/>
    <w:rsid w:val="006A5EA1"/>
    <w:rsid w:val="006A5F86"/>
    <w:rsid w:val="006A635C"/>
    <w:rsid w:val="006A74CE"/>
    <w:rsid w:val="006A7D82"/>
    <w:rsid w:val="006B337B"/>
    <w:rsid w:val="006B37AF"/>
    <w:rsid w:val="006B58A6"/>
    <w:rsid w:val="006B6CE0"/>
    <w:rsid w:val="006B6D97"/>
    <w:rsid w:val="006C254C"/>
    <w:rsid w:val="006C4DAE"/>
    <w:rsid w:val="006C550C"/>
    <w:rsid w:val="006C55DA"/>
    <w:rsid w:val="006D0F84"/>
    <w:rsid w:val="006D10C8"/>
    <w:rsid w:val="006E0C87"/>
    <w:rsid w:val="006E4BB5"/>
    <w:rsid w:val="006E6E2F"/>
    <w:rsid w:val="006F0255"/>
    <w:rsid w:val="006F0430"/>
    <w:rsid w:val="006F3E76"/>
    <w:rsid w:val="006F3FAF"/>
    <w:rsid w:val="006F5366"/>
    <w:rsid w:val="006F5F1C"/>
    <w:rsid w:val="006F60CF"/>
    <w:rsid w:val="006F6748"/>
    <w:rsid w:val="00700E34"/>
    <w:rsid w:val="00701163"/>
    <w:rsid w:val="00702F63"/>
    <w:rsid w:val="00704897"/>
    <w:rsid w:val="007068FC"/>
    <w:rsid w:val="007107C6"/>
    <w:rsid w:val="007109D8"/>
    <w:rsid w:val="007132B1"/>
    <w:rsid w:val="00714A4B"/>
    <w:rsid w:val="00715F27"/>
    <w:rsid w:val="007166CB"/>
    <w:rsid w:val="0071797E"/>
    <w:rsid w:val="00720BE1"/>
    <w:rsid w:val="00722648"/>
    <w:rsid w:val="00726A49"/>
    <w:rsid w:val="00731CA6"/>
    <w:rsid w:val="007330B0"/>
    <w:rsid w:val="00733D25"/>
    <w:rsid w:val="0073685D"/>
    <w:rsid w:val="00737442"/>
    <w:rsid w:val="00741D9B"/>
    <w:rsid w:val="00744921"/>
    <w:rsid w:val="007453B3"/>
    <w:rsid w:val="00746CB2"/>
    <w:rsid w:val="0074724C"/>
    <w:rsid w:val="007513AE"/>
    <w:rsid w:val="0075230A"/>
    <w:rsid w:val="00752628"/>
    <w:rsid w:val="007545AA"/>
    <w:rsid w:val="00755325"/>
    <w:rsid w:val="00755998"/>
    <w:rsid w:val="00756FE4"/>
    <w:rsid w:val="007602AF"/>
    <w:rsid w:val="00767B98"/>
    <w:rsid w:val="00767E01"/>
    <w:rsid w:val="00771C95"/>
    <w:rsid w:val="00772808"/>
    <w:rsid w:val="00780A47"/>
    <w:rsid w:val="00780F23"/>
    <w:rsid w:val="00783F1D"/>
    <w:rsid w:val="00784002"/>
    <w:rsid w:val="00784717"/>
    <w:rsid w:val="00786FDD"/>
    <w:rsid w:val="007917BE"/>
    <w:rsid w:val="007951CA"/>
    <w:rsid w:val="00796E2E"/>
    <w:rsid w:val="007A0780"/>
    <w:rsid w:val="007A1449"/>
    <w:rsid w:val="007A1D8C"/>
    <w:rsid w:val="007A5242"/>
    <w:rsid w:val="007A7818"/>
    <w:rsid w:val="007B0EB3"/>
    <w:rsid w:val="007B1869"/>
    <w:rsid w:val="007B3902"/>
    <w:rsid w:val="007C0A8F"/>
    <w:rsid w:val="007C6118"/>
    <w:rsid w:val="007C70B7"/>
    <w:rsid w:val="007D0506"/>
    <w:rsid w:val="007D1D95"/>
    <w:rsid w:val="007D2315"/>
    <w:rsid w:val="007D3AA2"/>
    <w:rsid w:val="007D42ED"/>
    <w:rsid w:val="007D50F9"/>
    <w:rsid w:val="007E0DC8"/>
    <w:rsid w:val="007E0F64"/>
    <w:rsid w:val="007E24CA"/>
    <w:rsid w:val="007E2608"/>
    <w:rsid w:val="007E5564"/>
    <w:rsid w:val="007F1253"/>
    <w:rsid w:val="007F261F"/>
    <w:rsid w:val="007F7938"/>
    <w:rsid w:val="007F7C28"/>
    <w:rsid w:val="007F7F97"/>
    <w:rsid w:val="00800A09"/>
    <w:rsid w:val="00800C1F"/>
    <w:rsid w:val="0080109B"/>
    <w:rsid w:val="00802FC4"/>
    <w:rsid w:val="00804B57"/>
    <w:rsid w:val="00807C5D"/>
    <w:rsid w:val="00810D98"/>
    <w:rsid w:val="008119D2"/>
    <w:rsid w:val="008127B0"/>
    <w:rsid w:val="00812D81"/>
    <w:rsid w:val="00814F09"/>
    <w:rsid w:val="008150D8"/>
    <w:rsid w:val="00815412"/>
    <w:rsid w:val="00817E5B"/>
    <w:rsid w:val="00823AB4"/>
    <w:rsid w:val="0082465E"/>
    <w:rsid w:val="0082476F"/>
    <w:rsid w:val="00830845"/>
    <w:rsid w:val="00831D0F"/>
    <w:rsid w:val="00834079"/>
    <w:rsid w:val="0083422C"/>
    <w:rsid w:val="008356BF"/>
    <w:rsid w:val="00835C7C"/>
    <w:rsid w:val="00836099"/>
    <w:rsid w:val="008429C5"/>
    <w:rsid w:val="008434C3"/>
    <w:rsid w:val="00843503"/>
    <w:rsid w:val="008445D3"/>
    <w:rsid w:val="00845023"/>
    <w:rsid w:val="00850A46"/>
    <w:rsid w:val="008515EE"/>
    <w:rsid w:val="00852A50"/>
    <w:rsid w:val="00853384"/>
    <w:rsid w:val="00854FD4"/>
    <w:rsid w:val="00855992"/>
    <w:rsid w:val="0086055D"/>
    <w:rsid w:val="00862B44"/>
    <w:rsid w:val="00864842"/>
    <w:rsid w:val="008666F3"/>
    <w:rsid w:val="00872BAD"/>
    <w:rsid w:val="00873C91"/>
    <w:rsid w:val="00880069"/>
    <w:rsid w:val="008812E0"/>
    <w:rsid w:val="0088136E"/>
    <w:rsid w:val="0088194F"/>
    <w:rsid w:val="00882611"/>
    <w:rsid w:val="008846D6"/>
    <w:rsid w:val="00886D58"/>
    <w:rsid w:val="0088749E"/>
    <w:rsid w:val="00892D21"/>
    <w:rsid w:val="00892FF7"/>
    <w:rsid w:val="008942F1"/>
    <w:rsid w:val="00897A82"/>
    <w:rsid w:val="008A4768"/>
    <w:rsid w:val="008A4FDF"/>
    <w:rsid w:val="008A636D"/>
    <w:rsid w:val="008B0EC2"/>
    <w:rsid w:val="008B1575"/>
    <w:rsid w:val="008B2FFC"/>
    <w:rsid w:val="008B3490"/>
    <w:rsid w:val="008B47EA"/>
    <w:rsid w:val="008C027C"/>
    <w:rsid w:val="008C41FA"/>
    <w:rsid w:val="008D62CC"/>
    <w:rsid w:val="008D6EBF"/>
    <w:rsid w:val="008D7477"/>
    <w:rsid w:val="008D7595"/>
    <w:rsid w:val="008E0099"/>
    <w:rsid w:val="008E2F41"/>
    <w:rsid w:val="008E6758"/>
    <w:rsid w:val="008F6D18"/>
    <w:rsid w:val="008F790D"/>
    <w:rsid w:val="00901C11"/>
    <w:rsid w:val="00904787"/>
    <w:rsid w:val="009104E7"/>
    <w:rsid w:val="0091164B"/>
    <w:rsid w:val="00912ED7"/>
    <w:rsid w:val="00916516"/>
    <w:rsid w:val="00917FE3"/>
    <w:rsid w:val="00920AC5"/>
    <w:rsid w:val="009210A4"/>
    <w:rsid w:val="0092369B"/>
    <w:rsid w:val="00923B1D"/>
    <w:rsid w:val="009251C5"/>
    <w:rsid w:val="0093391E"/>
    <w:rsid w:val="00934959"/>
    <w:rsid w:val="00936C65"/>
    <w:rsid w:val="00937E6A"/>
    <w:rsid w:val="00940734"/>
    <w:rsid w:val="00940786"/>
    <w:rsid w:val="00940F44"/>
    <w:rsid w:val="00941002"/>
    <w:rsid w:val="00943E4E"/>
    <w:rsid w:val="0094600E"/>
    <w:rsid w:val="00947689"/>
    <w:rsid w:val="00953083"/>
    <w:rsid w:val="0095377B"/>
    <w:rsid w:val="00953871"/>
    <w:rsid w:val="00955CBF"/>
    <w:rsid w:val="00955CE3"/>
    <w:rsid w:val="00955DEF"/>
    <w:rsid w:val="009579B5"/>
    <w:rsid w:val="0096128D"/>
    <w:rsid w:val="00963A32"/>
    <w:rsid w:val="00970632"/>
    <w:rsid w:val="00971150"/>
    <w:rsid w:val="00972127"/>
    <w:rsid w:val="0097214D"/>
    <w:rsid w:val="00975561"/>
    <w:rsid w:val="00977898"/>
    <w:rsid w:val="0098076E"/>
    <w:rsid w:val="00981CCC"/>
    <w:rsid w:val="00982A03"/>
    <w:rsid w:val="00984041"/>
    <w:rsid w:val="00984A84"/>
    <w:rsid w:val="009868C6"/>
    <w:rsid w:val="00986D4E"/>
    <w:rsid w:val="00987FD8"/>
    <w:rsid w:val="0099073B"/>
    <w:rsid w:val="00990B3C"/>
    <w:rsid w:val="009927A3"/>
    <w:rsid w:val="00993D8D"/>
    <w:rsid w:val="009949A2"/>
    <w:rsid w:val="009956C6"/>
    <w:rsid w:val="00996F81"/>
    <w:rsid w:val="009A00A1"/>
    <w:rsid w:val="009A0C30"/>
    <w:rsid w:val="009A16DD"/>
    <w:rsid w:val="009A3795"/>
    <w:rsid w:val="009A45B0"/>
    <w:rsid w:val="009A7703"/>
    <w:rsid w:val="009B0165"/>
    <w:rsid w:val="009B081D"/>
    <w:rsid w:val="009B1B66"/>
    <w:rsid w:val="009B3159"/>
    <w:rsid w:val="009B5989"/>
    <w:rsid w:val="009B7708"/>
    <w:rsid w:val="009C3906"/>
    <w:rsid w:val="009C393F"/>
    <w:rsid w:val="009C6B44"/>
    <w:rsid w:val="009C6C10"/>
    <w:rsid w:val="009D0D98"/>
    <w:rsid w:val="009D1753"/>
    <w:rsid w:val="009E2EFE"/>
    <w:rsid w:val="009E4A6C"/>
    <w:rsid w:val="009E4C0D"/>
    <w:rsid w:val="009E5E09"/>
    <w:rsid w:val="009E714C"/>
    <w:rsid w:val="009F27F0"/>
    <w:rsid w:val="009F587A"/>
    <w:rsid w:val="009F7C7A"/>
    <w:rsid w:val="00A0034A"/>
    <w:rsid w:val="00A02D5F"/>
    <w:rsid w:val="00A03CC1"/>
    <w:rsid w:val="00A04BF1"/>
    <w:rsid w:val="00A04C55"/>
    <w:rsid w:val="00A115B6"/>
    <w:rsid w:val="00A13D3C"/>
    <w:rsid w:val="00A16095"/>
    <w:rsid w:val="00A1734D"/>
    <w:rsid w:val="00A21849"/>
    <w:rsid w:val="00A222B3"/>
    <w:rsid w:val="00A27E34"/>
    <w:rsid w:val="00A30892"/>
    <w:rsid w:val="00A42D6A"/>
    <w:rsid w:val="00A43C1B"/>
    <w:rsid w:val="00A45022"/>
    <w:rsid w:val="00A46433"/>
    <w:rsid w:val="00A47219"/>
    <w:rsid w:val="00A50BEE"/>
    <w:rsid w:val="00A56774"/>
    <w:rsid w:val="00A56F0D"/>
    <w:rsid w:val="00A62BF5"/>
    <w:rsid w:val="00A64EE1"/>
    <w:rsid w:val="00A67FC3"/>
    <w:rsid w:val="00A715A8"/>
    <w:rsid w:val="00A7765D"/>
    <w:rsid w:val="00A7773B"/>
    <w:rsid w:val="00A7779A"/>
    <w:rsid w:val="00A823FA"/>
    <w:rsid w:val="00A839F2"/>
    <w:rsid w:val="00A86698"/>
    <w:rsid w:val="00A86757"/>
    <w:rsid w:val="00A909BA"/>
    <w:rsid w:val="00A9278B"/>
    <w:rsid w:val="00A937DF"/>
    <w:rsid w:val="00AA0705"/>
    <w:rsid w:val="00AA0CA8"/>
    <w:rsid w:val="00AA1164"/>
    <w:rsid w:val="00AA1568"/>
    <w:rsid w:val="00AA1BA4"/>
    <w:rsid w:val="00AA3C83"/>
    <w:rsid w:val="00AA5A1E"/>
    <w:rsid w:val="00AB0464"/>
    <w:rsid w:val="00AB0B61"/>
    <w:rsid w:val="00AB2497"/>
    <w:rsid w:val="00AB3568"/>
    <w:rsid w:val="00AB3FFA"/>
    <w:rsid w:val="00AB61BD"/>
    <w:rsid w:val="00AB6B2D"/>
    <w:rsid w:val="00AB6B88"/>
    <w:rsid w:val="00AC2F4D"/>
    <w:rsid w:val="00AD32C4"/>
    <w:rsid w:val="00AD7CD9"/>
    <w:rsid w:val="00AE1909"/>
    <w:rsid w:val="00AE3228"/>
    <w:rsid w:val="00AE3CE5"/>
    <w:rsid w:val="00AE52D6"/>
    <w:rsid w:val="00AE577E"/>
    <w:rsid w:val="00AF0376"/>
    <w:rsid w:val="00AF29CC"/>
    <w:rsid w:val="00AF381B"/>
    <w:rsid w:val="00AF5A60"/>
    <w:rsid w:val="00AF72F1"/>
    <w:rsid w:val="00AF7BEA"/>
    <w:rsid w:val="00AF7FD8"/>
    <w:rsid w:val="00B0217A"/>
    <w:rsid w:val="00B02489"/>
    <w:rsid w:val="00B03FB3"/>
    <w:rsid w:val="00B10AEC"/>
    <w:rsid w:val="00B11A73"/>
    <w:rsid w:val="00B120B9"/>
    <w:rsid w:val="00B210B9"/>
    <w:rsid w:val="00B21212"/>
    <w:rsid w:val="00B2533E"/>
    <w:rsid w:val="00B26E08"/>
    <w:rsid w:val="00B26EE9"/>
    <w:rsid w:val="00B27212"/>
    <w:rsid w:val="00B31D34"/>
    <w:rsid w:val="00B323E2"/>
    <w:rsid w:val="00B334B7"/>
    <w:rsid w:val="00B366E1"/>
    <w:rsid w:val="00B37F5F"/>
    <w:rsid w:val="00B40971"/>
    <w:rsid w:val="00B41CB2"/>
    <w:rsid w:val="00B43CA5"/>
    <w:rsid w:val="00B445A4"/>
    <w:rsid w:val="00B50C4E"/>
    <w:rsid w:val="00B511C4"/>
    <w:rsid w:val="00B53468"/>
    <w:rsid w:val="00B54563"/>
    <w:rsid w:val="00B54D68"/>
    <w:rsid w:val="00B55DDD"/>
    <w:rsid w:val="00B56606"/>
    <w:rsid w:val="00B57556"/>
    <w:rsid w:val="00B607B3"/>
    <w:rsid w:val="00B6220E"/>
    <w:rsid w:val="00B62299"/>
    <w:rsid w:val="00B65F05"/>
    <w:rsid w:val="00B72C47"/>
    <w:rsid w:val="00B76A0D"/>
    <w:rsid w:val="00B820BA"/>
    <w:rsid w:val="00B838D6"/>
    <w:rsid w:val="00B84551"/>
    <w:rsid w:val="00B86CFD"/>
    <w:rsid w:val="00B91665"/>
    <w:rsid w:val="00B91D3E"/>
    <w:rsid w:val="00B92511"/>
    <w:rsid w:val="00B92C67"/>
    <w:rsid w:val="00B93E0A"/>
    <w:rsid w:val="00B97019"/>
    <w:rsid w:val="00BA41C5"/>
    <w:rsid w:val="00BA467D"/>
    <w:rsid w:val="00BA4AA3"/>
    <w:rsid w:val="00BA536E"/>
    <w:rsid w:val="00BB025F"/>
    <w:rsid w:val="00BB0B15"/>
    <w:rsid w:val="00BB1424"/>
    <w:rsid w:val="00BB1C60"/>
    <w:rsid w:val="00BB1CFE"/>
    <w:rsid w:val="00BB3539"/>
    <w:rsid w:val="00BB44DE"/>
    <w:rsid w:val="00BB4773"/>
    <w:rsid w:val="00BB6A06"/>
    <w:rsid w:val="00BB7114"/>
    <w:rsid w:val="00BC00FB"/>
    <w:rsid w:val="00BC459B"/>
    <w:rsid w:val="00BC53C8"/>
    <w:rsid w:val="00BC5769"/>
    <w:rsid w:val="00BC63FD"/>
    <w:rsid w:val="00BC7826"/>
    <w:rsid w:val="00BD0D77"/>
    <w:rsid w:val="00BD0E10"/>
    <w:rsid w:val="00BD4E3C"/>
    <w:rsid w:val="00BD53FE"/>
    <w:rsid w:val="00BE1071"/>
    <w:rsid w:val="00BE2BDA"/>
    <w:rsid w:val="00BE5A11"/>
    <w:rsid w:val="00BE5E45"/>
    <w:rsid w:val="00BE6133"/>
    <w:rsid w:val="00BE7AC1"/>
    <w:rsid w:val="00BF054A"/>
    <w:rsid w:val="00BF2411"/>
    <w:rsid w:val="00BF33E5"/>
    <w:rsid w:val="00BF5947"/>
    <w:rsid w:val="00BF5F87"/>
    <w:rsid w:val="00BF6922"/>
    <w:rsid w:val="00BF764E"/>
    <w:rsid w:val="00BF7937"/>
    <w:rsid w:val="00BF7EB5"/>
    <w:rsid w:val="00C02583"/>
    <w:rsid w:val="00C02EEF"/>
    <w:rsid w:val="00C02F5C"/>
    <w:rsid w:val="00C03C6C"/>
    <w:rsid w:val="00C14B9F"/>
    <w:rsid w:val="00C16227"/>
    <w:rsid w:val="00C16789"/>
    <w:rsid w:val="00C25E34"/>
    <w:rsid w:val="00C27E6B"/>
    <w:rsid w:val="00C310B9"/>
    <w:rsid w:val="00C342D5"/>
    <w:rsid w:val="00C401CD"/>
    <w:rsid w:val="00C4035A"/>
    <w:rsid w:val="00C40F06"/>
    <w:rsid w:val="00C41952"/>
    <w:rsid w:val="00C42B04"/>
    <w:rsid w:val="00C430F1"/>
    <w:rsid w:val="00C438ED"/>
    <w:rsid w:val="00C51330"/>
    <w:rsid w:val="00C53183"/>
    <w:rsid w:val="00C54AED"/>
    <w:rsid w:val="00C55128"/>
    <w:rsid w:val="00C56DF5"/>
    <w:rsid w:val="00C570CC"/>
    <w:rsid w:val="00C57FDA"/>
    <w:rsid w:val="00C60BB4"/>
    <w:rsid w:val="00C65F24"/>
    <w:rsid w:val="00C70061"/>
    <w:rsid w:val="00C719FC"/>
    <w:rsid w:val="00C72624"/>
    <w:rsid w:val="00C75B24"/>
    <w:rsid w:val="00C767BF"/>
    <w:rsid w:val="00C92881"/>
    <w:rsid w:val="00C96FB5"/>
    <w:rsid w:val="00C979D7"/>
    <w:rsid w:val="00CA44A8"/>
    <w:rsid w:val="00CA4735"/>
    <w:rsid w:val="00CA6C2C"/>
    <w:rsid w:val="00CA7641"/>
    <w:rsid w:val="00CB2437"/>
    <w:rsid w:val="00CB2EDD"/>
    <w:rsid w:val="00CB35DA"/>
    <w:rsid w:val="00CC2810"/>
    <w:rsid w:val="00CC3CCC"/>
    <w:rsid w:val="00CC6705"/>
    <w:rsid w:val="00CC7A4A"/>
    <w:rsid w:val="00CC7B27"/>
    <w:rsid w:val="00CD0331"/>
    <w:rsid w:val="00CD0E58"/>
    <w:rsid w:val="00CD0F12"/>
    <w:rsid w:val="00CD4B75"/>
    <w:rsid w:val="00CD5D76"/>
    <w:rsid w:val="00CD791D"/>
    <w:rsid w:val="00CE0037"/>
    <w:rsid w:val="00CE0385"/>
    <w:rsid w:val="00CE33A0"/>
    <w:rsid w:val="00CE4442"/>
    <w:rsid w:val="00CE46FB"/>
    <w:rsid w:val="00CE520C"/>
    <w:rsid w:val="00CF07B3"/>
    <w:rsid w:val="00CF1470"/>
    <w:rsid w:val="00CF18F8"/>
    <w:rsid w:val="00CF4BEC"/>
    <w:rsid w:val="00CF5F3A"/>
    <w:rsid w:val="00CF6054"/>
    <w:rsid w:val="00CF6947"/>
    <w:rsid w:val="00CF7582"/>
    <w:rsid w:val="00D005FF"/>
    <w:rsid w:val="00D00C1F"/>
    <w:rsid w:val="00D05D28"/>
    <w:rsid w:val="00D16016"/>
    <w:rsid w:val="00D1679C"/>
    <w:rsid w:val="00D218A6"/>
    <w:rsid w:val="00D21E39"/>
    <w:rsid w:val="00D23722"/>
    <w:rsid w:val="00D23C64"/>
    <w:rsid w:val="00D23CA5"/>
    <w:rsid w:val="00D24364"/>
    <w:rsid w:val="00D244E3"/>
    <w:rsid w:val="00D25933"/>
    <w:rsid w:val="00D26B29"/>
    <w:rsid w:val="00D30FC3"/>
    <w:rsid w:val="00D3340C"/>
    <w:rsid w:val="00D356E2"/>
    <w:rsid w:val="00D373B5"/>
    <w:rsid w:val="00D37B73"/>
    <w:rsid w:val="00D43E7F"/>
    <w:rsid w:val="00D44645"/>
    <w:rsid w:val="00D5358F"/>
    <w:rsid w:val="00D54B74"/>
    <w:rsid w:val="00D62181"/>
    <w:rsid w:val="00D62946"/>
    <w:rsid w:val="00D62C14"/>
    <w:rsid w:val="00D636CD"/>
    <w:rsid w:val="00D66FF2"/>
    <w:rsid w:val="00D70CD7"/>
    <w:rsid w:val="00D71E39"/>
    <w:rsid w:val="00D7223F"/>
    <w:rsid w:val="00D77286"/>
    <w:rsid w:val="00D77D53"/>
    <w:rsid w:val="00D8060B"/>
    <w:rsid w:val="00D8097E"/>
    <w:rsid w:val="00D809E3"/>
    <w:rsid w:val="00D80FEA"/>
    <w:rsid w:val="00D82B7E"/>
    <w:rsid w:val="00D84CE1"/>
    <w:rsid w:val="00D850E0"/>
    <w:rsid w:val="00D85336"/>
    <w:rsid w:val="00D85AD2"/>
    <w:rsid w:val="00D85CCF"/>
    <w:rsid w:val="00D86A6A"/>
    <w:rsid w:val="00D90FA6"/>
    <w:rsid w:val="00D928FD"/>
    <w:rsid w:val="00D92D46"/>
    <w:rsid w:val="00D961E3"/>
    <w:rsid w:val="00D97628"/>
    <w:rsid w:val="00DA03EB"/>
    <w:rsid w:val="00DA0491"/>
    <w:rsid w:val="00DA1779"/>
    <w:rsid w:val="00DA1E21"/>
    <w:rsid w:val="00DA284A"/>
    <w:rsid w:val="00DA4AF5"/>
    <w:rsid w:val="00DA56E9"/>
    <w:rsid w:val="00DB304D"/>
    <w:rsid w:val="00DB5E24"/>
    <w:rsid w:val="00DB6F51"/>
    <w:rsid w:val="00DB7EBE"/>
    <w:rsid w:val="00DC0370"/>
    <w:rsid w:val="00DC0ABE"/>
    <w:rsid w:val="00DC1D8A"/>
    <w:rsid w:val="00DC24A7"/>
    <w:rsid w:val="00DC3601"/>
    <w:rsid w:val="00DC4492"/>
    <w:rsid w:val="00DC5BE7"/>
    <w:rsid w:val="00DC66BB"/>
    <w:rsid w:val="00DC763F"/>
    <w:rsid w:val="00DD1823"/>
    <w:rsid w:val="00DE10CC"/>
    <w:rsid w:val="00DE2909"/>
    <w:rsid w:val="00DE4D13"/>
    <w:rsid w:val="00DE6424"/>
    <w:rsid w:val="00DE6CBB"/>
    <w:rsid w:val="00DE7AF8"/>
    <w:rsid w:val="00DF032B"/>
    <w:rsid w:val="00DF1F28"/>
    <w:rsid w:val="00DF4878"/>
    <w:rsid w:val="00DF52D4"/>
    <w:rsid w:val="00E05506"/>
    <w:rsid w:val="00E0551B"/>
    <w:rsid w:val="00E05884"/>
    <w:rsid w:val="00E100BE"/>
    <w:rsid w:val="00E10EDD"/>
    <w:rsid w:val="00E11319"/>
    <w:rsid w:val="00E115C7"/>
    <w:rsid w:val="00E15CF5"/>
    <w:rsid w:val="00E16169"/>
    <w:rsid w:val="00E20381"/>
    <w:rsid w:val="00E2055A"/>
    <w:rsid w:val="00E23A7E"/>
    <w:rsid w:val="00E23BAE"/>
    <w:rsid w:val="00E25646"/>
    <w:rsid w:val="00E26BFB"/>
    <w:rsid w:val="00E27289"/>
    <w:rsid w:val="00E2776C"/>
    <w:rsid w:val="00E2797C"/>
    <w:rsid w:val="00E27982"/>
    <w:rsid w:val="00E371B8"/>
    <w:rsid w:val="00E42734"/>
    <w:rsid w:val="00E45549"/>
    <w:rsid w:val="00E457F7"/>
    <w:rsid w:val="00E5011E"/>
    <w:rsid w:val="00E50A84"/>
    <w:rsid w:val="00E5100B"/>
    <w:rsid w:val="00E51D32"/>
    <w:rsid w:val="00E52E8C"/>
    <w:rsid w:val="00E54AD4"/>
    <w:rsid w:val="00E5536A"/>
    <w:rsid w:val="00E61AA5"/>
    <w:rsid w:val="00E62BC4"/>
    <w:rsid w:val="00E633FE"/>
    <w:rsid w:val="00E65A96"/>
    <w:rsid w:val="00E66EDC"/>
    <w:rsid w:val="00E67C3F"/>
    <w:rsid w:val="00E73BF5"/>
    <w:rsid w:val="00E74ABB"/>
    <w:rsid w:val="00E74D52"/>
    <w:rsid w:val="00E771EB"/>
    <w:rsid w:val="00E90334"/>
    <w:rsid w:val="00E96A5A"/>
    <w:rsid w:val="00E975C8"/>
    <w:rsid w:val="00EA0DB8"/>
    <w:rsid w:val="00EA141C"/>
    <w:rsid w:val="00EA2EB9"/>
    <w:rsid w:val="00EA483F"/>
    <w:rsid w:val="00EA6CDF"/>
    <w:rsid w:val="00EB6AB1"/>
    <w:rsid w:val="00EC0977"/>
    <w:rsid w:val="00EC3375"/>
    <w:rsid w:val="00EC4A6A"/>
    <w:rsid w:val="00EC6B3A"/>
    <w:rsid w:val="00ED25C1"/>
    <w:rsid w:val="00ED38F9"/>
    <w:rsid w:val="00ED496F"/>
    <w:rsid w:val="00ED4AD8"/>
    <w:rsid w:val="00ED61FE"/>
    <w:rsid w:val="00EE151C"/>
    <w:rsid w:val="00EE3ED2"/>
    <w:rsid w:val="00EE3EE5"/>
    <w:rsid w:val="00EE53E8"/>
    <w:rsid w:val="00EE6009"/>
    <w:rsid w:val="00EE6BAB"/>
    <w:rsid w:val="00EF154D"/>
    <w:rsid w:val="00EF1683"/>
    <w:rsid w:val="00EF2F58"/>
    <w:rsid w:val="00EF40BB"/>
    <w:rsid w:val="00EF59BE"/>
    <w:rsid w:val="00EF5C7D"/>
    <w:rsid w:val="00EF7181"/>
    <w:rsid w:val="00EF7546"/>
    <w:rsid w:val="00F0009F"/>
    <w:rsid w:val="00F002CF"/>
    <w:rsid w:val="00F006B4"/>
    <w:rsid w:val="00F04D0E"/>
    <w:rsid w:val="00F0621A"/>
    <w:rsid w:val="00F07C59"/>
    <w:rsid w:val="00F24E6E"/>
    <w:rsid w:val="00F25EF5"/>
    <w:rsid w:val="00F26A56"/>
    <w:rsid w:val="00F313F7"/>
    <w:rsid w:val="00F33797"/>
    <w:rsid w:val="00F35D0C"/>
    <w:rsid w:val="00F43EC5"/>
    <w:rsid w:val="00F50161"/>
    <w:rsid w:val="00F521A3"/>
    <w:rsid w:val="00F52A10"/>
    <w:rsid w:val="00F56337"/>
    <w:rsid w:val="00F57AD1"/>
    <w:rsid w:val="00F630C6"/>
    <w:rsid w:val="00F663EE"/>
    <w:rsid w:val="00F66463"/>
    <w:rsid w:val="00F71694"/>
    <w:rsid w:val="00F80F7B"/>
    <w:rsid w:val="00F85784"/>
    <w:rsid w:val="00F85CC5"/>
    <w:rsid w:val="00FA31E3"/>
    <w:rsid w:val="00FA51CA"/>
    <w:rsid w:val="00FA7259"/>
    <w:rsid w:val="00FA726D"/>
    <w:rsid w:val="00FA7381"/>
    <w:rsid w:val="00FA7A6B"/>
    <w:rsid w:val="00FA7B26"/>
    <w:rsid w:val="00FB3A50"/>
    <w:rsid w:val="00FB60BC"/>
    <w:rsid w:val="00FC0EA9"/>
    <w:rsid w:val="00FC2B7E"/>
    <w:rsid w:val="00FC350B"/>
    <w:rsid w:val="00FC4A80"/>
    <w:rsid w:val="00FC5041"/>
    <w:rsid w:val="00FC697E"/>
    <w:rsid w:val="00FC7E16"/>
    <w:rsid w:val="00FD0B7E"/>
    <w:rsid w:val="00FD2962"/>
    <w:rsid w:val="00FD2C6C"/>
    <w:rsid w:val="00FD2DBF"/>
    <w:rsid w:val="00FD41F1"/>
    <w:rsid w:val="00FD4655"/>
    <w:rsid w:val="00FD5449"/>
    <w:rsid w:val="00FD6D10"/>
    <w:rsid w:val="00FD72DE"/>
    <w:rsid w:val="00FE13F6"/>
    <w:rsid w:val="00FE1C71"/>
    <w:rsid w:val="00FE2DE4"/>
    <w:rsid w:val="00FE3DB0"/>
    <w:rsid w:val="00FE6380"/>
    <w:rsid w:val="00FE744B"/>
    <w:rsid w:val="00FF1DE7"/>
    <w:rsid w:val="00FF32AD"/>
    <w:rsid w:val="00FF5440"/>
    <w:rsid w:val="00FF78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167553"/>
  <w15:docId w15:val="{1E115C3E-0256-4555-8B76-79FA58DCD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5336"/>
    <w:rPr>
      <w:sz w:val="24"/>
      <w:szCs w:val="24"/>
      <w:lang w:val="en-AU" w:eastAsia="en-AU"/>
    </w:rPr>
  </w:style>
  <w:style w:type="paragraph" w:styleId="Heading1">
    <w:name w:val="heading 1"/>
    <w:basedOn w:val="Normal"/>
    <w:next w:val="Normal"/>
    <w:link w:val="Heading1Char"/>
    <w:autoRedefine/>
    <w:qFormat/>
    <w:rsid w:val="00011180"/>
    <w:pPr>
      <w:keepNext/>
      <w:keepLines/>
      <w:widowControl w:val="0"/>
      <w:spacing w:before="120" w:after="120"/>
      <w:outlineLvl w:val="0"/>
    </w:pPr>
    <w:rPr>
      <w:rFonts w:ascii="Book Antiqua" w:hAnsi="Book Antiqua"/>
      <w:b/>
      <w:bCs/>
      <w:caps/>
      <w:kern w:val="32"/>
    </w:rPr>
  </w:style>
  <w:style w:type="paragraph" w:styleId="Heading3">
    <w:name w:val="heading 3"/>
    <w:basedOn w:val="Normal"/>
    <w:link w:val="Heading3Char"/>
    <w:uiPriority w:val="9"/>
    <w:qFormat/>
    <w:rsid w:val="00CE520C"/>
    <w:pPr>
      <w:spacing w:before="240" w:after="240" w:line="336" w:lineRule="auto"/>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02583"/>
    <w:rPr>
      <w:color w:val="0000FF"/>
      <w:u w:val="single"/>
    </w:rPr>
  </w:style>
  <w:style w:type="table" w:styleId="TableGrid">
    <w:name w:val="Table Grid"/>
    <w:basedOn w:val="TableNormal"/>
    <w:rsid w:val="00455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921D0"/>
    <w:rPr>
      <w:rFonts w:ascii="Tahoma" w:hAnsi="Tahoma" w:cs="Tahoma"/>
      <w:sz w:val="16"/>
      <w:szCs w:val="16"/>
    </w:rPr>
  </w:style>
  <w:style w:type="paragraph" w:styleId="FootnoteText">
    <w:name w:val="footnote text"/>
    <w:basedOn w:val="Normal"/>
    <w:semiHidden/>
    <w:rsid w:val="00635413"/>
    <w:rPr>
      <w:sz w:val="20"/>
      <w:szCs w:val="20"/>
    </w:rPr>
  </w:style>
  <w:style w:type="character" w:styleId="FootnoteReference">
    <w:name w:val="footnote reference"/>
    <w:semiHidden/>
    <w:rsid w:val="00635413"/>
    <w:rPr>
      <w:vertAlign w:val="superscript"/>
    </w:rPr>
  </w:style>
  <w:style w:type="character" w:styleId="CommentReference">
    <w:name w:val="annotation reference"/>
    <w:semiHidden/>
    <w:rsid w:val="001A7651"/>
    <w:rPr>
      <w:sz w:val="16"/>
      <w:szCs w:val="16"/>
    </w:rPr>
  </w:style>
  <w:style w:type="paragraph" w:styleId="CommentText">
    <w:name w:val="annotation text"/>
    <w:basedOn w:val="Normal"/>
    <w:semiHidden/>
    <w:rsid w:val="001A7651"/>
    <w:rPr>
      <w:sz w:val="20"/>
      <w:szCs w:val="20"/>
    </w:rPr>
  </w:style>
  <w:style w:type="paragraph" w:styleId="CommentSubject">
    <w:name w:val="annotation subject"/>
    <w:basedOn w:val="CommentText"/>
    <w:next w:val="CommentText"/>
    <w:semiHidden/>
    <w:rsid w:val="001A7651"/>
    <w:rPr>
      <w:b/>
      <w:bCs/>
    </w:rPr>
  </w:style>
  <w:style w:type="character" w:styleId="Emphasis">
    <w:name w:val="Emphasis"/>
    <w:uiPriority w:val="20"/>
    <w:qFormat/>
    <w:rsid w:val="00AF72F1"/>
    <w:rPr>
      <w:i/>
      <w:iCs/>
    </w:rPr>
  </w:style>
  <w:style w:type="paragraph" w:styleId="Header">
    <w:name w:val="header"/>
    <w:basedOn w:val="Normal"/>
    <w:link w:val="HeaderChar"/>
    <w:rsid w:val="00194089"/>
    <w:pPr>
      <w:tabs>
        <w:tab w:val="center" w:pos="4513"/>
        <w:tab w:val="right" w:pos="9026"/>
      </w:tabs>
    </w:pPr>
  </w:style>
  <w:style w:type="character" w:customStyle="1" w:styleId="HeaderChar">
    <w:name w:val="Header Char"/>
    <w:link w:val="Header"/>
    <w:rsid w:val="00194089"/>
    <w:rPr>
      <w:sz w:val="24"/>
      <w:szCs w:val="24"/>
    </w:rPr>
  </w:style>
  <w:style w:type="paragraph" w:styleId="Footer">
    <w:name w:val="footer"/>
    <w:basedOn w:val="Normal"/>
    <w:link w:val="FooterChar"/>
    <w:rsid w:val="00194089"/>
    <w:pPr>
      <w:tabs>
        <w:tab w:val="center" w:pos="4513"/>
        <w:tab w:val="right" w:pos="9026"/>
      </w:tabs>
    </w:pPr>
  </w:style>
  <w:style w:type="character" w:customStyle="1" w:styleId="FooterChar">
    <w:name w:val="Footer Char"/>
    <w:link w:val="Footer"/>
    <w:uiPriority w:val="99"/>
    <w:rsid w:val="00194089"/>
    <w:rPr>
      <w:sz w:val="24"/>
      <w:szCs w:val="24"/>
    </w:rPr>
  </w:style>
  <w:style w:type="character" w:customStyle="1" w:styleId="Heading3Char">
    <w:name w:val="Heading 3 Char"/>
    <w:link w:val="Heading3"/>
    <w:uiPriority w:val="9"/>
    <w:rsid w:val="00CE520C"/>
    <w:rPr>
      <w:b/>
      <w:bCs/>
      <w:sz w:val="24"/>
      <w:szCs w:val="24"/>
    </w:rPr>
  </w:style>
  <w:style w:type="paragraph" w:styleId="NormalWeb">
    <w:name w:val="Normal (Web)"/>
    <w:basedOn w:val="Normal"/>
    <w:uiPriority w:val="99"/>
    <w:unhideWhenUsed/>
    <w:rsid w:val="00CE520C"/>
    <w:pPr>
      <w:spacing w:after="240"/>
    </w:pPr>
    <w:rPr>
      <w:sz w:val="16"/>
      <w:szCs w:val="16"/>
    </w:rPr>
  </w:style>
  <w:style w:type="character" w:customStyle="1" w:styleId="Heading1Char">
    <w:name w:val="Heading 1 Char"/>
    <w:link w:val="Heading1"/>
    <w:rsid w:val="00011180"/>
    <w:rPr>
      <w:rFonts w:ascii="Book Antiqua" w:hAnsi="Book Antiqua"/>
      <w:b/>
      <w:bCs/>
      <w:caps/>
      <w:kern w:val="32"/>
      <w:sz w:val="24"/>
      <w:szCs w:val="24"/>
      <w:lang w:val="en-AU" w:eastAsia="en-AU"/>
    </w:rPr>
  </w:style>
  <w:style w:type="paragraph" w:customStyle="1" w:styleId="Default">
    <w:name w:val="Default"/>
    <w:rsid w:val="00940F44"/>
    <w:pPr>
      <w:autoSpaceDE w:val="0"/>
      <w:autoSpaceDN w:val="0"/>
      <w:adjustRightInd w:val="0"/>
    </w:pPr>
    <w:rPr>
      <w:color w:val="000000"/>
      <w:sz w:val="24"/>
      <w:szCs w:val="24"/>
      <w:lang w:val="en-AU" w:eastAsia="en-AU"/>
    </w:rPr>
  </w:style>
  <w:style w:type="paragraph" w:styleId="List">
    <w:name w:val="List"/>
    <w:basedOn w:val="Normal"/>
    <w:rsid w:val="00FE3DB0"/>
    <w:pPr>
      <w:ind w:left="283" w:hanging="283"/>
    </w:pPr>
  </w:style>
  <w:style w:type="character" w:styleId="PageNumber">
    <w:name w:val="page number"/>
    <w:rsid w:val="006A4CCD"/>
  </w:style>
  <w:style w:type="paragraph" w:styleId="ListParagraph">
    <w:name w:val="List Paragraph"/>
    <w:basedOn w:val="Normal"/>
    <w:uiPriority w:val="34"/>
    <w:qFormat/>
    <w:rsid w:val="006A4CCD"/>
    <w:pPr>
      <w:ind w:left="720"/>
      <w:contextualSpacing/>
    </w:pPr>
    <w:rPr>
      <w:sz w:val="20"/>
      <w:szCs w:val="20"/>
    </w:rPr>
  </w:style>
  <w:style w:type="paragraph" w:customStyle="1" w:styleId="FactsheetTitle">
    <w:name w:val="Factsheet Title"/>
    <w:basedOn w:val="Normal"/>
    <w:rsid w:val="00DA1779"/>
    <w:pPr>
      <w:outlineLvl w:val="0"/>
    </w:pPr>
    <w:rPr>
      <w:rFonts w:ascii="Arial" w:eastAsia="Cambria" w:hAnsi="Arial"/>
      <w:noProof/>
      <w:color w:val="981E32"/>
      <w:sz w:val="44"/>
      <w:lang w:val="en-US" w:eastAsia="en-US"/>
    </w:rPr>
  </w:style>
  <w:style w:type="character" w:customStyle="1" w:styleId="file-label-new">
    <w:name w:val="file-label-new"/>
    <w:basedOn w:val="DefaultParagraphFont"/>
    <w:rsid w:val="001B609C"/>
  </w:style>
  <w:style w:type="character" w:styleId="FollowedHyperlink">
    <w:name w:val="FollowedHyperlink"/>
    <w:basedOn w:val="DefaultParagraphFont"/>
    <w:semiHidden/>
    <w:unhideWhenUsed/>
    <w:rsid w:val="005313BF"/>
    <w:rPr>
      <w:color w:val="954F72" w:themeColor="followedHyperlink"/>
      <w:u w:val="single"/>
    </w:rPr>
  </w:style>
  <w:style w:type="paragraph" w:styleId="ListBullet">
    <w:name w:val="List Bullet"/>
    <w:basedOn w:val="Normal"/>
    <w:unhideWhenUsed/>
    <w:rsid w:val="00303C13"/>
    <w:pPr>
      <w:numPr>
        <w:numId w:val="34"/>
      </w:numPr>
      <w:contextualSpacing/>
    </w:pPr>
  </w:style>
  <w:style w:type="character" w:styleId="UnresolvedMention">
    <w:name w:val="Unresolved Mention"/>
    <w:basedOn w:val="DefaultParagraphFont"/>
    <w:uiPriority w:val="99"/>
    <w:semiHidden/>
    <w:unhideWhenUsed/>
    <w:rsid w:val="00FA7A6B"/>
    <w:rPr>
      <w:color w:val="605E5C"/>
      <w:shd w:val="clear" w:color="auto" w:fill="E1DFDD"/>
    </w:rPr>
  </w:style>
  <w:style w:type="paragraph" w:styleId="Revision">
    <w:name w:val="Revision"/>
    <w:hidden/>
    <w:uiPriority w:val="99"/>
    <w:semiHidden/>
    <w:rsid w:val="00630F3F"/>
    <w:rPr>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970160">
      <w:bodyDiv w:val="1"/>
      <w:marLeft w:val="0"/>
      <w:marRight w:val="0"/>
      <w:marTop w:val="0"/>
      <w:marBottom w:val="0"/>
      <w:divBdr>
        <w:top w:val="none" w:sz="0" w:space="0" w:color="auto"/>
        <w:left w:val="none" w:sz="0" w:space="0" w:color="auto"/>
        <w:bottom w:val="none" w:sz="0" w:space="0" w:color="auto"/>
        <w:right w:val="none" w:sz="0" w:space="0" w:color="auto"/>
      </w:divBdr>
      <w:divsChild>
        <w:div w:id="963970008">
          <w:marLeft w:val="0"/>
          <w:marRight w:val="0"/>
          <w:marTop w:val="0"/>
          <w:marBottom w:val="0"/>
          <w:divBdr>
            <w:top w:val="none" w:sz="0" w:space="0" w:color="auto"/>
            <w:left w:val="none" w:sz="0" w:space="0" w:color="auto"/>
            <w:bottom w:val="none" w:sz="0" w:space="0" w:color="auto"/>
            <w:right w:val="none" w:sz="0" w:space="0" w:color="auto"/>
          </w:divBdr>
          <w:divsChild>
            <w:div w:id="1963412794">
              <w:marLeft w:val="0"/>
              <w:marRight w:val="0"/>
              <w:marTop w:val="0"/>
              <w:marBottom w:val="0"/>
              <w:divBdr>
                <w:top w:val="none" w:sz="0" w:space="0" w:color="auto"/>
                <w:left w:val="none" w:sz="0" w:space="0" w:color="auto"/>
                <w:bottom w:val="none" w:sz="0" w:space="0" w:color="auto"/>
                <w:right w:val="none" w:sz="0" w:space="0" w:color="auto"/>
              </w:divBdr>
              <w:divsChild>
                <w:div w:id="5197382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563685340">
      <w:bodyDiv w:val="1"/>
      <w:marLeft w:val="0"/>
      <w:marRight w:val="0"/>
      <w:marTop w:val="0"/>
      <w:marBottom w:val="0"/>
      <w:divBdr>
        <w:top w:val="none" w:sz="0" w:space="0" w:color="auto"/>
        <w:left w:val="none" w:sz="0" w:space="0" w:color="auto"/>
        <w:bottom w:val="none" w:sz="0" w:space="0" w:color="auto"/>
        <w:right w:val="none" w:sz="0" w:space="0" w:color="auto"/>
      </w:divBdr>
    </w:div>
    <w:div w:id="617682684">
      <w:bodyDiv w:val="1"/>
      <w:marLeft w:val="0"/>
      <w:marRight w:val="0"/>
      <w:marTop w:val="0"/>
      <w:marBottom w:val="0"/>
      <w:divBdr>
        <w:top w:val="none" w:sz="0" w:space="0" w:color="auto"/>
        <w:left w:val="none" w:sz="0" w:space="0" w:color="auto"/>
        <w:bottom w:val="none" w:sz="0" w:space="0" w:color="auto"/>
        <w:right w:val="none" w:sz="0" w:space="0" w:color="auto"/>
      </w:divBdr>
    </w:div>
    <w:div w:id="660037960">
      <w:bodyDiv w:val="1"/>
      <w:marLeft w:val="0"/>
      <w:marRight w:val="0"/>
      <w:marTop w:val="0"/>
      <w:marBottom w:val="0"/>
      <w:divBdr>
        <w:top w:val="none" w:sz="0" w:space="0" w:color="auto"/>
        <w:left w:val="none" w:sz="0" w:space="0" w:color="auto"/>
        <w:bottom w:val="none" w:sz="0" w:space="0" w:color="auto"/>
        <w:right w:val="none" w:sz="0" w:space="0" w:color="auto"/>
      </w:divBdr>
      <w:divsChild>
        <w:div w:id="1901134058">
          <w:marLeft w:val="0"/>
          <w:marRight w:val="0"/>
          <w:marTop w:val="0"/>
          <w:marBottom w:val="0"/>
          <w:divBdr>
            <w:top w:val="none" w:sz="0" w:space="0" w:color="auto"/>
            <w:left w:val="none" w:sz="0" w:space="0" w:color="auto"/>
            <w:bottom w:val="none" w:sz="0" w:space="0" w:color="auto"/>
            <w:right w:val="none" w:sz="0" w:space="0" w:color="auto"/>
          </w:divBdr>
          <w:divsChild>
            <w:div w:id="465663471">
              <w:marLeft w:val="0"/>
              <w:marRight w:val="0"/>
              <w:marTop w:val="0"/>
              <w:marBottom w:val="0"/>
              <w:divBdr>
                <w:top w:val="none" w:sz="0" w:space="0" w:color="auto"/>
                <w:left w:val="none" w:sz="0" w:space="0" w:color="auto"/>
                <w:bottom w:val="none" w:sz="0" w:space="0" w:color="auto"/>
                <w:right w:val="none" w:sz="0" w:space="0" w:color="auto"/>
              </w:divBdr>
              <w:divsChild>
                <w:div w:id="140195088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829904033">
      <w:bodyDiv w:val="1"/>
      <w:marLeft w:val="0"/>
      <w:marRight w:val="0"/>
      <w:marTop w:val="0"/>
      <w:marBottom w:val="0"/>
      <w:divBdr>
        <w:top w:val="none" w:sz="0" w:space="0" w:color="auto"/>
        <w:left w:val="none" w:sz="0" w:space="0" w:color="auto"/>
        <w:bottom w:val="none" w:sz="0" w:space="0" w:color="auto"/>
        <w:right w:val="none" w:sz="0" w:space="0" w:color="auto"/>
      </w:divBdr>
    </w:div>
    <w:div w:id="923145448">
      <w:bodyDiv w:val="1"/>
      <w:marLeft w:val="0"/>
      <w:marRight w:val="0"/>
      <w:marTop w:val="0"/>
      <w:marBottom w:val="0"/>
      <w:divBdr>
        <w:top w:val="none" w:sz="0" w:space="0" w:color="auto"/>
        <w:left w:val="none" w:sz="0" w:space="0" w:color="auto"/>
        <w:bottom w:val="none" w:sz="0" w:space="0" w:color="auto"/>
        <w:right w:val="none" w:sz="0" w:space="0" w:color="auto"/>
      </w:divBdr>
    </w:div>
    <w:div w:id="924844066">
      <w:bodyDiv w:val="1"/>
      <w:marLeft w:val="0"/>
      <w:marRight w:val="0"/>
      <w:marTop w:val="0"/>
      <w:marBottom w:val="0"/>
      <w:divBdr>
        <w:top w:val="none" w:sz="0" w:space="0" w:color="auto"/>
        <w:left w:val="none" w:sz="0" w:space="0" w:color="auto"/>
        <w:bottom w:val="none" w:sz="0" w:space="0" w:color="auto"/>
        <w:right w:val="none" w:sz="0" w:space="0" w:color="auto"/>
      </w:divBdr>
    </w:div>
    <w:div w:id="991913762">
      <w:bodyDiv w:val="1"/>
      <w:marLeft w:val="0"/>
      <w:marRight w:val="0"/>
      <w:marTop w:val="0"/>
      <w:marBottom w:val="0"/>
      <w:divBdr>
        <w:top w:val="none" w:sz="0" w:space="0" w:color="auto"/>
        <w:left w:val="none" w:sz="0" w:space="0" w:color="auto"/>
        <w:bottom w:val="none" w:sz="0" w:space="0" w:color="auto"/>
        <w:right w:val="none" w:sz="0" w:space="0" w:color="auto"/>
      </w:divBdr>
    </w:div>
    <w:div w:id="1077286457">
      <w:bodyDiv w:val="1"/>
      <w:marLeft w:val="0"/>
      <w:marRight w:val="0"/>
      <w:marTop w:val="0"/>
      <w:marBottom w:val="0"/>
      <w:divBdr>
        <w:top w:val="none" w:sz="0" w:space="0" w:color="auto"/>
        <w:left w:val="none" w:sz="0" w:space="0" w:color="auto"/>
        <w:bottom w:val="none" w:sz="0" w:space="0" w:color="auto"/>
        <w:right w:val="none" w:sz="0" w:space="0" w:color="auto"/>
      </w:divBdr>
    </w:div>
    <w:div w:id="1491947734">
      <w:bodyDiv w:val="1"/>
      <w:marLeft w:val="0"/>
      <w:marRight w:val="0"/>
      <w:marTop w:val="0"/>
      <w:marBottom w:val="0"/>
      <w:divBdr>
        <w:top w:val="none" w:sz="0" w:space="0" w:color="auto"/>
        <w:left w:val="none" w:sz="0" w:space="0" w:color="auto"/>
        <w:bottom w:val="none" w:sz="0" w:space="0" w:color="auto"/>
        <w:right w:val="none" w:sz="0" w:space="0" w:color="auto"/>
      </w:divBdr>
    </w:div>
    <w:div w:id="1552842649">
      <w:bodyDiv w:val="1"/>
      <w:marLeft w:val="0"/>
      <w:marRight w:val="0"/>
      <w:marTop w:val="0"/>
      <w:marBottom w:val="0"/>
      <w:divBdr>
        <w:top w:val="none" w:sz="0" w:space="0" w:color="auto"/>
        <w:left w:val="none" w:sz="0" w:space="0" w:color="auto"/>
        <w:bottom w:val="none" w:sz="0" w:space="0" w:color="auto"/>
        <w:right w:val="none" w:sz="0" w:space="0" w:color="auto"/>
      </w:divBdr>
    </w:div>
    <w:div w:id="1786727947">
      <w:bodyDiv w:val="1"/>
      <w:marLeft w:val="0"/>
      <w:marRight w:val="0"/>
      <w:marTop w:val="0"/>
      <w:marBottom w:val="0"/>
      <w:divBdr>
        <w:top w:val="none" w:sz="0" w:space="0" w:color="auto"/>
        <w:left w:val="none" w:sz="0" w:space="0" w:color="auto"/>
        <w:bottom w:val="none" w:sz="0" w:space="0" w:color="auto"/>
        <w:right w:val="none" w:sz="0" w:space="0" w:color="auto"/>
      </w:divBdr>
      <w:divsChild>
        <w:div w:id="51389141">
          <w:marLeft w:val="0"/>
          <w:marRight w:val="0"/>
          <w:marTop w:val="0"/>
          <w:marBottom w:val="0"/>
          <w:divBdr>
            <w:top w:val="none" w:sz="0" w:space="0" w:color="auto"/>
            <w:left w:val="none" w:sz="0" w:space="0" w:color="auto"/>
            <w:bottom w:val="none" w:sz="0" w:space="0" w:color="auto"/>
            <w:right w:val="none" w:sz="0" w:space="0" w:color="auto"/>
          </w:divBdr>
          <w:divsChild>
            <w:div w:id="132069050">
              <w:marLeft w:val="0"/>
              <w:marRight w:val="0"/>
              <w:marTop w:val="0"/>
              <w:marBottom w:val="0"/>
              <w:divBdr>
                <w:top w:val="none" w:sz="0" w:space="0" w:color="auto"/>
                <w:left w:val="none" w:sz="0" w:space="0" w:color="auto"/>
                <w:bottom w:val="none" w:sz="0" w:space="0" w:color="auto"/>
                <w:right w:val="none" w:sz="0" w:space="0" w:color="auto"/>
              </w:divBdr>
              <w:divsChild>
                <w:div w:id="141415615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89373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mailto:costs.court@supcourt.vic.gov.a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costs.court@supcourt.vic.gov.au" TargetMode="External"/><Relationship Id="rId2" Type="http://schemas.openxmlformats.org/officeDocument/2006/relationships/customXml" Target="../customXml/item2.xml"/><Relationship Id="rId16" Type="http://schemas.openxmlformats.org/officeDocument/2006/relationships/hyperlink" Target="mailto:costs.court@supcourt.vic.gov.au" TargetMode="External"/><Relationship Id="rId20" Type="http://schemas.openxmlformats.org/officeDocument/2006/relationships/hyperlink" Target="mailto:costs.court@supcourt.vic.gov.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costs.court@supcourt.vic.gov.au"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mailto:costs.court@supcourt.vic.gov.a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costs.court@supcourt.vic.gov.au"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1cf93c2-ef2b-4781-9f58-1c6d5f95bff6" xsi:nil="true"/>
    <lcf76f155ced4ddcb4097134ff3c332f xmlns="5464e00b-0b32-4156-8404-d5d411511567">
      <Terms xmlns="http://schemas.microsoft.com/office/infopath/2007/PartnerControls"/>
    </lcf76f155ced4ddcb4097134ff3c332f>
    <Completion xmlns="5464e00b-0b32-4156-8404-d5d411511567" xsi:nil="true"/>
    <Notes xmlns="5464e00b-0b32-4156-8404-d5d411511567"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21784356EB05BA48A782C06D5CE0C944" ma:contentTypeVersion="13" ma:contentTypeDescription="Create a new document." ma:contentTypeScope="" ma:versionID="049caa66ae0773cd815f90ee0067f5fd">
  <xsd:schema xmlns:xsd="http://www.w3.org/2001/XMLSchema" xmlns:xs="http://www.w3.org/2001/XMLSchema" xmlns:p="http://schemas.microsoft.com/office/2006/metadata/properties" xmlns:ns2="5464e00b-0b32-4156-8404-d5d411511567" xmlns:ns3="c1cf93c2-ef2b-4781-9f58-1c6d5f95bff6" targetNamespace="http://schemas.microsoft.com/office/2006/metadata/properties" ma:root="true" ma:fieldsID="a7051dddf3c2dc15c4788babcdb1be8f" ns2:_="" ns3:_="">
    <xsd:import namespace="5464e00b-0b32-4156-8404-d5d411511567"/>
    <xsd:import namespace="c1cf93c2-ef2b-4781-9f58-1c6d5f95bff6"/>
    <xsd:element name="properties">
      <xsd:complexType>
        <xsd:sequence>
          <xsd:element name="documentManagement">
            <xsd:complexType>
              <xsd:all>
                <xsd:element ref="ns2:lcf76f155ced4ddcb4097134ff3c332f" minOccurs="0"/>
                <xsd:element ref="ns3:TaxCatchAll" minOccurs="0"/>
                <xsd:element ref="ns2:Completion" minOccurs="0"/>
                <xsd:element ref="ns2:Notes"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64e00b-0b32-4156-8404-d5d41151156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c552f4e-b149-43d5-b14b-724c37d1b4d4" ma:termSetId="09814cd3-568e-fe90-9814-8d621ff8fb84" ma:anchorId="fba54fb3-c3e1-fe81-a776-ca4b69148c4d" ma:open="true" ma:isKeyword="false">
      <xsd:complexType>
        <xsd:sequence>
          <xsd:element ref="pc:Terms" minOccurs="0" maxOccurs="1"/>
        </xsd:sequence>
      </xsd:complexType>
    </xsd:element>
    <xsd:element name="Completion" ma:index="11" nillable="true" ma:displayName="Completion" ma:format="Dropdown" ma:internalName="Completion">
      <xsd:simpleType>
        <xsd:restriction base="dms:Choice">
          <xsd:enumeration value="CJ final"/>
          <xsd:enumeration value="For CJ Review"/>
          <xsd:enumeration value="CJ Amendments please check"/>
          <xsd:enumeration value="Choice 4"/>
        </xsd:restriction>
      </xsd:simpleType>
    </xsd:element>
    <xsd:element name="Notes" ma:index="12" nillable="true" ma:displayName="Notes" ma:description="For anything of note" ma:format="Dropdown" ma:internalName="Notes">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cf93c2-ef2b-4781-9f58-1c6d5f95bff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4f2ef30-a054-4c42-9272-10236ffb8550}" ma:internalName="TaxCatchAll" ma:showField="CatchAllData" ma:web="c1cf93c2-ef2b-4781-9f58-1c6d5f95bf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3682FA-736D-4334-B886-BC4D23C6E68C}">
  <ds:schemaRefs>
    <ds:schemaRef ds:uri="http://schemas.microsoft.com/sharepoint/v3/contenttype/forms"/>
  </ds:schemaRefs>
</ds:datastoreItem>
</file>

<file path=customXml/itemProps2.xml><?xml version="1.0" encoding="utf-8"?>
<ds:datastoreItem xmlns:ds="http://schemas.openxmlformats.org/officeDocument/2006/customXml" ds:itemID="{F53C5FFA-8516-4FEC-A1E4-38241312D513}">
  <ds:schemaRefs>
    <ds:schemaRef ds:uri="http://schemas.microsoft.com/office/2006/metadata/properties"/>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http://purl.org/dc/elements/1.1/"/>
    <ds:schemaRef ds:uri="c1cf93c2-ef2b-4781-9f58-1c6d5f95bff6"/>
    <ds:schemaRef ds:uri="5464e00b-0b32-4156-8404-d5d411511567"/>
    <ds:schemaRef ds:uri="http://purl.org/dc/dcmitype/"/>
  </ds:schemaRefs>
</ds:datastoreItem>
</file>

<file path=customXml/itemProps3.xml><?xml version="1.0" encoding="utf-8"?>
<ds:datastoreItem xmlns:ds="http://schemas.openxmlformats.org/officeDocument/2006/customXml" ds:itemID="{65E2DD48-E5AC-4F69-9F76-C4B493C3FF3A}">
  <ds:schemaRefs>
    <ds:schemaRef ds:uri="http://schemas.openxmlformats.org/officeDocument/2006/bibliography"/>
  </ds:schemaRefs>
</ds:datastoreItem>
</file>

<file path=customXml/itemProps4.xml><?xml version="1.0" encoding="utf-8"?>
<ds:datastoreItem xmlns:ds="http://schemas.openxmlformats.org/officeDocument/2006/customXml" ds:itemID="{48293F51-F092-4994-97F3-F64167300779}">
  <ds:schemaRefs>
    <ds:schemaRef ds:uri="http://schemas.openxmlformats.org/officeDocument/2006/bibliography"/>
  </ds:schemaRefs>
</ds:datastoreItem>
</file>

<file path=customXml/itemProps5.xml><?xml version="1.0" encoding="utf-8"?>
<ds:datastoreItem xmlns:ds="http://schemas.openxmlformats.org/officeDocument/2006/customXml" ds:itemID="{37B414EE-EF98-4B84-9475-0133DEEAA887}">
  <ds:schemaRefs>
    <ds:schemaRef ds:uri="http://schemas.microsoft.com/office/2006/metadata/longProperties"/>
  </ds:schemaRefs>
</ds:datastoreItem>
</file>

<file path=customXml/itemProps6.xml><?xml version="1.0" encoding="utf-8"?>
<ds:datastoreItem xmlns:ds="http://schemas.openxmlformats.org/officeDocument/2006/customXml" ds:itemID="{1FD19E27-52A3-4B06-BEEA-CE8AD9018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64e00b-0b32-4156-8404-d5d411511567"/>
    <ds:schemaRef ds:uri="c1cf93c2-ef2b-4781-9f58-1c6d5f95b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5950</Words>
  <Characters>30726</Characters>
  <Application>Microsoft Office Word</Application>
  <DocSecurity>0</DocSecurity>
  <Lines>256</Lines>
  <Paragraphs>73</Paragraphs>
  <ScaleCrop>false</ScaleCrop>
  <HeadingPairs>
    <vt:vector size="2" baseType="variant">
      <vt:variant>
        <vt:lpstr>Title</vt:lpstr>
      </vt:variant>
      <vt:variant>
        <vt:i4>1</vt:i4>
      </vt:variant>
    </vt:vector>
  </HeadingPairs>
  <TitlesOfParts>
    <vt:vector size="1" baseType="lpstr">
      <vt:lpstr>Practice Note No. 1 of 2015</vt:lpstr>
    </vt:vector>
  </TitlesOfParts>
  <Company>Supreme Court of Victoria</Company>
  <LinksUpToDate>false</LinksUpToDate>
  <CharactersWithSpaces>36603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Practice Note SC Gen 11 - Costs Court</dc:title>
  <dc:subject/>
  <dc:creator>Supreme Court of Victoria</dc:creator>
  <cp:keywords/>
  <dc:description/>
  <cp:lastModifiedBy>Emmet O'Cuana</cp:lastModifiedBy>
  <cp:revision>3</cp:revision>
  <cp:lastPrinted>2017-06-22T03:04:00Z</cp:lastPrinted>
  <dcterms:created xsi:type="dcterms:W3CDTF">2025-12-02T00:44:00Z</dcterms:created>
  <dcterms:modified xsi:type="dcterms:W3CDTF">2025-12-02T00:45:00Z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0x01010021784356EB05BA48A782C06D5CE0C944</vt:lpwstr>
  </property>
  <property fmtid="{D5CDD505-2E9C-101B-9397-08002B2CF9AE}" pid="4" name="MediaServiceImageTags">
    <vt:lpwstr/>
  </property>
  <property fmtid="{D5CDD505-2E9C-101B-9397-08002B2CF9AE}" pid="5" name="Order">
    <vt:r8>2800000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