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0C51" w14:textId="1CEE15C5" w:rsidR="004C2C28" w:rsidRDefault="00A72652">
      <w:pPr>
        <w:pStyle w:val="BodyText"/>
        <w:ind w:left="3708" w:firstLine="0"/>
        <w:rPr>
          <w:rFonts w:ascii="Times New Roman"/>
          <w:sz w:val="20"/>
        </w:rPr>
      </w:pPr>
      <w:r w:rsidRPr="00771C95">
        <w:rPr>
          <w:b/>
          <w:bCs/>
          <w:noProof/>
          <w:color w:val="000000"/>
          <w:sz w:val="44"/>
          <w:szCs w:val="44"/>
        </w:rPr>
        <w:drawing>
          <wp:anchor distT="0" distB="0" distL="114300" distR="114300" simplePos="0" relativeHeight="251659264" behindDoc="1" locked="0" layoutInCell="1" allowOverlap="0" wp14:anchorId="74C5DACA" wp14:editId="5E09E48F">
            <wp:simplePos x="0" y="0"/>
            <wp:positionH relativeFrom="column">
              <wp:align>center</wp:align>
            </wp:positionH>
            <wp:positionV relativeFrom="paragraph">
              <wp:posOffset>146050</wp:posOffset>
            </wp:positionV>
            <wp:extent cx="1325880" cy="1188720"/>
            <wp:effectExtent l="0" t="0" r="7620" b="0"/>
            <wp:wrapTopAndBottom/>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88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B0C52" w14:textId="6B4BA468" w:rsidR="004C2C28" w:rsidRDefault="005A4208">
      <w:pPr>
        <w:pStyle w:val="Title"/>
      </w:pPr>
      <w:r>
        <w:t>Supreme Court of Victoria</w:t>
      </w:r>
    </w:p>
    <w:p w14:paraId="03FB0C53" w14:textId="77777777" w:rsidR="004C2C28" w:rsidRDefault="005A4208">
      <w:pPr>
        <w:spacing w:before="119" w:line="324" w:lineRule="auto"/>
        <w:ind w:left="1744" w:right="1730" w:firstLine="1411"/>
        <w:rPr>
          <w:b/>
          <w:i/>
          <w:sz w:val="28"/>
        </w:rPr>
      </w:pPr>
      <w:r>
        <w:rPr>
          <w:b/>
          <w:sz w:val="28"/>
        </w:rPr>
        <w:t xml:space="preserve">Practice Note SC Gen 9 Notifications under the </w:t>
      </w:r>
      <w:r>
        <w:rPr>
          <w:b/>
          <w:i/>
          <w:sz w:val="28"/>
        </w:rPr>
        <w:t>Open Courts Act 2013</w:t>
      </w:r>
    </w:p>
    <w:p w14:paraId="03FB0C54" w14:textId="77777777" w:rsidR="004C2C28" w:rsidRDefault="004C2C28">
      <w:pPr>
        <w:pStyle w:val="BodyText"/>
        <w:spacing w:before="5"/>
        <w:ind w:firstLine="0"/>
        <w:rPr>
          <w:b/>
          <w:i/>
          <w:sz w:val="38"/>
        </w:rPr>
      </w:pPr>
    </w:p>
    <w:p w14:paraId="03FB0C55" w14:textId="77777777" w:rsidR="004C2C28" w:rsidRDefault="005A4208">
      <w:pPr>
        <w:pStyle w:val="Heading1"/>
        <w:numPr>
          <w:ilvl w:val="0"/>
          <w:numId w:val="1"/>
        </w:numPr>
        <w:tabs>
          <w:tab w:val="left" w:pos="839"/>
          <w:tab w:val="left" w:pos="840"/>
        </w:tabs>
      </w:pPr>
      <w:r>
        <w:t>INTRODUCTION</w:t>
      </w:r>
    </w:p>
    <w:p w14:paraId="03FB0C56" w14:textId="1AA6DA18" w:rsidR="004C2C28" w:rsidRDefault="005A4208">
      <w:pPr>
        <w:pStyle w:val="ListParagraph"/>
        <w:numPr>
          <w:ilvl w:val="1"/>
          <w:numId w:val="1"/>
        </w:numPr>
        <w:tabs>
          <w:tab w:val="left" w:pos="839"/>
          <w:tab w:val="left" w:pos="840"/>
        </w:tabs>
        <w:spacing w:before="119" w:line="298" w:lineRule="exact"/>
        <w:rPr>
          <w:sz w:val="24"/>
        </w:rPr>
      </w:pPr>
      <w:r>
        <w:rPr>
          <w:sz w:val="24"/>
        </w:rPr>
        <w:t xml:space="preserve">The Chief Justice has </w:t>
      </w:r>
      <w:proofErr w:type="spellStart"/>
      <w:r>
        <w:rPr>
          <w:sz w:val="24"/>
        </w:rPr>
        <w:t>authorised</w:t>
      </w:r>
      <w:proofErr w:type="spellEnd"/>
      <w:r>
        <w:rPr>
          <w:sz w:val="24"/>
        </w:rPr>
        <w:t xml:space="preserve"> the issue of the following Practice</w:t>
      </w:r>
      <w:r>
        <w:rPr>
          <w:spacing w:val="-9"/>
          <w:sz w:val="24"/>
        </w:rPr>
        <w:t xml:space="preserve"> </w:t>
      </w:r>
      <w:r>
        <w:rPr>
          <w:sz w:val="24"/>
        </w:rPr>
        <w:t>Note.</w:t>
      </w:r>
    </w:p>
    <w:p w14:paraId="03FB0C57" w14:textId="77777777" w:rsidR="004C2C28" w:rsidRPr="00B0177F" w:rsidRDefault="005A4208">
      <w:pPr>
        <w:pStyle w:val="ListParagraph"/>
        <w:numPr>
          <w:ilvl w:val="1"/>
          <w:numId w:val="1"/>
        </w:numPr>
        <w:tabs>
          <w:tab w:val="left" w:pos="840"/>
        </w:tabs>
        <w:ind w:right="115"/>
        <w:rPr>
          <w:sz w:val="24"/>
        </w:rPr>
      </w:pPr>
      <w:r>
        <w:rPr>
          <w:sz w:val="24"/>
        </w:rPr>
        <w:t xml:space="preserve">The purpose of this Practice Note is to set out the procedures regarding notifications under the </w:t>
      </w:r>
      <w:r>
        <w:rPr>
          <w:i/>
          <w:sz w:val="24"/>
        </w:rPr>
        <w:t>Open Courts Act</w:t>
      </w:r>
      <w:r>
        <w:rPr>
          <w:i/>
          <w:spacing w:val="-7"/>
          <w:sz w:val="24"/>
        </w:rPr>
        <w:t xml:space="preserve"> </w:t>
      </w:r>
      <w:r>
        <w:rPr>
          <w:i/>
          <w:sz w:val="24"/>
        </w:rPr>
        <w:t>2013.</w:t>
      </w:r>
    </w:p>
    <w:p w14:paraId="03FB0C58" w14:textId="77777777" w:rsidR="004C2C28" w:rsidRDefault="004C2C28">
      <w:pPr>
        <w:pStyle w:val="BodyText"/>
        <w:ind w:firstLine="0"/>
        <w:rPr>
          <w:i/>
          <w:sz w:val="28"/>
        </w:rPr>
      </w:pPr>
    </w:p>
    <w:p w14:paraId="03FB0C59" w14:textId="77777777" w:rsidR="004C2C28" w:rsidRDefault="005A4208">
      <w:pPr>
        <w:pStyle w:val="Heading1"/>
        <w:numPr>
          <w:ilvl w:val="0"/>
          <w:numId w:val="1"/>
        </w:numPr>
        <w:tabs>
          <w:tab w:val="left" w:pos="839"/>
          <w:tab w:val="left" w:pos="840"/>
        </w:tabs>
        <w:spacing w:before="202"/>
      </w:pPr>
      <w:r>
        <w:t>COMMENCEMENT</w:t>
      </w:r>
    </w:p>
    <w:p w14:paraId="03FB0C5A" w14:textId="0DAAF20C" w:rsidR="004C2C28" w:rsidRPr="000051DD" w:rsidRDefault="005A4208">
      <w:pPr>
        <w:pStyle w:val="ListParagraph"/>
        <w:numPr>
          <w:ilvl w:val="1"/>
          <w:numId w:val="1"/>
        </w:numPr>
        <w:tabs>
          <w:tab w:val="left" w:pos="840"/>
        </w:tabs>
        <w:spacing w:before="119"/>
        <w:ind w:right="115"/>
        <w:rPr>
          <w:sz w:val="24"/>
        </w:rPr>
      </w:pPr>
      <w:r>
        <w:rPr>
          <w:sz w:val="24"/>
        </w:rPr>
        <w:t xml:space="preserve">This Practice Note was issued and </w:t>
      </w:r>
      <w:r w:rsidR="006F2F67">
        <w:rPr>
          <w:sz w:val="24"/>
        </w:rPr>
        <w:t xml:space="preserve">commences </w:t>
      </w:r>
      <w:r>
        <w:rPr>
          <w:sz w:val="24"/>
        </w:rPr>
        <w:t>on</w:t>
      </w:r>
      <w:r w:rsidR="00014C40">
        <w:rPr>
          <w:spacing w:val="-6"/>
          <w:sz w:val="24"/>
        </w:rPr>
        <w:t xml:space="preserve"> 1 December</w:t>
      </w:r>
      <w:r w:rsidR="00B97BFA">
        <w:rPr>
          <w:spacing w:val="-6"/>
          <w:sz w:val="24"/>
        </w:rPr>
        <w:t xml:space="preserve"> </w:t>
      </w:r>
      <w:r w:rsidR="00A6156E">
        <w:rPr>
          <w:spacing w:val="-6"/>
          <w:sz w:val="24"/>
        </w:rPr>
        <w:t>2025</w:t>
      </w:r>
      <w:r w:rsidR="00014C40">
        <w:rPr>
          <w:spacing w:val="-6"/>
          <w:sz w:val="24"/>
        </w:rPr>
        <w:t xml:space="preserve"> </w:t>
      </w:r>
      <w:r w:rsidRPr="000051DD">
        <w:rPr>
          <w:sz w:val="24"/>
        </w:rPr>
        <w:t>and will apply to all applications filed on or after that</w:t>
      </w:r>
      <w:r w:rsidRPr="000051DD">
        <w:rPr>
          <w:spacing w:val="-22"/>
          <w:sz w:val="24"/>
        </w:rPr>
        <w:t xml:space="preserve"> </w:t>
      </w:r>
      <w:r w:rsidRPr="000051DD">
        <w:rPr>
          <w:sz w:val="24"/>
        </w:rPr>
        <w:t>day.</w:t>
      </w:r>
    </w:p>
    <w:p w14:paraId="03FB0C5B" w14:textId="77777777" w:rsidR="004C2C28" w:rsidRDefault="004C2C28">
      <w:pPr>
        <w:pStyle w:val="BodyText"/>
        <w:ind w:firstLine="0"/>
        <w:rPr>
          <w:sz w:val="28"/>
        </w:rPr>
      </w:pPr>
    </w:p>
    <w:p w14:paraId="03FB0C5C" w14:textId="77777777" w:rsidR="004C2C28" w:rsidRDefault="005A4208">
      <w:pPr>
        <w:pStyle w:val="Heading1"/>
        <w:numPr>
          <w:ilvl w:val="0"/>
          <w:numId w:val="1"/>
        </w:numPr>
        <w:tabs>
          <w:tab w:val="left" w:pos="839"/>
          <w:tab w:val="left" w:pos="840"/>
        </w:tabs>
        <w:spacing w:before="192"/>
      </w:pPr>
      <w:r>
        <w:t>DEFINITIONS</w:t>
      </w:r>
    </w:p>
    <w:p w14:paraId="03FB0C5D" w14:textId="77777777" w:rsidR="004C2C28" w:rsidRDefault="005A4208">
      <w:pPr>
        <w:pStyle w:val="ListParagraph"/>
        <w:numPr>
          <w:ilvl w:val="1"/>
          <w:numId w:val="1"/>
        </w:numPr>
        <w:tabs>
          <w:tab w:val="left" w:pos="839"/>
          <w:tab w:val="left" w:pos="840"/>
        </w:tabs>
        <w:spacing w:before="118" w:line="298" w:lineRule="exact"/>
        <w:rPr>
          <w:sz w:val="24"/>
        </w:rPr>
      </w:pPr>
      <w:r>
        <w:rPr>
          <w:sz w:val="24"/>
        </w:rPr>
        <w:t>In this Practice</w:t>
      </w:r>
      <w:r>
        <w:rPr>
          <w:spacing w:val="-3"/>
          <w:sz w:val="24"/>
        </w:rPr>
        <w:t xml:space="preserve"> </w:t>
      </w:r>
      <w:r>
        <w:rPr>
          <w:sz w:val="24"/>
        </w:rPr>
        <w:t>Note:</w:t>
      </w:r>
    </w:p>
    <w:p w14:paraId="51EC954F" w14:textId="77777777" w:rsidR="00014C40" w:rsidRDefault="00014C40">
      <w:pPr>
        <w:spacing w:line="298" w:lineRule="exact"/>
        <w:ind w:left="840"/>
        <w:rPr>
          <w:b/>
          <w:i/>
          <w:sz w:val="24"/>
        </w:rPr>
      </w:pPr>
    </w:p>
    <w:p w14:paraId="03FB0C5E" w14:textId="1D1BE352" w:rsidR="004C2C28" w:rsidRDefault="005A4208">
      <w:pPr>
        <w:spacing w:line="298" w:lineRule="exact"/>
        <w:ind w:left="840"/>
        <w:rPr>
          <w:i/>
          <w:sz w:val="24"/>
        </w:rPr>
      </w:pPr>
      <w:r>
        <w:rPr>
          <w:b/>
          <w:i/>
          <w:sz w:val="24"/>
        </w:rPr>
        <w:t xml:space="preserve">Act </w:t>
      </w:r>
      <w:r>
        <w:rPr>
          <w:sz w:val="24"/>
        </w:rPr>
        <w:t xml:space="preserve">means the </w:t>
      </w:r>
      <w:r>
        <w:rPr>
          <w:i/>
          <w:sz w:val="24"/>
        </w:rPr>
        <w:t>Open Courts Act 2013</w:t>
      </w:r>
    </w:p>
    <w:p w14:paraId="03FB0C5F" w14:textId="77777777" w:rsidR="004C2C28" w:rsidRDefault="004C2C28">
      <w:pPr>
        <w:pStyle w:val="BodyText"/>
        <w:spacing w:before="9"/>
        <w:ind w:firstLine="0"/>
        <w:rPr>
          <w:i/>
        </w:rPr>
      </w:pPr>
    </w:p>
    <w:p w14:paraId="03FB0C60" w14:textId="77777777" w:rsidR="004C2C28" w:rsidRDefault="005A4208">
      <w:pPr>
        <w:pStyle w:val="ListParagraph"/>
        <w:numPr>
          <w:ilvl w:val="1"/>
          <w:numId w:val="1"/>
        </w:numPr>
        <w:tabs>
          <w:tab w:val="left" w:pos="839"/>
          <w:tab w:val="left" w:pos="840"/>
        </w:tabs>
        <w:rPr>
          <w:sz w:val="24"/>
        </w:rPr>
      </w:pPr>
      <w:r>
        <w:rPr>
          <w:sz w:val="24"/>
        </w:rPr>
        <w:t xml:space="preserve">All terms have the same meaning as in the </w:t>
      </w:r>
      <w:r>
        <w:rPr>
          <w:i/>
          <w:sz w:val="24"/>
        </w:rPr>
        <w:t>Open Courts Act</w:t>
      </w:r>
      <w:r>
        <w:rPr>
          <w:i/>
          <w:spacing w:val="-12"/>
          <w:sz w:val="24"/>
        </w:rPr>
        <w:t xml:space="preserve"> </w:t>
      </w:r>
      <w:r>
        <w:rPr>
          <w:i/>
          <w:sz w:val="24"/>
        </w:rPr>
        <w:t>2013</w:t>
      </w:r>
      <w:r>
        <w:rPr>
          <w:sz w:val="24"/>
        </w:rPr>
        <w:t>.</w:t>
      </w:r>
    </w:p>
    <w:p w14:paraId="03FB0C61" w14:textId="77777777" w:rsidR="004C2C28" w:rsidRDefault="004C2C28">
      <w:pPr>
        <w:pStyle w:val="BodyText"/>
        <w:ind w:firstLine="0"/>
        <w:rPr>
          <w:sz w:val="28"/>
        </w:rPr>
      </w:pPr>
    </w:p>
    <w:p w14:paraId="03FB0C62" w14:textId="77777777" w:rsidR="004C2C28" w:rsidRDefault="005A4208">
      <w:pPr>
        <w:pStyle w:val="ListParagraph"/>
        <w:numPr>
          <w:ilvl w:val="0"/>
          <w:numId w:val="1"/>
        </w:numPr>
        <w:tabs>
          <w:tab w:val="left" w:pos="839"/>
          <w:tab w:val="left" w:pos="840"/>
        </w:tabs>
        <w:spacing w:before="191"/>
        <w:rPr>
          <w:b/>
          <w:i/>
          <w:sz w:val="24"/>
        </w:rPr>
      </w:pPr>
      <w:r>
        <w:rPr>
          <w:b/>
          <w:sz w:val="24"/>
        </w:rPr>
        <w:t xml:space="preserve">NOTICES UNDER THE </w:t>
      </w:r>
      <w:r>
        <w:rPr>
          <w:b/>
          <w:i/>
          <w:sz w:val="24"/>
        </w:rPr>
        <w:t>OPEN COURTS ACT</w:t>
      </w:r>
      <w:r>
        <w:rPr>
          <w:b/>
          <w:i/>
          <w:spacing w:val="-7"/>
          <w:sz w:val="24"/>
        </w:rPr>
        <w:t xml:space="preserve"> </w:t>
      </w:r>
      <w:r>
        <w:rPr>
          <w:b/>
          <w:i/>
          <w:sz w:val="24"/>
        </w:rPr>
        <w:t>2013</w:t>
      </w:r>
    </w:p>
    <w:p w14:paraId="03FB0C63" w14:textId="4A1956F6" w:rsidR="004C2C28" w:rsidRDefault="005A4208">
      <w:pPr>
        <w:pStyle w:val="ListParagraph"/>
        <w:numPr>
          <w:ilvl w:val="1"/>
          <w:numId w:val="1"/>
        </w:numPr>
        <w:tabs>
          <w:tab w:val="left" w:pos="891"/>
        </w:tabs>
        <w:spacing w:before="120"/>
        <w:ind w:left="839" w:right="116"/>
        <w:rPr>
          <w:sz w:val="24"/>
        </w:rPr>
      </w:pPr>
      <w:r>
        <w:rPr>
          <w:sz w:val="24"/>
        </w:rPr>
        <w:t xml:space="preserve">Section 10 of the </w:t>
      </w:r>
      <w:r>
        <w:rPr>
          <w:i/>
          <w:sz w:val="24"/>
        </w:rPr>
        <w:t xml:space="preserve">Open Courts Act 2013 </w:t>
      </w:r>
      <w:r>
        <w:rPr>
          <w:sz w:val="24"/>
        </w:rPr>
        <w:t>provides that an applicant for a suppression order is required to give three business days’ notice of the making of the application to the court or tribunal in which the application is to be</w:t>
      </w:r>
      <w:r>
        <w:rPr>
          <w:spacing w:val="-4"/>
          <w:sz w:val="24"/>
        </w:rPr>
        <w:t xml:space="preserve"> </w:t>
      </w:r>
      <w:r>
        <w:rPr>
          <w:sz w:val="24"/>
        </w:rPr>
        <w:t>made.</w:t>
      </w:r>
    </w:p>
    <w:p w14:paraId="03FB0C64" w14:textId="75FF8690" w:rsidR="004C2C28" w:rsidRDefault="00E643B5">
      <w:pPr>
        <w:pStyle w:val="ListParagraph"/>
        <w:numPr>
          <w:ilvl w:val="1"/>
          <w:numId w:val="1"/>
        </w:numPr>
        <w:tabs>
          <w:tab w:val="left" w:pos="840"/>
        </w:tabs>
        <w:ind w:left="839" w:right="115"/>
        <w:rPr>
          <w:sz w:val="24"/>
        </w:rPr>
      </w:pPr>
      <w:r w:rsidRPr="00145CBC">
        <w:rPr>
          <w:sz w:val="24"/>
        </w:rPr>
        <w:t xml:space="preserve">Rule 82.02(1) of </w:t>
      </w:r>
      <w:r w:rsidR="000A4AAC">
        <w:rPr>
          <w:sz w:val="24"/>
        </w:rPr>
        <w:t xml:space="preserve">Chapter I of the Rules </w:t>
      </w:r>
      <w:r w:rsidRPr="00145CBC">
        <w:rPr>
          <w:sz w:val="24"/>
        </w:rPr>
        <w:t>provides</w:t>
      </w:r>
      <w:r w:rsidR="005A4208" w:rsidRPr="00145CBC">
        <w:rPr>
          <w:spacing w:val="-10"/>
          <w:sz w:val="24"/>
        </w:rPr>
        <w:t xml:space="preserve"> </w:t>
      </w:r>
      <w:r w:rsidR="005A4208" w:rsidRPr="00145CBC">
        <w:rPr>
          <w:sz w:val="24"/>
        </w:rPr>
        <w:t>that,</w:t>
      </w:r>
      <w:r w:rsidR="005A4208" w:rsidRPr="00145CBC">
        <w:rPr>
          <w:spacing w:val="-10"/>
          <w:sz w:val="24"/>
        </w:rPr>
        <w:t xml:space="preserve"> </w:t>
      </w:r>
      <w:r w:rsidR="005A4208" w:rsidRPr="00145CBC">
        <w:rPr>
          <w:sz w:val="24"/>
        </w:rPr>
        <w:t>in</w:t>
      </w:r>
      <w:r w:rsidR="005A4208" w:rsidRPr="00145CBC">
        <w:rPr>
          <w:spacing w:val="-10"/>
          <w:sz w:val="24"/>
        </w:rPr>
        <w:t xml:space="preserve"> </w:t>
      </w:r>
      <w:r w:rsidR="005A4208" w:rsidRPr="00145CBC">
        <w:rPr>
          <w:sz w:val="24"/>
        </w:rPr>
        <w:t>a</w:t>
      </w:r>
      <w:r w:rsidR="005A4208" w:rsidRPr="00145CBC">
        <w:rPr>
          <w:spacing w:val="-10"/>
          <w:sz w:val="24"/>
        </w:rPr>
        <w:t xml:space="preserve"> </w:t>
      </w:r>
      <w:r w:rsidR="005A4208" w:rsidRPr="00145CBC">
        <w:rPr>
          <w:sz w:val="24"/>
        </w:rPr>
        <w:t>civil</w:t>
      </w:r>
      <w:r w:rsidR="005A4208" w:rsidRPr="00145CBC">
        <w:rPr>
          <w:spacing w:val="-10"/>
          <w:sz w:val="24"/>
        </w:rPr>
        <w:t xml:space="preserve"> </w:t>
      </w:r>
      <w:r w:rsidR="005A4208" w:rsidRPr="00145CBC">
        <w:rPr>
          <w:sz w:val="24"/>
        </w:rPr>
        <w:t>proceeding,</w:t>
      </w:r>
      <w:r w:rsidR="005A4208" w:rsidRPr="00145CBC">
        <w:rPr>
          <w:spacing w:val="-10"/>
          <w:sz w:val="24"/>
        </w:rPr>
        <w:t xml:space="preserve"> </w:t>
      </w:r>
      <w:r w:rsidR="005A4208" w:rsidRPr="00145CBC">
        <w:rPr>
          <w:sz w:val="24"/>
        </w:rPr>
        <w:t>a</w:t>
      </w:r>
      <w:r w:rsidR="005A4208" w:rsidRPr="00145CBC">
        <w:rPr>
          <w:spacing w:val="-11"/>
          <w:sz w:val="24"/>
        </w:rPr>
        <w:t xml:space="preserve"> </w:t>
      </w:r>
      <w:r w:rsidR="005A4208" w:rsidRPr="00145CBC">
        <w:rPr>
          <w:sz w:val="24"/>
        </w:rPr>
        <w:t>notice</w:t>
      </w:r>
      <w:r w:rsidR="005A4208" w:rsidRPr="00145CBC">
        <w:rPr>
          <w:spacing w:val="-10"/>
          <w:sz w:val="24"/>
        </w:rPr>
        <w:t xml:space="preserve"> </w:t>
      </w:r>
      <w:r w:rsidR="005A4208" w:rsidRPr="00145CBC">
        <w:rPr>
          <w:sz w:val="24"/>
        </w:rPr>
        <w:t>under</w:t>
      </w:r>
      <w:r w:rsidR="005A4208" w:rsidRPr="00145CBC">
        <w:rPr>
          <w:spacing w:val="-10"/>
          <w:sz w:val="24"/>
        </w:rPr>
        <w:t xml:space="preserve"> </w:t>
      </w:r>
      <w:r w:rsidR="005A4208" w:rsidRPr="00145CBC">
        <w:rPr>
          <w:sz w:val="24"/>
        </w:rPr>
        <w:t>section</w:t>
      </w:r>
      <w:r w:rsidR="005A4208" w:rsidRPr="00145CBC">
        <w:rPr>
          <w:spacing w:val="-10"/>
          <w:sz w:val="24"/>
        </w:rPr>
        <w:t xml:space="preserve"> </w:t>
      </w:r>
      <w:r w:rsidR="005A4208" w:rsidRPr="00145CBC">
        <w:rPr>
          <w:sz w:val="24"/>
        </w:rPr>
        <w:t>10 of the Act must be generally in accordance with a prescribed form (Form 82A)</w:t>
      </w:r>
      <w:r w:rsidRPr="00145CBC">
        <w:rPr>
          <w:sz w:val="24"/>
        </w:rPr>
        <w:t xml:space="preserve">.  Rule 16.02(1) of </w:t>
      </w:r>
      <w:r w:rsidR="00C34CC7">
        <w:rPr>
          <w:sz w:val="24"/>
        </w:rPr>
        <w:t>Chapter VI of the Rules</w:t>
      </w:r>
      <w:r w:rsidRPr="00145CBC">
        <w:rPr>
          <w:sz w:val="24"/>
        </w:rPr>
        <w:t xml:space="preserve"> </w:t>
      </w:r>
      <w:r w:rsidR="00835285" w:rsidRPr="00145CBC">
        <w:rPr>
          <w:sz w:val="24"/>
        </w:rPr>
        <w:t xml:space="preserve">provides that, </w:t>
      </w:r>
      <w:r w:rsidR="005A4208" w:rsidRPr="00145CBC">
        <w:rPr>
          <w:sz w:val="24"/>
        </w:rPr>
        <w:t>in a criminal proceeding, such a notice must be generally</w:t>
      </w:r>
      <w:r w:rsidR="005A4208">
        <w:rPr>
          <w:sz w:val="24"/>
        </w:rPr>
        <w:t xml:space="preserve"> in accordance with a similar prescribed form (Form</w:t>
      </w:r>
      <w:r w:rsidR="005A4208">
        <w:rPr>
          <w:spacing w:val="-9"/>
          <w:sz w:val="24"/>
        </w:rPr>
        <w:t xml:space="preserve"> </w:t>
      </w:r>
      <w:r w:rsidR="005A4208">
        <w:rPr>
          <w:sz w:val="24"/>
        </w:rPr>
        <w:t>6</w:t>
      </w:r>
      <w:r w:rsidR="00FA7300">
        <w:rPr>
          <w:sz w:val="24"/>
        </w:rPr>
        <w:t>–</w:t>
      </w:r>
      <w:r w:rsidR="005A4208">
        <w:rPr>
          <w:sz w:val="24"/>
        </w:rPr>
        <w:t>16A).</w:t>
      </w:r>
    </w:p>
    <w:p w14:paraId="03FB0C65" w14:textId="7B83751C" w:rsidR="004C2C28" w:rsidRDefault="005A4208">
      <w:pPr>
        <w:pStyle w:val="ListParagraph"/>
        <w:numPr>
          <w:ilvl w:val="1"/>
          <w:numId w:val="1"/>
        </w:numPr>
        <w:tabs>
          <w:tab w:val="left" w:pos="840"/>
        </w:tabs>
        <w:ind w:left="839" w:right="115"/>
        <w:rPr>
          <w:sz w:val="24"/>
        </w:rPr>
      </w:pPr>
      <w:r>
        <w:rPr>
          <w:sz w:val="24"/>
        </w:rPr>
        <w:t>The</w:t>
      </w:r>
      <w:r>
        <w:rPr>
          <w:spacing w:val="-12"/>
          <w:sz w:val="24"/>
        </w:rPr>
        <w:t xml:space="preserve"> </w:t>
      </w:r>
      <w:r>
        <w:rPr>
          <w:sz w:val="24"/>
        </w:rPr>
        <w:t>Form</w:t>
      </w:r>
      <w:r>
        <w:rPr>
          <w:spacing w:val="-12"/>
          <w:sz w:val="24"/>
        </w:rPr>
        <w:t xml:space="preserve"> </w:t>
      </w:r>
      <w:r>
        <w:rPr>
          <w:sz w:val="24"/>
        </w:rPr>
        <w:t>82A</w:t>
      </w:r>
      <w:r>
        <w:rPr>
          <w:spacing w:val="-11"/>
          <w:sz w:val="24"/>
        </w:rPr>
        <w:t xml:space="preserve"> </w:t>
      </w:r>
      <w:r>
        <w:rPr>
          <w:sz w:val="24"/>
        </w:rPr>
        <w:t>notice</w:t>
      </w:r>
      <w:r>
        <w:rPr>
          <w:spacing w:val="-12"/>
          <w:sz w:val="24"/>
        </w:rPr>
        <w:t xml:space="preserve"> </w:t>
      </w:r>
      <w:r>
        <w:rPr>
          <w:sz w:val="24"/>
        </w:rPr>
        <w:t>or</w:t>
      </w:r>
      <w:r>
        <w:rPr>
          <w:spacing w:val="-12"/>
          <w:sz w:val="24"/>
        </w:rPr>
        <w:t xml:space="preserve"> </w:t>
      </w:r>
      <w:r>
        <w:rPr>
          <w:sz w:val="24"/>
        </w:rPr>
        <w:t>the</w:t>
      </w:r>
      <w:r>
        <w:rPr>
          <w:spacing w:val="-11"/>
          <w:sz w:val="24"/>
        </w:rPr>
        <w:t xml:space="preserve"> </w:t>
      </w:r>
      <w:r>
        <w:rPr>
          <w:sz w:val="24"/>
        </w:rPr>
        <w:t>Form</w:t>
      </w:r>
      <w:r>
        <w:rPr>
          <w:spacing w:val="-12"/>
          <w:sz w:val="24"/>
        </w:rPr>
        <w:t xml:space="preserve"> </w:t>
      </w:r>
      <w:r>
        <w:rPr>
          <w:sz w:val="24"/>
        </w:rPr>
        <w:t>6</w:t>
      </w:r>
      <w:r w:rsidR="00FA7300">
        <w:rPr>
          <w:sz w:val="24"/>
        </w:rPr>
        <w:t>–</w:t>
      </w:r>
      <w:r>
        <w:rPr>
          <w:sz w:val="24"/>
        </w:rPr>
        <w:t>16A</w:t>
      </w:r>
      <w:r>
        <w:rPr>
          <w:spacing w:val="-12"/>
          <w:sz w:val="24"/>
        </w:rPr>
        <w:t xml:space="preserve"> </w:t>
      </w:r>
      <w:r>
        <w:rPr>
          <w:sz w:val="24"/>
        </w:rPr>
        <w:t>notice</w:t>
      </w:r>
      <w:r>
        <w:rPr>
          <w:spacing w:val="-11"/>
          <w:sz w:val="24"/>
        </w:rPr>
        <w:t xml:space="preserve"> </w:t>
      </w:r>
      <w:r>
        <w:rPr>
          <w:sz w:val="24"/>
        </w:rPr>
        <w:t>(as</w:t>
      </w:r>
      <w:r>
        <w:rPr>
          <w:spacing w:val="-12"/>
          <w:sz w:val="24"/>
        </w:rPr>
        <w:t xml:space="preserve"> </w:t>
      </w:r>
      <w:r>
        <w:rPr>
          <w:sz w:val="24"/>
        </w:rPr>
        <w:t>the</w:t>
      </w:r>
      <w:r>
        <w:rPr>
          <w:spacing w:val="-12"/>
          <w:sz w:val="24"/>
        </w:rPr>
        <w:t xml:space="preserve"> </w:t>
      </w:r>
      <w:r>
        <w:rPr>
          <w:sz w:val="24"/>
        </w:rPr>
        <w:t>case</w:t>
      </w:r>
      <w:r>
        <w:rPr>
          <w:spacing w:val="-11"/>
          <w:sz w:val="24"/>
        </w:rPr>
        <w:t xml:space="preserve"> </w:t>
      </w:r>
      <w:r>
        <w:rPr>
          <w:sz w:val="24"/>
        </w:rPr>
        <w:t>may</w:t>
      </w:r>
      <w:r>
        <w:rPr>
          <w:spacing w:val="-12"/>
          <w:sz w:val="24"/>
        </w:rPr>
        <w:t xml:space="preserve"> </w:t>
      </w:r>
      <w:r>
        <w:rPr>
          <w:sz w:val="24"/>
        </w:rPr>
        <w:t>be)</w:t>
      </w:r>
      <w:r>
        <w:rPr>
          <w:spacing w:val="-12"/>
          <w:sz w:val="24"/>
        </w:rPr>
        <w:t xml:space="preserve"> </w:t>
      </w:r>
      <w:r>
        <w:rPr>
          <w:sz w:val="24"/>
        </w:rPr>
        <w:t>are</w:t>
      </w:r>
      <w:r>
        <w:rPr>
          <w:spacing w:val="-11"/>
          <w:sz w:val="24"/>
        </w:rPr>
        <w:t xml:space="preserve"> </w:t>
      </w:r>
      <w:r>
        <w:rPr>
          <w:sz w:val="24"/>
        </w:rPr>
        <w:t>required to be emailed to the Court at</w:t>
      </w:r>
      <w:r>
        <w:rPr>
          <w:color w:val="0000FF"/>
          <w:sz w:val="24"/>
        </w:rPr>
        <w:t xml:space="preserve"> </w:t>
      </w:r>
      <w:hyperlink r:id="rId12" w:history="1">
        <w:r w:rsidR="00E1558F" w:rsidRPr="00B0177F">
          <w:rPr>
            <w:rStyle w:val="Hyperlink"/>
            <w:sz w:val="24"/>
          </w:rPr>
          <w:t>media@supcourt.vic.gov.au</w:t>
        </w:r>
        <w:r w:rsidR="00E1558F" w:rsidRPr="00E1558F">
          <w:rPr>
            <w:rStyle w:val="Hyperlink"/>
            <w:sz w:val="24"/>
          </w:rPr>
          <w:t>.</w:t>
        </w:r>
      </w:hyperlink>
      <w:r>
        <w:rPr>
          <w:sz w:val="24"/>
        </w:rPr>
        <w:t xml:space="preserve"> The form should be sent as an attachment to an email with the subject “</w:t>
      </w:r>
      <w:r w:rsidR="00FA7300">
        <w:rPr>
          <w:sz w:val="24"/>
        </w:rPr>
        <w:t>Notice of a</w:t>
      </w:r>
      <w:r>
        <w:rPr>
          <w:sz w:val="24"/>
        </w:rPr>
        <w:t xml:space="preserve">pplication for suppression order under Open Courts Act”. The contents of the attachment </w:t>
      </w:r>
      <w:r>
        <w:rPr>
          <w:sz w:val="24"/>
        </w:rPr>
        <w:lastRenderedPageBreak/>
        <w:t>should be copied and pasted into the body of the</w:t>
      </w:r>
      <w:r>
        <w:rPr>
          <w:spacing w:val="-15"/>
          <w:sz w:val="24"/>
        </w:rPr>
        <w:t xml:space="preserve"> </w:t>
      </w:r>
      <w:r>
        <w:rPr>
          <w:sz w:val="24"/>
        </w:rPr>
        <w:t>email.</w:t>
      </w:r>
      <w:r w:rsidR="0014612C">
        <w:rPr>
          <w:sz w:val="24"/>
        </w:rPr>
        <w:t xml:space="preserve"> </w:t>
      </w:r>
      <w:r w:rsidR="00D82639">
        <w:rPr>
          <w:sz w:val="24"/>
        </w:rPr>
        <w:t>The email can be copied to</w:t>
      </w:r>
      <w:r w:rsidR="0014612C">
        <w:rPr>
          <w:sz w:val="24"/>
        </w:rPr>
        <w:t xml:space="preserve"> the relevant chambers (if known).</w:t>
      </w:r>
      <w:r w:rsidR="00D82639">
        <w:rPr>
          <w:sz w:val="24"/>
        </w:rPr>
        <w:t xml:space="preserve"> Other documents relating to the application do not need to be emailed to the media@supcourt.vic.gov.au address. </w:t>
      </w:r>
    </w:p>
    <w:p w14:paraId="086C19E9" w14:textId="3162C349" w:rsidR="008B731D" w:rsidRDefault="008B731D" w:rsidP="008B731D">
      <w:pPr>
        <w:pStyle w:val="ListParagraph"/>
        <w:numPr>
          <w:ilvl w:val="1"/>
          <w:numId w:val="1"/>
        </w:numPr>
        <w:tabs>
          <w:tab w:val="left" w:pos="840"/>
        </w:tabs>
        <w:ind w:left="839" w:right="115"/>
        <w:rPr>
          <w:sz w:val="24"/>
        </w:rPr>
      </w:pPr>
      <w:r>
        <w:rPr>
          <w:sz w:val="24"/>
        </w:rPr>
        <w:t>The</w:t>
      </w:r>
      <w:r>
        <w:rPr>
          <w:spacing w:val="-11"/>
          <w:sz w:val="24"/>
        </w:rPr>
        <w:t xml:space="preserve"> </w:t>
      </w:r>
      <w:r>
        <w:rPr>
          <w:sz w:val="24"/>
        </w:rPr>
        <w:t>Rules</w:t>
      </w:r>
      <w:r>
        <w:rPr>
          <w:spacing w:val="-10"/>
          <w:sz w:val="24"/>
        </w:rPr>
        <w:t xml:space="preserve"> </w:t>
      </w:r>
      <w:r>
        <w:rPr>
          <w:sz w:val="24"/>
        </w:rPr>
        <w:t>also</w:t>
      </w:r>
      <w:r>
        <w:rPr>
          <w:spacing w:val="-10"/>
          <w:sz w:val="24"/>
        </w:rPr>
        <w:t xml:space="preserve"> </w:t>
      </w:r>
      <w:r>
        <w:rPr>
          <w:sz w:val="24"/>
        </w:rPr>
        <w:t>require</w:t>
      </w:r>
      <w:r>
        <w:rPr>
          <w:spacing w:val="-11"/>
          <w:sz w:val="24"/>
        </w:rPr>
        <w:t xml:space="preserve"> </w:t>
      </w:r>
      <w:r>
        <w:rPr>
          <w:sz w:val="24"/>
        </w:rPr>
        <w:t>that</w:t>
      </w:r>
      <w:r>
        <w:rPr>
          <w:spacing w:val="-10"/>
          <w:sz w:val="24"/>
        </w:rPr>
        <w:t xml:space="preserve"> </w:t>
      </w:r>
      <w:r>
        <w:rPr>
          <w:sz w:val="24"/>
        </w:rPr>
        <w:t>a</w:t>
      </w:r>
      <w:r>
        <w:rPr>
          <w:spacing w:val="-10"/>
          <w:sz w:val="24"/>
        </w:rPr>
        <w:t xml:space="preserve"> </w:t>
      </w:r>
      <w:r>
        <w:rPr>
          <w:sz w:val="24"/>
        </w:rPr>
        <w:t>copy</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notice</w:t>
      </w:r>
      <w:r>
        <w:rPr>
          <w:spacing w:val="-10"/>
          <w:sz w:val="24"/>
        </w:rPr>
        <w:t xml:space="preserve"> </w:t>
      </w:r>
      <w:r>
        <w:rPr>
          <w:sz w:val="24"/>
        </w:rPr>
        <w:t>be</w:t>
      </w:r>
      <w:r>
        <w:rPr>
          <w:spacing w:val="-11"/>
          <w:sz w:val="24"/>
        </w:rPr>
        <w:t xml:space="preserve"> </w:t>
      </w:r>
      <w:r>
        <w:rPr>
          <w:sz w:val="24"/>
        </w:rPr>
        <w:t>filed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applicant</w:t>
      </w:r>
      <w:r>
        <w:rPr>
          <w:spacing w:val="-11"/>
          <w:sz w:val="24"/>
        </w:rPr>
        <w:t xml:space="preserve"> </w:t>
      </w:r>
      <w:r>
        <w:rPr>
          <w:sz w:val="24"/>
        </w:rPr>
        <w:t>as</w:t>
      </w:r>
      <w:r>
        <w:rPr>
          <w:spacing w:val="-10"/>
          <w:sz w:val="24"/>
        </w:rPr>
        <w:t xml:space="preserve"> </w:t>
      </w:r>
      <w:r>
        <w:rPr>
          <w:sz w:val="24"/>
        </w:rPr>
        <w:t>soon as practicable after the notice has been emailed to the</w:t>
      </w:r>
      <w:r>
        <w:rPr>
          <w:spacing w:val="-8"/>
          <w:sz w:val="24"/>
        </w:rPr>
        <w:t xml:space="preserve"> </w:t>
      </w:r>
      <w:r>
        <w:rPr>
          <w:sz w:val="24"/>
        </w:rPr>
        <w:t>Court.</w:t>
      </w:r>
    </w:p>
    <w:p w14:paraId="12C2CA5F" w14:textId="31B35C95" w:rsidR="00DD5132" w:rsidRDefault="00DD5132" w:rsidP="008B731D">
      <w:pPr>
        <w:pStyle w:val="ListParagraph"/>
        <w:numPr>
          <w:ilvl w:val="1"/>
          <w:numId w:val="1"/>
        </w:numPr>
        <w:tabs>
          <w:tab w:val="left" w:pos="840"/>
        </w:tabs>
        <w:ind w:left="839" w:right="115"/>
        <w:rPr>
          <w:sz w:val="24"/>
        </w:rPr>
      </w:pPr>
      <w:r>
        <w:rPr>
          <w:sz w:val="24"/>
        </w:rPr>
        <w:t>The Form 8</w:t>
      </w:r>
      <w:r w:rsidRPr="00145CBC">
        <w:rPr>
          <w:sz w:val="24"/>
        </w:rPr>
        <w:t>2</w:t>
      </w:r>
      <w:r w:rsidR="00835285" w:rsidRPr="00145CBC">
        <w:rPr>
          <w:sz w:val="24"/>
        </w:rPr>
        <w:t>A</w:t>
      </w:r>
      <w:r>
        <w:rPr>
          <w:sz w:val="24"/>
        </w:rPr>
        <w:t xml:space="preserve"> notice or the Form 6–16A notice does not constitute </w:t>
      </w:r>
      <w:r w:rsidR="009B38E2">
        <w:rPr>
          <w:sz w:val="24"/>
        </w:rPr>
        <w:t>the</w:t>
      </w:r>
      <w:r>
        <w:rPr>
          <w:sz w:val="24"/>
        </w:rPr>
        <w:t xml:space="preserve"> application for a suppression order. The application is a separate document that must be filed with the Court, as discussed below.</w:t>
      </w:r>
    </w:p>
    <w:p w14:paraId="03FB0C68" w14:textId="77777777" w:rsidR="004C2C28" w:rsidRDefault="004C2C28">
      <w:pPr>
        <w:pStyle w:val="BodyText"/>
        <w:spacing w:before="9"/>
        <w:ind w:firstLine="0"/>
        <w:rPr>
          <w:sz w:val="33"/>
        </w:rPr>
      </w:pPr>
    </w:p>
    <w:p w14:paraId="03FB0C69" w14:textId="77777777" w:rsidR="004C2C28" w:rsidRDefault="005A4208">
      <w:pPr>
        <w:pStyle w:val="Heading1"/>
        <w:numPr>
          <w:ilvl w:val="0"/>
          <w:numId w:val="1"/>
        </w:numPr>
        <w:tabs>
          <w:tab w:val="left" w:pos="839"/>
          <w:tab w:val="left" w:pos="840"/>
        </w:tabs>
        <w:ind w:hanging="721"/>
      </w:pPr>
      <w:r>
        <w:t>FORM OF</w:t>
      </w:r>
      <w:r>
        <w:rPr>
          <w:spacing w:val="-3"/>
        </w:rPr>
        <w:t xml:space="preserve"> </w:t>
      </w:r>
      <w:r>
        <w:t>APPLICATION</w:t>
      </w:r>
    </w:p>
    <w:p w14:paraId="03FB0C6A" w14:textId="37F157DA" w:rsidR="004C2C28" w:rsidRPr="00145CBC" w:rsidRDefault="005A4208">
      <w:pPr>
        <w:pStyle w:val="ListParagraph"/>
        <w:numPr>
          <w:ilvl w:val="1"/>
          <w:numId w:val="1"/>
        </w:numPr>
        <w:tabs>
          <w:tab w:val="left" w:pos="840"/>
        </w:tabs>
        <w:spacing w:before="119"/>
        <w:ind w:left="839" w:right="112"/>
        <w:rPr>
          <w:sz w:val="24"/>
        </w:rPr>
      </w:pPr>
      <w:r w:rsidRPr="00145CBC">
        <w:rPr>
          <w:sz w:val="24"/>
        </w:rPr>
        <w:t>The</w:t>
      </w:r>
      <w:r w:rsidRPr="00145CBC">
        <w:rPr>
          <w:spacing w:val="-15"/>
          <w:sz w:val="24"/>
        </w:rPr>
        <w:t xml:space="preserve"> </w:t>
      </w:r>
      <w:r w:rsidR="00835285" w:rsidRPr="00145CBC">
        <w:rPr>
          <w:spacing w:val="-15"/>
          <w:sz w:val="24"/>
        </w:rPr>
        <w:t xml:space="preserve">relevant </w:t>
      </w:r>
      <w:r w:rsidRPr="00145CBC">
        <w:rPr>
          <w:sz w:val="24"/>
        </w:rPr>
        <w:t>Rules</w:t>
      </w:r>
      <w:r>
        <w:rPr>
          <w:spacing w:val="-15"/>
          <w:sz w:val="24"/>
        </w:rPr>
        <w:t xml:space="preserve"> </w:t>
      </w:r>
      <w:r>
        <w:rPr>
          <w:sz w:val="24"/>
        </w:rPr>
        <w:t>of</w:t>
      </w:r>
      <w:r>
        <w:rPr>
          <w:spacing w:val="-15"/>
          <w:sz w:val="24"/>
        </w:rPr>
        <w:t xml:space="preserve"> </w:t>
      </w:r>
      <w:r>
        <w:rPr>
          <w:sz w:val="24"/>
        </w:rPr>
        <w:t>Court</w:t>
      </w:r>
      <w:r>
        <w:rPr>
          <w:spacing w:val="-15"/>
          <w:sz w:val="24"/>
        </w:rPr>
        <w:t xml:space="preserve"> </w:t>
      </w:r>
      <w:r>
        <w:rPr>
          <w:sz w:val="24"/>
        </w:rPr>
        <w:t>and</w:t>
      </w:r>
      <w:r>
        <w:rPr>
          <w:spacing w:val="-14"/>
          <w:sz w:val="24"/>
        </w:rPr>
        <w:t xml:space="preserve"> </w:t>
      </w:r>
      <w:r>
        <w:rPr>
          <w:sz w:val="24"/>
        </w:rPr>
        <w:t>this</w:t>
      </w:r>
      <w:r>
        <w:rPr>
          <w:spacing w:val="-15"/>
          <w:sz w:val="24"/>
        </w:rPr>
        <w:t xml:space="preserve"> </w:t>
      </w:r>
      <w:r>
        <w:rPr>
          <w:sz w:val="24"/>
        </w:rPr>
        <w:t>Practice</w:t>
      </w:r>
      <w:r>
        <w:rPr>
          <w:spacing w:val="-14"/>
          <w:sz w:val="24"/>
        </w:rPr>
        <w:t xml:space="preserve"> </w:t>
      </w:r>
      <w:r>
        <w:rPr>
          <w:sz w:val="24"/>
        </w:rPr>
        <w:t>Note</w:t>
      </w:r>
      <w:r>
        <w:rPr>
          <w:spacing w:val="-14"/>
          <w:sz w:val="24"/>
        </w:rPr>
        <w:t xml:space="preserve"> </w:t>
      </w:r>
      <w:r>
        <w:rPr>
          <w:sz w:val="24"/>
        </w:rPr>
        <w:t>proceed</w:t>
      </w:r>
      <w:r>
        <w:rPr>
          <w:spacing w:val="-14"/>
          <w:sz w:val="24"/>
        </w:rPr>
        <w:t xml:space="preserve"> </w:t>
      </w:r>
      <w:r>
        <w:rPr>
          <w:sz w:val="24"/>
        </w:rPr>
        <w:t>on</w:t>
      </w:r>
      <w:r>
        <w:rPr>
          <w:spacing w:val="-14"/>
          <w:sz w:val="24"/>
        </w:rPr>
        <w:t xml:space="preserve"> </w:t>
      </w:r>
      <w:r>
        <w:rPr>
          <w:sz w:val="24"/>
        </w:rPr>
        <w:t>the</w:t>
      </w:r>
      <w:r>
        <w:rPr>
          <w:spacing w:val="-15"/>
          <w:sz w:val="24"/>
        </w:rPr>
        <w:t xml:space="preserve"> </w:t>
      </w:r>
      <w:r>
        <w:rPr>
          <w:sz w:val="24"/>
        </w:rPr>
        <w:t>basis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Act</w:t>
      </w:r>
      <w:r>
        <w:rPr>
          <w:spacing w:val="-14"/>
          <w:sz w:val="24"/>
        </w:rPr>
        <w:t xml:space="preserve"> </w:t>
      </w:r>
      <w:r>
        <w:rPr>
          <w:sz w:val="24"/>
        </w:rPr>
        <w:t xml:space="preserve">adds to, but does not displace or make redundant, any of the existing Rules or requirements of the Court as to the manner in which applications (especially interlocutory applications) may be made, or must be made, to </w:t>
      </w:r>
      <w:proofErr w:type="gramStart"/>
      <w:r>
        <w:rPr>
          <w:sz w:val="24"/>
        </w:rPr>
        <w:t>the</w:t>
      </w:r>
      <w:r>
        <w:rPr>
          <w:spacing w:val="-36"/>
          <w:sz w:val="24"/>
        </w:rPr>
        <w:t xml:space="preserve"> </w:t>
      </w:r>
      <w:r w:rsidR="00F020BE">
        <w:rPr>
          <w:spacing w:val="-36"/>
          <w:sz w:val="24"/>
        </w:rPr>
        <w:t xml:space="preserve"> </w:t>
      </w:r>
      <w:r>
        <w:rPr>
          <w:sz w:val="24"/>
        </w:rPr>
        <w:t>Court</w:t>
      </w:r>
      <w:proofErr w:type="gramEnd"/>
      <w:r>
        <w:rPr>
          <w:sz w:val="24"/>
        </w:rPr>
        <w:t>. Thus, in relation to civil proceedings, Rule 46.02(1) of Chapter I of the Rules requires that</w:t>
      </w:r>
      <w:r>
        <w:rPr>
          <w:spacing w:val="-12"/>
          <w:sz w:val="24"/>
        </w:rPr>
        <w:t xml:space="preserve"> </w:t>
      </w:r>
      <w:r>
        <w:rPr>
          <w:sz w:val="24"/>
        </w:rPr>
        <w:t>an</w:t>
      </w:r>
      <w:r>
        <w:rPr>
          <w:spacing w:val="-11"/>
          <w:sz w:val="24"/>
        </w:rPr>
        <w:t xml:space="preserve"> </w:t>
      </w:r>
      <w:r>
        <w:rPr>
          <w:sz w:val="24"/>
        </w:rPr>
        <w:t>interlocutory</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application</w:t>
      </w:r>
      <w:r>
        <w:rPr>
          <w:spacing w:val="-11"/>
          <w:sz w:val="24"/>
        </w:rPr>
        <w:t xml:space="preserve"> </w:t>
      </w:r>
      <w:r>
        <w:rPr>
          <w:sz w:val="24"/>
        </w:rPr>
        <w:t>made</w:t>
      </w:r>
      <w:r>
        <w:rPr>
          <w:spacing w:val="-11"/>
          <w:sz w:val="24"/>
        </w:rPr>
        <w:t xml:space="preserve"> </w:t>
      </w:r>
      <w:r>
        <w:rPr>
          <w:sz w:val="24"/>
        </w:rPr>
        <w:t>on</w:t>
      </w:r>
      <w:r>
        <w:rPr>
          <w:spacing w:val="-12"/>
          <w:sz w:val="24"/>
        </w:rPr>
        <w:t xml:space="preserve"> </w:t>
      </w:r>
      <w:r>
        <w:rPr>
          <w:sz w:val="24"/>
        </w:rPr>
        <w:t>notice</w:t>
      </w:r>
      <w:r>
        <w:rPr>
          <w:spacing w:val="-10"/>
          <w:sz w:val="24"/>
        </w:rPr>
        <w:t xml:space="preserve"> </w:t>
      </w:r>
      <w:r>
        <w:rPr>
          <w:sz w:val="24"/>
        </w:rPr>
        <w:t>to</w:t>
      </w:r>
      <w:r>
        <w:rPr>
          <w:spacing w:val="-12"/>
          <w:sz w:val="24"/>
        </w:rPr>
        <w:t xml:space="preserve"> </w:t>
      </w:r>
      <w:r>
        <w:rPr>
          <w:sz w:val="24"/>
        </w:rPr>
        <w:t>any</w:t>
      </w:r>
      <w:r>
        <w:rPr>
          <w:spacing w:val="-11"/>
          <w:sz w:val="24"/>
        </w:rPr>
        <w:t xml:space="preserve"> </w:t>
      </w:r>
      <w:r>
        <w:rPr>
          <w:sz w:val="24"/>
        </w:rPr>
        <w:t>person</w:t>
      </w:r>
      <w:r>
        <w:rPr>
          <w:spacing w:val="-12"/>
          <w:sz w:val="24"/>
        </w:rPr>
        <w:t xml:space="preserve"> </w:t>
      </w:r>
      <w:r>
        <w:rPr>
          <w:sz w:val="24"/>
        </w:rPr>
        <w:t>shall</w:t>
      </w:r>
      <w:r>
        <w:rPr>
          <w:spacing w:val="-11"/>
          <w:sz w:val="24"/>
        </w:rPr>
        <w:t xml:space="preserve"> </w:t>
      </w:r>
      <w:r>
        <w:rPr>
          <w:sz w:val="24"/>
        </w:rPr>
        <w:t>be by summons, unless the Court otherwise orders. See also Rule 4.02. In relation to</w:t>
      </w:r>
      <w:r>
        <w:rPr>
          <w:spacing w:val="-16"/>
          <w:sz w:val="24"/>
        </w:rPr>
        <w:t xml:space="preserve"> </w:t>
      </w:r>
      <w:r>
        <w:rPr>
          <w:sz w:val="24"/>
        </w:rPr>
        <w:t>criminal</w:t>
      </w:r>
      <w:r>
        <w:rPr>
          <w:spacing w:val="-14"/>
          <w:sz w:val="24"/>
        </w:rPr>
        <w:t xml:space="preserve"> </w:t>
      </w:r>
      <w:r>
        <w:rPr>
          <w:sz w:val="24"/>
        </w:rPr>
        <w:t>proceedings,</w:t>
      </w:r>
      <w:r>
        <w:rPr>
          <w:spacing w:val="-15"/>
          <w:sz w:val="24"/>
        </w:rPr>
        <w:t xml:space="preserve"> </w:t>
      </w:r>
      <w:r>
        <w:rPr>
          <w:sz w:val="24"/>
        </w:rPr>
        <w:t>Rule</w:t>
      </w:r>
      <w:r>
        <w:rPr>
          <w:spacing w:val="-15"/>
          <w:sz w:val="24"/>
        </w:rPr>
        <w:t xml:space="preserve"> </w:t>
      </w:r>
      <w:r>
        <w:rPr>
          <w:sz w:val="24"/>
        </w:rPr>
        <w:t>1.18</w:t>
      </w:r>
      <w:r>
        <w:rPr>
          <w:spacing w:val="-15"/>
          <w:sz w:val="24"/>
        </w:rPr>
        <w:t xml:space="preserve"> </w:t>
      </w:r>
      <w:r>
        <w:rPr>
          <w:sz w:val="24"/>
        </w:rPr>
        <w:t>of</w:t>
      </w:r>
      <w:r>
        <w:rPr>
          <w:spacing w:val="-14"/>
          <w:sz w:val="24"/>
        </w:rPr>
        <w:t xml:space="preserve"> </w:t>
      </w:r>
      <w:r>
        <w:rPr>
          <w:sz w:val="24"/>
        </w:rPr>
        <w:t>Chapter</w:t>
      </w:r>
      <w:r>
        <w:rPr>
          <w:spacing w:val="-16"/>
          <w:sz w:val="24"/>
        </w:rPr>
        <w:t xml:space="preserve"> </w:t>
      </w:r>
      <w:r>
        <w:rPr>
          <w:sz w:val="24"/>
        </w:rPr>
        <w:t>VI</w:t>
      </w:r>
      <w:r>
        <w:rPr>
          <w:spacing w:val="-15"/>
          <w:sz w:val="24"/>
        </w:rPr>
        <w:t xml:space="preserve"> </w:t>
      </w:r>
      <w:r>
        <w:rPr>
          <w:sz w:val="24"/>
        </w:rPr>
        <w:t>provides</w:t>
      </w:r>
      <w:r>
        <w:rPr>
          <w:spacing w:val="-14"/>
          <w:sz w:val="24"/>
        </w:rPr>
        <w:t xml:space="preserve"> </w:t>
      </w:r>
      <w:r>
        <w:rPr>
          <w:sz w:val="24"/>
        </w:rPr>
        <w:t>that</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party</w:t>
      </w:r>
      <w:r>
        <w:rPr>
          <w:spacing w:val="-15"/>
          <w:sz w:val="24"/>
        </w:rPr>
        <w:t xml:space="preserve"> </w:t>
      </w:r>
      <w:r>
        <w:rPr>
          <w:sz w:val="24"/>
        </w:rPr>
        <w:t>intends to make an application and there is no prescribed form, a general application in Form 6</w:t>
      </w:r>
      <w:r w:rsidR="00FA7300" w:rsidRPr="00145CBC">
        <w:rPr>
          <w:sz w:val="24"/>
        </w:rPr>
        <w:t>–</w:t>
      </w:r>
      <w:r w:rsidRPr="00145CBC">
        <w:rPr>
          <w:sz w:val="24"/>
        </w:rPr>
        <w:t>1</w:t>
      </w:r>
      <w:r w:rsidR="00FA7300" w:rsidRPr="00145CBC">
        <w:rPr>
          <w:sz w:val="24"/>
        </w:rPr>
        <w:t>D</w:t>
      </w:r>
      <w:r w:rsidRPr="00145CBC">
        <w:rPr>
          <w:sz w:val="24"/>
        </w:rPr>
        <w:t xml:space="preserve"> may be used with such modification as is</w:t>
      </w:r>
      <w:r w:rsidRPr="00145CBC">
        <w:rPr>
          <w:spacing w:val="-6"/>
          <w:sz w:val="24"/>
        </w:rPr>
        <w:t xml:space="preserve"> </w:t>
      </w:r>
      <w:r w:rsidRPr="00145CBC">
        <w:rPr>
          <w:sz w:val="24"/>
        </w:rPr>
        <w:t>necessary.</w:t>
      </w:r>
    </w:p>
    <w:p w14:paraId="03FB0C6B" w14:textId="4A733B6F" w:rsidR="004C2C28" w:rsidRPr="00145CBC" w:rsidRDefault="005A4208">
      <w:pPr>
        <w:pStyle w:val="ListParagraph"/>
        <w:numPr>
          <w:ilvl w:val="1"/>
          <w:numId w:val="1"/>
        </w:numPr>
        <w:tabs>
          <w:tab w:val="left" w:pos="840"/>
        </w:tabs>
        <w:ind w:left="839" w:right="113"/>
        <w:rPr>
          <w:sz w:val="24"/>
        </w:rPr>
      </w:pPr>
      <w:r w:rsidRPr="00145CBC">
        <w:rPr>
          <w:sz w:val="24"/>
        </w:rPr>
        <w:t>It follows that, unless the Court otherwise orders, an application for a suppression</w:t>
      </w:r>
      <w:r w:rsidRPr="00145CBC">
        <w:rPr>
          <w:spacing w:val="-13"/>
          <w:sz w:val="24"/>
        </w:rPr>
        <w:t xml:space="preserve"> </w:t>
      </w:r>
      <w:r w:rsidRPr="00145CBC">
        <w:rPr>
          <w:sz w:val="24"/>
        </w:rPr>
        <w:t>order</w:t>
      </w:r>
      <w:r w:rsidRPr="00145CBC">
        <w:rPr>
          <w:spacing w:val="-11"/>
          <w:sz w:val="24"/>
        </w:rPr>
        <w:t xml:space="preserve"> </w:t>
      </w:r>
      <w:r w:rsidRPr="00145CBC">
        <w:rPr>
          <w:sz w:val="24"/>
        </w:rPr>
        <w:t>which</w:t>
      </w:r>
      <w:r w:rsidRPr="00145CBC">
        <w:rPr>
          <w:spacing w:val="-11"/>
          <w:sz w:val="24"/>
        </w:rPr>
        <w:t xml:space="preserve"> </w:t>
      </w:r>
      <w:r w:rsidRPr="00145CBC">
        <w:rPr>
          <w:sz w:val="24"/>
        </w:rPr>
        <w:t>is</w:t>
      </w:r>
      <w:r w:rsidRPr="00145CBC">
        <w:rPr>
          <w:spacing w:val="-11"/>
          <w:sz w:val="24"/>
        </w:rPr>
        <w:t xml:space="preserve"> </w:t>
      </w:r>
      <w:r w:rsidRPr="00145CBC">
        <w:rPr>
          <w:sz w:val="24"/>
        </w:rPr>
        <w:t>to</w:t>
      </w:r>
      <w:r w:rsidRPr="00145CBC">
        <w:rPr>
          <w:spacing w:val="-11"/>
          <w:sz w:val="24"/>
        </w:rPr>
        <w:t xml:space="preserve"> </w:t>
      </w:r>
      <w:r w:rsidRPr="00145CBC">
        <w:rPr>
          <w:sz w:val="24"/>
        </w:rPr>
        <w:t>be</w:t>
      </w:r>
      <w:r w:rsidRPr="00145CBC">
        <w:rPr>
          <w:spacing w:val="-12"/>
          <w:sz w:val="24"/>
        </w:rPr>
        <w:t xml:space="preserve"> </w:t>
      </w:r>
      <w:r w:rsidRPr="00145CBC">
        <w:rPr>
          <w:sz w:val="24"/>
        </w:rPr>
        <w:t>made</w:t>
      </w:r>
      <w:r w:rsidRPr="00145CBC">
        <w:rPr>
          <w:spacing w:val="-11"/>
          <w:sz w:val="24"/>
        </w:rPr>
        <w:t xml:space="preserve"> </w:t>
      </w:r>
      <w:r w:rsidRPr="00145CBC">
        <w:rPr>
          <w:sz w:val="24"/>
        </w:rPr>
        <w:t>on</w:t>
      </w:r>
      <w:r w:rsidRPr="00145CBC">
        <w:rPr>
          <w:spacing w:val="-12"/>
          <w:sz w:val="24"/>
        </w:rPr>
        <w:t xml:space="preserve"> </w:t>
      </w:r>
      <w:r w:rsidRPr="00145CBC">
        <w:rPr>
          <w:sz w:val="24"/>
        </w:rPr>
        <w:t>notice</w:t>
      </w:r>
      <w:r w:rsidRPr="00145CBC">
        <w:rPr>
          <w:spacing w:val="-11"/>
          <w:sz w:val="24"/>
        </w:rPr>
        <w:t xml:space="preserve"> </w:t>
      </w:r>
      <w:r w:rsidRPr="00145CBC">
        <w:rPr>
          <w:sz w:val="24"/>
        </w:rPr>
        <w:t>to</w:t>
      </w:r>
      <w:r w:rsidRPr="00145CBC">
        <w:rPr>
          <w:spacing w:val="-11"/>
          <w:sz w:val="24"/>
        </w:rPr>
        <w:t xml:space="preserve"> </w:t>
      </w:r>
      <w:r w:rsidRPr="00145CBC">
        <w:rPr>
          <w:sz w:val="24"/>
        </w:rPr>
        <w:t>any</w:t>
      </w:r>
      <w:r w:rsidRPr="00145CBC">
        <w:rPr>
          <w:spacing w:val="-12"/>
          <w:sz w:val="24"/>
        </w:rPr>
        <w:t xml:space="preserve"> </w:t>
      </w:r>
      <w:r w:rsidRPr="00145CBC">
        <w:rPr>
          <w:sz w:val="24"/>
        </w:rPr>
        <w:t>person</w:t>
      </w:r>
      <w:r w:rsidRPr="00145CBC">
        <w:rPr>
          <w:spacing w:val="-11"/>
          <w:sz w:val="24"/>
        </w:rPr>
        <w:t xml:space="preserve"> </w:t>
      </w:r>
      <w:r w:rsidRPr="00145CBC">
        <w:rPr>
          <w:sz w:val="24"/>
        </w:rPr>
        <w:t>should,</w:t>
      </w:r>
      <w:r w:rsidRPr="00145CBC">
        <w:rPr>
          <w:spacing w:val="-11"/>
          <w:sz w:val="24"/>
        </w:rPr>
        <w:t xml:space="preserve"> </w:t>
      </w:r>
      <w:r w:rsidRPr="00145CBC">
        <w:rPr>
          <w:sz w:val="24"/>
        </w:rPr>
        <w:t>in</w:t>
      </w:r>
      <w:r w:rsidRPr="00145CBC">
        <w:rPr>
          <w:spacing w:val="-11"/>
          <w:sz w:val="24"/>
        </w:rPr>
        <w:t xml:space="preserve"> </w:t>
      </w:r>
      <w:r w:rsidRPr="00145CBC">
        <w:rPr>
          <w:sz w:val="24"/>
        </w:rPr>
        <w:t>a</w:t>
      </w:r>
      <w:r w:rsidRPr="00145CBC">
        <w:rPr>
          <w:spacing w:val="-11"/>
          <w:sz w:val="24"/>
        </w:rPr>
        <w:t xml:space="preserve"> </w:t>
      </w:r>
      <w:r w:rsidRPr="00145CBC">
        <w:rPr>
          <w:sz w:val="24"/>
        </w:rPr>
        <w:t>civil proceeding,</w:t>
      </w:r>
      <w:r w:rsidRPr="00145CBC">
        <w:rPr>
          <w:spacing w:val="-5"/>
          <w:sz w:val="24"/>
        </w:rPr>
        <w:t xml:space="preserve"> </w:t>
      </w:r>
      <w:r w:rsidRPr="00145CBC">
        <w:rPr>
          <w:sz w:val="24"/>
        </w:rPr>
        <w:t>be</w:t>
      </w:r>
      <w:r w:rsidRPr="00145CBC">
        <w:rPr>
          <w:spacing w:val="-4"/>
          <w:sz w:val="24"/>
        </w:rPr>
        <w:t xml:space="preserve"> </w:t>
      </w:r>
      <w:r w:rsidRPr="00145CBC">
        <w:rPr>
          <w:sz w:val="24"/>
        </w:rPr>
        <w:t>made</w:t>
      </w:r>
      <w:r w:rsidRPr="00145CBC">
        <w:rPr>
          <w:spacing w:val="-4"/>
          <w:sz w:val="24"/>
        </w:rPr>
        <w:t xml:space="preserve"> </w:t>
      </w:r>
      <w:r w:rsidRPr="00145CBC">
        <w:rPr>
          <w:sz w:val="24"/>
        </w:rPr>
        <w:t>the</w:t>
      </w:r>
      <w:r w:rsidRPr="00145CBC">
        <w:rPr>
          <w:spacing w:val="-4"/>
          <w:sz w:val="24"/>
        </w:rPr>
        <w:t xml:space="preserve"> </w:t>
      </w:r>
      <w:r w:rsidRPr="00145CBC">
        <w:rPr>
          <w:sz w:val="24"/>
        </w:rPr>
        <w:t>subject</w:t>
      </w:r>
      <w:r w:rsidRPr="00145CBC">
        <w:rPr>
          <w:spacing w:val="-5"/>
          <w:sz w:val="24"/>
        </w:rPr>
        <w:t xml:space="preserve"> </w:t>
      </w:r>
      <w:r w:rsidRPr="00145CBC">
        <w:rPr>
          <w:sz w:val="24"/>
        </w:rPr>
        <w:t>of</w:t>
      </w:r>
      <w:r w:rsidRPr="00145CBC">
        <w:rPr>
          <w:spacing w:val="-4"/>
          <w:sz w:val="24"/>
        </w:rPr>
        <w:t xml:space="preserve"> </w:t>
      </w:r>
      <w:r w:rsidRPr="00145CBC">
        <w:rPr>
          <w:sz w:val="24"/>
        </w:rPr>
        <w:t>both</w:t>
      </w:r>
      <w:r w:rsidRPr="00145CBC">
        <w:rPr>
          <w:spacing w:val="-4"/>
          <w:sz w:val="24"/>
        </w:rPr>
        <w:t xml:space="preserve"> </w:t>
      </w:r>
      <w:r w:rsidRPr="00145CBC">
        <w:rPr>
          <w:sz w:val="24"/>
        </w:rPr>
        <w:t>a</w:t>
      </w:r>
      <w:r w:rsidRPr="00145CBC">
        <w:rPr>
          <w:spacing w:val="-4"/>
          <w:sz w:val="24"/>
        </w:rPr>
        <w:t xml:space="preserve"> </w:t>
      </w:r>
      <w:r w:rsidRPr="00145CBC">
        <w:rPr>
          <w:sz w:val="24"/>
        </w:rPr>
        <w:t>summons</w:t>
      </w:r>
      <w:r w:rsidRPr="00145CBC">
        <w:rPr>
          <w:spacing w:val="-5"/>
          <w:sz w:val="24"/>
        </w:rPr>
        <w:t xml:space="preserve"> </w:t>
      </w:r>
      <w:r w:rsidRPr="00145CBC">
        <w:rPr>
          <w:sz w:val="24"/>
        </w:rPr>
        <w:t>and</w:t>
      </w:r>
      <w:r w:rsidRPr="00145CBC">
        <w:rPr>
          <w:spacing w:val="-4"/>
          <w:sz w:val="24"/>
        </w:rPr>
        <w:t xml:space="preserve"> </w:t>
      </w:r>
      <w:r w:rsidRPr="00145CBC">
        <w:rPr>
          <w:sz w:val="24"/>
        </w:rPr>
        <w:t>a</w:t>
      </w:r>
      <w:r w:rsidRPr="00145CBC">
        <w:rPr>
          <w:spacing w:val="-4"/>
          <w:sz w:val="24"/>
        </w:rPr>
        <w:t xml:space="preserve"> </w:t>
      </w:r>
      <w:r w:rsidRPr="00145CBC">
        <w:rPr>
          <w:sz w:val="24"/>
        </w:rPr>
        <w:t>notice</w:t>
      </w:r>
      <w:r w:rsidRPr="00145CBC">
        <w:rPr>
          <w:spacing w:val="-4"/>
          <w:sz w:val="24"/>
        </w:rPr>
        <w:t xml:space="preserve"> </w:t>
      </w:r>
      <w:r w:rsidRPr="00145CBC">
        <w:rPr>
          <w:sz w:val="24"/>
        </w:rPr>
        <w:t>under</w:t>
      </w:r>
      <w:r w:rsidRPr="00145CBC">
        <w:rPr>
          <w:spacing w:val="-4"/>
          <w:sz w:val="24"/>
        </w:rPr>
        <w:t xml:space="preserve"> </w:t>
      </w:r>
      <w:r w:rsidRPr="00145CBC">
        <w:rPr>
          <w:sz w:val="24"/>
        </w:rPr>
        <w:t>section 10</w:t>
      </w:r>
      <w:r w:rsidRPr="00145CBC">
        <w:rPr>
          <w:spacing w:val="-5"/>
          <w:sz w:val="24"/>
        </w:rPr>
        <w:t xml:space="preserve"> </w:t>
      </w:r>
      <w:r w:rsidRPr="00145CBC">
        <w:rPr>
          <w:sz w:val="24"/>
        </w:rPr>
        <w:t>of</w:t>
      </w:r>
      <w:r w:rsidRPr="00145CBC">
        <w:rPr>
          <w:spacing w:val="-5"/>
          <w:sz w:val="24"/>
        </w:rPr>
        <w:t xml:space="preserve"> </w:t>
      </w:r>
      <w:r w:rsidRPr="00145CBC">
        <w:rPr>
          <w:sz w:val="24"/>
        </w:rPr>
        <w:t>the</w:t>
      </w:r>
      <w:r w:rsidRPr="00145CBC">
        <w:rPr>
          <w:spacing w:val="-5"/>
          <w:sz w:val="24"/>
        </w:rPr>
        <w:t xml:space="preserve"> </w:t>
      </w:r>
      <w:r w:rsidRPr="00145CBC">
        <w:rPr>
          <w:sz w:val="24"/>
        </w:rPr>
        <w:t>Act</w:t>
      </w:r>
      <w:r w:rsidRPr="00145CBC">
        <w:rPr>
          <w:spacing w:val="-5"/>
          <w:sz w:val="24"/>
        </w:rPr>
        <w:t xml:space="preserve"> </w:t>
      </w:r>
      <w:r w:rsidRPr="00145CBC">
        <w:rPr>
          <w:sz w:val="24"/>
        </w:rPr>
        <w:t>and</w:t>
      </w:r>
      <w:r w:rsidRPr="00145CBC">
        <w:rPr>
          <w:spacing w:val="-5"/>
          <w:sz w:val="24"/>
        </w:rPr>
        <w:t xml:space="preserve"> </w:t>
      </w:r>
      <w:r w:rsidRPr="00145CBC">
        <w:rPr>
          <w:sz w:val="24"/>
        </w:rPr>
        <w:t>should,</w:t>
      </w:r>
      <w:r w:rsidRPr="00145CBC">
        <w:rPr>
          <w:spacing w:val="-5"/>
          <w:sz w:val="24"/>
        </w:rPr>
        <w:t xml:space="preserve"> </w:t>
      </w:r>
      <w:r w:rsidRPr="00145CBC">
        <w:rPr>
          <w:sz w:val="24"/>
        </w:rPr>
        <w:t>in</w:t>
      </w:r>
      <w:r w:rsidRPr="00145CBC">
        <w:rPr>
          <w:spacing w:val="-5"/>
          <w:sz w:val="24"/>
        </w:rPr>
        <w:t xml:space="preserve"> </w:t>
      </w:r>
      <w:r w:rsidRPr="00145CBC">
        <w:rPr>
          <w:sz w:val="24"/>
        </w:rPr>
        <w:t>a</w:t>
      </w:r>
      <w:r w:rsidRPr="00145CBC">
        <w:rPr>
          <w:spacing w:val="-5"/>
          <w:sz w:val="24"/>
        </w:rPr>
        <w:t xml:space="preserve"> </w:t>
      </w:r>
      <w:r w:rsidRPr="00145CBC">
        <w:rPr>
          <w:sz w:val="24"/>
        </w:rPr>
        <w:t>criminal</w:t>
      </w:r>
      <w:r w:rsidRPr="00145CBC">
        <w:rPr>
          <w:spacing w:val="-5"/>
          <w:sz w:val="24"/>
        </w:rPr>
        <w:t xml:space="preserve"> </w:t>
      </w:r>
      <w:r w:rsidRPr="00145CBC">
        <w:rPr>
          <w:sz w:val="24"/>
        </w:rPr>
        <w:t>proceeding,</w:t>
      </w:r>
      <w:r w:rsidRPr="00145CBC">
        <w:rPr>
          <w:spacing w:val="-4"/>
          <w:sz w:val="24"/>
        </w:rPr>
        <w:t xml:space="preserve"> </w:t>
      </w:r>
      <w:r w:rsidRPr="00145CBC">
        <w:rPr>
          <w:sz w:val="24"/>
        </w:rPr>
        <w:t>be</w:t>
      </w:r>
      <w:r w:rsidRPr="00145CBC">
        <w:rPr>
          <w:spacing w:val="-5"/>
          <w:sz w:val="24"/>
        </w:rPr>
        <w:t xml:space="preserve"> </w:t>
      </w:r>
      <w:r w:rsidRPr="00145CBC">
        <w:rPr>
          <w:sz w:val="24"/>
        </w:rPr>
        <w:t>made</w:t>
      </w:r>
      <w:r w:rsidRPr="00145CBC">
        <w:rPr>
          <w:spacing w:val="-5"/>
          <w:sz w:val="24"/>
        </w:rPr>
        <w:t xml:space="preserve"> </w:t>
      </w:r>
      <w:r w:rsidRPr="00145CBC">
        <w:rPr>
          <w:sz w:val="24"/>
        </w:rPr>
        <w:t>the</w:t>
      </w:r>
      <w:r w:rsidRPr="00145CBC">
        <w:rPr>
          <w:spacing w:val="-5"/>
          <w:sz w:val="24"/>
        </w:rPr>
        <w:t xml:space="preserve"> </w:t>
      </w:r>
      <w:r w:rsidRPr="00145CBC">
        <w:rPr>
          <w:sz w:val="24"/>
        </w:rPr>
        <w:t>subject</w:t>
      </w:r>
      <w:r w:rsidRPr="00145CBC">
        <w:rPr>
          <w:spacing w:val="-5"/>
          <w:sz w:val="24"/>
        </w:rPr>
        <w:t xml:space="preserve"> </w:t>
      </w:r>
      <w:r w:rsidRPr="00145CBC">
        <w:rPr>
          <w:sz w:val="24"/>
        </w:rPr>
        <w:t>of</w:t>
      </w:r>
      <w:r w:rsidRPr="00145CBC">
        <w:rPr>
          <w:spacing w:val="-5"/>
          <w:sz w:val="24"/>
        </w:rPr>
        <w:t xml:space="preserve"> </w:t>
      </w:r>
      <w:r w:rsidRPr="00145CBC">
        <w:rPr>
          <w:sz w:val="24"/>
        </w:rPr>
        <w:t xml:space="preserve">both a (written) application and a notice under section 10 of the Act. </w:t>
      </w:r>
    </w:p>
    <w:p w14:paraId="03FB0C6C" w14:textId="77777777" w:rsidR="004C2C28" w:rsidRDefault="004C2C28">
      <w:pPr>
        <w:pStyle w:val="BodyText"/>
        <w:spacing w:before="9"/>
        <w:ind w:firstLine="0"/>
        <w:rPr>
          <w:sz w:val="33"/>
        </w:rPr>
      </w:pPr>
    </w:p>
    <w:p w14:paraId="03FB0C6D" w14:textId="77777777" w:rsidR="004C2C28" w:rsidRDefault="005A4208">
      <w:pPr>
        <w:pStyle w:val="Heading1"/>
        <w:numPr>
          <w:ilvl w:val="0"/>
          <w:numId w:val="1"/>
        </w:numPr>
        <w:tabs>
          <w:tab w:val="left" w:pos="839"/>
          <w:tab w:val="left" w:pos="840"/>
        </w:tabs>
        <w:ind w:hanging="721"/>
      </w:pPr>
      <w:r>
        <w:t>NOTIFICATION BY THE COURT TO RELEVANT NEWS</w:t>
      </w:r>
      <w:r>
        <w:rPr>
          <w:spacing w:val="-15"/>
        </w:rPr>
        <w:t xml:space="preserve"> </w:t>
      </w:r>
      <w:r>
        <w:t>MEDIA</w:t>
      </w:r>
    </w:p>
    <w:p w14:paraId="03FB0C6E" w14:textId="77777777" w:rsidR="004C2C28" w:rsidRDefault="005A4208">
      <w:pPr>
        <w:pStyle w:val="ListParagraph"/>
        <w:numPr>
          <w:ilvl w:val="1"/>
          <w:numId w:val="1"/>
        </w:numPr>
        <w:tabs>
          <w:tab w:val="left" w:pos="840"/>
        </w:tabs>
        <w:spacing w:before="119"/>
        <w:ind w:left="839" w:right="113"/>
        <w:rPr>
          <w:sz w:val="24"/>
        </w:rPr>
      </w:pPr>
      <w:r>
        <w:rPr>
          <w:sz w:val="24"/>
        </w:rPr>
        <w:t>By virtue of subsection 11(1) of the Act, the Court is required, on receiving a notice under section 10, to take reasonable steps to ensure that “any relevant news</w:t>
      </w:r>
      <w:r>
        <w:rPr>
          <w:spacing w:val="-12"/>
          <w:sz w:val="24"/>
        </w:rPr>
        <w:t xml:space="preserve"> </w:t>
      </w:r>
      <w:r>
        <w:rPr>
          <w:sz w:val="24"/>
        </w:rPr>
        <w:t>media</w:t>
      </w:r>
      <w:r>
        <w:rPr>
          <w:spacing w:val="-11"/>
          <w:sz w:val="24"/>
        </w:rPr>
        <w:t xml:space="preserve"> </w:t>
      </w:r>
      <w:proofErr w:type="spellStart"/>
      <w:r>
        <w:rPr>
          <w:sz w:val="24"/>
        </w:rPr>
        <w:t>organisation</w:t>
      </w:r>
      <w:proofErr w:type="spellEnd"/>
      <w:r>
        <w:rPr>
          <w:sz w:val="24"/>
        </w:rPr>
        <w:t>”</w:t>
      </w:r>
      <w:r>
        <w:rPr>
          <w:spacing w:val="-12"/>
          <w:sz w:val="24"/>
        </w:rPr>
        <w:t xml:space="preserve"> </w:t>
      </w:r>
      <w:r>
        <w:rPr>
          <w:sz w:val="24"/>
        </w:rPr>
        <w:t>is</w:t>
      </w:r>
      <w:r>
        <w:rPr>
          <w:spacing w:val="-11"/>
          <w:sz w:val="24"/>
        </w:rPr>
        <w:t xml:space="preserve"> </w:t>
      </w:r>
      <w:r>
        <w:rPr>
          <w:sz w:val="24"/>
        </w:rPr>
        <w:t>notified</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application</w:t>
      </w:r>
      <w:r>
        <w:rPr>
          <w:spacing w:val="-11"/>
          <w:sz w:val="24"/>
        </w:rPr>
        <w:t xml:space="preserve"> </w:t>
      </w:r>
      <w:r>
        <w:rPr>
          <w:sz w:val="24"/>
        </w:rPr>
        <w:t>for</w:t>
      </w:r>
      <w:r>
        <w:rPr>
          <w:spacing w:val="-12"/>
          <w:sz w:val="24"/>
        </w:rPr>
        <w:t xml:space="preserve"> </w:t>
      </w:r>
      <w:r>
        <w:rPr>
          <w:sz w:val="24"/>
        </w:rPr>
        <w:t>a</w:t>
      </w:r>
      <w:r>
        <w:rPr>
          <w:spacing w:val="-11"/>
          <w:sz w:val="24"/>
        </w:rPr>
        <w:t xml:space="preserve"> </w:t>
      </w:r>
      <w:r>
        <w:rPr>
          <w:sz w:val="24"/>
        </w:rPr>
        <w:t>suppression</w:t>
      </w:r>
      <w:r>
        <w:rPr>
          <w:spacing w:val="-11"/>
          <w:sz w:val="24"/>
        </w:rPr>
        <w:t xml:space="preserve"> </w:t>
      </w:r>
      <w:r>
        <w:rPr>
          <w:sz w:val="24"/>
        </w:rPr>
        <w:t>order.</w:t>
      </w:r>
    </w:p>
    <w:p w14:paraId="3D9C180F" w14:textId="6047AA37" w:rsidR="005A4208" w:rsidRPr="005A4208" w:rsidRDefault="005A4208" w:rsidP="005A4208">
      <w:pPr>
        <w:pStyle w:val="ListParagraph"/>
        <w:numPr>
          <w:ilvl w:val="1"/>
          <w:numId w:val="1"/>
        </w:numPr>
        <w:tabs>
          <w:tab w:val="left" w:pos="840"/>
        </w:tabs>
        <w:ind w:left="839" w:right="114"/>
        <w:rPr>
          <w:sz w:val="24"/>
        </w:rPr>
      </w:pPr>
      <w:r>
        <w:rPr>
          <w:sz w:val="24"/>
        </w:rPr>
        <w:t xml:space="preserve">Under subsection 11(2) of the Act, the notification may be by electronic communication or any other means that the Court considers appropriate. Notices sent to the abovementioned email address will be received by the </w:t>
      </w:r>
      <w:r w:rsidR="008B731D">
        <w:rPr>
          <w:sz w:val="24"/>
        </w:rPr>
        <w:t>Court’s Media Advisers</w:t>
      </w:r>
      <w:r>
        <w:rPr>
          <w:sz w:val="24"/>
        </w:rPr>
        <w:t xml:space="preserve">. Ordinarily, the </w:t>
      </w:r>
      <w:r w:rsidR="008B731D">
        <w:rPr>
          <w:sz w:val="24"/>
        </w:rPr>
        <w:t>Media Advisers</w:t>
      </w:r>
      <w:r>
        <w:rPr>
          <w:spacing w:val="-15"/>
          <w:sz w:val="24"/>
        </w:rPr>
        <w:t xml:space="preserve"> </w:t>
      </w:r>
      <w:r>
        <w:rPr>
          <w:sz w:val="24"/>
        </w:rPr>
        <w:t>will</w:t>
      </w:r>
      <w:r>
        <w:rPr>
          <w:spacing w:val="-15"/>
          <w:sz w:val="24"/>
        </w:rPr>
        <w:t xml:space="preserve"> </w:t>
      </w:r>
      <w:r>
        <w:rPr>
          <w:sz w:val="24"/>
        </w:rPr>
        <w:t>send the Form 82A notice or Form 6</w:t>
      </w:r>
      <w:r w:rsidR="00FA7300">
        <w:rPr>
          <w:sz w:val="24"/>
        </w:rPr>
        <w:t>–</w:t>
      </w:r>
      <w:r>
        <w:rPr>
          <w:sz w:val="24"/>
        </w:rPr>
        <w:t xml:space="preserve">16A notice to each relevant news media </w:t>
      </w:r>
      <w:proofErr w:type="spellStart"/>
      <w:r>
        <w:rPr>
          <w:sz w:val="24"/>
        </w:rPr>
        <w:t>organisation</w:t>
      </w:r>
      <w:proofErr w:type="spellEnd"/>
      <w:r>
        <w:rPr>
          <w:sz w:val="24"/>
        </w:rPr>
        <w:t xml:space="preserve"> by electronic means or such other means that the Court considers appropriate to fulfil the Court’s obligations under s</w:t>
      </w:r>
      <w:r w:rsidR="00F97968">
        <w:rPr>
          <w:sz w:val="24"/>
        </w:rPr>
        <w:t>ection</w:t>
      </w:r>
      <w:r>
        <w:rPr>
          <w:sz w:val="24"/>
        </w:rPr>
        <w:t xml:space="preserve"> 11 of the</w:t>
      </w:r>
      <w:r>
        <w:rPr>
          <w:spacing w:val="-16"/>
          <w:sz w:val="24"/>
        </w:rPr>
        <w:t xml:space="preserve"> </w:t>
      </w:r>
      <w:r>
        <w:rPr>
          <w:sz w:val="24"/>
        </w:rPr>
        <w:t>Act.</w:t>
      </w:r>
    </w:p>
    <w:p w14:paraId="03FB0C70" w14:textId="6BC68AC9" w:rsidR="004C2C28" w:rsidRDefault="005A4208">
      <w:pPr>
        <w:pStyle w:val="ListParagraph"/>
        <w:numPr>
          <w:ilvl w:val="1"/>
          <w:numId w:val="1"/>
        </w:numPr>
        <w:tabs>
          <w:tab w:val="left" w:pos="840"/>
        </w:tabs>
        <w:ind w:left="839" w:right="115"/>
        <w:rPr>
          <w:sz w:val="24"/>
        </w:rPr>
      </w:pPr>
      <w:r>
        <w:rPr>
          <w:sz w:val="24"/>
        </w:rPr>
        <w:t xml:space="preserve">Applicants for suppression orders should </w:t>
      </w:r>
      <w:r w:rsidR="005E2D35">
        <w:rPr>
          <w:sz w:val="24"/>
        </w:rPr>
        <w:t>be aware</w:t>
      </w:r>
      <w:r>
        <w:rPr>
          <w:sz w:val="24"/>
        </w:rPr>
        <w:t xml:space="preserve"> that the notices will ordinarily be treated by the Court as open, non-confidential documents. Accordingly,</w:t>
      </w:r>
      <w:r>
        <w:rPr>
          <w:spacing w:val="-13"/>
          <w:sz w:val="24"/>
        </w:rPr>
        <w:t xml:space="preserve"> </w:t>
      </w:r>
      <w:r>
        <w:rPr>
          <w:sz w:val="24"/>
        </w:rPr>
        <w:t>if</w:t>
      </w:r>
      <w:r>
        <w:rPr>
          <w:spacing w:val="-12"/>
          <w:sz w:val="24"/>
        </w:rPr>
        <w:t xml:space="preserve"> </w:t>
      </w:r>
      <w:r>
        <w:rPr>
          <w:sz w:val="24"/>
        </w:rPr>
        <w:t>the</w:t>
      </w:r>
      <w:r>
        <w:rPr>
          <w:spacing w:val="-12"/>
          <w:sz w:val="24"/>
        </w:rPr>
        <w:t xml:space="preserve"> </w:t>
      </w:r>
      <w:r>
        <w:rPr>
          <w:sz w:val="24"/>
        </w:rPr>
        <w:t>identity</w:t>
      </w:r>
      <w:r>
        <w:rPr>
          <w:spacing w:val="-12"/>
          <w:sz w:val="24"/>
        </w:rPr>
        <w:t xml:space="preserve"> </w:t>
      </w:r>
      <w:r>
        <w:rPr>
          <w:sz w:val="24"/>
        </w:rPr>
        <w:t>of</w:t>
      </w:r>
      <w:r>
        <w:rPr>
          <w:spacing w:val="-12"/>
          <w:sz w:val="24"/>
        </w:rPr>
        <w:t xml:space="preserve"> </w:t>
      </w:r>
      <w:r>
        <w:rPr>
          <w:sz w:val="24"/>
        </w:rPr>
        <w:t>an</w:t>
      </w:r>
      <w:r>
        <w:rPr>
          <w:spacing w:val="-13"/>
          <w:sz w:val="24"/>
        </w:rPr>
        <w:t xml:space="preserve"> </w:t>
      </w:r>
      <w:r>
        <w:rPr>
          <w:sz w:val="24"/>
        </w:rPr>
        <w:t>applicant</w:t>
      </w:r>
      <w:r>
        <w:rPr>
          <w:spacing w:val="-12"/>
          <w:sz w:val="24"/>
        </w:rPr>
        <w:t xml:space="preserve"> </w:t>
      </w:r>
      <w:r>
        <w:rPr>
          <w:sz w:val="24"/>
        </w:rPr>
        <w:t>or</w:t>
      </w:r>
      <w:r>
        <w:rPr>
          <w:spacing w:val="-12"/>
          <w:sz w:val="24"/>
        </w:rPr>
        <w:t xml:space="preserve"> </w:t>
      </w:r>
      <w:r>
        <w:rPr>
          <w:sz w:val="24"/>
        </w:rPr>
        <w:t>any</w:t>
      </w:r>
      <w:r>
        <w:rPr>
          <w:spacing w:val="-12"/>
          <w:sz w:val="24"/>
        </w:rPr>
        <w:t xml:space="preserve"> </w:t>
      </w:r>
      <w:r>
        <w:rPr>
          <w:sz w:val="24"/>
        </w:rPr>
        <w:t>other</w:t>
      </w:r>
      <w:r>
        <w:rPr>
          <w:spacing w:val="-12"/>
          <w:sz w:val="24"/>
        </w:rPr>
        <w:t xml:space="preserve"> </w:t>
      </w:r>
      <w:r>
        <w:rPr>
          <w:sz w:val="24"/>
        </w:rPr>
        <w:t>aspect</w:t>
      </w:r>
      <w:r>
        <w:rPr>
          <w:spacing w:val="-12"/>
          <w:sz w:val="24"/>
        </w:rPr>
        <w:t xml:space="preserve"> </w:t>
      </w:r>
      <w:r>
        <w:rPr>
          <w:sz w:val="24"/>
        </w:rPr>
        <w:t>of</w:t>
      </w:r>
      <w:r>
        <w:rPr>
          <w:spacing w:val="-13"/>
          <w:sz w:val="24"/>
        </w:rPr>
        <w:t xml:space="preserve"> </w:t>
      </w:r>
      <w:r>
        <w:rPr>
          <w:sz w:val="24"/>
        </w:rPr>
        <w:t>an</w:t>
      </w:r>
      <w:r>
        <w:rPr>
          <w:spacing w:val="-12"/>
          <w:sz w:val="24"/>
        </w:rPr>
        <w:t xml:space="preserve"> </w:t>
      </w:r>
      <w:r>
        <w:rPr>
          <w:sz w:val="24"/>
        </w:rPr>
        <w:t>application is sought to be kept confidential, the applicant will need to take such steps to that end as the applicant may be advised. It may be noted that, under the Rules, as indicated above, the notice need only be “generally in accordance with” the prescribed</w:t>
      </w:r>
      <w:r>
        <w:rPr>
          <w:spacing w:val="-3"/>
          <w:sz w:val="24"/>
        </w:rPr>
        <w:t xml:space="preserve"> </w:t>
      </w:r>
      <w:r>
        <w:rPr>
          <w:sz w:val="24"/>
        </w:rPr>
        <w:t>form.</w:t>
      </w:r>
    </w:p>
    <w:p w14:paraId="6752E03C" w14:textId="6FD403B6" w:rsidR="008B731D" w:rsidRPr="00B0177F" w:rsidRDefault="005A4208" w:rsidP="008B731D">
      <w:pPr>
        <w:pStyle w:val="ListParagraph"/>
        <w:numPr>
          <w:ilvl w:val="1"/>
          <w:numId w:val="1"/>
        </w:numPr>
        <w:tabs>
          <w:tab w:val="left" w:pos="840"/>
        </w:tabs>
        <w:ind w:left="839" w:right="115"/>
        <w:rPr>
          <w:sz w:val="28"/>
        </w:rPr>
      </w:pPr>
      <w:r w:rsidRPr="008B731D">
        <w:rPr>
          <w:sz w:val="24"/>
        </w:rPr>
        <w:t xml:space="preserve">Any news media </w:t>
      </w:r>
      <w:proofErr w:type="spellStart"/>
      <w:r w:rsidRPr="008B731D">
        <w:rPr>
          <w:sz w:val="24"/>
        </w:rPr>
        <w:t>organisation</w:t>
      </w:r>
      <w:proofErr w:type="spellEnd"/>
      <w:r w:rsidRPr="008B731D">
        <w:rPr>
          <w:sz w:val="24"/>
        </w:rPr>
        <w:t xml:space="preserve"> wishing to be notified under section 11 of the </w:t>
      </w:r>
      <w:r w:rsidRPr="008B731D">
        <w:rPr>
          <w:sz w:val="24"/>
        </w:rPr>
        <w:lastRenderedPageBreak/>
        <w:t>Act of applications for suppression orders or of</w:t>
      </w:r>
      <w:r w:rsidRPr="008B731D">
        <w:rPr>
          <w:spacing w:val="-11"/>
          <w:sz w:val="24"/>
        </w:rPr>
        <w:t xml:space="preserve"> </w:t>
      </w:r>
      <w:r w:rsidRPr="008B731D">
        <w:rPr>
          <w:sz w:val="24"/>
        </w:rPr>
        <w:t>the</w:t>
      </w:r>
      <w:r w:rsidR="008B731D">
        <w:rPr>
          <w:sz w:val="24"/>
        </w:rPr>
        <w:t xml:space="preserve"> </w:t>
      </w:r>
      <w:r w:rsidR="008B731D" w:rsidRPr="00B0177F">
        <w:rPr>
          <w:sz w:val="24"/>
        </w:rPr>
        <w:t>making</w:t>
      </w:r>
      <w:r w:rsidR="008B731D" w:rsidRPr="00B0177F">
        <w:rPr>
          <w:spacing w:val="-15"/>
          <w:sz w:val="24"/>
        </w:rPr>
        <w:t xml:space="preserve"> </w:t>
      </w:r>
      <w:r w:rsidR="008B731D" w:rsidRPr="00B0177F">
        <w:rPr>
          <w:sz w:val="24"/>
        </w:rPr>
        <w:t>of</w:t>
      </w:r>
      <w:r w:rsidR="008B731D" w:rsidRPr="00B0177F">
        <w:rPr>
          <w:spacing w:val="-14"/>
          <w:sz w:val="24"/>
        </w:rPr>
        <w:t xml:space="preserve"> </w:t>
      </w:r>
      <w:r w:rsidR="008B731D" w:rsidRPr="00B0177F">
        <w:rPr>
          <w:sz w:val="24"/>
        </w:rPr>
        <w:t>a</w:t>
      </w:r>
      <w:r w:rsidR="008B731D" w:rsidRPr="00B0177F">
        <w:rPr>
          <w:spacing w:val="-14"/>
          <w:sz w:val="24"/>
        </w:rPr>
        <w:t xml:space="preserve"> </w:t>
      </w:r>
      <w:r w:rsidR="008B731D" w:rsidRPr="00B0177F">
        <w:rPr>
          <w:sz w:val="24"/>
        </w:rPr>
        <w:t>suppression</w:t>
      </w:r>
      <w:r w:rsidR="008B731D" w:rsidRPr="00B0177F">
        <w:rPr>
          <w:spacing w:val="-14"/>
          <w:sz w:val="24"/>
        </w:rPr>
        <w:t xml:space="preserve"> </w:t>
      </w:r>
      <w:r w:rsidR="008B731D" w:rsidRPr="00B0177F">
        <w:rPr>
          <w:sz w:val="24"/>
        </w:rPr>
        <w:t>order</w:t>
      </w:r>
      <w:r w:rsidR="008B731D" w:rsidRPr="00B0177F">
        <w:rPr>
          <w:spacing w:val="-14"/>
          <w:sz w:val="24"/>
        </w:rPr>
        <w:t xml:space="preserve"> </w:t>
      </w:r>
      <w:r w:rsidR="008B731D" w:rsidRPr="00B0177F">
        <w:rPr>
          <w:sz w:val="24"/>
        </w:rPr>
        <w:t>must</w:t>
      </w:r>
      <w:r w:rsidR="008B731D" w:rsidRPr="00B0177F">
        <w:rPr>
          <w:spacing w:val="-14"/>
          <w:sz w:val="24"/>
        </w:rPr>
        <w:t xml:space="preserve"> </w:t>
      </w:r>
      <w:r w:rsidR="008B731D" w:rsidRPr="00B0177F">
        <w:rPr>
          <w:sz w:val="24"/>
        </w:rPr>
        <w:t>nominate</w:t>
      </w:r>
      <w:r w:rsidR="008B731D" w:rsidRPr="00B0177F">
        <w:rPr>
          <w:spacing w:val="-15"/>
          <w:sz w:val="24"/>
        </w:rPr>
        <w:t xml:space="preserve"> </w:t>
      </w:r>
      <w:r w:rsidR="001B149C" w:rsidRPr="00B0177F">
        <w:rPr>
          <w:sz w:val="24"/>
        </w:rPr>
        <w:t>an</w:t>
      </w:r>
      <w:r w:rsidR="008B731D" w:rsidRPr="00B0177F">
        <w:rPr>
          <w:spacing w:val="-14"/>
          <w:sz w:val="24"/>
        </w:rPr>
        <w:t xml:space="preserve"> </w:t>
      </w:r>
      <w:r w:rsidR="008B731D" w:rsidRPr="00B0177F">
        <w:rPr>
          <w:sz w:val="24"/>
        </w:rPr>
        <w:t>email</w:t>
      </w:r>
      <w:r w:rsidR="008B731D" w:rsidRPr="00B0177F">
        <w:rPr>
          <w:spacing w:val="-14"/>
          <w:sz w:val="24"/>
        </w:rPr>
        <w:t xml:space="preserve"> </w:t>
      </w:r>
      <w:r w:rsidR="008B731D" w:rsidRPr="00B0177F">
        <w:rPr>
          <w:sz w:val="24"/>
        </w:rPr>
        <w:t>address</w:t>
      </w:r>
      <w:r w:rsidR="008B731D" w:rsidRPr="00B0177F">
        <w:rPr>
          <w:spacing w:val="-14"/>
          <w:sz w:val="24"/>
        </w:rPr>
        <w:t xml:space="preserve"> </w:t>
      </w:r>
      <w:r w:rsidR="008B731D" w:rsidRPr="00B0177F">
        <w:rPr>
          <w:sz w:val="24"/>
        </w:rPr>
        <w:t>for</w:t>
      </w:r>
      <w:r w:rsidR="008B731D" w:rsidRPr="00B0177F">
        <w:rPr>
          <w:spacing w:val="-14"/>
          <w:sz w:val="24"/>
        </w:rPr>
        <w:t xml:space="preserve"> </w:t>
      </w:r>
      <w:r w:rsidR="008B731D" w:rsidRPr="00B0177F">
        <w:rPr>
          <w:sz w:val="24"/>
        </w:rPr>
        <w:t>receipt of</w:t>
      </w:r>
      <w:r w:rsidR="008B731D" w:rsidRPr="00B0177F">
        <w:rPr>
          <w:spacing w:val="-2"/>
          <w:sz w:val="24"/>
        </w:rPr>
        <w:t xml:space="preserve"> </w:t>
      </w:r>
      <w:r w:rsidR="008B731D" w:rsidRPr="00B0177F">
        <w:rPr>
          <w:sz w:val="24"/>
        </w:rPr>
        <w:t>notifications.</w:t>
      </w:r>
    </w:p>
    <w:p w14:paraId="71714A67" w14:textId="56F650DB" w:rsidR="008B731D" w:rsidRDefault="008B731D" w:rsidP="008B731D">
      <w:pPr>
        <w:pStyle w:val="ListParagraph"/>
        <w:numPr>
          <w:ilvl w:val="1"/>
          <w:numId w:val="1"/>
        </w:numPr>
        <w:tabs>
          <w:tab w:val="left" w:pos="840"/>
        </w:tabs>
        <w:ind w:left="839" w:right="116"/>
        <w:rPr>
          <w:sz w:val="24"/>
        </w:rPr>
      </w:pPr>
      <w:r>
        <w:rPr>
          <w:sz w:val="24"/>
        </w:rPr>
        <w:t xml:space="preserve">A news media </w:t>
      </w:r>
      <w:proofErr w:type="spellStart"/>
      <w:r>
        <w:rPr>
          <w:sz w:val="24"/>
        </w:rPr>
        <w:t>organisation</w:t>
      </w:r>
      <w:proofErr w:type="spellEnd"/>
      <w:r>
        <w:rPr>
          <w:sz w:val="24"/>
        </w:rPr>
        <w:t xml:space="preserve"> wishing to nominate an email address for receipt of notifications </w:t>
      </w:r>
      <w:r w:rsidR="001B149C">
        <w:rPr>
          <w:sz w:val="24"/>
        </w:rPr>
        <w:t xml:space="preserve">may contact the Court at </w:t>
      </w:r>
      <w:hyperlink r:id="rId13" w:history="1">
        <w:r w:rsidR="009E2588">
          <w:rPr>
            <w:rStyle w:val="Hyperlink"/>
            <w:sz w:val="24"/>
          </w:rPr>
          <w:t>media@supcourt.vic.gov.au</w:t>
        </w:r>
      </w:hyperlink>
      <w:r>
        <w:rPr>
          <w:sz w:val="24"/>
        </w:rPr>
        <w:t>.</w:t>
      </w:r>
    </w:p>
    <w:p w14:paraId="22404975" w14:textId="27E68E21" w:rsidR="008B731D" w:rsidRDefault="008B731D" w:rsidP="008B731D">
      <w:pPr>
        <w:pStyle w:val="ListParagraph"/>
        <w:numPr>
          <w:ilvl w:val="1"/>
          <w:numId w:val="1"/>
        </w:numPr>
        <w:tabs>
          <w:tab w:val="left" w:pos="840"/>
        </w:tabs>
        <w:ind w:right="117"/>
        <w:rPr>
          <w:sz w:val="24"/>
        </w:rPr>
      </w:pPr>
      <w:r>
        <w:rPr>
          <w:sz w:val="24"/>
        </w:rPr>
        <w:t xml:space="preserve">Any notifications by the Court under section 11 of the Act will ordinarily be given only to email addresses nominated pursuant to </w:t>
      </w:r>
      <w:r w:rsidR="00F97968">
        <w:rPr>
          <w:sz w:val="24"/>
        </w:rPr>
        <w:t xml:space="preserve">the </w:t>
      </w:r>
      <w:r>
        <w:rPr>
          <w:sz w:val="24"/>
        </w:rPr>
        <w:t>paragraph</w:t>
      </w:r>
      <w:r>
        <w:rPr>
          <w:spacing w:val="-14"/>
          <w:sz w:val="24"/>
        </w:rPr>
        <w:t xml:space="preserve"> </w:t>
      </w:r>
      <w:r>
        <w:rPr>
          <w:sz w:val="24"/>
        </w:rPr>
        <w:t>above.</w:t>
      </w:r>
    </w:p>
    <w:p w14:paraId="174EC0AF" w14:textId="2CB0ADF2" w:rsidR="008B731D" w:rsidRDefault="008B731D" w:rsidP="008B731D">
      <w:pPr>
        <w:pStyle w:val="ListParagraph"/>
        <w:numPr>
          <w:ilvl w:val="1"/>
          <w:numId w:val="1"/>
        </w:numPr>
        <w:tabs>
          <w:tab w:val="left" w:pos="840"/>
          <w:tab w:val="left" w:pos="2329"/>
          <w:tab w:val="left" w:pos="3750"/>
          <w:tab w:val="left" w:pos="5150"/>
          <w:tab w:val="left" w:pos="7205"/>
          <w:tab w:val="left" w:pos="8935"/>
        </w:tabs>
        <w:ind w:right="115"/>
        <w:rPr>
          <w:sz w:val="24"/>
        </w:rPr>
      </w:pPr>
      <w:r>
        <w:rPr>
          <w:sz w:val="24"/>
        </w:rPr>
        <w:t>Any</w:t>
      </w:r>
      <w:r>
        <w:rPr>
          <w:spacing w:val="-9"/>
          <w:sz w:val="24"/>
        </w:rPr>
        <w:t xml:space="preserve"> </w:t>
      </w:r>
      <w:r>
        <w:rPr>
          <w:sz w:val="24"/>
        </w:rPr>
        <w:t>news</w:t>
      </w:r>
      <w:r>
        <w:rPr>
          <w:spacing w:val="-8"/>
          <w:sz w:val="24"/>
        </w:rPr>
        <w:t xml:space="preserve"> </w:t>
      </w:r>
      <w:r>
        <w:rPr>
          <w:sz w:val="24"/>
        </w:rPr>
        <w:t>media</w:t>
      </w:r>
      <w:r>
        <w:rPr>
          <w:spacing w:val="-8"/>
          <w:sz w:val="24"/>
        </w:rPr>
        <w:t xml:space="preserve"> </w:t>
      </w:r>
      <w:proofErr w:type="spellStart"/>
      <w:r>
        <w:rPr>
          <w:sz w:val="24"/>
        </w:rPr>
        <w:t>organisation</w:t>
      </w:r>
      <w:proofErr w:type="spellEnd"/>
      <w:r>
        <w:rPr>
          <w:spacing w:val="-8"/>
          <w:sz w:val="24"/>
        </w:rPr>
        <w:t xml:space="preserve"> </w:t>
      </w:r>
      <w:r>
        <w:rPr>
          <w:sz w:val="24"/>
        </w:rPr>
        <w:t>that</w:t>
      </w:r>
      <w:r>
        <w:rPr>
          <w:spacing w:val="-8"/>
          <w:sz w:val="24"/>
        </w:rPr>
        <w:t xml:space="preserve"> </w:t>
      </w:r>
      <w:r>
        <w:rPr>
          <w:sz w:val="24"/>
        </w:rPr>
        <w:t>has</w:t>
      </w:r>
      <w:r>
        <w:rPr>
          <w:spacing w:val="-8"/>
          <w:sz w:val="24"/>
        </w:rPr>
        <w:t xml:space="preserve"> </w:t>
      </w:r>
      <w:r>
        <w:rPr>
          <w:sz w:val="24"/>
        </w:rPr>
        <w:t>previously</w:t>
      </w:r>
      <w:r>
        <w:rPr>
          <w:spacing w:val="-8"/>
          <w:sz w:val="24"/>
        </w:rPr>
        <w:t xml:space="preserve"> </w:t>
      </w:r>
      <w:r>
        <w:rPr>
          <w:sz w:val="24"/>
        </w:rPr>
        <w:t>nominated</w:t>
      </w:r>
      <w:r>
        <w:rPr>
          <w:spacing w:val="-8"/>
          <w:sz w:val="24"/>
        </w:rPr>
        <w:t xml:space="preserve"> </w:t>
      </w:r>
      <w:r>
        <w:rPr>
          <w:sz w:val="24"/>
        </w:rPr>
        <w:t>an</w:t>
      </w:r>
      <w:r>
        <w:rPr>
          <w:spacing w:val="-8"/>
          <w:sz w:val="24"/>
        </w:rPr>
        <w:t xml:space="preserve"> </w:t>
      </w:r>
      <w:r>
        <w:rPr>
          <w:sz w:val="24"/>
        </w:rPr>
        <w:t>email</w:t>
      </w:r>
      <w:r>
        <w:rPr>
          <w:spacing w:val="-8"/>
          <w:sz w:val="24"/>
        </w:rPr>
        <w:t xml:space="preserve"> </w:t>
      </w:r>
      <w:r>
        <w:rPr>
          <w:sz w:val="24"/>
        </w:rPr>
        <w:t xml:space="preserve">address and later wishes to be removed from the notification list </w:t>
      </w:r>
      <w:r w:rsidR="001B149C">
        <w:rPr>
          <w:sz w:val="24"/>
        </w:rPr>
        <w:t xml:space="preserve">may contact the Court at </w:t>
      </w:r>
      <w:hyperlink r:id="rId14" w:history="1">
        <w:r w:rsidR="009F135B">
          <w:rPr>
            <w:rStyle w:val="Hyperlink"/>
            <w:sz w:val="24"/>
          </w:rPr>
          <w:t>media@supcourt.vic.gov.au</w:t>
        </w:r>
      </w:hyperlink>
      <w:r>
        <w:rPr>
          <w:sz w:val="24"/>
        </w:rPr>
        <w:t>.</w:t>
      </w:r>
    </w:p>
    <w:p w14:paraId="4342AF5F" w14:textId="77777777" w:rsidR="008B731D" w:rsidRDefault="008B731D" w:rsidP="008B731D">
      <w:pPr>
        <w:pStyle w:val="ListParagraph"/>
        <w:numPr>
          <w:ilvl w:val="1"/>
          <w:numId w:val="1"/>
        </w:numPr>
        <w:tabs>
          <w:tab w:val="left" w:pos="840"/>
        </w:tabs>
        <w:ind w:right="115"/>
        <w:rPr>
          <w:sz w:val="24"/>
        </w:rPr>
      </w:pPr>
      <w:r>
        <w:rPr>
          <w:sz w:val="24"/>
        </w:rPr>
        <w:t xml:space="preserve">Any news media </w:t>
      </w:r>
      <w:proofErr w:type="spellStart"/>
      <w:r>
        <w:rPr>
          <w:sz w:val="24"/>
        </w:rPr>
        <w:t>organisation</w:t>
      </w:r>
      <w:proofErr w:type="spellEnd"/>
      <w:r>
        <w:rPr>
          <w:sz w:val="24"/>
        </w:rPr>
        <w:t xml:space="preserve"> seeking further details regarding notices given under section 10 of the Act should direct their inquiries not to the Court but to the applicant or the applicant’s legal representatives, in accordance with the details provided in the</w:t>
      </w:r>
      <w:r>
        <w:rPr>
          <w:spacing w:val="-4"/>
          <w:sz w:val="24"/>
        </w:rPr>
        <w:t xml:space="preserve"> </w:t>
      </w:r>
      <w:r>
        <w:rPr>
          <w:sz w:val="24"/>
        </w:rPr>
        <w:t>notice.</w:t>
      </w:r>
    </w:p>
    <w:p w14:paraId="03FB0C78" w14:textId="77777777" w:rsidR="004C2C28" w:rsidRDefault="004C2C28">
      <w:pPr>
        <w:pStyle w:val="BodyText"/>
        <w:ind w:firstLine="0"/>
        <w:rPr>
          <w:sz w:val="28"/>
        </w:rPr>
      </w:pPr>
    </w:p>
    <w:p w14:paraId="03FB0C79" w14:textId="77777777" w:rsidR="004C2C28" w:rsidRDefault="005A4208">
      <w:pPr>
        <w:pStyle w:val="Heading1"/>
        <w:spacing w:before="182"/>
        <w:ind w:left="120" w:firstLine="0"/>
      </w:pPr>
      <w:r>
        <w:t>AMENDMENT HISTORY</w:t>
      </w:r>
    </w:p>
    <w:p w14:paraId="3D8CC003" w14:textId="3EDC4CEE" w:rsidR="00A6156E" w:rsidRDefault="00014C40">
      <w:pPr>
        <w:pStyle w:val="BodyText"/>
        <w:spacing w:before="119"/>
        <w:ind w:left="120" w:firstLine="0"/>
      </w:pPr>
      <w:r>
        <w:t xml:space="preserve">1 December </w:t>
      </w:r>
      <w:r w:rsidR="00A6156E">
        <w:t>2025: The</w:t>
      </w:r>
      <w:r w:rsidR="00980AC0">
        <w:t xml:space="preserve"> practice note was reissued on </w:t>
      </w:r>
      <w:r>
        <w:t xml:space="preserve">1 December </w:t>
      </w:r>
      <w:r w:rsidR="00980AC0">
        <w:t>2025 and replaced the version issued 22 March 2021.</w:t>
      </w:r>
    </w:p>
    <w:p w14:paraId="03FB0C7A" w14:textId="05BCF842" w:rsidR="004C2C28" w:rsidRDefault="00720978">
      <w:pPr>
        <w:pStyle w:val="BodyText"/>
        <w:spacing w:before="119"/>
        <w:ind w:left="120" w:firstLine="0"/>
      </w:pPr>
      <w:r w:rsidRPr="000051DD">
        <w:t>22 March</w:t>
      </w:r>
      <w:r w:rsidR="001B149C" w:rsidRPr="000051DD">
        <w:t xml:space="preserve"> 2021</w:t>
      </w:r>
      <w:r w:rsidR="005A4208" w:rsidRPr="000051DD">
        <w:t xml:space="preserve">: This </w:t>
      </w:r>
      <w:r w:rsidR="001B149C" w:rsidRPr="000051DD">
        <w:t xml:space="preserve">revised </w:t>
      </w:r>
      <w:r w:rsidR="005A4208" w:rsidRPr="000051DD">
        <w:t xml:space="preserve">Practice Note was issued on </w:t>
      </w:r>
      <w:r w:rsidRPr="000051DD">
        <w:t>22 March</w:t>
      </w:r>
      <w:r w:rsidR="001B149C" w:rsidRPr="000051DD">
        <w:t xml:space="preserve"> 2021</w:t>
      </w:r>
      <w:r w:rsidR="005A4208" w:rsidRPr="000051DD">
        <w:t xml:space="preserve"> and replaced</w:t>
      </w:r>
      <w:r w:rsidR="005A4208">
        <w:t xml:space="preserve"> </w:t>
      </w:r>
      <w:r w:rsidR="001B149C" w:rsidRPr="00145CBC">
        <w:t>the</w:t>
      </w:r>
      <w:r w:rsidR="00163615" w:rsidRPr="00145CBC">
        <w:t xml:space="preserve"> earlier</w:t>
      </w:r>
      <w:r w:rsidR="001B149C" w:rsidRPr="00145CBC">
        <w:t xml:space="preserve"> version</w:t>
      </w:r>
      <w:r w:rsidR="001B149C">
        <w:t xml:space="preserve"> of this </w:t>
      </w:r>
      <w:r w:rsidR="005A4208">
        <w:t xml:space="preserve">Practice Note </w:t>
      </w:r>
      <w:r w:rsidR="001B149C">
        <w:t>issued on 30 January 2017.</w:t>
      </w:r>
    </w:p>
    <w:p w14:paraId="03FB0C7B" w14:textId="77777777" w:rsidR="004C2C28" w:rsidRDefault="004C2C28">
      <w:pPr>
        <w:pStyle w:val="BodyText"/>
        <w:ind w:firstLine="0"/>
        <w:rPr>
          <w:sz w:val="28"/>
        </w:rPr>
      </w:pPr>
    </w:p>
    <w:p w14:paraId="03FB0C7C" w14:textId="77777777" w:rsidR="004C2C28" w:rsidRDefault="004C2C28">
      <w:pPr>
        <w:pStyle w:val="BodyText"/>
        <w:ind w:firstLine="0"/>
        <w:rPr>
          <w:sz w:val="28"/>
        </w:rPr>
      </w:pPr>
    </w:p>
    <w:p w14:paraId="03FB0C7D" w14:textId="77777777" w:rsidR="004C2C28" w:rsidRDefault="004C2C28">
      <w:pPr>
        <w:pStyle w:val="BodyText"/>
        <w:spacing w:before="11"/>
        <w:ind w:firstLine="0"/>
        <w:rPr>
          <w:sz w:val="20"/>
        </w:rPr>
      </w:pPr>
    </w:p>
    <w:p w14:paraId="03FB0C7E" w14:textId="2290D305" w:rsidR="004C2C28" w:rsidRDefault="005A4208">
      <w:pPr>
        <w:pStyle w:val="BodyText"/>
        <w:spacing w:line="336" w:lineRule="auto"/>
        <w:ind w:left="4988" w:right="114" w:firstLine="1790"/>
        <w:jc w:val="right"/>
      </w:pPr>
      <w:r>
        <w:t>Vivienne</w:t>
      </w:r>
      <w:r>
        <w:rPr>
          <w:spacing w:val="-16"/>
        </w:rPr>
        <w:t xml:space="preserve"> </w:t>
      </w:r>
      <w:r>
        <w:t>Ma</w:t>
      </w:r>
      <w:r w:rsidR="00A6156E">
        <w:t>hy</w:t>
      </w:r>
      <w:r w:rsidR="00E87CD4">
        <w:t xml:space="preserve"> </w:t>
      </w:r>
      <w:r>
        <w:t>Executive Associate to the Chief</w:t>
      </w:r>
      <w:r>
        <w:rPr>
          <w:spacing w:val="-17"/>
        </w:rPr>
        <w:t xml:space="preserve"> </w:t>
      </w:r>
      <w:r>
        <w:t>Justice</w:t>
      </w:r>
    </w:p>
    <w:p w14:paraId="03FB0C7F" w14:textId="13B3855C" w:rsidR="004C2C28" w:rsidRDefault="00014C40">
      <w:pPr>
        <w:pStyle w:val="BodyText"/>
        <w:spacing w:before="3"/>
        <w:ind w:right="115" w:firstLine="0"/>
        <w:jc w:val="right"/>
      </w:pPr>
      <w:r>
        <w:t xml:space="preserve">1 December </w:t>
      </w:r>
      <w:r w:rsidR="00A6156E">
        <w:t>2025</w:t>
      </w:r>
    </w:p>
    <w:sectPr w:rsidR="004C2C28">
      <w:footerReference w:type="default" r:id="rId15"/>
      <w:pgSz w:w="11910" w:h="16840"/>
      <w:pgMar w:top="1360" w:right="1320" w:bottom="1240" w:left="13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E42F" w14:textId="77777777" w:rsidR="00C15D41" w:rsidRDefault="00C15D41">
      <w:r>
        <w:separator/>
      </w:r>
    </w:p>
  </w:endnote>
  <w:endnote w:type="continuationSeparator" w:id="0">
    <w:p w14:paraId="18167014" w14:textId="77777777" w:rsidR="00C15D41" w:rsidRDefault="00C1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0C82" w14:textId="2B1B9E49" w:rsidR="004C2C28" w:rsidRDefault="001A39BB">
    <w:pPr>
      <w:pStyle w:val="BodyText"/>
      <w:spacing w:line="14" w:lineRule="auto"/>
      <w:ind w:firstLine="0"/>
      <w:rPr>
        <w:sz w:val="20"/>
      </w:rPr>
    </w:pPr>
    <w:r>
      <w:rPr>
        <w:noProof/>
        <w:lang w:val="en-AU" w:eastAsia="en-AU"/>
      </w:rPr>
      <mc:AlternateContent>
        <mc:Choice Requires="wps">
          <w:drawing>
            <wp:anchor distT="0" distB="0" distL="114300" distR="114300" simplePos="0" relativeHeight="251657728" behindDoc="1" locked="0" layoutInCell="1" allowOverlap="1" wp14:anchorId="03FB0C83" wp14:editId="743B899F">
              <wp:simplePos x="0" y="0"/>
              <wp:positionH relativeFrom="page">
                <wp:posOffset>6531610</wp:posOffset>
              </wp:positionH>
              <wp:positionV relativeFrom="page">
                <wp:posOffset>9883775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0C84" w14:textId="09B9AB82" w:rsidR="004C2C28" w:rsidRDefault="005A4208">
                          <w:pPr>
                            <w:pStyle w:val="BodyText"/>
                            <w:spacing w:before="10"/>
                            <w:ind w:left="60" w:firstLine="0"/>
                            <w:rPr>
                              <w:rFonts w:ascii="Times New Roman"/>
                            </w:rPr>
                          </w:pPr>
                          <w:r>
                            <w:fldChar w:fldCharType="begin"/>
                          </w:r>
                          <w:r>
                            <w:rPr>
                              <w:rFonts w:ascii="Times New Roman"/>
                            </w:rPr>
                            <w:instrText xml:space="preserve"> PAGE </w:instrText>
                          </w:r>
                          <w:r>
                            <w:fldChar w:fldCharType="separate"/>
                          </w:r>
                          <w:r w:rsidR="000051DD">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B0C83" id="_x0000_t202" coordsize="21600,21600" o:spt="202" path="m,l,21600r21600,l21600,xe">
              <v:stroke joinstyle="miter"/>
              <v:path gradientshapeok="t" o:connecttype="rect"/>
            </v:shapetype>
            <v:shape id="Text Box 1" o:spid="_x0000_s1026" type="#_x0000_t202" style="position:absolute;margin-left:514.3pt;margin-top:778.2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" filled="f" stroked="f">
              <v:textbox inset="0,0,0,0">
                <w:txbxContent>
                  <w:p w14:paraId="03FB0C84" w14:textId="09B9AB82" w:rsidR="004C2C28" w:rsidRDefault="005A4208">
                    <w:pPr>
                      <w:pStyle w:val="BodyText"/>
                      <w:spacing w:before="10"/>
                      <w:ind w:left="60" w:firstLine="0"/>
                      <w:rPr>
                        <w:rFonts w:ascii="Times New Roman"/>
                      </w:rPr>
                    </w:pPr>
                    <w:r>
                      <w:fldChar w:fldCharType="begin"/>
                    </w:r>
                    <w:r>
                      <w:rPr>
                        <w:rFonts w:ascii="Times New Roman"/>
                      </w:rPr>
                      <w:instrText xml:space="preserve"> PAGE </w:instrText>
                    </w:r>
                    <w:r>
                      <w:fldChar w:fldCharType="separate"/>
                    </w:r>
                    <w:r w:rsidR="000051DD">
                      <w:rPr>
                        <w:rFonts w:ascii="Times New Roman"/>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861D" w14:textId="77777777" w:rsidR="00C15D41" w:rsidRDefault="00C15D41">
      <w:r>
        <w:separator/>
      </w:r>
    </w:p>
  </w:footnote>
  <w:footnote w:type="continuationSeparator" w:id="0">
    <w:p w14:paraId="03E40ECE" w14:textId="77777777" w:rsidR="00C15D41" w:rsidRDefault="00C15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3119D"/>
    <w:multiLevelType w:val="multilevel"/>
    <w:tmpl w:val="325A0D94"/>
    <w:lvl w:ilvl="0">
      <w:start w:val="1"/>
      <w:numFmt w:val="decimal"/>
      <w:lvlText w:val="%1."/>
      <w:lvlJc w:val="left"/>
      <w:pPr>
        <w:ind w:left="840" w:hanging="720"/>
      </w:pPr>
      <w:rPr>
        <w:rFonts w:ascii="Book Antiqua" w:eastAsia="Book Antiqua" w:hAnsi="Book Antiqua" w:cs="Book Antiqua" w:hint="default"/>
        <w:b/>
        <w:bCs/>
        <w:w w:val="100"/>
        <w:sz w:val="24"/>
        <w:szCs w:val="24"/>
      </w:rPr>
    </w:lvl>
    <w:lvl w:ilvl="1">
      <w:start w:val="1"/>
      <w:numFmt w:val="decimal"/>
      <w:lvlText w:val="%1.%2"/>
      <w:lvlJc w:val="left"/>
      <w:pPr>
        <w:ind w:left="840" w:hanging="720"/>
      </w:pPr>
      <w:rPr>
        <w:rFonts w:ascii="Book Antiqua" w:eastAsia="Book Antiqua" w:hAnsi="Book Antiqua" w:cs="Book Antiqua" w:hint="default"/>
        <w:w w:val="100"/>
        <w:sz w:val="24"/>
        <w:szCs w:val="24"/>
      </w:rPr>
    </w:lvl>
    <w:lvl w:ilvl="2">
      <w:numFmt w:val="bullet"/>
      <w:lvlText w:val="•"/>
      <w:lvlJc w:val="left"/>
      <w:pPr>
        <w:ind w:left="2524" w:hanging="720"/>
      </w:pPr>
      <w:rPr>
        <w:rFonts w:hint="default"/>
      </w:rPr>
    </w:lvl>
    <w:lvl w:ilvl="3">
      <w:numFmt w:val="bullet"/>
      <w:lvlText w:val="•"/>
      <w:lvlJc w:val="left"/>
      <w:pPr>
        <w:ind w:left="3367" w:hanging="720"/>
      </w:pPr>
      <w:rPr>
        <w:rFonts w:hint="default"/>
      </w:rPr>
    </w:lvl>
    <w:lvl w:ilvl="4">
      <w:numFmt w:val="bullet"/>
      <w:lvlText w:val="•"/>
      <w:lvlJc w:val="left"/>
      <w:pPr>
        <w:ind w:left="4209" w:hanging="720"/>
      </w:pPr>
      <w:rPr>
        <w:rFonts w:hint="default"/>
      </w:rPr>
    </w:lvl>
    <w:lvl w:ilvl="5">
      <w:numFmt w:val="bullet"/>
      <w:lvlText w:val="•"/>
      <w:lvlJc w:val="left"/>
      <w:pPr>
        <w:ind w:left="5052" w:hanging="720"/>
      </w:pPr>
      <w:rPr>
        <w:rFonts w:hint="default"/>
      </w:rPr>
    </w:lvl>
    <w:lvl w:ilvl="6">
      <w:numFmt w:val="bullet"/>
      <w:lvlText w:val="•"/>
      <w:lvlJc w:val="left"/>
      <w:pPr>
        <w:ind w:left="5894" w:hanging="720"/>
      </w:pPr>
      <w:rPr>
        <w:rFonts w:hint="default"/>
      </w:rPr>
    </w:lvl>
    <w:lvl w:ilvl="7">
      <w:numFmt w:val="bullet"/>
      <w:lvlText w:val="•"/>
      <w:lvlJc w:val="left"/>
      <w:pPr>
        <w:ind w:left="6737" w:hanging="720"/>
      </w:pPr>
      <w:rPr>
        <w:rFonts w:hint="default"/>
      </w:rPr>
    </w:lvl>
    <w:lvl w:ilvl="8">
      <w:numFmt w:val="bullet"/>
      <w:lvlText w:val="•"/>
      <w:lvlJc w:val="left"/>
      <w:pPr>
        <w:ind w:left="7579" w:hanging="720"/>
      </w:pPr>
      <w:rPr>
        <w:rFonts w:hint="default"/>
      </w:rPr>
    </w:lvl>
  </w:abstractNum>
  <w:num w:numId="1" w16cid:durableId="15056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28"/>
    <w:rsid w:val="000051DD"/>
    <w:rsid w:val="00014C40"/>
    <w:rsid w:val="000431E8"/>
    <w:rsid w:val="000A4AAC"/>
    <w:rsid w:val="000B2913"/>
    <w:rsid w:val="00145CBC"/>
    <w:rsid w:val="0014612C"/>
    <w:rsid w:val="00163615"/>
    <w:rsid w:val="001723D4"/>
    <w:rsid w:val="001A39BB"/>
    <w:rsid w:val="001B149C"/>
    <w:rsid w:val="00221943"/>
    <w:rsid w:val="00280E2F"/>
    <w:rsid w:val="002944F6"/>
    <w:rsid w:val="002B6613"/>
    <w:rsid w:val="002F5D97"/>
    <w:rsid w:val="003A0126"/>
    <w:rsid w:val="004633DA"/>
    <w:rsid w:val="004C2C28"/>
    <w:rsid w:val="0051032F"/>
    <w:rsid w:val="00594238"/>
    <w:rsid w:val="005A4208"/>
    <w:rsid w:val="005B4E05"/>
    <w:rsid w:val="005E2D35"/>
    <w:rsid w:val="006328C6"/>
    <w:rsid w:val="00632915"/>
    <w:rsid w:val="00663D65"/>
    <w:rsid w:val="00671375"/>
    <w:rsid w:val="0067440F"/>
    <w:rsid w:val="006B1637"/>
    <w:rsid w:val="006D47A8"/>
    <w:rsid w:val="006F2F67"/>
    <w:rsid w:val="00700555"/>
    <w:rsid w:val="00720978"/>
    <w:rsid w:val="007F7C80"/>
    <w:rsid w:val="00835285"/>
    <w:rsid w:val="008450A3"/>
    <w:rsid w:val="00880617"/>
    <w:rsid w:val="0088194F"/>
    <w:rsid w:val="008B731D"/>
    <w:rsid w:val="00922407"/>
    <w:rsid w:val="00936C65"/>
    <w:rsid w:val="00972127"/>
    <w:rsid w:val="00980AC0"/>
    <w:rsid w:val="009B38E2"/>
    <w:rsid w:val="009E2588"/>
    <w:rsid w:val="009F135B"/>
    <w:rsid w:val="00A042B6"/>
    <w:rsid w:val="00A24A21"/>
    <w:rsid w:val="00A279EB"/>
    <w:rsid w:val="00A34B76"/>
    <w:rsid w:val="00A44C83"/>
    <w:rsid w:val="00A6156E"/>
    <w:rsid w:val="00A72652"/>
    <w:rsid w:val="00AB2284"/>
    <w:rsid w:val="00B0177F"/>
    <w:rsid w:val="00B97BFA"/>
    <w:rsid w:val="00BA76A1"/>
    <w:rsid w:val="00C15D41"/>
    <w:rsid w:val="00C34CC7"/>
    <w:rsid w:val="00C41D1E"/>
    <w:rsid w:val="00C939C1"/>
    <w:rsid w:val="00D51CEB"/>
    <w:rsid w:val="00D82639"/>
    <w:rsid w:val="00DC1B28"/>
    <w:rsid w:val="00DD5132"/>
    <w:rsid w:val="00E00C37"/>
    <w:rsid w:val="00E1558F"/>
    <w:rsid w:val="00E643B5"/>
    <w:rsid w:val="00E6587F"/>
    <w:rsid w:val="00E87AE2"/>
    <w:rsid w:val="00E87CD4"/>
    <w:rsid w:val="00EE5E5F"/>
    <w:rsid w:val="00EF43C3"/>
    <w:rsid w:val="00F020BE"/>
    <w:rsid w:val="00F97968"/>
    <w:rsid w:val="00FA7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0C51"/>
  <w15:docId w15:val="{3AD2641C-9E09-4005-972C-B2846980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720"/>
    </w:pPr>
    <w:rPr>
      <w:sz w:val="24"/>
      <w:szCs w:val="24"/>
    </w:rPr>
  </w:style>
  <w:style w:type="paragraph" w:styleId="Title">
    <w:name w:val="Title"/>
    <w:basedOn w:val="Normal"/>
    <w:uiPriority w:val="1"/>
    <w:qFormat/>
    <w:pPr>
      <w:spacing w:before="111"/>
      <w:ind w:left="1958" w:right="1954"/>
      <w:jc w:val="center"/>
    </w:pPr>
    <w:rPr>
      <w:b/>
      <w:bCs/>
      <w:sz w:val="44"/>
      <w:szCs w:val="44"/>
    </w:rPr>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2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67"/>
    <w:rPr>
      <w:rFonts w:ascii="Segoe UI" w:eastAsia="Book Antiqua" w:hAnsi="Segoe UI" w:cs="Segoe UI"/>
      <w:sz w:val="18"/>
      <w:szCs w:val="18"/>
    </w:rPr>
  </w:style>
  <w:style w:type="character" w:styleId="Hyperlink">
    <w:name w:val="Hyperlink"/>
    <w:basedOn w:val="DefaultParagraphFont"/>
    <w:uiPriority w:val="99"/>
    <w:unhideWhenUsed/>
    <w:rsid w:val="008B731D"/>
    <w:rPr>
      <w:color w:val="0000FF" w:themeColor="hyperlink"/>
      <w:u w:val="single"/>
    </w:rPr>
  </w:style>
  <w:style w:type="character" w:customStyle="1" w:styleId="BodyTextChar">
    <w:name w:val="Body Text Char"/>
    <w:basedOn w:val="DefaultParagraphFont"/>
    <w:link w:val="BodyText"/>
    <w:uiPriority w:val="1"/>
    <w:rsid w:val="008B731D"/>
    <w:rPr>
      <w:rFonts w:ascii="Book Antiqua" w:eastAsia="Book Antiqua" w:hAnsi="Book Antiqua" w:cs="Book Antiqua"/>
      <w:sz w:val="24"/>
      <w:szCs w:val="24"/>
    </w:rPr>
  </w:style>
  <w:style w:type="character" w:styleId="CommentReference">
    <w:name w:val="annotation reference"/>
    <w:basedOn w:val="DefaultParagraphFont"/>
    <w:uiPriority w:val="99"/>
    <w:semiHidden/>
    <w:unhideWhenUsed/>
    <w:rsid w:val="00594238"/>
    <w:rPr>
      <w:sz w:val="16"/>
      <w:szCs w:val="16"/>
    </w:rPr>
  </w:style>
  <w:style w:type="paragraph" w:styleId="CommentText">
    <w:name w:val="annotation text"/>
    <w:basedOn w:val="Normal"/>
    <w:link w:val="CommentTextChar"/>
    <w:uiPriority w:val="99"/>
    <w:unhideWhenUsed/>
    <w:rsid w:val="00594238"/>
    <w:rPr>
      <w:sz w:val="20"/>
      <w:szCs w:val="20"/>
    </w:rPr>
  </w:style>
  <w:style w:type="character" w:customStyle="1" w:styleId="CommentTextChar">
    <w:name w:val="Comment Text Char"/>
    <w:basedOn w:val="DefaultParagraphFont"/>
    <w:link w:val="CommentText"/>
    <w:uiPriority w:val="99"/>
    <w:rsid w:val="00594238"/>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594238"/>
    <w:rPr>
      <w:b/>
      <w:bCs/>
    </w:rPr>
  </w:style>
  <w:style w:type="character" w:customStyle="1" w:styleId="CommentSubjectChar">
    <w:name w:val="Comment Subject Char"/>
    <w:basedOn w:val="CommentTextChar"/>
    <w:link w:val="CommentSubject"/>
    <w:uiPriority w:val="99"/>
    <w:semiHidden/>
    <w:rsid w:val="00594238"/>
    <w:rPr>
      <w:rFonts w:ascii="Book Antiqua" w:eastAsia="Book Antiqua" w:hAnsi="Book Antiqua" w:cs="Book Antiqua"/>
      <w:b/>
      <w:bCs/>
      <w:sz w:val="20"/>
      <w:szCs w:val="20"/>
    </w:rPr>
  </w:style>
  <w:style w:type="paragraph" w:styleId="Revision">
    <w:name w:val="Revision"/>
    <w:hidden/>
    <w:uiPriority w:val="99"/>
    <w:semiHidden/>
    <w:rsid w:val="003A0126"/>
    <w:pPr>
      <w:widowControl/>
      <w:autoSpaceDE/>
      <w:autoSpaceDN/>
    </w:pPr>
    <w:rPr>
      <w:rFonts w:ascii="Book Antiqua" w:eastAsia="Book Antiqua" w:hAnsi="Book Antiqua" w:cs="Book Antiqua"/>
    </w:rPr>
  </w:style>
  <w:style w:type="character" w:styleId="UnresolvedMention">
    <w:name w:val="Unresolved Mention"/>
    <w:basedOn w:val="DefaultParagraphFont"/>
    <w:uiPriority w:val="99"/>
    <w:semiHidden/>
    <w:unhideWhenUsed/>
    <w:rsid w:val="0014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supcourt.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supcourt.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Completion xmlns="5464e00b-0b32-4156-8404-d5d411511567" xsi:nil="true"/>
    <Notes xmlns="5464e00b-0b32-4156-8404-d5d4115115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5cc8a0bce2498d96fd32e60cd69ae69">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58bbaed769e86148660196bd5f7fec16"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F60DF-E9DA-4333-BE82-A3C6221ED6D7}">
  <ds:schemaRefs>
    <ds:schemaRef ds:uri="http://schemas.microsoft.com/sharepoint/v3/contenttype/forms"/>
  </ds:schemaRefs>
</ds:datastoreItem>
</file>

<file path=customXml/itemProps2.xml><?xml version="1.0" encoding="utf-8"?>
<ds:datastoreItem xmlns:ds="http://schemas.openxmlformats.org/officeDocument/2006/customXml" ds:itemID="{B68E3A2F-B484-4736-AFD2-DAD0DFD299BA}">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customXml/itemProps3.xml><?xml version="1.0" encoding="utf-8"?>
<ds:datastoreItem xmlns:ds="http://schemas.openxmlformats.org/officeDocument/2006/customXml" ds:itemID="{62010D5C-D372-48D3-85C0-2499DED1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7789E-BB89-495F-AAA4-49910EBA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1033</Words>
  <Characters>5000</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Microsoft Word - Gen9NotificationsundertheOpenCourtsAct.docx</vt:lpstr>
    </vt:vector>
  </TitlesOfParts>
  <Company>Supreme Court of Victoria</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Gen9NotificationsundertheOpenCourtsAct.docx</dc:title>
  <dc:creator>wickinga</dc:creator>
  <cp:lastModifiedBy>Emmet O'Cuana</cp:lastModifiedBy>
  <cp:revision>5</cp:revision>
  <dcterms:created xsi:type="dcterms:W3CDTF">2025-11-30T23:17:00Z</dcterms:created>
  <dcterms:modified xsi:type="dcterms:W3CDTF">2025-12-01T00:47:00Z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Creator">
    <vt:lpwstr>PScript5.dll Version 5.2.2</vt:lpwstr>
  </property>
  <property fmtid="{D5CDD505-2E9C-101B-9397-08002B2CF9AE}" pid="4" name="LastSaved">
    <vt:filetime>2021-01-14T00:00:00Z</vt:filetime>
  </property>
  <property fmtid="{D5CDD505-2E9C-101B-9397-08002B2CF9AE}" pid="5" name="ContentTypeId">
    <vt:lpwstr>0x01010021784356EB05BA48A782C06D5CE0C944</vt:lpwstr>
  </property>
  <property fmtid="{D5CDD505-2E9C-101B-9397-08002B2CF9AE}" pid="6" name="Order">
    <vt:r8>1566200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