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2" w:rsidRPr="00884C39" w:rsidRDefault="007B3902" w:rsidP="00D85336">
      <w:pPr>
        <w:autoSpaceDE w:val="0"/>
        <w:autoSpaceDN w:val="0"/>
        <w:adjustRightInd w:val="0"/>
        <w:jc w:val="center"/>
        <w:rPr>
          <w:b/>
          <w:bCs/>
          <w:color w:val="000000"/>
        </w:rPr>
      </w:pPr>
    </w:p>
    <w:p w:rsidR="00D85336" w:rsidRPr="00884C39" w:rsidRDefault="00D85336" w:rsidP="00D85336">
      <w:pPr>
        <w:autoSpaceDE w:val="0"/>
        <w:autoSpaceDN w:val="0"/>
        <w:adjustRightInd w:val="0"/>
        <w:jc w:val="center"/>
        <w:rPr>
          <w:b/>
          <w:bCs/>
          <w:color w:val="000000"/>
        </w:rPr>
      </w:pPr>
    </w:p>
    <w:p w:rsidR="00D85336" w:rsidRPr="00884C39" w:rsidRDefault="00D85336" w:rsidP="00D85336">
      <w:pPr>
        <w:autoSpaceDE w:val="0"/>
        <w:autoSpaceDN w:val="0"/>
        <w:adjustRightInd w:val="0"/>
        <w:jc w:val="center"/>
        <w:rPr>
          <w:b/>
          <w:bCs/>
          <w:color w:val="000000"/>
        </w:rPr>
      </w:pPr>
    </w:p>
    <w:p w:rsidR="00D85336" w:rsidRPr="00884C39" w:rsidRDefault="00D85336" w:rsidP="00D85336">
      <w:pPr>
        <w:autoSpaceDE w:val="0"/>
        <w:autoSpaceDN w:val="0"/>
        <w:adjustRightInd w:val="0"/>
        <w:jc w:val="center"/>
        <w:rPr>
          <w:b/>
          <w:bCs/>
          <w:color w:val="000000"/>
        </w:rPr>
      </w:pPr>
    </w:p>
    <w:p w:rsidR="00AF72F1" w:rsidRPr="00884C39" w:rsidRDefault="00884C39" w:rsidP="00D85336">
      <w:pPr>
        <w:autoSpaceDE w:val="0"/>
        <w:autoSpaceDN w:val="0"/>
        <w:adjustRightInd w:val="0"/>
        <w:spacing w:line="360" w:lineRule="auto"/>
        <w:jc w:val="center"/>
        <w:rPr>
          <w:b/>
          <w:bCs/>
          <w:color w:val="000000"/>
          <w:sz w:val="44"/>
          <w:szCs w:val="44"/>
        </w:rPr>
      </w:pPr>
      <w:r>
        <w:rPr>
          <w:b/>
          <w:bCs/>
          <w:noProof/>
          <w:color w:val="000000"/>
          <w:sz w:val="44"/>
          <w:szCs w:val="44"/>
        </w:rPr>
        <w:drawing>
          <wp:anchor distT="0" distB="0" distL="114300" distR="114300" simplePos="0" relativeHeight="251657728" behindDoc="0" locked="0" layoutInCell="1" allowOverlap="0">
            <wp:simplePos x="0" y="0"/>
            <wp:positionH relativeFrom="column">
              <wp:posOffset>1933575</wp:posOffset>
            </wp:positionH>
            <wp:positionV relativeFrom="paragraph">
              <wp:posOffset>-868680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59" w:rsidRPr="00884C39" w:rsidRDefault="00271B59" w:rsidP="00271B59">
      <w:pPr>
        <w:autoSpaceDE w:val="0"/>
        <w:autoSpaceDN w:val="0"/>
        <w:adjustRightInd w:val="0"/>
        <w:jc w:val="center"/>
        <w:rPr>
          <w:b/>
          <w:bCs/>
          <w:color w:val="000000"/>
          <w:sz w:val="44"/>
          <w:szCs w:val="44"/>
        </w:rPr>
      </w:pPr>
      <w:r w:rsidRPr="00884C39">
        <w:rPr>
          <w:b/>
          <w:bCs/>
          <w:color w:val="000000"/>
          <w:sz w:val="44"/>
          <w:szCs w:val="44"/>
        </w:rPr>
        <w:t xml:space="preserve">Supreme Court of </w:t>
      </w:r>
      <w:smartTag w:uri="urn:schemas-microsoft-com:office:smarttags" w:element="place">
        <w:smartTag w:uri="urn:schemas-microsoft-com:office:smarttags" w:element="State">
          <w:r w:rsidRPr="00884C39">
            <w:rPr>
              <w:b/>
              <w:bCs/>
              <w:color w:val="000000"/>
              <w:sz w:val="44"/>
              <w:szCs w:val="44"/>
            </w:rPr>
            <w:t>Victoria</w:t>
          </w:r>
        </w:smartTag>
      </w:smartTag>
    </w:p>
    <w:p w:rsidR="00271B59" w:rsidRPr="00884C39" w:rsidRDefault="00271B59" w:rsidP="00271B59">
      <w:pPr>
        <w:autoSpaceDE w:val="0"/>
        <w:autoSpaceDN w:val="0"/>
        <w:adjustRightInd w:val="0"/>
        <w:jc w:val="center"/>
        <w:rPr>
          <w:b/>
          <w:color w:val="000000"/>
          <w:sz w:val="36"/>
          <w:szCs w:val="32"/>
        </w:rPr>
      </w:pPr>
      <w:r w:rsidRPr="00884C39">
        <w:rPr>
          <w:b/>
          <w:color w:val="000000"/>
          <w:sz w:val="36"/>
          <w:szCs w:val="32"/>
        </w:rPr>
        <w:t>Common Law Division</w:t>
      </w:r>
    </w:p>
    <w:p w:rsidR="00271B59" w:rsidRPr="00884C39" w:rsidRDefault="00271B59" w:rsidP="00271B59">
      <w:pPr>
        <w:autoSpaceDE w:val="0"/>
        <w:autoSpaceDN w:val="0"/>
        <w:adjustRightInd w:val="0"/>
        <w:spacing w:line="360" w:lineRule="auto"/>
        <w:jc w:val="center"/>
        <w:rPr>
          <w:b/>
          <w:color w:val="000000"/>
          <w:u w:val="single"/>
        </w:rPr>
      </w:pPr>
    </w:p>
    <w:p w:rsidR="00271B59" w:rsidRPr="00884C39" w:rsidRDefault="00271B59" w:rsidP="00271B59">
      <w:pPr>
        <w:autoSpaceDE w:val="0"/>
        <w:autoSpaceDN w:val="0"/>
        <w:adjustRightInd w:val="0"/>
        <w:spacing w:line="360" w:lineRule="auto"/>
        <w:jc w:val="center"/>
        <w:rPr>
          <w:b/>
          <w:color w:val="000000"/>
          <w:sz w:val="28"/>
        </w:rPr>
      </w:pPr>
      <w:r w:rsidRPr="00884C39">
        <w:rPr>
          <w:b/>
          <w:color w:val="000000"/>
          <w:sz w:val="28"/>
        </w:rPr>
        <w:t>Practice Note No.</w:t>
      </w:r>
      <w:r w:rsidR="007E1D5F" w:rsidRPr="00884C39">
        <w:rPr>
          <w:b/>
          <w:color w:val="000000"/>
          <w:sz w:val="28"/>
        </w:rPr>
        <w:t xml:space="preserve"> 6 of 2015</w:t>
      </w:r>
    </w:p>
    <w:p w:rsidR="00271B59" w:rsidRPr="00884C39" w:rsidRDefault="009413DA" w:rsidP="00271B59">
      <w:pPr>
        <w:autoSpaceDE w:val="0"/>
        <w:autoSpaceDN w:val="0"/>
        <w:adjustRightInd w:val="0"/>
        <w:spacing w:line="360" w:lineRule="auto"/>
        <w:jc w:val="center"/>
        <w:rPr>
          <w:b/>
          <w:color w:val="000000"/>
          <w:sz w:val="28"/>
        </w:rPr>
      </w:pPr>
      <w:r w:rsidRPr="00884C39">
        <w:rPr>
          <w:b/>
          <w:color w:val="000000"/>
          <w:sz w:val="28"/>
        </w:rPr>
        <w:t>Probate List</w:t>
      </w:r>
    </w:p>
    <w:p w:rsidR="00D85336" w:rsidRPr="00884C39" w:rsidRDefault="00D85336" w:rsidP="00D85336">
      <w:pPr>
        <w:autoSpaceDE w:val="0"/>
        <w:autoSpaceDN w:val="0"/>
        <w:adjustRightInd w:val="0"/>
        <w:spacing w:line="360" w:lineRule="auto"/>
        <w:jc w:val="center"/>
        <w:rPr>
          <w:color w:val="000000"/>
        </w:rPr>
      </w:pPr>
    </w:p>
    <w:p w:rsidR="008515EE" w:rsidRPr="00884C39" w:rsidRDefault="00C02583" w:rsidP="00884C39">
      <w:pPr>
        <w:pStyle w:val="Heading1"/>
      </w:pPr>
      <w:r w:rsidRPr="00884C39">
        <w:t>1.</w:t>
      </w:r>
      <w:r w:rsidRPr="00884C39">
        <w:tab/>
        <w:t>INTRODUCTION</w:t>
      </w:r>
    </w:p>
    <w:p w:rsidR="00C02583" w:rsidRPr="00884C39" w:rsidRDefault="00C02583" w:rsidP="00C02583">
      <w:pPr>
        <w:spacing w:line="360" w:lineRule="auto"/>
        <w:jc w:val="both"/>
      </w:pPr>
    </w:p>
    <w:p w:rsidR="00C02583" w:rsidRPr="00884C39" w:rsidRDefault="00C02583" w:rsidP="008846D6">
      <w:pPr>
        <w:spacing w:line="360" w:lineRule="auto"/>
        <w:ind w:left="720" w:hanging="720"/>
        <w:jc w:val="both"/>
      </w:pPr>
      <w:r w:rsidRPr="00884C39">
        <w:t>1.1</w:t>
      </w:r>
      <w:r w:rsidRPr="00884C39">
        <w:tab/>
      </w:r>
      <w:r w:rsidR="008846D6" w:rsidRPr="00884C39">
        <w:t xml:space="preserve">This Practice Note replaces </w:t>
      </w:r>
      <w:r w:rsidR="009413DA" w:rsidRPr="00884C39">
        <w:rPr>
          <w:i/>
        </w:rPr>
        <w:t>Practice Note No. 5</w:t>
      </w:r>
      <w:r w:rsidR="008846D6" w:rsidRPr="00884C39">
        <w:rPr>
          <w:i/>
        </w:rPr>
        <w:t xml:space="preserve"> of 201</w:t>
      </w:r>
      <w:r w:rsidR="009413DA" w:rsidRPr="00884C39">
        <w:rPr>
          <w:i/>
        </w:rPr>
        <w:t>1</w:t>
      </w:r>
      <w:r w:rsidR="00C60BB4" w:rsidRPr="00884C39">
        <w:t xml:space="preserve">, and provides updated guidance on the operation of the </w:t>
      </w:r>
      <w:r w:rsidR="009413DA" w:rsidRPr="00884C39">
        <w:t>Probate</w:t>
      </w:r>
      <w:r w:rsidR="00C60BB4" w:rsidRPr="00884C39">
        <w:t xml:space="preserve"> List</w:t>
      </w:r>
      <w:r w:rsidR="00DE2909" w:rsidRPr="00884C39">
        <w:t xml:space="preserve"> (</w:t>
      </w:r>
      <w:r w:rsidR="00DE2909" w:rsidRPr="00884C39">
        <w:rPr>
          <w:b/>
          <w:i/>
        </w:rPr>
        <w:t>List</w:t>
      </w:r>
      <w:r w:rsidR="00DE2909" w:rsidRPr="00884C39">
        <w:t>), a specialist case management list</w:t>
      </w:r>
      <w:r w:rsidR="00C60BB4" w:rsidRPr="00884C39">
        <w:t xml:space="preserve"> </w:t>
      </w:r>
      <w:r w:rsidR="00007DBA" w:rsidRPr="00884C39">
        <w:t>within the Common Law Division of the Supreme Court of Victoria (</w:t>
      </w:r>
      <w:r w:rsidR="00007DBA" w:rsidRPr="00884C39">
        <w:rPr>
          <w:b/>
          <w:i/>
        </w:rPr>
        <w:t>Court</w:t>
      </w:r>
      <w:r w:rsidR="00007DBA" w:rsidRPr="00884C39">
        <w:t>)</w:t>
      </w:r>
      <w:r w:rsidR="008846D6" w:rsidRPr="00884C39">
        <w:t xml:space="preserve">. </w:t>
      </w:r>
      <w:r w:rsidRPr="00884C39">
        <w:t xml:space="preserve">The procedures set out in this Practice Note will apply from </w:t>
      </w:r>
      <w:r w:rsidR="00474F94" w:rsidRPr="00884C39">
        <w:t xml:space="preserve">1 </w:t>
      </w:r>
      <w:r w:rsidR="00175191" w:rsidRPr="00884C39">
        <w:t>January</w:t>
      </w:r>
      <w:r w:rsidR="00474F94" w:rsidRPr="00884C39">
        <w:t xml:space="preserve"> 201</w:t>
      </w:r>
      <w:r w:rsidR="00175191" w:rsidRPr="00884C39">
        <w:t>5</w:t>
      </w:r>
      <w:r w:rsidRPr="00884C39">
        <w:t xml:space="preserve"> to relevant proceedings commenced in the </w:t>
      </w:r>
      <w:r w:rsidR="0018061B" w:rsidRPr="00884C39">
        <w:t>Trial Division</w:t>
      </w:r>
      <w:r w:rsidR="008846D6" w:rsidRPr="00884C39">
        <w:t xml:space="preserve"> of the Court</w:t>
      </w:r>
      <w:r w:rsidR="00FD2962" w:rsidRPr="00884C39">
        <w:t>.</w:t>
      </w:r>
    </w:p>
    <w:p w:rsidR="00C02583" w:rsidRPr="00884C39" w:rsidRDefault="00C02583" w:rsidP="00C02583">
      <w:pPr>
        <w:spacing w:line="360" w:lineRule="auto"/>
        <w:ind w:left="720" w:hanging="720"/>
        <w:jc w:val="both"/>
      </w:pPr>
    </w:p>
    <w:p w:rsidR="009413DA" w:rsidRPr="00884C39" w:rsidRDefault="00411A07" w:rsidP="00C02583">
      <w:pPr>
        <w:spacing w:line="360" w:lineRule="auto"/>
        <w:ind w:left="720" w:hanging="720"/>
        <w:jc w:val="both"/>
      </w:pPr>
      <w:r w:rsidRPr="00884C39">
        <w:t>1.2</w:t>
      </w:r>
      <w:r w:rsidRPr="00884C39">
        <w:tab/>
      </w:r>
      <w:r w:rsidR="00A60D20" w:rsidRPr="00884C39">
        <w:t>The List provides specialist administra</w:t>
      </w:r>
      <w:r w:rsidR="00FD14AC" w:rsidRPr="00884C39">
        <w:t>tive handling of probate proceedings</w:t>
      </w:r>
      <w:r w:rsidR="00A60D20" w:rsidRPr="00884C39">
        <w:t xml:space="preserve"> and an increased ability to t</w:t>
      </w:r>
      <w:r w:rsidR="00FD14AC" w:rsidRPr="00884C39">
        <w:t>rack their progress</w:t>
      </w:r>
      <w:r w:rsidR="00A60D20" w:rsidRPr="00884C39">
        <w:t>. The aim of the List is to provide consistency, reduce delay, facilitate the expeditious</w:t>
      </w:r>
      <w:r w:rsidR="009413DA" w:rsidRPr="00884C39">
        <w:t xml:space="preserve"> </w:t>
      </w:r>
      <w:r w:rsidR="00A60D20" w:rsidRPr="00884C39">
        <w:t xml:space="preserve">resolution of </w:t>
      </w:r>
      <w:r w:rsidR="009413DA" w:rsidRPr="00884C39">
        <w:t>cases</w:t>
      </w:r>
      <w:r w:rsidR="00A60D20" w:rsidRPr="00884C39">
        <w:t>, and reduce</w:t>
      </w:r>
      <w:r w:rsidR="009413DA" w:rsidRPr="00884C39">
        <w:t xml:space="preserve"> the costs of li</w:t>
      </w:r>
      <w:r w:rsidR="00A60D20" w:rsidRPr="00884C39">
        <w:t>tigation.</w:t>
      </w:r>
    </w:p>
    <w:p w:rsidR="00A60D20" w:rsidRPr="00884C39" w:rsidRDefault="00A60D20" w:rsidP="00C02583">
      <w:pPr>
        <w:spacing w:line="360" w:lineRule="auto"/>
        <w:ind w:left="720" w:hanging="720"/>
        <w:jc w:val="both"/>
      </w:pPr>
    </w:p>
    <w:p w:rsidR="00C02583" w:rsidRPr="00884C39" w:rsidRDefault="009413DA" w:rsidP="00305761">
      <w:pPr>
        <w:spacing w:line="360" w:lineRule="auto"/>
        <w:ind w:left="720" w:hanging="720"/>
        <w:jc w:val="both"/>
      </w:pPr>
      <w:r w:rsidRPr="00884C39">
        <w:t>1.3</w:t>
      </w:r>
      <w:r w:rsidR="00C02583" w:rsidRPr="00884C39">
        <w:tab/>
        <w:t>The Judge</w:t>
      </w:r>
      <w:r w:rsidR="008846D6" w:rsidRPr="00884C39">
        <w:t xml:space="preserve"> </w:t>
      </w:r>
      <w:r w:rsidR="00C02583" w:rsidRPr="00884C39">
        <w:t>in</w:t>
      </w:r>
      <w:r w:rsidR="008846D6" w:rsidRPr="00884C39">
        <w:t xml:space="preserve"> </w:t>
      </w:r>
      <w:r w:rsidR="00796E2E" w:rsidRPr="00884C39">
        <w:t xml:space="preserve">Charge of the </w:t>
      </w:r>
      <w:r w:rsidR="00C02583" w:rsidRPr="00884C39">
        <w:t xml:space="preserve">List </w:t>
      </w:r>
      <w:r w:rsidR="00C806AE" w:rsidRPr="00884C39">
        <w:t>(</w:t>
      </w:r>
      <w:r w:rsidR="00C806AE" w:rsidRPr="00884C39">
        <w:rPr>
          <w:b/>
          <w:i/>
        </w:rPr>
        <w:t>Judge in Charge</w:t>
      </w:r>
      <w:r w:rsidR="00C806AE" w:rsidRPr="00884C39">
        <w:t xml:space="preserve">) </w:t>
      </w:r>
      <w:r w:rsidR="00996F81" w:rsidRPr="00884C39">
        <w:t>is</w:t>
      </w:r>
      <w:r w:rsidR="007A1449" w:rsidRPr="00884C39">
        <w:t xml:space="preserve"> Justice </w:t>
      </w:r>
      <w:r w:rsidRPr="00884C39">
        <w:t>McMillan</w:t>
      </w:r>
      <w:r w:rsidR="008846D6" w:rsidRPr="00884C39">
        <w:t>.</w:t>
      </w:r>
      <w:r w:rsidR="0098467D" w:rsidRPr="00884C39">
        <w:t xml:space="preserve"> Her Honour is assisted by Associate Justice Zammit.</w:t>
      </w:r>
    </w:p>
    <w:p w:rsidR="00B40971" w:rsidRPr="00884C39" w:rsidRDefault="00B40971" w:rsidP="00305761">
      <w:pPr>
        <w:spacing w:line="360" w:lineRule="auto"/>
        <w:ind w:left="720" w:hanging="720"/>
        <w:jc w:val="both"/>
      </w:pPr>
    </w:p>
    <w:p w:rsidR="00553534" w:rsidRPr="00884C39" w:rsidRDefault="00C806AE" w:rsidP="00B40971">
      <w:pPr>
        <w:spacing w:line="360" w:lineRule="auto"/>
        <w:ind w:left="720" w:hanging="720"/>
        <w:jc w:val="both"/>
      </w:pPr>
      <w:r w:rsidRPr="00884C39">
        <w:t>1.4</w:t>
      </w:r>
      <w:r w:rsidR="00B40971" w:rsidRPr="00884C39">
        <w:tab/>
      </w:r>
      <w:r w:rsidR="00CC2810" w:rsidRPr="00884C39">
        <w:t xml:space="preserve">References </w:t>
      </w:r>
      <w:r w:rsidR="004A7F8E" w:rsidRPr="00884C39">
        <w:t xml:space="preserve">in this Practice Note to </w:t>
      </w:r>
      <w:r w:rsidR="00CC2810" w:rsidRPr="00884C39">
        <w:rPr>
          <w:b/>
          <w:i/>
        </w:rPr>
        <w:t>Associate</w:t>
      </w:r>
      <w:r w:rsidR="00494F9A" w:rsidRPr="00884C39">
        <w:t xml:space="preserve"> are</w:t>
      </w:r>
      <w:r w:rsidR="00CC2810" w:rsidRPr="00884C39">
        <w:t xml:space="preserve"> to be read as references to the </w:t>
      </w:r>
      <w:r w:rsidR="00494F9A" w:rsidRPr="00884C39">
        <w:t>Associate</w:t>
      </w:r>
      <w:r w:rsidR="009413DA" w:rsidRPr="00884C39">
        <w:t xml:space="preserve"> to</w:t>
      </w:r>
      <w:r w:rsidRPr="00884C39">
        <w:t xml:space="preserve"> the Judge in Charge</w:t>
      </w:r>
      <w:r w:rsidR="00CC2810" w:rsidRPr="00884C39">
        <w:t>.</w:t>
      </w:r>
    </w:p>
    <w:p w:rsidR="00411A07" w:rsidRPr="00884C39" w:rsidRDefault="00411A07" w:rsidP="00B40971">
      <w:pPr>
        <w:spacing w:line="360" w:lineRule="auto"/>
        <w:ind w:left="720" w:hanging="720"/>
        <w:jc w:val="both"/>
      </w:pPr>
    </w:p>
    <w:p w:rsidR="00A60D20" w:rsidRPr="00884C39" w:rsidRDefault="00C806AE" w:rsidP="00B40971">
      <w:pPr>
        <w:spacing w:line="360" w:lineRule="auto"/>
        <w:ind w:left="720" w:hanging="720"/>
        <w:jc w:val="both"/>
      </w:pPr>
      <w:r w:rsidRPr="00884C39">
        <w:lastRenderedPageBreak/>
        <w:t>1.5</w:t>
      </w:r>
      <w:r w:rsidR="00A60D20" w:rsidRPr="00884C39">
        <w:tab/>
      </w:r>
      <w:r w:rsidR="002871CD" w:rsidRPr="00884C39">
        <w:t xml:space="preserve">References </w:t>
      </w:r>
      <w:r w:rsidR="004A7F8E" w:rsidRPr="00884C39">
        <w:t xml:space="preserve">in this Practice Note to </w:t>
      </w:r>
      <w:r w:rsidR="004A7F8E" w:rsidRPr="00884C39">
        <w:rPr>
          <w:b/>
          <w:i/>
        </w:rPr>
        <w:t>Registrar</w:t>
      </w:r>
      <w:r w:rsidR="002871CD" w:rsidRPr="00884C39">
        <w:t xml:space="preserve"> are to be read as references to the Registrar of Probates, Deputy Registrar of Probates or an Assistant Registrar of Probates.</w:t>
      </w:r>
    </w:p>
    <w:p w:rsidR="00411A07" w:rsidRPr="00884C39" w:rsidRDefault="00411A07" w:rsidP="00B40971">
      <w:pPr>
        <w:spacing w:line="360" w:lineRule="auto"/>
        <w:ind w:left="720" w:hanging="720"/>
        <w:jc w:val="both"/>
      </w:pPr>
    </w:p>
    <w:p w:rsidR="00C02583" w:rsidRPr="00884C39" w:rsidRDefault="00C02583" w:rsidP="00884C39">
      <w:pPr>
        <w:pStyle w:val="Heading1"/>
      </w:pPr>
      <w:r w:rsidRPr="00884C39">
        <w:t>2.</w:t>
      </w:r>
      <w:r w:rsidRPr="00884C39">
        <w:tab/>
      </w:r>
      <w:r w:rsidR="00FD14AC" w:rsidRPr="00884C39">
        <w:t>PROCEEDINGS</w:t>
      </w:r>
      <w:r w:rsidR="00BB0853" w:rsidRPr="00884C39">
        <w:t xml:space="preserve"> SUITABLE FOR </w:t>
      </w:r>
      <w:r w:rsidRPr="00884C39">
        <w:t>INCLUSION IN THE LIST</w:t>
      </w:r>
    </w:p>
    <w:p w:rsidR="00C02583" w:rsidRPr="00884C39" w:rsidRDefault="00C02583" w:rsidP="00A60D20">
      <w:pPr>
        <w:spacing w:line="360" w:lineRule="auto"/>
        <w:ind w:left="720" w:hanging="720"/>
        <w:contextualSpacing/>
        <w:jc w:val="both"/>
      </w:pPr>
    </w:p>
    <w:p w:rsidR="00C02583" w:rsidRPr="00884C39" w:rsidRDefault="00C02583" w:rsidP="00A60D20">
      <w:pPr>
        <w:spacing w:line="360" w:lineRule="auto"/>
        <w:ind w:left="720" w:hanging="720"/>
        <w:contextualSpacing/>
        <w:jc w:val="both"/>
      </w:pPr>
      <w:r w:rsidRPr="00884C39">
        <w:t>2.1</w:t>
      </w:r>
      <w:r w:rsidRPr="00884C39">
        <w:tab/>
      </w:r>
      <w:r w:rsidR="00A60D20" w:rsidRPr="00884C39">
        <w:t xml:space="preserve">The following </w:t>
      </w:r>
      <w:r w:rsidR="00B8080B" w:rsidRPr="00884C39">
        <w:t>types of proceedings</w:t>
      </w:r>
      <w:r w:rsidR="00A60D20" w:rsidRPr="00884C39">
        <w:t xml:space="preserve"> </w:t>
      </w:r>
      <w:r w:rsidR="00C806AE" w:rsidRPr="00884C39">
        <w:t>should be initiated</w:t>
      </w:r>
      <w:r w:rsidR="00A60D20" w:rsidRPr="00884C39">
        <w:t xml:space="preserve"> in the List</w:t>
      </w:r>
      <w:r w:rsidRPr="00884C39">
        <w:t>:</w:t>
      </w:r>
    </w:p>
    <w:p w:rsidR="00D56B8D" w:rsidRPr="00884C39" w:rsidRDefault="00E7631C" w:rsidP="00494F9A">
      <w:pPr>
        <w:numPr>
          <w:ilvl w:val="1"/>
          <w:numId w:val="19"/>
        </w:numPr>
        <w:spacing w:line="360" w:lineRule="auto"/>
        <w:contextualSpacing/>
        <w:jc w:val="both"/>
      </w:pPr>
      <w:r w:rsidRPr="00884C39">
        <w:t>A</w:t>
      </w:r>
      <w:r w:rsidR="00A60D20" w:rsidRPr="00884C39">
        <w:t>pplications for grants of representation that are referred by the Registrar to the Judge</w:t>
      </w:r>
      <w:r w:rsidR="00FF77FF" w:rsidRPr="00884C39">
        <w:t xml:space="preserve"> in Charge</w:t>
      </w:r>
      <w:r w:rsidR="00A60D20" w:rsidRPr="00884C39">
        <w:t>;</w:t>
      </w:r>
    </w:p>
    <w:p w:rsidR="00D56B8D" w:rsidRPr="00884C39" w:rsidRDefault="00E7631C" w:rsidP="00494F9A">
      <w:pPr>
        <w:numPr>
          <w:ilvl w:val="1"/>
          <w:numId w:val="19"/>
        </w:numPr>
        <w:spacing w:line="360" w:lineRule="auto"/>
        <w:contextualSpacing/>
        <w:jc w:val="both"/>
      </w:pPr>
      <w:r w:rsidRPr="00884C39">
        <w:t>C</w:t>
      </w:r>
      <w:r w:rsidR="00FD14AC" w:rsidRPr="00884C39">
        <w:t>aveat proceedings</w:t>
      </w:r>
      <w:r w:rsidR="00A60D20" w:rsidRPr="00884C39">
        <w:t xml:space="preserve"> where a summons for directions has been filed pursuant to rule 8.07 of the </w:t>
      </w:r>
      <w:r w:rsidR="00A60D20" w:rsidRPr="00884C39">
        <w:rPr>
          <w:i/>
        </w:rPr>
        <w:t>Supreme Court (Administration and Probate) Rules 2014</w:t>
      </w:r>
      <w:r w:rsidR="00A60D20" w:rsidRPr="00884C39">
        <w:t xml:space="preserve"> (</w:t>
      </w:r>
      <w:r w:rsidR="00A60D20" w:rsidRPr="00884C39">
        <w:rPr>
          <w:b/>
          <w:i/>
        </w:rPr>
        <w:t>Rule</w:t>
      </w:r>
      <w:r w:rsidR="00042383" w:rsidRPr="00884C39">
        <w:rPr>
          <w:b/>
          <w:i/>
        </w:rPr>
        <w:t>s</w:t>
      </w:r>
      <w:r w:rsidR="00A60D20" w:rsidRPr="00884C39">
        <w:t>);</w:t>
      </w:r>
    </w:p>
    <w:p w:rsidR="00D56B8D" w:rsidRPr="00884C39" w:rsidRDefault="00E7631C" w:rsidP="00494F9A">
      <w:pPr>
        <w:numPr>
          <w:ilvl w:val="1"/>
          <w:numId w:val="19"/>
        </w:numPr>
        <w:spacing w:line="360" w:lineRule="auto"/>
        <w:contextualSpacing/>
        <w:jc w:val="both"/>
      </w:pPr>
      <w:r w:rsidRPr="00884C39">
        <w:t>A</w:t>
      </w:r>
      <w:r w:rsidR="00A60D20" w:rsidRPr="00884C39">
        <w:t>pplicatio</w:t>
      </w:r>
      <w:r w:rsidR="00042383" w:rsidRPr="00884C39">
        <w:t>ns for limited grants, including grants of letters of administration,</w:t>
      </w:r>
      <w:r w:rsidR="00A60D20" w:rsidRPr="00884C39">
        <w:t xml:space="preserve"> </w:t>
      </w:r>
      <w:r w:rsidR="00A60D20" w:rsidRPr="00884C39">
        <w:rPr>
          <w:i/>
        </w:rPr>
        <w:t xml:space="preserve">ad </w:t>
      </w:r>
      <w:proofErr w:type="spellStart"/>
      <w:r w:rsidR="00A60D20" w:rsidRPr="00884C39">
        <w:rPr>
          <w:i/>
        </w:rPr>
        <w:t>colligendum</w:t>
      </w:r>
      <w:proofErr w:type="spellEnd"/>
      <w:r w:rsidR="00A60D20" w:rsidRPr="00884C39">
        <w:rPr>
          <w:i/>
        </w:rPr>
        <w:t xml:space="preserve"> bona</w:t>
      </w:r>
      <w:r w:rsidR="00A60D20" w:rsidRPr="00884C39">
        <w:t xml:space="preserve">, </w:t>
      </w:r>
      <w:r w:rsidR="00A60D20" w:rsidRPr="00884C39">
        <w:rPr>
          <w:i/>
        </w:rPr>
        <w:t>ad litem,</w:t>
      </w:r>
      <w:r w:rsidR="00A60D20" w:rsidRPr="00884C39">
        <w:t xml:space="preserve"> </w:t>
      </w:r>
      <w:proofErr w:type="spellStart"/>
      <w:r w:rsidR="00A60D20" w:rsidRPr="00884C39">
        <w:rPr>
          <w:i/>
        </w:rPr>
        <w:t>pendente</w:t>
      </w:r>
      <w:proofErr w:type="spellEnd"/>
      <w:r w:rsidR="00A60D20" w:rsidRPr="00884C39">
        <w:rPr>
          <w:i/>
        </w:rPr>
        <w:t xml:space="preserve"> </w:t>
      </w:r>
      <w:proofErr w:type="spellStart"/>
      <w:r w:rsidR="00A60D20" w:rsidRPr="00884C39">
        <w:rPr>
          <w:i/>
        </w:rPr>
        <w:t>lite</w:t>
      </w:r>
      <w:proofErr w:type="spellEnd"/>
      <w:r w:rsidR="00A60D20" w:rsidRPr="00884C39">
        <w:t xml:space="preserve">, </w:t>
      </w:r>
      <w:proofErr w:type="spellStart"/>
      <w:r w:rsidR="00A60D20" w:rsidRPr="00884C39">
        <w:rPr>
          <w:i/>
        </w:rPr>
        <w:t>durante</w:t>
      </w:r>
      <w:proofErr w:type="spellEnd"/>
      <w:r w:rsidR="00A60D20" w:rsidRPr="00884C39">
        <w:rPr>
          <w:i/>
        </w:rPr>
        <w:t xml:space="preserve"> dementia </w:t>
      </w:r>
      <w:r w:rsidR="00A60D20" w:rsidRPr="00884C39">
        <w:t xml:space="preserve">or </w:t>
      </w:r>
      <w:proofErr w:type="spellStart"/>
      <w:r w:rsidR="00A60D20" w:rsidRPr="00884C39">
        <w:rPr>
          <w:i/>
        </w:rPr>
        <w:t>durante</w:t>
      </w:r>
      <w:proofErr w:type="spellEnd"/>
      <w:r w:rsidR="00A60D20" w:rsidRPr="00884C39">
        <w:rPr>
          <w:i/>
        </w:rPr>
        <w:t xml:space="preserve"> </w:t>
      </w:r>
      <w:proofErr w:type="spellStart"/>
      <w:r w:rsidR="00A60D20" w:rsidRPr="00884C39">
        <w:rPr>
          <w:i/>
        </w:rPr>
        <w:t>minore</w:t>
      </w:r>
      <w:proofErr w:type="spellEnd"/>
      <w:r w:rsidR="00A60D20" w:rsidRPr="00884C39">
        <w:rPr>
          <w:i/>
        </w:rPr>
        <w:t xml:space="preserve"> </w:t>
      </w:r>
      <w:proofErr w:type="spellStart"/>
      <w:r w:rsidR="00A60D20" w:rsidRPr="00884C39">
        <w:rPr>
          <w:i/>
        </w:rPr>
        <w:t>aetate</w:t>
      </w:r>
      <w:proofErr w:type="spellEnd"/>
      <w:r w:rsidR="00A60D20" w:rsidRPr="00884C39">
        <w:t>;</w:t>
      </w:r>
    </w:p>
    <w:p w:rsidR="00D56B8D" w:rsidRPr="00884C39" w:rsidRDefault="00E7631C" w:rsidP="00494F9A">
      <w:pPr>
        <w:numPr>
          <w:ilvl w:val="1"/>
          <w:numId w:val="19"/>
        </w:numPr>
        <w:spacing w:line="360" w:lineRule="auto"/>
        <w:contextualSpacing/>
        <w:jc w:val="both"/>
      </w:pPr>
      <w:r w:rsidRPr="00884C39">
        <w:t>A</w:t>
      </w:r>
      <w:r w:rsidR="00A60D20" w:rsidRPr="00884C39">
        <w:t>pplications for revocation of grants of representation;</w:t>
      </w:r>
    </w:p>
    <w:p w:rsidR="00D56B8D" w:rsidRPr="00884C39" w:rsidRDefault="00E7631C" w:rsidP="00494F9A">
      <w:pPr>
        <w:numPr>
          <w:ilvl w:val="1"/>
          <w:numId w:val="19"/>
        </w:numPr>
        <w:spacing w:line="360" w:lineRule="auto"/>
        <w:contextualSpacing/>
        <w:jc w:val="both"/>
      </w:pPr>
      <w:r w:rsidRPr="00884C39">
        <w:t>A</w:t>
      </w:r>
      <w:r w:rsidR="00A60D20" w:rsidRPr="00884C39">
        <w:t>pplications for rectification of a will;</w:t>
      </w:r>
    </w:p>
    <w:p w:rsidR="00D56B8D" w:rsidRPr="00884C39" w:rsidRDefault="00E7631C" w:rsidP="00494F9A">
      <w:pPr>
        <w:numPr>
          <w:ilvl w:val="1"/>
          <w:numId w:val="19"/>
        </w:numPr>
        <w:spacing w:line="360" w:lineRule="auto"/>
        <w:contextualSpacing/>
        <w:jc w:val="both"/>
      </w:pPr>
      <w:r w:rsidRPr="00884C39">
        <w:t>P</w:t>
      </w:r>
      <w:r w:rsidR="00FD14AC" w:rsidRPr="00884C39">
        <w:t>roceedings</w:t>
      </w:r>
      <w:r w:rsidR="00A60D20" w:rsidRPr="00884C39">
        <w:t xml:space="preserve"> in which a party seeks construction of a will;</w:t>
      </w:r>
    </w:p>
    <w:p w:rsidR="00042383" w:rsidRPr="00884C39" w:rsidRDefault="00E7631C" w:rsidP="00494F9A">
      <w:pPr>
        <w:numPr>
          <w:ilvl w:val="1"/>
          <w:numId w:val="19"/>
        </w:numPr>
        <w:spacing w:line="360" w:lineRule="auto"/>
        <w:contextualSpacing/>
        <w:jc w:val="both"/>
      </w:pPr>
      <w:r w:rsidRPr="00884C39">
        <w:t>P</w:t>
      </w:r>
      <w:r w:rsidR="00FD14AC" w:rsidRPr="00884C39">
        <w:t>roceedings</w:t>
      </w:r>
      <w:r w:rsidR="00042383" w:rsidRPr="00884C39">
        <w:t xml:space="preserve"> in which a party seeks a statutory will pursuant to section 21 of the </w:t>
      </w:r>
      <w:r w:rsidR="00042383" w:rsidRPr="00884C39">
        <w:rPr>
          <w:i/>
        </w:rPr>
        <w:t>Wills Act 1997</w:t>
      </w:r>
      <w:r w:rsidR="00042383" w:rsidRPr="00884C39">
        <w:t>;</w:t>
      </w:r>
    </w:p>
    <w:p w:rsidR="00042383" w:rsidRPr="00884C39" w:rsidRDefault="00E7631C" w:rsidP="00494F9A">
      <w:pPr>
        <w:numPr>
          <w:ilvl w:val="1"/>
          <w:numId w:val="19"/>
        </w:numPr>
        <w:spacing w:line="360" w:lineRule="auto"/>
        <w:contextualSpacing/>
        <w:jc w:val="both"/>
      </w:pPr>
      <w:r w:rsidRPr="00884C39">
        <w:t>A</w:t>
      </w:r>
      <w:r w:rsidR="00042383" w:rsidRPr="00884C39">
        <w:t xml:space="preserve">pplications pursuant to section 63(1) of the </w:t>
      </w:r>
      <w:r w:rsidR="00042383" w:rsidRPr="00884C39">
        <w:rPr>
          <w:i/>
        </w:rPr>
        <w:t>Trustee Act 1958</w:t>
      </w:r>
      <w:r w:rsidR="00042383" w:rsidRPr="00884C39">
        <w:t xml:space="preserve"> that relate to deceased estates;</w:t>
      </w:r>
    </w:p>
    <w:p w:rsidR="00042383" w:rsidRPr="00884C39" w:rsidRDefault="00E7631C" w:rsidP="00494F9A">
      <w:pPr>
        <w:numPr>
          <w:ilvl w:val="1"/>
          <w:numId w:val="19"/>
        </w:numPr>
        <w:spacing w:line="360" w:lineRule="auto"/>
        <w:contextualSpacing/>
        <w:jc w:val="both"/>
      </w:pPr>
      <w:r w:rsidRPr="00884C39">
        <w:t>A</w:t>
      </w:r>
      <w:r w:rsidR="00042383" w:rsidRPr="00884C39">
        <w:t xml:space="preserve">pplications for judicial advice pursuant to rule 54.02 of the </w:t>
      </w:r>
      <w:r w:rsidR="00042383" w:rsidRPr="00884C39">
        <w:rPr>
          <w:i/>
        </w:rPr>
        <w:t>Supreme Court (General Civil Procedure) Rules 2005</w:t>
      </w:r>
      <w:r w:rsidR="00042383" w:rsidRPr="00884C39">
        <w:t xml:space="preserve"> that relate to deceased estates;</w:t>
      </w:r>
    </w:p>
    <w:p w:rsidR="00D56B8D" w:rsidRPr="00884C39" w:rsidRDefault="00E7631C" w:rsidP="00494F9A">
      <w:pPr>
        <w:numPr>
          <w:ilvl w:val="1"/>
          <w:numId w:val="19"/>
        </w:numPr>
        <w:spacing w:line="360" w:lineRule="auto"/>
        <w:contextualSpacing/>
        <w:jc w:val="both"/>
      </w:pPr>
      <w:r w:rsidRPr="00884C39">
        <w:t>O</w:t>
      </w:r>
      <w:r w:rsidR="00FD14AC" w:rsidRPr="00884C39">
        <w:t>ther proceedings</w:t>
      </w:r>
      <w:r w:rsidR="00A60D20" w:rsidRPr="00884C39">
        <w:t xml:space="preserve"> arising under the </w:t>
      </w:r>
      <w:r w:rsidR="00A60D20" w:rsidRPr="00884C39">
        <w:rPr>
          <w:i/>
        </w:rPr>
        <w:t>Administration and Probate Act 1958</w:t>
      </w:r>
      <w:r w:rsidR="00A60D20" w:rsidRPr="00884C39">
        <w:t xml:space="preserve"> </w:t>
      </w:r>
      <w:r w:rsidR="00494F9A" w:rsidRPr="00884C39">
        <w:t>(</w:t>
      </w:r>
      <w:r w:rsidR="00494F9A" w:rsidRPr="00884C39">
        <w:rPr>
          <w:b/>
          <w:i/>
        </w:rPr>
        <w:t>Act</w:t>
      </w:r>
      <w:r w:rsidR="00494F9A" w:rsidRPr="00884C39">
        <w:t xml:space="preserve">) </w:t>
      </w:r>
      <w:r w:rsidR="00A60D20" w:rsidRPr="00884C39">
        <w:t xml:space="preserve">(excluding </w:t>
      </w:r>
      <w:r w:rsidR="00FD14AC" w:rsidRPr="00884C39">
        <w:t>proceedings</w:t>
      </w:r>
      <w:r w:rsidR="00A60D20" w:rsidRPr="00884C39">
        <w:t xml:space="preserve"> arising under Part IV);</w:t>
      </w:r>
      <w:r w:rsidR="00040833" w:rsidRPr="00884C39">
        <w:t xml:space="preserve"> and</w:t>
      </w:r>
    </w:p>
    <w:p w:rsidR="00D56B8D" w:rsidRPr="00884C39" w:rsidRDefault="00E7631C" w:rsidP="00494F9A">
      <w:pPr>
        <w:numPr>
          <w:ilvl w:val="1"/>
          <w:numId w:val="19"/>
        </w:numPr>
        <w:spacing w:line="360" w:lineRule="auto"/>
        <w:contextualSpacing/>
        <w:jc w:val="both"/>
      </w:pPr>
      <w:r w:rsidRPr="00884C39">
        <w:t>O</w:t>
      </w:r>
      <w:r w:rsidR="00FD14AC" w:rsidRPr="00884C39">
        <w:t>ther proceedings</w:t>
      </w:r>
      <w:r w:rsidR="00A60D20" w:rsidRPr="00884C39">
        <w:t xml:space="preserve"> arising under the </w:t>
      </w:r>
      <w:r w:rsidR="00A60D20" w:rsidRPr="00884C39">
        <w:rPr>
          <w:i/>
        </w:rPr>
        <w:t>Wills Act 1997</w:t>
      </w:r>
      <w:r w:rsidR="00040833" w:rsidRPr="00884C39">
        <w:t>.</w:t>
      </w:r>
    </w:p>
    <w:p w:rsidR="00343D26" w:rsidRPr="00884C39" w:rsidRDefault="00343D26" w:rsidP="007E2608">
      <w:pPr>
        <w:spacing w:line="360" w:lineRule="auto"/>
        <w:jc w:val="both"/>
      </w:pPr>
    </w:p>
    <w:p w:rsidR="00A60D20" w:rsidRPr="00884C39" w:rsidRDefault="007E2608" w:rsidP="00343D26">
      <w:pPr>
        <w:spacing w:line="360" w:lineRule="auto"/>
        <w:ind w:left="720" w:hanging="720"/>
        <w:jc w:val="both"/>
      </w:pPr>
      <w:r w:rsidRPr="00884C39">
        <w:t>2.2</w:t>
      </w:r>
      <w:r w:rsidRPr="00884C39">
        <w:tab/>
      </w:r>
      <w:r w:rsidR="00A60D20" w:rsidRPr="00884C39">
        <w:t>T</w:t>
      </w:r>
      <w:r w:rsidR="00682C20" w:rsidRPr="00884C39">
        <w:t xml:space="preserve">he following </w:t>
      </w:r>
      <w:r w:rsidR="00FD14AC" w:rsidRPr="00884C39">
        <w:t>proceedings</w:t>
      </w:r>
      <w:r w:rsidR="00682C20" w:rsidRPr="00884C39">
        <w:t xml:space="preserve"> should not be initiated in</w:t>
      </w:r>
      <w:r w:rsidR="00A60D20" w:rsidRPr="00884C39">
        <w:t xml:space="preserve"> the List:</w:t>
      </w:r>
    </w:p>
    <w:p w:rsidR="00A60D20" w:rsidRPr="00884C39" w:rsidRDefault="00D91DA0" w:rsidP="00343D26">
      <w:pPr>
        <w:numPr>
          <w:ilvl w:val="1"/>
          <w:numId w:val="20"/>
        </w:numPr>
        <w:spacing w:line="360" w:lineRule="auto"/>
        <w:jc w:val="both"/>
      </w:pPr>
      <w:r w:rsidRPr="00884C39">
        <w:t>Applications</w:t>
      </w:r>
      <w:r w:rsidR="00A60D20" w:rsidRPr="00884C39">
        <w:t xml:space="preserve"> arising under Part IV of the</w:t>
      </w:r>
      <w:r w:rsidR="00494F9A" w:rsidRPr="00884C39">
        <w:t xml:space="preserve"> Act.</w:t>
      </w:r>
      <w:r w:rsidRPr="00884C39">
        <w:t xml:space="preserve"> These applications are managed in the </w:t>
      </w:r>
      <w:r w:rsidRPr="00884C39">
        <w:rPr>
          <w:b/>
        </w:rPr>
        <w:t>Testators Family Maintenance List</w:t>
      </w:r>
      <w:r w:rsidRPr="00884C39">
        <w:t xml:space="preserve"> (see </w:t>
      </w:r>
      <w:r w:rsidR="00494F9A" w:rsidRPr="00884C39">
        <w:rPr>
          <w:i/>
        </w:rPr>
        <w:t xml:space="preserve">Practice Note </w:t>
      </w:r>
      <w:r w:rsidR="004A7F8E" w:rsidRPr="00884C39">
        <w:rPr>
          <w:i/>
        </w:rPr>
        <w:t xml:space="preserve">No. </w:t>
      </w:r>
      <w:r w:rsidR="00A52C81">
        <w:rPr>
          <w:i/>
        </w:rPr>
        <w:t>7</w:t>
      </w:r>
      <w:bookmarkStart w:id="0" w:name="_GoBack"/>
      <w:bookmarkEnd w:id="0"/>
      <w:r w:rsidRPr="00884C39">
        <w:rPr>
          <w:i/>
        </w:rPr>
        <w:t xml:space="preserve"> of 201</w:t>
      </w:r>
      <w:r w:rsidR="00494F9A" w:rsidRPr="00884C39">
        <w:rPr>
          <w:i/>
        </w:rPr>
        <w:t>5</w:t>
      </w:r>
      <w:r w:rsidRPr="00884C39">
        <w:t>)</w:t>
      </w:r>
      <w:r w:rsidR="00E7631C" w:rsidRPr="00884C39">
        <w:t>; and</w:t>
      </w:r>
    </w:p>
    <w:p w:rsidR="00A60D20" w:rsidRPr="00884C39" w:rsidRDefault="00042383" w:rsidP="00343D26">
      <w:pPr>
        <w:numPr>
          <w:ilvl w:val="1"/>
          <w:numId w:val="20"/>
        </w:numPr>
        <w:spacing w:line="360" w:lineRule="auto"/>
        <w:jc w:val="both"/>
      </w:pPr>
      <w:r w:rsidRPr="00884C39">
        <w:lastRenderedPageBreak/>
        <w:t>A</w:t>
      </w:r>
      <w:r w:rsidR="00A60D20" w:rsidRPr="00884C39">
        <w:t>pplications relating to commission under Order 10</w:t>
      </w:r>
      <w:r w:rsidR="00682C20" w:rsidRPr="00884C39">
        <w:t xml:space="preserve"> of the Rules</w:t>
      </w:r>
      <w:r w:rsidR="00A60D20" w:rsidRPr="00884C39">
        <w:t>.</w:t>
      </w:r>
      <w:r w:rsidR="0018783E" w:rsidRPr="00884C39">
        <w:t xml:space="preserve"> These applications are heard and de</w:t>
      </w:r>
      <w:r w:rsidR="00206EF8" w:rsidRPr="00884C39">
        <w:t>termined by an associate judge</w:t>
      </w:r>
      <w:r w:rsidR="0018783E" w:rsidRPr="00884C39">
        <w:t xml:space="preserve"> in accordance with the procedures set out in the Rules.</w:t>
      </w:r>
    </w:p>
    <w:p w:rsidR="00A60D20" w:rsidRPr="00884C39" w:rsidRDefault="00A60D20" w:rsidP="007E2608">
      <w:pPr>
        <w:spacing w:line="360" w:lineRule="auto"/>
        <w:ind w:left="720" w:hanging="720"/>
        <w:jc w:val="both"/>
      </w:pPr>
    </w:p>
    <w:p w:rsidR="00884BF8" w:rsidRPr="00884C39" w:rsidRDefault="00D91DA0" w:rsidP="007E2608">
      <w:pPr>
        <w:spacing w:line="360" w:lineRule="auto"/>
        <w:ind w:left="720" w:hanging="720"/>
        <w:jc w:val="both"/>
      </w:pPr>
      <w:r w:rsidRPr="00884C39">
        <w:t>2.3</w:t>
      </w:r>
      <w:r w:rsidR="00884BF8" w:rsidRPr="00884C39">
        <w:tab/>
        <w:t xml:space="preserve">For the avoidance of doubt, proceedings of the nature set out in paragraph </w:t>
      </w:r>
      <w:r w:rsidR="00CD0B2A" w:rsidRPr="00884C39">
        <w:t>2.1 will only be</w:t>
      </w:r>
      <w:r w:rsidR="00884BF8" w:rsidRPr="00884C39">
        <w:t xml:space="preserve"> heard in the Practice Court </w:t>
      </w:r>
      <w:r w:rsidR="00CD0B2A" w:rsidRPr="00884C39">
        <w:t>in the circ</w:t>
      </w:r>
      <w:r w:rsidR="00494F9A" w:rsidRPr="00884C39">
        <w:t>umstances set out in Part 5</w:t>
      </w:r>
      <w:r w:rsidR="00CD0B2A" w:rsidRPr="00884C39">
        <w:t xml:space="preserve"> of this Practice Note</w:t>
      </w:r>
      <w:r w:rsidR="00884BF8" w:rsidRPr="00884C39">
        <w:t>.</w:t>
      </w:r>
    </w:p>
    <w:p w:rsidR="00042383" w:rsidRPr="00884C39" w:rsidRDefault="00042383" w:rsidP="00DC24A7">
      <w:pPr>
        <w:spacing w:line="360" w:lineRule="auto"/>
        <w:ind w:left="720" w:hanging="720"/>
        <w:jc w:val="both"/>
      </w:pPr>
    </w:p>
    <w:p w:rsidR="00BB0853" w:rsidRPr="00884C39" w:rsidRDefault="00BB0853" w:rsidP="00884C39">
      <w:pPr>
        <w:pStyle w:val="Heading1"/>
      </w:pPr>
      <w:r w:rsidRPr="00884C39">
        <w:t>3.</w:t>
      </w:r>
      <w:r w:rsidRPr="00884C39">
        <w:tab/>
        <w:t>PROCEDURE FOR ENTRY INTO THE LIST</w:t>
      </w:r>
    </w:p>
    <w:p w:rsidR="00BB0853" w:rsidRPr="00884C39" w:rsidRDefault="00BB0853" w:rsidP="00DC24A7">
      <w:pPr>
        <w:spacing w:line="360" w:lineRule="auto"/>
        <w:ind w:left="720" w:hanging="720"/>
        <w:jc w:val="both"/>
      </w:pPr>
    </w:p>
    <w:p w:rsidR="00DE6C1F" w:rsidRPr="00884C39" w:rsidRDefault="00BB0853" w:rsidP="00DE6C1F">
      <w:pPr>
        <w:spacing w:line="360" w:lineRule="auto"/>
        <w:ind w:left="720" w:hanging="720"/>
        <w:jc w:val="both"/>
      </w:pPr>
      <w:r w:rsidRPr="00884C39">
        <w:t>3.1</w:t>
      </w:r>
      <w:r w:rsidR="00DE6C1F" w:rsidRPr="00884C39">
        <w:tab/>
        <w:t>Proceedings of the nature set out in paragraph 2.1 should be initiated in the List by endorsing the heading of the originating process “Probate List”. The heading of all subsequent documents filed in the proceeding should also be endorsed “Probate List”.</w:t>
      </w:r>
    </w:p>
    <w:p w:rsidR="00BB0853" w:rsidRPr="00884C39" w:rsidRDefault="00BB0853" w:rsidP="00BB0853">
      <w:pPr>
        <w:spacing w:line="360" w:lineRule="auto"/>
        <w:jc w:val="both"/>
      </w:pPr>
    </w:p>
    <w:p w:rsidR="00494F9A" w:rsidRPr="00884C39" w:rsidRDefault="00BB0853" w:rsidP="00BB0853">
      <w:pPr>
        <w:spacing w:line="360" w:lineRule="auto"/>
        <w:ind w:left="720" w:hanging="720"/>
        <w:jc w:val="both"/>
      </w:pPr>
      <w:r w:rsidRPr="00884C39">
        <w:t>3.2</w:t>
      </w:r>
      <w:r w:rsidRPr="00884C39">
        <w:tab/>
      </w:r>
      <w:r w:rsidR="00494F9A" w:rsidRPr="00884C39">
        <w:t xml:space="preserve">Parties may apply to the Judge in Charge (by contacting the Associate) if they wish to have a proceeding </w:t>
      </w:r>
      <w:r w:rsidRPr="00884C39">
        <w:t>included in the List</w:t>
      </w:r>
      <w:r w:rsidR="00494F9A" w:rsidRPr="00884C39">
        <w:t xml:space="preserve">, notwithstanding that it is not </w:t>
      </w:r>
      <w:r w:rsidR="00091B05" w:rsidRPr="00884C39">
        <w:t>a proceeding of a type</w:t>
      </w:r>
      <w:r w:rsidR="00343D26" w:rsidRPr="00884C39">
        <w:t xml:space="preserve"> </w:t>
      </w:r>
      <w:r w:rsidR="00494F9A" w:rsidRPr="00884C39">
        <w:t>referred to in paragraph 2.1.</w:t>
      </w:r>
    </w:p>
    <w:p w:rsidR="00BB0853" w:rsidRPr="00884C39" w:rsidRDefault="00BB0853" w:rsidP="00DC24A7">
      <w:pPr>
        <w:spacing w:line="360" w:lineRule="auto"/>
        <w:ind w:left="720" w:hanging="720"/>
        <w:jc w:val="both"/>
      </w:pPr>
    </w:p>
    <w:p w:rsidR="00DC24A7" w:rsidRPr="00884C39" w:rsidRDefault="00BB0853" w:rsidP="00DC24A7">
      <w:pPr>
        <w:spacing w:line="360" w:lineRule="auto"/>
        <w:ind w:left="720" w:hanging="720"/>
        <w:jc w:val="both"/>
      </w:pPr>
      <w:r w:rsidRPr="00884C39">
        <w:t>3.3</w:t>
      </w:r>
      <w:r w:rsidR="00042383" w:rsidRPr="00884C39">
        <w:tab/>
      </w:r>
      <w:r w:rsidR="00DC24A7" w:rsidRPr="00884C39">
        <w:t xml:space="preserve">If </w:t>
      </w:r>
      <w:r w:rsidR="00EF5C7D" w:rsidRPr="00884C39">
        <w:t>at any time after the initiation</w:t>
      </w:r>
      <w:r w:rsidR="00DC24A7" w:rsidRPr="00884C39">
        <w:t xml:space="preserve"> of a proceeding it appea</w:t>
      </w:r>
      <w:r w:rsidR="00796E2E" w:rsidRPr="00884C39">
        <w:t xml:space="preserve">rs to the Court that it is </w:t>
      </w:r>
      <w:r w:rsidR="00DC24A7" w:rsidRPr="00884C39">
        <w:t xml:space="preserve">appropriate to have the proceeding </w:t>
      </w:r>
      <w:r w:rsidR="00B36CA1" w:rsidRPr="00884C39">
        <w:t>managed</w:t>
      </w:r>
      <w:r w:rsidR="00DC24A7" w:rsidRPr="00884C39">
        <w:t xml:space="preserve"> in the List, the proceeding may be transferred </w:t>
      </w:r>
      <w:r w:rsidR="004F61E8" w:rsidRPr="00884C39">
        <w:t>in</w:t>
      </w:r>
      <w:r w:rsidR="00DC24A7" w:rsidRPr="00884C39">
        <w:t>to the List</w:t>
      </w:r>
      <w:r w:rsidR="00DF4878" w:rsidRPr="00884C39">
        <w:t xml:space="preserve"> on the Court’s own motion</w:t>
      </w:r>
      <w:r w:rsidR="00DC24A7" w:rsidRPr="00884C39">
        <w:t>.</w:t>
      </w:r>
    </w:p>
    <w:p w:rsidR="00796E2E" w:rsidRPr="00884C39" w:rsidRDefault="00796E2E" w:rsidP="00DC24A7">
      <w:pPr>
        <w:spacing w:line="360" w:lineRule="auto"/>
        <w:ind w:left="720" w:hanging="720"/>
        <w:jc w:val="both"/>
      </w:pPr>
    </w:p>
    <w:p w:rsidR="00796E2E" w:rsidRPr="00884C39" w:rsidRDefault="00BB0853" w:rsidP="00DC24A7">
      <w:pPr>
        <w:spacing w:line="360" w:lineRule="auto"/>
        <w:ind w:left="720" w:hanging="720"/>
        <w:jc w:val="both"/>
      </w:pPr>
      <w:r w:rsidRPr="00884C39">
        <w:t>3.4</w:t>
      </w:r>
      <w:r w:rsidR="00796E2E" w:rsidRPr="00884C39">
        <w:tab/>
        <w:t xml:space="preserve">Conversely, a proceeding initiated in the List </w:t>
      </w:r>
      <w:r w:rsidR="004F61E8" w:rsidRPr="00884C39">
        <w:t>may be transferred out of the List on the Court’s own motion if it appears to the Court that it is appropriate t</w:t>
      </w:r>
      <w:r w:rsidR="00B36CA1" w:rsidRPr="00884C39">
        <w:t>o have the proceeding managed</w:t>
      </w:r>
      <w:r w:rsidR="00091B05" w:rsidRPr="00884C39">
        <w:t xml:space="preserve"> in a different</w:t>
      </w:r>
      <w:r w:rsidR="004F61E8" w:rsidRPr="00884C39">
        <w:t xml:space="preserve"> list.</w:t>
      </w:r>
    </w:p>
    <w:p w:rsidR="00014B10" w:rsidRPr="00884C39" w:rsidRDefault="00014B10" w:rsidP="00CB2EDD">
      <w:pPr>
        <w:spacing w:line="360" w:lineRule="auto"/>
        <w:jc w:val="both"/>
      </w:pPr>
    </w:p>
    <w:p w:rsidR="00CB2EDD" w:rsidRPr="00884C39" w:rsidRDefault="00BB0853" w:rsidP="00CF5F3A">
      <w:pPr>
        <w:spacing w:line="360" w:lineRule="auto"/>
        <w:ind w:left="720" w:hanging="720"/>
        <w:jc w:val="both"/>
      </w:pPr>
      <w:r w:rsidRPr="00884C39">
        <w:t>3.5</w:t>
      </w:r>
      <w:r w:rsidR="00CB2EDD" w:rsidRPr="00884C39">
        <w:tab/>
        <w:t xml:space="preserve">No additional fees will be payable for the inclusion of </w:t>
      </w:r>
      <w:r w:rsidR="004F61E8" w:rsidRPr="00884C39">
        <w:t>a proceeding</w:t>
      </w:r>
      <w:r w:rsidR="00CB2EDD" w:rsidRPr="00884C39">
        <w:t xml:space="preserve"> in the List.</w:t>
      </w:r>
    </w:p>
    <w:p w:rsidR="00CB2EDD" w:rsidRDefault="00CB2EDD" w:rsidP="00CB2EDD">
      <w:pPr>
        <w:spacing w:line="360" w:lineRule="auto"/>
        <w:jc w:val="both"/>
      </w:pPr>
    </w:p>
    <w:p w:rsidR="00884C39" w:rsidRDefault="00884C39" w:rsidP="00CB2EDD">
      <w:pPr>
        <w:spacing w:line="360" w:lineRule="auto"/>
        <w:jc w:val="both"/>
      </w:pPr>
    </w:p>
    <w:p w:rsidR="00884C39" w:rsidRDefault="00884C39" w:rsidP="00CB2EDD">
      <w:pPr>
        <w:spacing w:line="360" w:lineRule="auto"/>
        <w:jc w:val="both"/>
      </w:pPr>
    </w:p>
    <w:p w:rsidR="00884C39" w:rsidRDefault="00884C39" w:rsidP="00CB2EDD">
      <w:pPr>
        <w:spacing w:line="360" w:lineRule="auto"/>
        <w:jc w:val="both"/>
      </w:pPr>
    </w:p>
    <w:p w:rsidR="00884C39" w:rsidRPr="00884C39" w:rsidRDefault="00884C39" w:rsidP="00CB2EDD">
      <w:pPr>
        <w:spacing w:line="360" w:lineRule="auto"/>
        <w:jc w:val="both"/>
      </w:pPr>
    </w:p>
    <w:p w:rsidR="00CB2EDD" w:rsidRPr="00884C39" w:rsidRDefault="00BB0853" w:rsidP="00884C39">
      <w:pPr>
        <w:pStyle w:val="Heading1"/>
      </w:pPr>
      <w:r w:rsidRPr="00884C39">
        <w:lastRenderedPageBreak/>
        <w:t>4</w:t>
      </w:r>
      <w:r w:rsidR="00CD0B2A" w:rsidRPr="00884C39">
        <w:t>.</w:t>
      </w:r>
      <w:r w:rsidR="00CD0B2A" w:rsidRPr="00884C39">
        <w:tab/>
      </w:r>
      <w:r w:rsidR="00FB332B" w:rsidRPr="00884C39">
        <w:t>PRE-TRIAL MANAGEMENT</w:t>
      </w:r>
      <w:r w:rsidR="00CB2EDD" w:rsidRPr="00884C39">
        <w:t xml:space="preserve"> </w:t>
      </w:r>
    </w:p>
    <w:p w:rsidR="00CD0B2A" w:rsidRPr="00884C39" w:rsidRDefault="00CD0B2A" w:rsidP="00CB2EDD">
      <w:pPr>
        <w:spacing w:line="360" w:lineRule="auto"/>
        <w:ind w:left="720" w:hanging="720"/>
        <w:jc w:val="both"/>
      </w:pPr>
    </w:p>
    <w:p w:rsidR="00FC38B1" w:rsidRPr="00884C39" w:rsidRDefault="00FC38B1" w:rsidP="00FC38B1">
      <w:pPr>
        <w:spacing w:line="360" w:lineRule="auto"/>
        <w:ind w:left="720" w:hanging="720"/>
        <w:jc w:val="both"/>
      </w:pPr>
      <w:r w:rsidRPr="00884C39">
        <w:t>4.1</w:t>
      </w:r>
      <w:r w:rsidRPr="00884C39">
        <w:tab/>
        <w:t>It is expected that standard directions will be dealt with by consent on the papers, and unnecessary attendance at Court may result in orders depriving parties of costs, or costs orders against parties.</w:t>
      </w:r>
    </w:p>
    <w:p w:rsidR="00FC38B1" w:rsidRPr="00884C39" w:rsidRDefault="00FC38B1" w:rsidP="00CB2EDD">
      <w:pPr>
        <w:spacing w:line="360" w:lineRule="auto"/>
        <w:ind w:left="720" w:hanging="720"/>
        <w:jc w:val="both"/>
      </w:pPr>
    </w:p>
    <w:p w:rsidR="00CD0B2A" w:rsidRPr="00884C39" w:rsidRDefault="00BB0853" w:rsidP="00CD0B2A">
      <w:pPr>
        <w:spacing w:line="360" w:lineRule="auto"/>
        <w:ind w:left="720" w:hanging="720"/>
        <w:jc w:val="both"/>
      </w:pPr>
      <w:r w:rsidRPr="00884C39">
        <w:t>4</w:t>
      </w:r>
      <w:r w:rsidR="00FC38B1" w:rsidRPr="00884C39">
        <w:t>.2</w:t>
      </w:r>
      <w:r w:rsidR="00CD0B2A" w:rsidRPr="00884C39">
        <w:tab/>
      </w:r>
      <w:r w:rsidR="00D91DA0" w:rsidRPr="00884C39">
        <w:t>Parties seeking a directions hearing must issue a summons</w:t>
      </w:r>
      <w:r w:rsidR="00F62832" w:rsidRPr="00884C39">
        <w:t xml:space="preserve"> (or, in uncontested proceedings, a notice to produce)</w:t>
      </w:r>
      <w:r w:rsidR="00D91DA0" w:rsidRPr="00884C39">
        <w:t xml:space="preserve">, </w:t>
      </w:r>
      <w:r w:rsidR="00696FDA" w:rsidRPr="00884C39">
        <w:t>returnable at 10.00am on any Friday during the Court sitting period</w:t>
      </w:r>
      <w:r w:rsidR="00DE6C1F" w:rsidRPr="00884C39">
        <w:t xml:space="preserve"> </w:t>
      </w:r>
      <w:r w:rsidR="00696FDA" w:rsidRPr="00884C39">
        <w:t xml:space="preserve">before the Judge </w:t>
      </w:r>
      <w:r w:rsidR="00040833" w:rsidRPr="00884C39">
        <w:t>in Charge</w:t>
      </w:r>
      <w:r w:rsidR="00091B05" w:rsidRPr="00884C39">
        <w:t xml:space="preserve"> (</w:t>
      </w:r>
      <w:r w:rsidR="00091B05" w:rsidRPr="00884C39">
        <w:rPr>
          <w:b/>
          <w:i/>
        </w:rPr>
        <w:t>List directions</w:t>
      </w:r>
      <w:r w:rsidR="00091B05" w:rsidRPr="00884C39">
        <w:t>)</w:t>
      </w:r>
      <w:r w:rsidR="00696FDA" w:rsidRPr="00884C39">
        <w:t>.</w:t>
      </w:r>
    </w:p>
    <w:p w:rsidR="00696FDA" w:rsidRPr="00884C39" w:rsidRDefault="00696FDA" w:rsidP="004F61E8">
      <w:pPr>
        <w:spacing w:line="360" w:lineRule="auto"/>
        <w:ind w:left="720" w:hanging="720"/>
        <w:jc w:val="both"/>
      </w:pPr>
    </w:p>
    <w:p w:rsidR="004F61E8" w:rsidRPr="00884C39" w:rsidRDefault="00BB0853" w:rsidP="004F61E8">
      <w:pPr>
        <w:spacing w:line="360" w:lineRule="auto"/>
        <w:ind w:left="720" w:hanging="720"/>
        <w:jc w:val="both"/>
      </w:pPr>
      <w:r w:rsidRPr="00884C39">
        <w:t>4</w:t>
      </w:r>
      <w:r w:rsidR="00FC38B1" w:rsidRPr="00884C39">
        <w:t>.3</w:t>
      </w:r>
      <w:r w:rsidR="00696FDA" w:rsidRPr="00884C39">
        <w:tab/>
      </w:r>
      <w:r w:rsidR="004F61E8" w:rsidRPr="00884C39">
        <w:t xml:space="preserve">The plaintiff’s solicitors are encouraged to deliver </w:t>
      </w:r>
      <w:r w:rsidR="00040833" w:rsidRPr="00884C39">
        <w:t>proposed consent orders to</w:t>
      </w:r>
      <w:r w:rsidR="00CD0B2A" w:rsidRPr="00884C39">
        <w:t xml:space="preserve"> </w:t>
      </w:r>
      <w:r w:rsidR="00040833" w:rsidRPr="00884C39">
        <w:t>all other parties in advance of any</w:t>
      </w:r>
      <w:r w:rsidR="004F61E8" w:rsidRPr="00884C39">
        <w:t xml:space="preserve"> directions hearing, with a view to obtaining orders by consent wi</w:t>
      </w:r>
      <w:r w:rsidR="00696FDA" w:rsidRPr="00884C39">
        <w:t xml:space="preserve">thout the need for </w:t>
      </w:r>
      <w:r w:rsidR="001A2E54" w:rsidRPr="00884C39">
        <w:t>a hearing</w:t>
      </w:r>
      <w:r w:rsidR="00343D26" w:rsidRPr="00884C39">
        <w:t>. The parties</w:t>
      </w:r>
      <w:r w:rsidR="004F61E8" w:rsidRPr="00884C39">
        <w:t xml:space="preserve"> should email minutes of consent</w:t>
      </w:r>
      <w:r w:rsidR="00091B05" w:rsidRPr="00884C39">
        <w:t xml:space="preserve"> in both Word and signed PDF format</w:t>
      </w:r>
      <w:r w:rsidR="00666E4A" w:rsidRPr="00884C39">
        <w:t xml:space="preserve"> </w:t>
      </w:r>
      <w:r w:rsidR="00CD0B2A" w:rsidRPr="00884C39">
        <w:t xml:space="preserve">to the </w:t>
      </w:r>
      <w:r w:rsidR="004F61E8" w:rsidRPr="00884C39">
        <w:t xml:space="preserve">Associate </w:t>
      </w:r>
      <w:r w:rsidR="00696FDA" w:rsidRPr="00884C39">
        <w:t>by 4</w:t>
      </w:r>
      <w:r w:rsidR="004F61E8" w:rsidRPr="00884C39">
        <w:t>.00</w:t>
      </w:r>
      <w:r w:rsidR="00696FDA" w:rsidRPr="00884C39">
        <w:t>pm two days</w:t>
      </w:r>
      <w:r w:rsidR="00CD0B2A" w:rsidRPr="00884C39">
        <w:t xml:space="preserve"> prior to the</w:t>
      </w:r>
      <w:r w:rsidR="004F61E8" w:rsidRPr="00884C39">
        <w:t xml:space="preserve"> </w:t>
      </w:r>
      <w:r w:rsidR="00091B05" w:rsidRPr="00884C39">
        <w:t>directions hearing.</w:t>
      </w:r>
    </w:p>
    <w:p w:rsidR="00696FDA" w:rsidRPr="00884C39" w:rsidRDefault="00696FDA" w:rsidP="00CE4442">
      <w:pPr>
        <w:spacing w:line="360" w:lineRule="auto"/>
        <w:jc w:val="both"/>
      </w:pPr>
    </w:p>
    <w:p w:rsidR="00696FDA" w:rsidRPr="00884C39" w:rsidRDefault="00BB0853" w:rsidP="005F02B1">
      <w:pPr>
        <w:spacing w:line="360" w:lineRule="auto"/>
        <w:ind w:left="720" w:hanging="720"/>
        <w:jc w:val="both"/>
      </w:pPr>
      <w:r w:rsidRPr="00884C39">
        <w:t>4</w:t>
      </w:r>
      <w:r w:rsidR="004E10CA" w:rsidRPr="00884C39">
        <w:t>.</w:t>
      </w:r>
      <w:r w:rsidR="00FC38B1" w:rsidRPr="00884C39">
        <w:t>4</w:t>
      </w:r>
      <w:r w:rsidR="004E10CA" w:rsidRPr="00884C39">
        <w:tab/>
      </w:r>
      <w:r w:rsidR="00696FDA" w:rsidRPr="00884C39">
        <w:t>The Judge</w:t>
      </w:r>
      <w:r w:rsidR="005F02B1" w:rsidRPr="00884C39">
        <w:t xml:space="preserve"> </w:t>
      </w:r>
      <w:r w:rsidR="00570405" w:rsidRPr="00884C39">
        <w:t xml:space="preserve">in Charge </w:t>
      </w:r>
      <w:r w:rsidR="005F02B1" w:rsidRPr="00884C39">
        <w:t>will determi</w:t>
      </w:r>
      <w:r w:rsidR="001A2E54" w:rsidRPr="00884C39">
        <w:t>ne whether orders will be made on the papers</w:t>
      </w:r>
      <w:r w:rsidR="005F02B1" w:rsidRPr="00884C39">
        <w:t xml:space="preserve">, or whether parties </w:t>
      </w:r>
      <w:r w:rsidR="00553534" w:rsidRPr="00884C39">
        <w:t xml:space="preserve">will be </w:t>
      </w:r>
      <w:r w:rsidR="00042383" w:rsidRPr="00884C39">
        <w:t>required to attend the</w:t>
      </w:r>
      <w:r w:rsidR="005F02B1" w:rsidRPr="00884C39">
        <w:t xml:space="preserve"> directions hearing. </w:t>
      </w:r>
      <w:r w:rsidR="00FC38B1" w:rsidRPr="00884C39">
        <w:t>P</w:t>
      </w:r>
      <w:r w:rsidR="00696FDA" w:rsidRPr="00884C39">
        <w:t>arties are required to appear at the directions hearing unless othe</w:t>
      </w:r>
      <w:r w:rsidR="00FC38B1" w:rsidRPr="00884C39">
        <w:t>rwise advised by the Associate</w:t>
      </w:r>
      <w:r w:rsidR="00591345" w:rsidRPr="00884C39">
        <w:t>.</w:t>
      </w:r>
    </w:p>
    <w:p w:rsidR="005F02B1" w:rsidRPr="00884C39" w:rsidRDefault="005F02B1" w:rsidP="005F02B1">
      <w:pPr>
        <w:spacing w:line="360" w:lineRule="auto"/>
        <w:ind w:left="720" w:hanging="720"/>
        <w:jc w:val="both"/>
      </w:pPr>
    </w:p>
    <w:p w:rsidR="00FC38B1" w:rsidRPr="00884C39" w:rsidRDefault="00BB0853" w:rsidP="00696FDA">
      <w:pPr>
        <w:spacing w:line="360" w:lineRule="auto"/>
        <w:ind w:left="720" w:hanging="720"/>
        <w:jc w:val="both"/>
      </w:pPr>
      <w:r w:rsidRPr="00884C39">
        <w:t>4</w:t>
      </w:r>
      <w:r w:rsidR="00FC38B1" w:rsidRPr="00884C39">
        <w:t>.5</w:t>
      </w:r>
      <w:r w:rsidR="005F02B1" w:rsidRPr="00884C39">
        <w:tab/>
        <w:t xml:space="preserve">Where the parties do not agree on proposed consent orders, </w:t>
      </w:r>
      <w:r w:rsidR="00696FDA" w:rsidRPr="00884C39">
        <w:t>attendance at the</w:t>
      </w:r>
      <w:r w:rsidR="00F521A3" w:rsidRPr="00884C39">
        <w:t xml:space="preserve"> directions hearing is required by all parties.</w:t>
      </w:r>
      <w:r w:rsidR="00696FDA" w:rsidRPr="00884C39">
        <w:t xml:space="preserve"> </w:t>
      </w:r>
      <w:r w:rsidR="00042383" w:rsidRPr="00884C39">
        <w:t xml:space="preserve">The parties </w:t>
      </w:r>
      <w:r w:rsidR="00DE6C1F" w:rsidRPr="00884C39">
        <w:t>should each email draft</w:t>
      </w:r>
      <w:r w:rsidR="00FC38B1" w:rsidRPr="00884C39">
        <w:t xml:space="preserve"> orders to the Associate</w:t>
      </w:r>
      <w:r w:rsidR="00042383" w:rsidRPr="00884C39">
        <w:t xml:space="preserve"> by 12.00pm the day p</w:t>
      </w:r>
      <w:r w:rsidR="00FC38B1" w:rsidRPr="00884C39">
        <w:t>rior to the directions hearing.</w:t>
      </w:r>
    </w:p>
    <w:p w:rsidR="00FC38B1" w:rsidRPr="00884C39" w:rsidRDefault="00FC38B1" w:rsidP="00696FDA">
      <w:pPr>
        <w:spacing w:line="360" w:lineRule="auto"/>
        <w:ind w:left="720" w:hanging="720"/>
        <w:jc w:val="both"/>
      </w:pPr>
    </w:p>
    <w:p w:rsidR="00CD0B2A" w:rsidRPr="00884C39" w:rsidRDefault="00BB0853" w:rsidP="00591345">
      <w:pPr>
        <w:spacing w:after="200" w:line="360" w:lineRule="auto"/>
        <w:ind w:left="720" w:hanging="720"/>
        <w:jc w:val="both"/>
      </w:pPr>
      <w:r w:rsidRPr="00884C39">
        <w:t>4</w:t>
      </w:r>
      <w:r w:rsidR="00FC38B1" w:rsidRPr="00884C39">
        <w:t>.6</w:t>
      </w:r>
      <w:r w:rsidR="00FB332B" w:rsidRPr="00884C39">
        <w:tab/>
      </w:r>
      <w:r w:rsidR="00CD0B2A" w:rsidRPr="00884C39">
        <w:t xml:space="preserve">The Judge in Charge will make such orders as are necessary for the conduct of proceedings in </w:t>
      </w:r>
      <w:r w:rsidR="00DE6C1F" w:rsidRPr="00884C39">
        <w:t>the List and will</w:t>
      </w:r>
      <w:r w:rsidR="00CD0B2A" w:rsidRPr="00884C39">
        <w:t xml:space="preserve"> hear and determine both interlocutory applications and substantive proceedings</w:t>
      </w:r>
      <w:r w:rsidR="00DE6C1F" w:rsidRPr="00884C39">
        <w:t xml:space="preserve"> where possible</w:t>
      </w:r>
      <w:r w:rsidR="00CD0B2A" w:rsidRPr="00884C39">
        <w:t xml:space="preserve">. Substantive proceedings estimated to take half a day or less may be heard and determined by the Judge </w:t>
      </w:r>
      <w:r w:rsidR="00570405" w:rsidRPr="00884C39">
        <w:t xml:space="preserve">in Charge </w:t>
      </w:r>
      <w:r w:rsidR="00CD0B2A" w:rsidRPr="00884C39">
        <w:t xml:space="preserve">on a Friday immediately following </w:t>
      </w:r>
      <w:r w:rsidR="00DE6C1F" w:rsidRPr="00884C39">
        <w:t>the List directions</w:t>
      </w:r>
      <w:r w:rsidR="00CD0B2A" w:rsidRPr="00884C39">
        <w:t>. Sub</w:t>
      </w:r>
      <w:r w:rsidR="00570405" w:rsidRPr="00884C39">
        <w:t>stantive proceedings with</w:t>
      </w:r>
      <w:r w:rsidR="00CD0B2A" w:rsidRPr="00884C39">
        <w:t xml:space="preserve"> estimates </w:t>
      </w:r>
      <w:r w:rsidR="00570405" w:rsidRPr="00884C39">
        <w:t xml:space="preserve">exceeding half a day </w:t>
      </w:r>
      <w:r w:rsidR="00CD0B2A" w:rsidRPr="00884C39">
        <w:t>will be</w:t>
      </w:r>
      <w:r w:rsidR="001A2E54" w:rsidRPr="00884C39">
        <w:t xml:space="preserve"> referred to an associate j</w:t>
      </w:r>
      <w:r w:rsidR="00206EF8" w:rsidRPr="00884C39">
        <w:t>udge</w:t>
      </w:r>
      <w:r w:rsidR="00CD0B2A" w:rsidRPr="00884C39">
        <w:t xml:space="preserve"> for </w:t>
      </w:r>
      <w:r w:rsidR="00570405" w:rsidRPr="00884C39">
        <w:t xml:space="preserve">the fixing of </w:t>
      </w:r>
      <w:r w:rsidR="00CD0B2A" w:rsidRPr="00884C39">
        <w:t>a trial date.</w:t>
      </w:r>
    </w:p>
    <w:p w:rsidR="00696FDA" w:rsidRPr="00884C39" w:rsidRDefault="00696FDA" w:rsidP="00696FDA">
      <w:pPr>
        <w:spacing w:line="360" w:lineRule="auto"/>
        <w:ind w:left="720" w:hanging="720"/>
        <w:jc w:val="both"/>
      </w:pPr>
    </w:p>
    <w:p w:rsidR="00696FDA" w:rsidRPr="00884C39" w:rsidRDefault="00BB0853" w:rsidP="00696FDA">
      <w:pPr>
        <w:spacing w:line="360" w:lineRule="auto"/>
        <w:ind w:left="720" w:hanging="720"/>
        <w:jc w:val="both"/>
      </w:pPr>
      <w:r w:rsidRPr="00884C39">
        <w:t>4</w:t>
      </w:r>
      <w:r w:rsidR="00FC38B1" w:rsidRPr="00884C39">
        <w:t>.7</w:t>
      </w:r>
      <w:r w:rsidR="00696FDA" w:rsidRPr="00884C39">
        <w:t xml:space="preserve"> </w:t>
      </w:r>
      <w:r w:rsidR="00696FDA" w:rsidRPr="00884C39">
        <w:tab/>
        <w:t>Where th</w:t>
      </w:r>
      <w:r w:rsidR="001A2E54" w:rsidRPr="00884C39">
        <w:t>e Registrar refers a proceeding</w:t>
      </w:r>
      <w:r w:rsidR="00696FDA" w:rsidRPr="00884C39">
        <w:t xml:space="preserve"> to the Judge</w:t>
      </w:r>
      <w:r w:rsidR="00570405" w:rsidRPr="00884C39">
        <w:t xml:space="preserve"> in Charge,</w:t>
      </w:r>
      <w:r w:rsidR="001A2E54" w:rsidRPr="00884C39">
        <w:t xml:space="preserve"> the proceeding</w:t>
      </w:r>
      <w:r w:rsidR="00696FDA" w:rsidRPr="00884C39">
        <w:t xml:space="preserve"> will be </w:t>
      </w:r>
      <w:r w:rsidR="001A2E54" w:rsidRPr="00884C39">
        <w:t>heard</w:t>
      </w:r>
      <w:r w:rsidR="00DE6C1F" w:rsidRPr="00884C39">
        <w:t xml:space="preserve"> during List directions. The</w:t>
      </w:r>
      <w:r w:rsidR="00696FDA" w:rsidRPr="00884C39">
        <w:t xml:space="preserve"> Registrar</w:t>
      </w:r>
      <w:r w:rsidR="00570405" w:rsidRPr="00884C39">
        <w:t xml:space="preserve"> will notify the parties of the specific</w:t>
      </w:r>
      <w:r w:rsidR="00696FDA" w:rsidRPr="00884C39">
        <w:t xml:space="preserve"> date</w:t>
      </w:r>
      <w:r w:rsidR="001A2E54" w:rsidRPr="00884C39">
        <w:t xml:space="preserve"> and time of the hearing</w:t>
      </w:r>
      <w:r w:rsidR="00696FDA" w:rsidRPr="00884C39">
        <w:t>.</w:t>
      </w:r>
    </w:p>
    <w:p w:rsidR="00AD5C66" w:rsidRPr="00884C39" w:rsidRDefault="00AD5C66" w:rsidP="00CD0B2A">
      <w:pPr>
        <w:spacing w:line="360" w:lineRule="auto"/>
        <w:ind w:left="720" w:hanging="720"/>
        <w:contextualSpacing/>
        <w:jc w:val="both"/>
      </w:pPr>
    </w:p>
    <w:p w:rsidR="001A2E54" w:rsidRPr="00884C39" w:rsidRDefault="001A2E54" w:rsidP="00CD0B2A">
      <w:pPr>
        <w:spacing w:line="360" w:lineRule="auto"/>
        <w:ind w:left="720" w:hanging="720"/>
        <w:contextualSpacing/>
        <w:jc w:val="both"/>
      </w:pPr>
      <w:r w:rsidRPr="00884C39">
        <w:t>4.8</w:t>
      </w:r>
      <w:r w:rsidRPr="00884C39">
        <w:tab/>
      </w:r>
      <w:r w:rsidRPr="00884C39">
        <w:rPr>
          <w:b/>
        </w:rPr>
        <w:t>Schedule 1</w:t>
      </w:r>
      <w:r w:rsidRPr="00884C39">
        <w:t xml:space="preserve"> to this Practice Note provides </w:t>
      </w:r>
      <w:r w:rsidR="00B6028A" w:rsidRPr="00884C39">
        <w:t>practitioners with examples of standard orders made in proceedings in the List.</w:t>
      </w:r>
    </w:p>
    <w:p w:rsidR="001A2E54" w:rsidRPr="00884C39" w:rsidRDefault="001A2E54" w:rsidP="00CD0B2A">
      <w:pPr>
        <w:spacing w:line="360" w:lineRule="auto"/>
        <w:ind w:left="720" w:hanging="720"/>
        <w:contextualSpacing/>
        <w:jc w:val="both"/>
        <w:rPr>
          <w:b/>
        </w:rPr>
      </w:pPr>
    </w:p>
    <w:p w:rsidR="004E284B" w:rsidRPr="00884C39" w:rsidRDefault="00BB0853" w:rsidP="00884C39">
      <w:pPr>
        <w:pStyle w:val="Heading1"/>
      </w:pPr>
      <w:r w:rsidRPr="00884C39">
        <w:t>5</w:t>
      </w:r>
      <w:r w:rsidR="00AD5C66" w:rsidRPr="00884C39">
        <w:t>.</w:t>
      </w:r>
      <w:r w:rsidR="00AD5C66" w:rsidRPr="00884C39">
        <w:tab/>
        <w:t>URGENT APPLICATIONS</w:t>
      </w:r>
    </w:p>
    <w:p w:rsidR="00AD5C66" w:rsidRPr="00884C39" w:rsidRDefault="00AD5C66" w:rsidP="00CD0B2A">
      <w:pPr>
        <w:spacing w:line="360" w:lineRule="auto"/>
        <w:contextualSpacing/>
        <w:jc w:val="both"/>
        <w:rPr>
          <w:b/>
        </w:rPr>
      </w:pPr>
      <w:bookmarkStart w:id="1" w:name="_Ref397505340"/>
    </w:p>
    <w:p w:rsidR="00AD5C66" w:rsidRPr="00884C39" w:rsidRDefault="00BB0853" w:rsidP="00CD0B2A">
      <w:pPr>
        <w:spacing w:line="360" w:lineRule="auto"/>
        <w:ind w:left="720" w:hanging="720"/>
        <w:contextualSpacing/>
        <w:jc w:val="both"/>
      </w:pPr>
      <w:r w:rsidRPr="00884C39">
        <w:t>5</w:t>
      </w:r>
      <w:r w:rsidR="00AD5C66" w:rsidRPr="00884C39">
        <w:t>.1</w:t>
      </w:r>
      <w:r w:rsidR="00AD5C66" w:rsidRPr="00884C39">
        <w:tab/>
        <w:t>Parties bringing an urgent application should contact the Associate in the first instance. The Associate will endeavour to</w:t>
      </w:r>
      <w:r w:rsidR="00DE6C1F" w:rsidRPr="00884C39">
        <w:t xml:space="preserve"> allocate a hearing date</w:t>
      </w:r>
      <w:r w:rsidR="00AD5C66" w:rsidRPr="00884C39">
        <w:t xml:space="preserve"> before the Judge</w:t>
      </w:r>
      <w:r w:rsidR="00042383" w:rsidRPr="00884C39">
        <w:t xml:space="preserve"> in Charge</w:t>
      </w:r>
      <w:r w:rsidR="00AD5C66" w:rsidRPr="00884C39">
        <w:t xml:space="preserve">. </w:t>
      </w:r>
    </w:p>
    <w:p w:rsidR="00AD5C66" w:rsidRPr="00884C39" w:rsidRDefault="00AD5C66" w:rsidP="00CD0B2A">
      <w:pPr>
        <w:spacing w:line="360" w:lineRule="auto"/>
        <w:ind w:left="720" w:hanging="720"/>
        <w:contextualSpacing/>
        <w:jc w:val="both"/>
      </w:pPr>
    </w:p>
    <w:p w:rsidR="00AD5C66" w:rsidRPr="00884C39" w:rsidRDefault="00BB0853" w:rsidP="00CD0B2A">
      <w:pPr>
        <w:spacing w:line="360" w:lineRule="auto"/>
        <w:ind w:left="720" w:hanging="720"/>
        <w:contextualSpacing/>
        <w:jc w:val="both"/>
      </w:pPr>
      <w:r w:rsidRPr="00884C39">
        <w:t>5</w:t>
      </w:r>
      <w:r w:rsidR="00FD14AC" w:rsidRPr="00884C39">
        <w:t>.2</w:t>
      </w:r>
      <w:r w:rsidR="00FD14AC" w:rsidRPr="00884C39">
        <w:tab/>
        <w:t>Alternatively, if the application</w:t>
      </w:r>
      <w:r w:rsidR="00AD5C66" w:rsidRPr="00884C39">
        <w:t xml:space="preserve"> cannot be heard by the Judge</w:t>
      </w:r>
      <w:r w:rsidR="00042383" w:rsidRPr="00884C39">
        <w:t xml:space="preserve"> in Charge</w:t>
      </w:r>
      <w:r w:rsidR="00091B05" w:rsidRPr="00884C39">
        <w:t xml:space="preserve"> </w:t>
      </w:r>
      <w:r w:rsidR="00AD5C66" w:rsidRPr="00884C39">
        <w:t>within an appropriate timeframe, parties will be directed to arrange for the application to be heard in the Practice Court.</w:t>
      </w:r>
    </w:p>
    <w:bookmarkEnd w:id="1"/>
    <w:p w:rsidR="00091B05" w:rsidRPr="00884C39" w:rsidRDefault="00091B05" w:rsidP="00884C39">
      <w:pPr>
        <w:spacing w:line="360" w:lineRule="auto"/>
        <w:contextualSpacing/>
        <w:jc w:val="both"/>
        <w:rPr>
          <w:b/>
        </w:rPr>
      </w:pPr>
    </w:p>
    <w:p w:rsidR="007E6777" w:rsidRPr="00884C39" w:rsidRDefault="00BB0853" w:rsidP="00884C39">
      <w:pPr>
        <w:pStyle w:val="Heading1"/>
      </w:pPr>
      <w:r w:rsidRPr="00884C39">
        <w:t>6</w:t>
      </w:r>
      <w:r w:rsidR="00940F44" w:rsidRPr="00884C39">
        <w:t>.</w:t>
      </w:r>
      <w:r w:rsidR="00940F44" w:rsidRPr="00884C39">
        <w:tab/>
      </w:r>
      <w:r w:rsidR="007E6777" w:rsidRPr="00884C39">
        <w:t>CIVIL PROCEDURE ACT CERTIFICATES</w:t>
      </w:r>
    </w:p>
    <w:p w:rsidR="007E6777" w:rsidRPr="00884C39" w:rsidRDefault="007E6777" w:rsidP="00CD0B2A">
      <w:pPr>
        <w:spacing w:line="360" w:lineRule="auto"/>
        <w:ind w:left="720" w:hanging="720"/>
        <w:contextualSpacing/>
        <w:jc w:val="both"/>
      </w:pPr>
    </w:p>
    <w:p w:rsidR="007E6777" w:rsidRPr="00884C39" w:rsidRDefault="00BB0853" w:rsidP="00CD0B2A">
      <w:pPr>
        <w:spacing w:line="360" w:lineRule="auto"/>
        <w:ind w:left="720" w:hanging="720"/>
        <w:contextualSpacing/>
        <w:jc w:val="both"/>
      </w:pPr>
      <w:r w:rsidRPr="00884C39">
        <w:t>6</w:t>
      </w:r>
      <w:r w:rsidR="00EC338F" w:rsidRPr="00884C39">
        <w:t>.1</w:t>
      </w:r>
      <w:r w:rsidR="00EC338F" w:rsidRPr="00884C39">
        <w:tab/>
      </w:r>
      <w:r w:rsidR="006A2AFE" w:rsidRPr="00884C39">
        <w:t>Solicitors</w:t>
      </w:r>
      <w:r w:rsidR="00EC338F" w:rsidRPr="00884C39">
        <w:t xml:space="preserve"> with conduct of proceedings in the List are reminded of the certification requirements pursuant to Part 4.1 of the </w:t>
      </w:r>
      <w:r w:rsidR="00EC338F" w:rsidRPr="00884C39">
        <w:rPr>
          <w:i/>
        </w:rPr>
        <w:t>Civil Procedure Act 2010</w:t>
      </w:r>
      <w:r w:rsidR="00EC338F" w:rsidRPr="00884C39">
        <w:t>.</w:t>
      </w:r>
    </w:p>
    <w:p w:rsidR="007E6777" w:rsidRDefault="007E6777" w:rsidP="00CD0B2A">
      <w:pPr>
        <w:spacing w:line="360" w:lineRule="auto"/>
        <w:ind w:left="720" w:hanging="720"/>
        <w:contextualSpacing/>
        <w:jc w:val="both"/>
      </w:pPr>
    </w:p>
    <w:p w:rsidR="00884C39" w:rsidRDefault="00884C39" w:rsidP="00CD0B2A">
      <w:pPr>
        <w:spacing w:line="360" w:lineRule="auto"/>
        <w:ind w:left="720" w:hanging="720"/>
        <w:contextualSpacing/>
        <w:jc w:val="both"/>
      </w:pPr>
    </w:p>
    <w:p w:rsidR="00884C39" w:rsidRDefault="00884C39" w:rsidP="00CD0B2A">
      <w:pPr>
        <w:spacing w:line="360" w:lineRule="auto"/>
        <w:ind w:left="720" w:hanging="720"/>
        <w:contextualSpacing/>
        <w:jc w:val="both"/>
      </w:pPr>
    </w:p>
    <w:p w:rsidR="00884C39" w:rsidRDefault="00884C39" w:rsidP="00CD0B2A">
      <w:pPr>
        <w:spacing w:line="360" w:lineRule="auto"/>
        <w:ind w:left="720" w:hanging="720"/>
        <w:contextualSpacing/>
        <w:jc w:val="both"/>
      </w:pPr>
    </w:p>
    <w:p w:rsidR="00884C39" w:rsidRDefault="00884C39" w:rsidP="00CD0B2A">
      <w:pPr>
        <w:spacing w:line="360" w:lineRule="auto"/>
        <w:ind w:left="720" w:hanging="720"/>
        <w:contextualSpacing/>
        <w:jc w:val="both"/>
      </w:pPr>
    </w:p>
    <w:p w:rsidR="00884C39" w:rsidRDefault="00884C39" w:rsidP="00CD0B2A">
      <w:pPr>
        <w:spacing w:line="360" w:lineRule="auto"/>
        <w:ind w:left="720" w:hanging="720"/>
        <w:contextualSpacing/>
        <w:jc w:val="both"/>
      </w:pPr>
    </w:p>
    <w:p w:rsidR="00884C39" w:rsidRDefault="00884C39" w:rsidP="00CD0B2A">
      <w:pPr>
        <w:spacing w:line="360" w:lineRule="auto"/>
        <w:ind w:left="720" w:hanging="720"/>
        <w:contextualSpacing/>
        <w:jc w:val="both"/>
      </w:pPr>
    </w:p>
    <w:p w:rsidR="00884C39" w:rsidRPr="00884C39" w:rsidRDefault="00884C39" w:rsidP="00CD0B2A">
      <w:pPr>
        <w:spacing w:line="360" w:lineRule="auto"/>
        <w:ind w:left="720" w:hanging="720"/>
        <w:contextualSpacing/>
        <w:jc w:val="both"/>
      </w:pPr>
    </w:p>
    <w:p w:rsidR="000C2CE1" w:rsidRPr="00884C39" w:rsidRDefault="00BB0853" w:rsidP="00884C39">
      <w:pPr>
        <w:pStyle w:val="Heading1"/>
      </w:pPr>
      <w:r w:rsidRPr="00884C39">
        <w:lastRenderedPageBreak/>
        <w:t>7</w:t>
      </w:r>
      <w:r w:rsidR="007E6777" w:rsidRPr="00884C39">
        <w:t>.</w:t>
      </w:r>
      <w:r w:rsidR="007E6777" w:rsidRPr="00884C39">
        <w:tab/>
      </w:r>
      <w:r w:rsidR="000C2CE1" w:rsidRPr="00884C39">
        <w:t>COMMUNICATIONS WITH THE COURT</w:t>
      </w:r>
    </w:p>
    <w:p w:rsidR="000C2CE1" w:rsidRPr="00884C39" w:rsidRDefault="000C2CE1" w:rsidP="00CD0B2A">
      <w:pPr>
        <w:spacing w:line="360" w:lineRule="auto"/>
        <w:ind w:left="720" w:hanging="720"/>
        <w:contextualSpacing/>
        <w:jc w:val="both"/>
        <w:rPr>
          <w:b/>
        </w:rPr>
      </w:pPr>
    </w:p>
    <w:p w:rsidR="000C2CE1" w:rsidRPr="00884C39" w:rsidRDefault="00BB0853" w:rsidP="00CD0B2A">
      <w:pPr>
        <w:spacing w:line="360" w:lineRule="auto"/>
        <w:ind w:left="720" w:hanging="720"/>
        <w:contextualSpacing/>
        <w:jc w:val="both"/>
      </w:pPr>
      <w:r w:rsidRPr="00884C39">
        <w:t>7</w:t>
      </w:r>
      <w:r w:rsidR="008B3490" w:rsidRPr="00884C39">
        <w:t>.1</w:t>
      </w:r>
      <w:r w:rsidR="000C2CE1" w:rsidRPr="00884C39">
        <w:tab/>
      </w:r>
      <w:r w:rsidR="00553534" w:rsidRPr="00884C39">
        <w:t xml:space="preserve">At all stages of the proceeding, communications with the Court should be by email with a copy to all other parties, </w:t>
      </w:r>
      <w:r w:rsidR="00B47C27" w:rsidRPr="00884C39">
        <w:t>and should be confined to uncontroversial matters. Contact details for</w:t>
      </w:r>
      <w:r w:rsidR="00553534" w:rsidRPr="00884C39">
        <w:t xml:space="preserve"> the </w:t>
      </w:r>
      <w:r w:rsidR="001A2E54" w:rsidRPr="00884C39">
        <w:t>Associate</w:t>
      </w:r>
      <w:r w:rsidR="00B47C27" w:rsidRPr="00884C39">
        <w:t xml:space="preserve"> are</w:t>
      </w:r>
      <w:r w:rsidR="00C752A5" w:rsidRPr="00884C39">
        <w:t xml:space="preserve"> on the Court website.</w:t>
      </w:r>
    </w:p>
    <w:p w:rsidR="000A68F5" w:rsidRPr="00884C39" w:rsidRDefault="000A68F5" w:rsidP="00CD0B2A">
      <w:pPr>
        <w:spacing w:line="360" w:lineRule="auto"/>
        <w:ind w:left="720" w:hanging="720"/>
        <w:contextualSpacing/>
        <w:jc w:val="both"/>
      </w:pPr>
    </w:p>
    <w:p w:rsidR="000A68F5" w:rsidRPr="00884C39" w:rsidRDefault="000A68F5" w:rsidP="00CD0B2A">
      <w:pPr>
        <w:spacing w:line="360" w:lineRule="auto"/>
        <w:ind w:left="720" w:hanging="720"/>
        <w:contextualSpacing/>
        <w:jc w:val="both"/>
      </w:pPr>
    </w:p>
    <w:p w:rsidR="000A68F5" w:rsidRPr="00884C39" w:rsidRDefault="000A68F5" w:rsidP="000A68F5">
      <w:pPr>
        <w:spacing w:line="360" w:lineRule="auto"/>
        <w:ind w:left="720" w:hanging="720"/>
        <w:contextualSpacing/>
        <w:jc w:val="right"/>
      </w:pPr>
      <w:r w:rsidRPr="00884C39">
        <w:t>Vivienne Macgillivray</w:t>
      </w:r>
    </w:p>
    <w:p w:rsidR="000A68F5" w:rsidRPr="00884C39" w:rsidRDefault="000A68F5" w:rsidP="000A68F5">
      <w:pPr>
        <w:spacing w:line="360" w:lineRule="auto"/>
        <w:ind w:left="720" w:hanging="720"/>
        <w:contextualSpacing/>
        <w:jc w:val="right"/>
      </w:pPr>
      <w:r w:rsidRPr="00884C39">
        <w:t>Executive Associate to the Chief Justice</w:t>
      </w:r>
    </w:p>
    <w:p w:rsidR="000A68F5" w:rsidRPr="00884C39" w:rsidRDefault="000A68F5" w:rsidP="000A68F5">
      <w:pPr>
        <w:spacing w:line="360" w:lineRule="auto"/>
        <w:ind w:left="720" w:hanging="720"/>
        <w:contextualSpacing/>
        <w:jc w:val="right"/>
      </w:pPr>
      <w:r w:rsidRPr="00884C39">
        <w:t xml:space="preserve">5 November 2014 </w:t>
      </w:r>
    </w:p>
    <w:p w:rsidR="00553534" w:rsidRPr="00884C39" w:rsidRDefault="004E10CA" w:rsidP="00CD0B2A">
      <w:pPr>
        <w:spacing w:line="360" w:lineRule="auto"/>
        <w:contextualSpacing/>
        <w:jc w:val="center"/>
        <w:rPr>
          <w:b/>
        </w:rPr>
      </w:pPr>
      <w:r w:rsidRPr="00884C39">
        <w:rPr>
          <w:b/>
          <w:u w:val="single"/>
        </w:rPr>
        <w:br w:type="page"/>
      </w:r>
      <w:r w:rsidR="009B7708" w:rsidRPr="00884C39">
        <w:rPr>
          <w:b/>
        </w:rPr>
        <w:lastRenderedPageBreak/>
        <w:t>SCHEDULE 1</w:t>
      </w:r>
    </w:p>
    <w:p w:rsidR="00553534" w:rsidRPr="00884C39" w:rsidRDefault="00FB332B" w:rsidP="00C27E6B">
      <w:pPr>
        <w:jc w:val="center"/>
        <w:rPr>
          <w:b/>
        </w:rPr>
      </w:pPr>
      <w:r w:rsidRPr="00884C39">
        <w:rPr>
          <w:b/>
        </w:rPr>
        <w:t>Probate</w:t>
      </w:r>
      <w:r w:rsidR="00553534" w:rsidRPr="00884C39">
        <w:rPr>
          <w:b/>
        </w:rPr>
        <w:t xml:space="preserve"> List</w:t>
      </w:r>
    </w:p>
    <w:p w:rsidR="00CE520C" w:rsidRPr="00884C39" w:rsidRDefault="00FB332B" w:rsidP="00C27E6B">
      <w:pPr>
        <w:jc w:val="center"/>
        <w:rPr>
          <w:b/>
        </w:rPr>
      </w:pPr>
      <w:r w:rsidRPr="00884C39">
        <w:rPr>
          <w:b/>
        </w:rPr>
        <w:t>Standard Orders</w:t>
      </w:r>
    </w:p>
    <w:p w:rsidR="00FB332B" w:rsidRPr="00884C39" w:rsidRDefault="00FB332B" w:rsidP="00FB332B">
      <w:pPr>
        <w:spacing w:after="200" w:line="276" w:lineRule="auto"/>
        <w:jc w:val="both"/>
        <w:rPr>
          <w:b/>
        </w:rPr>
      </w:pPr>
    </w:p>
    <w:p w:rsidR="00FB332B" w:rsidRPr="00884C39" w:rsidRDefault="00FB332B" w:rsidP="00EC338F">
      <w:pPr>
        <w:spacing w:line="360" w:lineRule="auto"/>
        <w:contextualSpacing/>
        <w:jc w:val="both"/>
      </w:pPr>
      <w:r w:rsidRPr="00884C39">
        <w:t>Practitioners and litigants should note the following examples of standard orders made in proceedings in the List:</w:t>
      </w:r>
    </w:p>
    <w:p w:rsidR="00EC338F" w:rsidRPr="00884C39" w:rsidRDefault="00EC338F" w:rsidP="00EC338F">
      <w:pPr>
        <w:spacing w:line="360" w:lineRule="auto"/>
        <w:contextualSpacing/>
        <w:jc w:val="both"/>
      </w:pPr>
    </w:p>
    <w:p w:rsidR="00EC338F" w:rsidRPr="00884C39" w:rsidRDefault="00FB332B" w:rsidP="00EC338F">
      <w:pPr>
        <w:numPr>
          <w:ilvl w:val="0"/>
          <w:numId w:val="19"/>
        </w:numPr>
        <w:spacing w:line="360" w:lineRule="auto"/>
        <w:contextualSpacing/>
        <w:jc w:val="both"/>
      </w:pPr>
      <w:r w:rsidRPr="00884C39">
        <w:t xml:space="preserve">Proceedings concerning the testamentary capacity and knowledge and approval of the testator, or allegations of undue influence, will not ordinarily be appropriate for evidence to be given by affidavits. Instead, parties will be ordered to prepare position statements to assist with the mediation of proceedings prior to trial, and </w:t>
      </w:r>
      <w:r w:rsidRPr="00884C39">
        <w:rPr>
          <w:i/>
        </w:rPr>
        <w:t>viva voce</w:t>
      </w:r>
      <w:r w:rsidRPr="00884C39">
        <w:t xml:space="preserve"> evidence will be given at trial.</w:t>
      </w:r>
    </w:p>
    <w:p w:rsidR="00EC338F" w:rsidRPr="00884C39" w:rsidRDefault="00EC338F" w:rsidP="00EC338F">
      <w:pPr>
        <w:spacing w:line="360" w:lineRule="auto"/>
        <w:ind w:left="720"/>
        <w:contextualSpacing/>
        <w:jc w:val="both"/>
      </w:pPr>
    </w:p>
    <w:p w:rsidR="00EC338F" w:rsidRPr="00884C39" w:rsidRDefault="00FB332B" w:rsidP="00EC338F">
      <w:pPr>
        <w:numPr>
          <w:ilvl w:val="0"/>
          <w:numId w:val="19"/>
        </w:numPr>
        <w:spacing w:line="360" w:lineRule="auto"/>
        <w:contextualSpacing/>
        <w:jc w:val="both"/>
      </w:pPr>
      <w:r w:rsidRPr="00884C39">
        <w:t xml:space="preserve">Where a grant of representation is sought by consent following the settlement of proceedings, the standard order by </w:t>
      </w:r>
      <w:r w:rsidR="00FD14AC" w:rsidRPr="00884C39">
        <w:t>the Court will be for the proceeding</w:t>
      </w:r>
      <w:r w:rsidRPr="00884C39">
        <w:t xml:space="preserve"> to be referred to the Registrar for a grant subject to the requirements of the Registrar. The Judge </w:t>
      </w:r>
      <w:r w:rsidR="00DE6C1F" w:rsidRPr="00884C39">
        <w:t xml:space="preserve">in Charge </w:t>
      </w:r>
      <w:r w:rsidRPr="00884C39">
        <w:t>will not ordinarily make a grant of representation without r</w:t>
      </w:r>
      <w:r w:rsidR="00FD14AC" w:rsidRPr="00884C39">
        <w:t>eferring the proceeding</w:t>
      </w:r>
      <w:r w:rsidRPr="00884C39">
        <w:t xml:space="preserve"> to the Registrar.</w:t>
      </w:r>
    </w:p>
    <w:p w:rsidR="00EC338F" w:rsidRPr="00884C39" w:rsidRDefault="00EC338F" w:rsidP="00EC338F">
      <w:pPr>
        <w:spacing w:line="360" w:lineRule="auto"/>
        <w:ind w:left="720"/>
        <w:contextualSpacing/>
        <w:jc w:val="both"/>
      </w:pPr>
    </w:p>
    <w:p w:rsidR="00EC338F" w:rsidRPr="00884C39" w:rsidRDefault="00FB332B" w:rsidP="00EC338F">
      <w:pPr>
        <w:numPr>
          <w:ilvl w:val="0"/>
          <w:numId w:val="19"/>
        </w:numPr>
        <w:spacing w:line="360" w:lineRule="auto"/>
        <w:contextualSpacing/>
        <w:jc w:val="both"/>
      </w:pPr>
      <w:r w:rsidRPr="00884C39">
        <w:t>Applications for the revocation of a grant of representation should be brought by summons in the proceeding in which the grant was made. The applicant should then seek orders to be added as a defendant to these proceedings.</w:t>
      </w:r>
    </w:p>
    <w:p w:rsidR="00EC338F" w:rsidRPr="00884C39" w:rsidRDefault="00EC338F" w:rsidP="00EC338F">
      <w:pPr>
        <w:spacing w:line="360" w:lineRule="auto"/>
        <w:ind w:left="720"/>
        <w:contextualSpacing/>
        <w:jc w:val="both"/>
      </w:pPr>
    </w:p>
    <w:p w:rsidR="00EC338F" w:rsidRPr="00884C39" w:rsidRDefault="00FB332B" w:rsidP="00EC338F">
      <w:pPr>
        <w:numPr>
          <w:ilvl w:val="0"/>
          <w:numId w:val="19"/>
        </w:numPr>
        <w:spacing w:line="360" w:lineRule="auto"/>
        <w:contextualSpacing/>
        <w:jc w:val="both"/>
      </w:pPr>
      <w:r w:rsidRPr="00884C39">
        <w:t>Practitioners should note that where contested caveat proceedings are settled, and the parties intend for there to be a grant of representation</w:t>
      </w:r>
      <w:r w:rsidR="00042383" w:rsidRPr="00884C39">
        <w:t xml:space="preserve"> to the plaintiff</w:t>
      </w:r>
      <w:r w:rsidRPr="00884C39">
        <w:t>, the proceeding should not be dismissed but should instead be referred to the Registrar.</w:t>
      </w:r>
      <w:r w:rsidR="00042383" w:rsidRPr="00884C39">
        <w:t xml:space="preserve"> Where a grant of representation is intended to be sought by a person other than the plaintiff, the contested caveat proceeding should be dismissed and a new application made.</w:t>
      </w:r>
    </w:p>
    <w:p w:rsidR="00EC338F" w:rsidRPr="00884C39" w:rsidRDefault="00EC338F" w:rsidP="00EC338F">
      <w:pPr>
        <w:spacing w:line="360" w:lineRule="auto"/>
        <w:ind w:left="720"/>
        <w:contextualSpacing/>
        <w:jc w:val="both"/>
      </w:pPr>
    </w:p>
    <w:p w:rsidR="00EC338F" w:rsidRPr="00884C39" w:rsidRDefault="00FB332B" w:rsidP="00EC338F">
      <w:pPr>
        <w:numPr>
          <w:ilvl w:val="0"/>
          <w:numId w:val="19"/>
        </w:numPr>
        <w:spacing w:line="360" w:lineRule="auto"/>
        <w:contextualSpacing/>
        <w:jc w:val="both"/>
      </w:pPr>
      <w:r w:rsidRPr="00884C39">
        <w:t>Where a withdrawal of a renunciation of probate is sought, and the renunciation was advised by the practitioner, the Court will not ordinarily make the order without an undertaking that the practitioner will bear the costs of seeking the withdrawal of the renunciation.</w:t>
      </w:r>
    </w:p>
    <w:p w:rsidR="00EC338F" w:rsidRPr="00884C39" w:rsidRDefault="00EC338F" w:rsidP="00EC338F">
      <w:pPr>
        <w:spacing w:line="360" w:lineRule="auto"/>
        <w:ind w:left="720"/>
        <w:contextualSpacing/>
        <w:jc w:val="both"/>
      </w:pPr>
    </w:p>
    <w:p w:rsidR="00042383" w:rsidRPr="00884C39" w:rsidRDefault="00042383" w:rsidP="00042383">
      <w:pPr>
        <w:numPr>
          <w:ilvl w:val="0"/>
          <w:numId w:val="19"/>
        </w:numPr>
        <w:spacing w:line="360" w:lineRule="auto"/>
        <w:jc w:val="both"/>
      </w:pPr>
      <w:r w:rsidRPr="00884C39">
        <w:t>Where a will is sought to be rectified in an uncontested proceeding, and the rectification was the fault of the practitioner responsible for drafting the will, the Court will not ordinarily make the order without an undertaking that the practitioner will bear the costs of seeking that the will be rectified.</w:t>
      </w:r>
    </w:p>
    <w:p w:rsidR="00042383" w:rsidRPr="00884C39" w:rsidRDefault="00042383" w:rsidP="00042383">
      <w:pPr>
        <w:pStyle w:val="ListParagraph"/>
      </w:pPr>
    </w:p>
    <w:p w:rsidR="00FB332B" w:rsidRPr="00884C39" w:rsidRDefault="00FB332B" w:rsidP="00EC338F">
      <w:pPr>
        <w:numPr>
          <w:ilvl w:val="0"/>
          <w:numId w:val="19"/>
        </w:numPr>
        <w:spacing w:line="360" w:lineRule="auto"/>
        <w:contextualSpacing/>
        <w:jc w:val="both"/>
      </w:pPr>
      <w:r w:rsidRPr="00884C39">
        <w:t xml:space="preserve">In draft documents submitted to the Court, </w:t>
      </w:r>
      <w:r w:rsidR="004A7F8E" w:rsidRPr="00884C39">
        <w:t xml:space="preserve">a </w:t>
      </w:r>
      <w:proofErr w:type="spellStart"/>
      <w:r w:rsidR="004A7F8E" w:rsidRPr="00884C39">
        <w:t>caveator</w:t>
      </w:r>
      <w:proofErr w:type="spellEnd"/>
      <w:r w:rsidR="004A7F8E" w:rsidRPr="00884C39">
        <w:t xml:space="preserve"> or applicant</w:t>
      </w:r>
      <w:r w:rsidRPr="00884C39">
        <w:t xml:space="preserve"> for revocation of a grant of representation should not be included in the title to the proceeding until orders are made adding them as a defendant to the proceeding.</w:t>
      </w:r>
      <w:r w:rsidR="00666E4A" w:rsidRPr="00884C39">
        <w:rPr>
          <w:b/>
        </w:rPr>
        <w:t xml:space="preserve"> </w:t>
      </w:r>
    </w:p>
    <w:sectPr w:rsidR="00FB332B" w:rsidRPr="00884C39">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89" w:rsidRDefault="008D5689">
      <w:r>
        <w:separator/>
      </w:r>
    </w:p>
  </w:endnote>
  <w:endnote w:type="continuationSeparator" w:id="0">
    <w:p w:rsidR="008D5689" w:rsidRDefault="008D5689">
      <w:r>
        <w:continuationSeparator/>
      </w:r>
    </w:p>
  </w:endnote>
  <w:endnote w:type="continuationNotice" w:id="1">
    <w:p w:rsidR="008D5689" w:rsidRDefault="008D5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26" w:rsidRDefault="00343D26">
    <w:pPr>
      <w:pStyle w:val="Footer"/>
      <w:jc w:val="right"/>
    </w:pPr>
    <w:r>
      <w:fldChar w:fldCharType="begin"/>
    </w:r>
    <w:r>
      <w:instrText xml:space="preserve"> PAGE   \* MERGEFORMAT </w:instrText>
    </w:r>
    <w:r>
      <w:fldChar w:fldCharType="separate"/>
    </w:r>
    <w:r w:rsidR="00A52C81">
      <w:rPr>
        <w:noProof/>
      </w:rPr>
      <w:t>2</w:t>
    </w:r>
    <w:r>
      <w:rPr>
        <w:noProof/>
      </w:rPr>
      <w:fldChar w:fldCharType="end"/>
    </w:r>
  </w:p>
  <w:p w:rsidR="00343D26" w:rsidRDefault="0034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89" w:rsidRDefault="008D5689">
      <w:r>
        <w:separator/>
      </w:r>
    </w:p>
  </w:footnote>
  <w:footnote w:type="continuationSeparator" w:id="0">
    <w:p w:rsidR="008D5689" w:rsidRDefault="008D5689">
      <w:r>
        <w:continuationSeparator/>
      </w:r>
    </w:p>
  </w:footnote>
  <w:footnote w:type="continuationNotice" w:id="1">
    <w:p w:rsidR="008D5689" w:rsidRDefault="008D56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26" w:rsidRDefault="00343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54B63"/>
    <w:multiLevelType w:val="hybridMultilevel"/>
    <w:tmpl w:val="BDF4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A261D"/>
    <w:multiLevelType w:val="hybridMultilevel"/>
    <w:tmpl w:val="143CC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33B3BDA"/>
    <w:multiLevelType w:val="hybridMultilevel"/>
    <w:tmpl w:val="9C001B30"/>
    <w:lvl w:ilvl="0" w:tplc="38A8D84E">
      <w:start w:val="1"/>
      <w:numFmt w:val="lowerLetter"/>
      <w:lvlText w:val="(%1)"/>
      <w:lvlJc w:val="left"/>
      <w:pPr>
        <w:ind w:left="720" w:hanging="360"/>
      </w:pPr>
      <w:rPr>
        <w:rFonts w:hint="default"/>
      </w:rPr>
    </w:lvl>
    <w:lvl w:ilvl="1" w:tplc="3912D7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4AD511D"/>
    <w:multiLevelType w:val="hybridMultilevel"/>
    <w:tmpl w:val="3F143572"/>
    <w:lvl w:ilvl="0" w:tplc="38A8D84E">
      <w:start w:val="1"/>
      <w:numFmt w:val="lowerLetter"/>
      <w:lvlText w:val="(%1)"/>
      <w:lvlJc w:val="left"/>
      <w:pPr>
        <w:ind w:left="720" w:hanging="360"/>
      </w:pPr>
      <w:rPr>
        <w:rFonts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9961EE"/>
    <w:multiLevelType w:val="hybridMultilevel"/>
    <w:tmpl w:val="573C34BE"/>
    <w:lvl w:ilvl="0" w:tplc="0C090001">
      <w:start w:val="1"/>
      <w:numFmt w:val="bullet"/>
      <w:lvlText w:val=""/>
      <w:lvlJc w:val="left"/>
      <w:pPr>
        <w:ind w:left="720" w:hanging="360"/>
      </w:pPr>
      <w:rPr>
        <w:rFonts w:ascii="Symbol" w:hAnsi="Symbol" w:hint="default"/>
      </w:rPr>
    </w:lvl>
    <w:lvl w:ilvl="1" w:tplc="3912D7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FC17DE"/>
    <w:multiLevelType w:val="hybridMultilevel"/>
    <w:tmpl w:val="A8961814"/>
    <w:lvl w:ilvl="0" w:tplc="0C09000F">
      <w:start w:val="1"/>
      <w:numFmt w:val="decimal"/>
      <w:lvlText w:val="%1."/>
      <w:lvlJc w:val="left"/>
      <w:pPr>
        <w:ind w:left="720" w:hanging="360"/>
      </w:pPr>
    </w:lvl>
    <w:lvl w:ilvl="1" w:tplc="3912D7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nsid w:val="6D3548DD"/>
    <w:multiLevelType w:val="hybridMultilevel"/>
    <w:tmpl w:val="10BEB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F06B8F"/>
    <w:multiLevelType w:val="hybridMultilevel"/>
    <w:tmpl w:val="B81C7EDC"/>
    <w:lvl w:ilvl="0" w:tplc="0C090001">
      <w:start w:val="1"/>
      <w:numFmt w:val="bullet"/>
      <w:lvlText w:val=""/>
      <w:lvlJc w:val="left"/>
      <w:pPr>
        <w:ind w:left="720" w:hanging="360"/>
      </w:pPr>
      <w:rPr>
        <w:rFonts w:ascii="Symbol" w:hAnsi="Symbol"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9"/>
  </w:num>
  <w:num w:numId="3">
    <w:abstractNumId w:val="17"/>
  </w:num>
  <w:num w:numId="4">
    <w:abstractNumId w:val="24"/>
  </w:num>
  <w:num w:numId="5">
    <w:abstractNumId w:val="7"/>
  </w:num>
  <w:num w:numId="6">
    <w:abstractNumId w:val="19"/>
  </w:num>
  <w:num w:numId="7">
    <w:abstractNumId w:val="20"/>
  </w:num>
  <w:num w:numId="8">
    <w:abstractNumId w:val="12"/>
  </w:num>
  <w:num w:numId="9">
    <w:abstractNumId w:val="3"/>
  </w:num>
  <w:num w:numId="10">
    <w:abstractNumId w:val="11"/>
  </w:num>
  <w:num w:numId="11">
    <w:abstractNumId w:val="16"/>
  </w:num>
  <w:num w:numId="12">
    <w:abstractNumId w:val="18"/>
  </w:num>
  <w:num w:numId="13">
    <w:abstractNumId w:val="5"/>
  </w:num>
  <w:num w:numId="14">
    <w:abstractNumId w:val="4"/>
  </w:num>
  <w:num w:numId="15">
    <w:abstractNumId w:val="10"/>
  </w:num>
  <w:num w:numId="16">
    <w:abstractNumId w:val="0"/>
  </w:num>
  <w:num w:numId="17">
    <w:abstractNumId w:val="8"/>
  </w:num>
  <w:num w:numId="18">
    <w:abstractNumId w:val="15"/>
  </w:num>
  <w:num w:numId="19">
    <w:abstractNumId w:val="23"/>
  </w:num>
  <w:num w:numId="20">
    <w:abstractNumId w:val="13"/>
  </w:num>
  <w:num w:numId="21">
    <w:abstractNumId w:val="6"/>
  </w:num>
  <w:num w:numId="22">
    <w:abstractNumId w:val="14"/>
  </w:num>
  <w:num w:numId="23">
    <w:abstractNumId w:val="1"/>
  </w:num>
  <w:num w:numId="24">
    <w:abstractNumId w:val="2"/>
  </w:num>
  <w:num w:numId="25">
    <w:abstractNumId w:val="2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0833"/>
    <w:rsid w:val="00042383"/>
    <w:rsid w:val="00043448"/>
    <w:rsid w:val="00055F43"/>
    <w:rsid w:val="000566C3"/>
    <w:rsid w:val="00070CA2"/>
    <w:rsid w:val="00070D66"/>
    <w:rsid w:val="00071A96"/>
    <w:rsid w:val="00073139"/>
    <w:rsid w:val="00073769"/>
    <w:rsid w:val="00077863"/>
    <w:rsid w:val="00081A41"/>
    <w:rsid w:val="00091B05"/>
    <w:rsid w:val="00095BA5"/>
    <w:rsid w:val="000A0E10"/>
    <w:rsid w:val="000A1DE7"/>
    <w:rsid w:val="000A4F62"/>
    <w:rsid w:val="000A553C"/>
    <w:rsid w:val="000A68F5"/>
    <w:rsid w:val="000A6B76"/>
    <w:rsid w:val="000B2E54"/>
    <w:rsid w:val="000B5F50"/>
    <w:rsid w:val="000C0998"/>
    <w:rsid w:val="000C1777"/>
    <w:rsid w:val="000C2CE1"/>
    <w:rsid w:val="000C5F4B"/>
    <w:rsid w:val="000C75E1"/>
    <w:rsid w:val="000D07F1"/>
    <w:rsid w:val="000D3250"/>
    <w:rsid w:val="000D5E28"/>
    <w:rsid w:val="000D7A64"/>
    <w:rsid w:val="000E12FA"/>
    <w:rsid w:val="000F3B18"/>
    <w:rsid w:val="000F6EA7"/>
    <w:rsid w:val="00100006"/>
    <w:rsid w:val="00101EC5"/>
    <w:rsid w:val="00115059"/>
    <w:rsid w:val="0012352B"/>
    <w:rsid w:val="00125C07"/>
    <w:rsid w:val="00133A51"/>
    <w:rsid w:val="00140683"/>
    <w:rsid w:val="00143136"/>
    <w:rsid w:val="00144DAA"/>
    <w:rsid w:val="00145C92"/>
    <w:rsid w:val="00145D28"/>
    <w:rsid w:val="0015063E"/>
    <w:rsid w:val="00155A8E"/>
    <w:rsid w:val="0015650D"/>
    <w:rsid w:val="00161CA2"/>
    <w:rsid w:val="001716EF"/>
    <w:rsid w:val="00175191"/>
    <w:rsid w:val="0018061B"/>
    <w:rsid w:val="0018783E"/>
    <w:rsid w:val="001913C5"/>
    <w:rsid w:val="00194089"/>
    <w:rsid w:val="00194A80"/>
    <w:rsid w:val="001A2B36"/>
    <w:rsid w:val="001A2E54"/>
    <w:rsid w:val="001A5036"/>
    <w:rsid w:val="001A5B39"/>
    <w:rsid w:val="001A667F"/>
    <w:rsid w:val="001A7651"/>
    <w:rsid w:val="001B3484"/>
    <w:rsid w:val="001B4283"/>
    <w:rsid w:val="001B7E2C"/>
    <w:rsid w:val="001C116C"/>
    <w:rsid w:val="001C2F4B"/>
    <w:rsid w:val="001D41F0"/>
    <w:rsid w:val="001D52EE"/>
    <w:rsid w:val="00202E84"/>
    <w:rsid w:val="0020356E"/>
    <w:rsid w:val="00206EF8"/>
    <w:rsid w:val="00217758"/>
    <w:rsid w:val="00217E88"/>
    <w:rsid w:val="002218C5"/>
    <w:rsid w:val="0022666D"/>
    <w:rsid w:val="0023426A"/>
    <w:rsid w:val="00234B7B"/>
    <w:rsid w:val="00241A4E"/>
    <w:rsid w:val="00242B3D"/>
    <w:rsid w:val="00247F50"/>
    <w:rsid w:val="0026005D"/>
    <w:rsid w:val="00265BF9"/>
    <w:rsid w:val="00271B59"/>
    <w:rsid w:val="00275A5A"/>
    <w:rsid w:val="0028130B"/>
    <w:rsid w:val="002871CD"/>
    <w:rsid w:val="002B465A"/>
    <w:rsid w:val="002C1134"/>
    <w:rsid w:val="002D0AB0"/>
    <w:rsid w:val="002D0FD3"/>
    <w:rsid w:val="002D23D8"/>
    <w:rsid w:val="002E0F6B"/>
    <w:rsid w:val="002E6B43"/>
    <w:rsid w:val="002E7FD2"/>
    <w:rsid w:val="002F1D36"/>
    <w:rsid w:val="002F4D7F"/>
    <w:rsid w:val="00300F4B"/>
    <w:rsid w:val="00302981"/>
    <w:rsid w:val="00305761"/>
    <w:rsid w:val="00307B60"/>
    <w:rsid w:val="00310655"/>
    <w:rsid w:val="00310A32"/>
    <w:rsid w:val="00311051"/>
    <w:rsid w:val="003166D1"/>
    <w:rsid w:val="00321C75"/>
    <w:rsid w:val="0032286C"/>
    <w:rsid w:val="00334DD3"/>
    <w:rsid w:val="00340257"/>
    <w:rsid w:val="0034260E"/>
    <w:rsid w:val="00343D26"/>
    <w:rsid w:val="00350055"/>
    <w:rsid w:val="003500B9"/>
    <w:rsid w:val="003508E0"/>
    <w:rsid w:val="00353E4C"/>
    <w:rsid w:val="00356593"/>
    <w:rsid w:val="00357A0D"/>
    <w:rsid w:val="00365D0E"/>
    <w:rsid w:val="00367AD0"/>
    <w:rsid w:val="00377999"/>
    <w:rsid w:val="00381991"/>
    <w:rsid w:val="00386C9F"/>
    <w:rsid w:val="00387DB3"/>
    <w:rsid w:val="00391CA0"/>
    <w:rsid w:val="003945D8"/>
    <w:rsid w:val="00396EF2"/>
    <w:rsid w:val="00397AAE"/>
    <w:rsid w:val="003A7A5A"/>
    <w:rsid w:val="003A7E6C"/>
    <w:rsid w:val="003B7248"/>
    <w:rsid w:val="003C343E"/>
    <w:rsid w:val="003C5C64"/>
    <w:rsid w:val="003C62F1"/>
    <w:rsid w:val="003E6152"/>
    <w:rsid w:val="003F0D9C"/>
    <w:rsid w:val="00404CB0"/>
    <w:rsid w:val="00411A07"/>
    <w:rsid w:val="00414B77"/>
    <w:rsid w:val="0042138B"/>
    <w:rsid w:val="00434BEE"/>
    <w:rsid w:val="004361F0"/>
    <w:rsid w:val="00441431"/>
    <w:rsid w:val="00454495"/>
    <w:rsid w:val="004551E9"/>
    <w:rsid w:val="00455D46"/>
    <w:rsid w:val="00461361"/>
    <w:rsid w:val="00471414"/>
    <w:rsid w:val="00474F94"/>
    <w:rsid w:val="00482EBE"/>
    <w:rsid w:val="00483F1E"/>
    <w:rsid w:val="004912F2"/>
    <w:rsid w:val="00492363"/>
    <w:rsid w:val="00494220"/>
    <w:rsid w:val="004946BD"/>
    <w:rsid w:val="00494F9A"/>
    <w:rsid w:val="0049669C"/>
    <w:rsid w:val="00496F08"/>
    <w:rsid w:val="004A7F8E"/>
    <w:rsid w:val="004B2A72"/>
    <w:rsid w:val="004B5756"/>
    <w:rsid w:val="004B6E9A"/>
    <w:rsid w:val="004C1FFA"/>
    <w:rsid w:val="004C29B1"/>
    <w:rsid w:val="004D1112"/>
    <w:rsid w:val="004D661F"/>
    <w:rsid w:val="004E1038"/>
    <w:rsid w:val="004E1052"/>
    <w:rsid w:val="004E10CA"/>
    <w:rsid w:val="004E284B"/>
    <w:rsid w:val="004F61E8"/>
    <w:rsid w:val="004F7E81"/>
    <w:rsid w:val="0050429E"/>
    <w:rsid w:val="00506B52"/>
    <w:rsid w:val="00512025"/>
    <w:rsid w:val="005123B0"/>
    <w:rsid w:val="005158D2"/>
    <w:rsid w:val="005278A1"/>
    <w:rsid w:val="00541EAB"/>
    <w:rsid w:val="00542F33"/>
    <w:rsid w:val="00547600"/>
    <w:rsid w:val="00550871"/>
    <w:rsid w:val="005534A5"/>
    <w:rsid w:val="00553534"/>
    <w:rsid w:val="00554A65"/>
    <w:rsid w:val="0055503D"/>
    <w:rsid w:val="00561105"/>
    <w:rsid w:val="0056389E"/>
    <w:rsid w:val="00565B62"/>
    <w:rsid w:val="00570405"/>
    <w:rsid w:val="00571E15"/>
    <w:rsid w:val="00575849"/>
    <w:rsid w:val="005825BE"/>
    <w:rsid w:val="00591345"/>
    <w:rsid w:val="00593530"/>
    <w:rsid w:val="005A291A"/>
    <w:rsid w:val="005A386C"/>
    <w:rsid w:val="005A4134"/>
    <w:rsid w:val="005A59BA"/>
    <w:rsid w:val="005A68BF"/>
    <w:rsid w:val="005B499F"/>
    <w:rsid w:val="005B5CFE"/>
    <w:rsid w:val="005B7E00"/>
    <w:rsid w:val="005C542A"/>
    <w:rsid w:val="005C7F57"/>
    <w:rsid w:val="005D3383"/>
    <w:rsid w:val="005D638B"/>
    <w:rsid w:val="005E04B4"/>
    <w:rsid w:val="005E3BB5"/>
    <w:rsid w:val="005E5273"/>
    <w:rsid w:val="005E704A"/>
    <w:rsid w:val="005F02B1"/>
    <w:rsid w:val="005F067C"/>
    <w:rsid w:val="00607B05"/>
    <w:rsid w:val="006124C3"/>
    <w:rsid w:val="006135A6"/>
    <w:rsid w:val="00613FA8"/>
    <w:rsid w:val="00625C50"/>
    <w:rsid w:val="0062755D"/>
    <w:rsid w:val="00634832"/>
    <w:rsid w:val="00635413"/>
    <w:rsid w:val="00636D64"/>
    <w:rsid w:val="00637EE8"/>
    <w:rsid w:val="006513DD"/>
    <w:rsid w:val="00655347"/>
    <w:rsid w:val="006613C4"/>
    <w:rsid w:val="00666E4A"/>
    <w:rsid w:val="006676CA"/>
    <w:rsid w:val="00667940"/>
    <w:rsid w:val="006710C3"/>
    <w:rsid w:val="006763E3"/>
    <w:rsid w:val="00676B57"/>
    <w:rsid w:val="00676CE9"/>
    <w:rsid w:val="0067716A"/>
    <w:rsid w:val="00682C20"/>
    <w:rsid w:val="0068364B"/>
    <w:rsid w:val="00686402"/>
    <w:rsid w:val="0069029C"/>
    <w:rsid w:val="00691BC6"/>
    <w:rsid w:val="006921D0"/>
    <w:rsid w:val="00695864"/>
    <w:rsid w:val="00696FDA"/>
    <w:rsid w:val="006A29AF"/>
    <w:rsid w:val="006A2AFE"/>
    <w:rsid w:val="006A34BA"/>
    <w:rsid w:val="006A386D"/>
    <w:rsid w:val="006A74CE"/>
    <w:rsid w:val="006C55DA"/>
    <w:rsid w:val="006C7416"/>
    <w:rsid w:val="006E6E2F"/>
    <w:rsid w:val="006E73BE"/>
    <w:rsid w:val="006F0255"/>
    <w:rsid w:val="006F0430"/>
    <w:rsid w:val="006F3E76"/>
    <w:rsid w:val="006F3FAF"/>
    <w:rsid w:val="006F5F1C"/>
    <w:rsid w:val="006F6748"/>
    <w:rsid w:val="00704897"/>
    <w:rsid w:val="007107C6"/>
    <w:rsid w:val="00715F27"/>
    <w:rsid w:val="00720BE1"/>
    <w:rsid w:val="00722648"/>
    <w:rsid w:val="00737442"/>
    <w:rsid w:val="00741D9B"/>
    <w:rsid w:val="007453B3"/>
    <w:rsid w:val="0074724C"/>
    <w:rsid w:val="0075230A"/>
    <w:rsid w:val="00752628"/>
    <w:rsid w:val="00755325"/>
    <w:rsid w:val="00756FE4"/>
    <w:rsid w:val="00767B98"/>
    <w:rsid w:val="00780A47"/>
    <w:rsid w:val="00780F23"/>
    <w:rsid w:val="00793EDC"/>
    <w:rsid w:val="007951CA"/>
    <w:rsid w:val="00796E2E"/>
    <w:rsid w:val="007A0780"/>
    <w:rsid w:val="007A1449"/>
    <w:rsid w:val="007A1D8C"/>
    <w:rsid w:val="007A7AD6"/>
    <w:rsid w:val="007B3902"/>
    <w:rsid w:val="007C6118"/>
    <w:rsid w:val="007D0506"/>
    <w:rsid w:val="007D1D95"/>
    <w:rsid w:val="007E1D5F"/>
    <w:rsid w:val="007E24CA"/>
    <w:rsid w:val="007E2608"/>
    <w:rsid w:val="007E5564"/>
    <w:rsid w:val="007E6777"/>
    <w:rsid w:val="007F1253"/>
    <w:rsid w:val="007F7938"/>
    <w:rsid w:val="007F7C28"/>
    <w:rsid w:val="007F7F97"/>
    <w:rsid w:val="00802FC4"/>
    <w:rsid w:val="00804B57"/>
    <w:rsid w:val="008119D2"/>
    <w:rsid w:val="0082465E"/>
    <w:rsid w:val="0082476F"/>
    <w:rsid w:val="00831D0F"/>
    <w:rsid w:val="00834079"/>
    <w:rsid w:val="00835C7C"/>
    <w:rsid w:val="00836099"/>
    <w:rsid w:val="008429C5"/>
    <w:rsid w:val="008434C3"/>
    <w:rsid w:val="00845023"/>
    <w:rsid w:val="00850A46"/>
    <w:rsid w:val="008515EE"/>
    <w:rsid w:val="008539EB"/>
    <w:rsid w:val="00854FD4"/>
    <w:rsid w:val="0086055D"/>
    <w:rsid w:val="00872BAD"/>
    <w:rsid w:val="00880069"/>
    <w:rsid w:val="0088136E"/>
    <w:rsid w:val="008846D6"/>
    <w:rsid w:val="00884BF8"/>
    <w:rsid w:val="00884C39"/>
    <w:rsid w:val="00892D21"/>
    <w:rsid w:val="00892FF7"/>
    <w:rsid w:val="008942F1"/>
    <w:rsid w:val="008B0EC2"/>
    <w:rsid w:val="008B1575"/>
    <w:rsid w:val="008B191D"/>
    <w:rsid w:val="008B3490"/>
    <w:rsid w:val="008B47EA"/>
    <w:rsid w:val="008C027C"/>
    <w:rsid w:val="008C41FA"/>
    <w:rsid w:val="008D5689"/>
    <w:rsid w:val="008E2F41"/>
    <w:rsid w:val="008F3C39"/>
    <w:rsid w:val="0091164B"/>
    <w:rsid w:val="00916516"/>
    <w:rsid w:val="0092369B"/>
    <w:rsid w:val="009251C5"/>
    <w:rsid w:val="00934959"/>
    <w:rsid w:val="00940734"/>
    <w:rsid w:val="00940F44"/>
    <w:rsid w:val="00941002"/>
    <w:rsid w:val="009413DA"/>
    <w:rsid w:val="00947689"/>
    <w:rsid w:val="009517C7"/>
    <w:rsid w:val="0095377B"/>
    <w:rsid w:val="00955CBF"/>
    <w:rsid w:val="009579B5"/>
    <w:rsid w:val="0096128D"/>
    <w:rsid w:val="00963A32"/>
    <w:rsid w:val="00970632"/>
    <w:rsid w:val="00975561"/>
    <w:rsid w:val="0098076E"/>
    <w:rsid w:val="0098467D"/>
    <w:rsid w:val="00984A84"/>
    <w:rsid w:val="00987FD8"/>
    <w:rsid w:val="00990B3C"/>
    <w:rsid w:val="00993D8D"/>
    <w:rsid w:val="009956C6"/>
    <w:rsid w:val="00996F81"/>
    <w:rsid w:val="009A16DD"/>
    <w:rsid w:val="009A45B0"/>
    <w:rsid w:val="009B3159"/>
    <w:rsid w:val="009B7708"/>
    <w:rsid w:val="009C3906"/>
    <w:rsid w:val="009C393F"/>
    <w:rsid w:val="009C6B44"/>
    <w:rsid w:val="009D1753"/>
    <w:rsid w:val="009E5E09"/>
    <w:rsid w:val="009E714C"/>
    <w:rsid w:val="009F27F0"/>
    <w:rsid w:val="00A02D5F"/>
    <w:rsid w:val="00A03CC1"/>
    <w:rsid w:val="00A04BF1"/>
    <w:rsid w:val="00A13D3C"/>
    <w:rsid w:val="00A1734D"/>
    <w:rsid w:val="00A222B3"/>
    <w:rsid w:val="00A52C81"/>
    <w:rsid w:val="00A60D20"/>
    <w:rsid w:val="00A64EE1"/>
    <w:rsid w:val="00A67FC3"/>
    <w:rsid w:val="00A715A8"/>
    <w:rsid w:val="00A7710E"/>
    <w:rsid w:val="00A7773B"/>
    <w:rsid w:val="00A86757"/>
    <w:rsid w:val="00A9278B"/>
    <w:rsid w:val="00A937DF"/>
    <w:rsid w:val="00AA0705"/>
    <w:rsid w:val="00AA1BA4"/>
    <w:rsid w:val="00AB576B"/>
    <w:rsid w:val="00AB61BD"/>
    <w:rsid w:val="00AB6B2D"/>
    <w:rsid w:val="00AB6B88"/>
    <w:rsid w:val="00AC2F4D"/>
    <w:rsid w:val="00AC6641"/>
    <w:rsid w:val="00AD5C66"/>
    <w:rsid w:val="00AE3CE5"/>
    <w:rsid w:val="00AF29CC"/>
    <w:rsid w:val="00AF72F1"/>
    <w:rsid w:val="00AF7BEA"/>
    <w:rsid w:val="00B0217A"/>
    <w:rsid w:val="00B03FB3"/>
    <w:rsid w:val="00B210B9"/>
    <w:rsid w:val="00B2533E"/>
    <w:rsid w:val="00B26EE9"/>
    <w:rsid w:val="00B27212"/>
    <w:rsid w:val="00B31D34"/>
    <w:rsid w:val="00B323E2"/>
    <w:rsid w:val="00B366E1"/>
    <w:rsid w:val="00B36CA1"/>
    <w:rsid w:val="00B37F5F"/>
    <w:rsid w:val="00B40971"/>
    <w:rsid w:val="00B40B52"/>
    <w:rsid w:val="00B41CB2"/>
    <w:rsid w:val="00B4335D"/>
    <w:rsid w:val="00B43CA5"/>
    <w:rsid w:val="00B445A4"/>
    <w:rsid w:val="00B47C27"/>
    <w:rsid w:val="00B50C4E"/>
    <w:rsid w:val="00B53468"/>
    <w:rsid w:val="00B57556"/>
    <w:rsid w:val="00B6028A"/>
    <w:rsid w:val="00B6220E"/>
    <w:rsid w:val="00B8080B"/>
    <w:rsid w:val="00B84551"/>
    <w:rsid w:val="00B86CFD"/>
    <w:rsid w:val="00B91665"/>
    <w:rsid w:val="00B92511"/>
    <w:rsid w:val="00BA467D"/>
    <w:rsid w:val="00BA4AA3"/>
    <w:rsid w:val="00BA536E"/>
    <w:rsid w:val="00BB025F"/>
    <w:rsid w:val="00BB0853"/>
    <w:rsid w:val="00BB1CFE"/>
    <w:rsid w:val="00BB3539"/>
    <w:rsid w:val="00BB6A06"/>
    <w:rsid w:val="00BC63FD"/>
    <w:rsid w:val="00BC7826"/>
    <w:rsid w:val="00BD4E3C"/>
    <w:rsid w:val="00BD53FE"/>
    <w:rsid w:val="00BE1071"/>
    <w:rsid w:val="00BE279B"/>
    <w:rsid w:val="00BE5E45"/>
    <w:rsid w:val="00BE6133"/>
    <w:rsid w:val="00BF2411"/>
    <w:rsid w:val="00BF5F87"/>
    <w:rsid w:val="00BF6922"/>
    <w:rsid w:val="00BF764E"/>
    <w:rsid w:val="00BF7EB5"/>
    <w:rsid w:val="00C02583"/>
    <w:rsid w:val="00C02F5C"/>
    <w:rsid w:val="00C03C6C"/>
    <w:rsid w:val="00C16227"/>
    <w:rsid w:val="00C16789"/>
    <w:rsid w:val="00C24C19"/>
    <w:rsid w:val="00C25E34"/>
    <w:rsid w:val="00C27E6B"/>
    <w:rsid w:val="00C310B9"/>
    <w:rsid w:val="00C342D5"/>
    <w:rsid w:val="00C401CD"/>
    <w:rsid w:val="00C4035A"/>
    <w:rsid w:val="00C47782"/>
    <w:rsid w:val="00C53183"/>
    <w:rsid w:val="00C55128"/>
    <w:rsid w:val="00C56DF5"/>
    <w:rsid w:val="00C570CC"/>
    <w:rsid w:val="00C60BB4"/>
    <w:rsid w:val="00C60FDF"/>
    <w:rsid w:val="00C65F24"/>
    <w:rsid w:val="00C752A5"/>
    <w:rsid w:val="00C76689"/>
    <w:rsid w:val="00C806AE"/>
    <w:rsid w:val="00C8155C"/>
    <w:rsid w:val="00C96FB5"/>
    <w:rsid w:val="00C979D7"/>
    <w:rsid w:val="00CB2437"/>
    <w:rsid w:val="00CB2EDD"/>
    <w:rsid w:val="00CC2810"/>
    <w:rsid w:val="00CC41B4"/>
    <w:rsid w:val="00CC6705"/>
    <w:rsid w:val="00CD0B2A"/>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3C64"/>
    <w:rsid w:val="00D244E3"/>
    <w:rsid w:val="00D25933"/>
    <w:rsid w:val="00D26B29"/>
    <w:rsid w:val="00D3340C"/>
    <w:rsid w:val="00D44645"/>
    <w:rsid w:val="00D54B74"/>
    <w:rsid w:val="00D56B8D"/>
    <w:rsid w:val="00D62946"/>
    <w:rsid w:val="00D62C14"/>
    <w:rsid w:val="00D636CD"/>
    <w:rsid w:val="00D66FF2"/>
    <w:rsid w:val="00D71E39"/>
    <w:rsid w:val="00D77D53"/>
    <w:rsid w:val="00D809E3"/>
    <w:rsid w:val="00D85336"/>
    <w:rsid w:val="00D86A6A"/>
    <w:rsid w:val="00D91DA0"/>
    <w:rsid w:val="00D961E3"/>
    <w:rsid w:val="00DA1E21"/>
    <w:rsid w:val="00DA284A"/>
    <w:rsid w:val="00DB304D"/>
    <w:rsid w:val="00DB6F51"/>
    <w:rsid w:val="00DB7EBE"/>
    <w:rsid w:val="00DC0370"/>
    <w:rsid w:val="00DC1833"/>
    <w:rsid w:val="00DC1D8A"/>
    <w:rsid w:val="00DC24A7"/>
    <w:rsid w:val="00DC5BE7"/>
    <w:rsid w:val="00DC66BB"/>
    <w:rsid w:val="00DD1823"/>
    <w:rsid w:val="00DE2909"/>
    <w:rsid w:val="00DE6424"/>
    <w:rsid w:val="00DE6C1F"/>
    <w:rsid w:val="00DE6CBB"/>
    <w:rsid w:val="00DF032B"/>
    <w:rsid w:val="00DF1F28"/>
    <w:rsid w:val="00DF4878"/>
    <w:rsid w:val="00DF52D4"/>
    <w:rsid w:val="00E05506"/>
    <w:rsid w:val="00E0551B"/>
    <w:rsid w:val="00E15CF5"/>
    <w:rsid w:val="00E16169"/>
    <w:rsid w:val="00E20381"/>
    <w:rsid w:val="00E2055A"/>
    <w:rsid w:val="00E23A7E"/>
    <w:rsid w:val="00E25646"/>
    <w:rsid w:val="00E2776C"/>
    <w:rsid w:val="00E33AE7"/>
    <w:rsid w:val="00E52E8C"/>
    <w:rsid w:val="00E54AD4"/>
    <w:rsid w:val="00E61AA5"/>
    <w:rsid w:val="00E62BC4"/>
    <w:rsid w:val="00E66EDC"/>
    <w:rsid w:val="00E74D52"/>
    <w:rsid w:val="00E7631C"/>
    <w:rsid w:val="00E90334"/>
    <w:rsid w:val="00EA0DB8"/>
    <w:rsid w:val="00EA141C"/>
    <w:rsid w:val="00EA2EB9"/>
    <w:rsid w:val="00EA6CDF"/>
    <w:rsid w:val="00EB57EA"/>
    <w:rsid w:val="00EC338F"/>
    <w:rsid w:val="00EC4A6A"/>
    <w:rsid w:val="00EC6B3A"/>
    <w:rsid w:val="00ED25C1"/>
    <w:rsid w:val="00ED61FE"/>
    <w:rsid w:val="00EE6009"/>
    <w:rsid w:val="00EF1683"/>
    <w:rsid w:val="00EF2F58"/>
    <w:rsid w:val="00EF5C7D"/>
    <w:rsid w:val="00F0621A"/>
    <w:rsid w:val="00F07C59"/>
    <w:rsid w:val="00F24E6E"/>
    <w:rsid w:val="00F25EF5"/>
    <w:rsid w:val="00F26B00"/>
    <w:rsid w:val="00F33797"/>
    <w:rsid w:val="00F43EC5"/>
    <w:rsid w:val="00F521A3"/>
    <w:rsid w:val="00F52A10"/>
    <w:rsid w:val="00F62832"/>
    <w:rsid w:val="00F630C6"/>
    <w:rsid w:val="00F80F7B"/>
    <w:rsid w:val="00FA51CA"/>
    <w:rsid w:val="00FA7259"/>
    <w:rsid w:val="00FA7381"/>
    <w:rsid w:val="00FA7B26"/>
    <w:rsid w:val="00FB332B"/>
    <w:rsid w:val="00FB60BC"/>
    <w:rsid w:val="00FC350B"/>
    <w:rsid w:val="00FC38B1"/>
    <w:rsid w:val="00FC4A80"/>
    <w:rsid w:val="00FC697E"/>
    <w:rsid w:val="00FC7E16"/>
    <w:rsid w:val="00FD0B7E"/>
    <w:rsid w:val="00FD14AC"/>
    <w:rsid w:val="00FD2962"/>
    <w:rsid w:val="00FD2DBF"/>
    <w:rsid w:val="00FD41F1"/>
    <w:rsid w:val="00FD4655"/>
    <w:rsid w:val="00FD6D10"/>
    <w:rsid w:val="00FE13F6"/>
    <w:rsid w:val="00FE2DE4"/>
    <w:rsid w:val="00FE44AC"/>
    <w:rsid w:val="00FE744B"/>
    <w:rsid w:val="00FF1DE7"/>
    <w:rsid w:val="00FF32AD"/>
    <w:rsid w:val="00FF7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884C39"/>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884C39"/>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styleId="ListParagraph">
    <w:name w:val="List Paragraph"/>
    <w:basedOn w:val="Normal"/>
    <w:uiPriority w:val="34"/>
    <w:qFormat/>
    <w:rsid w:val="0004238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884C39"/>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884C39"/>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styleId="ListParagraph">
    <w:name w:val="List Paragraph"/>
    <w:basedOn w:val="Normal"/>
    <w:uiPriority w:val="34"/>
    <w:qFormat/>
    <w:rsid w:val="000423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150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B0D7E09265A419F03B6951BDD7ED6" ma:contentTypeVersion="1" ma:contentTypeDescription="Create a new document." ma:contentTypeScope="" ma:versionID="848a964f34604051caabb44acb1cc8b2">
  <xsd:schema xmlns:xsd="http://www.w3.org/2001/XMLSchema" xmlns:xs="http://www.w3.org/2001/XMLSchema" xmlns:p="http://schemas.microsoft.com/office/2006/metadata/properties" xmlns:ns3="079f852e-5e1f-442b-8157-bcfa9a404e25" targetNamespace="http://schemas.microsoft.com/office/2006/metadata/properties" ma:root="true" ma:fieldsID="44cf692a4a842114386482213bcd6353" ns3:_="">
    <xsd:import namespace="079f852e-5e1f-442b-8157-bcfa9a404e2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f852e-5e1f-442b-8157-bcfa9a404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91AF-BCDB-4B4B-8F41-96B428B37255}">
  <ds:schemaRefs>
    <ds:schemaRef ds:uri="http://schemas.microsoft.com/sharepoint/v3/contenttype/forms"/>
  </ds:schemaRefs>
</ds:datastoreItem>
</file>

<file path=customXml/itemProps2.xml><?xml version="1.0" encoding="utf-8"?>
<ds:datastoreItem xmlns:ds="http://schemas.openxmlformats.org/officeDocument/2006/customXml" ds:itemID="{799DC347-E560-4D96-8E2B-3EA51A49A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f852e-5e1f-442b-8157-bcfa9a404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FA703-7E0C-463B-9AE6-C43F9221063F}">
  <ds:schemaRefs>
    <ds:schemaRef ds:uri="http://schemas.microsoft.com/office/2006/metadata/longProperties"/>
  </ds:schemaRefs>
</ds:datastoreItem>
</file>

<file path=customXml/itemProps4.xml><?xml version="1.0" encoding="utf-8"?>
<ds:datastoreItem xmlns:ds="http://schemas.openxmlformats.org/officeDocument/2006/customXml" ds:itemID="{EC1AC63B-7045-49BF-9F5A-2199DB9279EC}">
  <ds:schemaRefs>
    <ds:schemaRef ds:uri="http://purl.org/dc/terms/"/>
    <ds:schemaRef ds:uri="http://purl.org/dc/dcmitype/"/>
    <ds:schemaRef ds:uri="http://www.w3.org/XML/1998/namespace"/>
    <ds:schemaRef ds:uri="http://schemas.microsoft.com/office/2006/documentManagement/types"/>
    <ds:schemaRef ds:uri="079f852e-5e1f-442b-8157-bcfa9a404e25"/>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8692FBD-BB24-433F-ABA5-784862B5B7D0}">
  <ds:schemaRefs>
    <ds:schemaRef ds:uri="http://schemas.openxmlformats.org/officeDocument/2006/bibliography"/>
  </ds:schemaRefs>
</ds:datastoreItem>
</file>

<file path=customXml/itemProps6.xml><?xml version="1.0" encoding="utf-8"?>
<ds:datastoreItem xmlns:ds="http://schemas.openxmlformats.org/officeDocument/2006/customXml" ds:itemID="{9E633E2E-6ACE-41F1-A689-70894C29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1564</Words>
  <Characters>8002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Practice Note No. 6 of 2015 Probate List</vt:lpstr>
    </vt:vector>
  </TitlesOfParts>
  <Company>Supreme Court of Victoria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6 of 2015 Probate List</dc:title>
  <dc:subject/>
  <dc:creator>Supreme Court of Victoria </dc:creator>
  <cp:keywords/>
  <dc:description/>
  <cp:lastModifiedBy>Viv Macgillivray</cp:lastModifiedBy>
  <cp:revision>4</cp:revision>
  <cp:lastPrinted>2014-09-09T03:28:00Z</cp:lastPrinted>
  <dcterms:created xsi:type="dcterms:W3CDTF">2014-12-08T04:51:00Z</dcterms:created>
  <dcterms:modified xsi:type="dcterms:W3CDTF">2015-01-29T05:47:00Z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