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2" w:rsidRPr="00283B13" w:rsidRDefault="007B3902" w:rsidP="00D85336">
      <w:pPr>
        <w:autoSpaceDE w:val="0"/>
        <w:autoSpaceDN w:val="0"/>
        <w:adjustRightInd w:val="0"/>
        <w:jc w:val="center"/>
        <w:rPr>
          <w:b/>
          <w:bCs/>
          <w:color w:val="000000"/>
        </w:rPr>
      </w:pPr>
    </w:p>
    <w:p w:rsidR="00D85336" w:rsidRPr="00283B13" w:rsidRDefault="00D85336" w:rsidP="00D85336">
      <w:pPr>
        <w:autoSpaceDE w:val="0"/>
        <w:autoSpaceDN w:val="0"/>
        <w:adjustRightInd w:val="0"/>
        <w:jc w:val="center"/>
        <w:rPr>
          <w:b/>
          <w:bCs/>
          <w:color w:val="000000"/>
        </w:rPr>
      </w:pPr>
    </w:p>
    <w:p w:rsidR="00D85336" w:rsidRPr="00283B13" w:rsidRDefault="00D85336" w:rsidP="00D85336">
      <w:pPr>
        <w:autoSpaceDE w:val="0"/>
        <w:autoSpaceDN w:val="0"/>
        <w:adjustRightInd w:val="0"/>
        <w:jc w:val="center"/>
        <w:rPr>
          <w:b/>
          <w:bCs/>
          <w:color w:val="000000"/>
        </w:rPr>
      </w:pPr>
    </w:p>
    <w:p w:rsidR="00D85336" w:rsidRPr="00283B13" w:rsidRDefault="00D85336" w:rsidP="00D85336">
      <w:pPr>
        <w:autoSpaceDE w:val="0"/>
        <w:autoSpaceDN w:val="0"/>
        <w:adjustRightInd w:val="0"/>
        <w:jc w:val="center"/>
        <w:rPr>
          <w:b/>
          <w:bCs/>
          <w:color w:val="000000"/>
        </w:rPr>
      </w:pPr>
    </w:p>
    <w:p w:rsidR="00AF72F1" w:rsidRPr="00283B13" w:rsidRDefault="00E76604" w:rsidP="00D85336">
      <w:pPr>
        <w:autoSpaceDE w:val="0"/>
        <w:autoSpaceDN w:val="0"/>
        <w:adjustRightInd w:val="0"/>
        <w:spacing w:line="360" w:lineRule="auto"/>
        <w:jc w:val="center"/>
        <w:rPr>
          <w:b/>
          <w:bCs/>
          <w:color w:val="000000"/>
          <w:sz w:val="44"/>
          <w:szCs w:val="44"/>
        </w:rPr>
      </w:pPr>
      <w:r>
        <w:rPr>
          <w:b/>
          <w:bCs/>
          <w:noProof/>
          <w:color w:val="000000"/>
          <w:sz w:val="44"/>
          <w:szCs w:val="44"/>
        </w:rPr>
        <w:drawing>
          <wp:anchor distT="0" distB="0" distL="114300" distR="114300" simplePos="0" relativeHeight="251657728" behindDoc="0" locked="0" layoutInCell="1" allowOverlap="0">
            <wp:simplePos x="0" y="0"/>
            <wp:positionH relativeFrom="column">
              <wp:posOffset>1933575</wp:posOffset>
            </wp:positionH>
            <wp:positionV relativeFrom="paragraph">
              <wp:posOffset>-868680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59" w:rsidRPr="00283B13" w:rsidRDefault="00271B59" w:rsidP="00271B59">
      <w:pPr>
        <w:autoSpaceDE w:val="0"/>
        <w:autoSpaceDN w:val="0"/>
        <w:adjustRightInd w:val="0"/>
        <w:jc w:val="center"/>
        <w:rPr>
          <w:b/>
          <w:bCs/>
          <w:color w:val="000000"/>
          <w:sz w:val="44"/>
          <w:szCs w:val="44"/>
        </w:rPr>
      </w:pPr>
      <w:r w:rsidRPr="00283B13">
        <w:rPr>
          <w:b/>
          <w:bCs/>
          <w:color w:val="000000"/>
          <w:sz w:val="44"/>
          <w:szCs w:val="44"/>
        </w:rPr>
        <w:t xml:space="preserve">Supreme Court of </w:t>
      </w:r>
      <w:smartTag w:uri="urn:schemas-microsoft-com:office:smarttags" w:element="place">
        <w:smartTag w:uri="urn:schemas-microsoft-com:office:smarttags" w:element="State">
          <w:r w:rsidRPr="00283B13">
            <w:rPr>
              <w:b/>
              <w:bCs/>
              <w:color w:val="000000"/>
              <w:sz w:val="44"/>
              <w:szCs w:val="44"/>
            </w:rPr>
            <w:t>Victoria</w:t>
          </w:r>
        </w:smartTag>
      </w:smartTag>
    </w:p>
    <w:p w:rsidR="00271B59" w:rsidRPr="00283B13" w:rsidRDefault="00271B59" w:rsidP="00271B59">
      <w:pPr>
        <w:autoSpaceDE w:val="0"/>
        <w:autoSpaceDN w:val="0"/>
        <w:adjustRightInd w:val="0"/>
        <w:jc w:val="center"/>
        <w:rPr>
          <w:b/>
          <w:color w:val="000000"/>
          <w:sz w:val="36"/>
          <w:szCs w:val="32"/>
        </w:rPr>
      </w:pPr>
      <w:r w:rsidRPr="00283B13">
        <w:rPr>
          <w:b/>
          <w:color w:val="000000"/>
          <w:sz w:val="36"/>
          <w:szCs w:val="32"/>
        </w:rPr>
        <w:t>Common Law Division</w:t>
      </w:r>
    </w:p>
    <w:p w:rsidR="00271B59" w:rsidRPr="00283B13" w:rsidRDefault="00271B59" w:rsidP="00271B59">
      <w:pPr>
        <w:autoSpaceDE w:val="0"/>
        <w:autoSpaceDN w:val="0"/>
        <w:adjustRightInd w:val="0"/>
        <w:spacing w:line="360" w:lineRule="auto"/>
        <w:jc w:val="center"/>
        <w:rPr>
          <w:b/>
          <w:color w:val="000000"/>
          <w:sz w:val="28"/>
        </w:rPr>
      </w:pPr>
    </w:p>
    <w:p w:rsidR="00271B59" w:rsidRPr="00283B13" w:rsidRDefault="00271B59" w:rsidP="00271B59">
      <w:pPr>
        <w:autoSpaceDE w:val="0"/>
        <w:autoSpaceDN w:val="0"/>
        <w:adjustRightInd w:val="0"/>
        <w:spacing w:line="360" w:lineRule="auto"/>
        <w:jc w:val="center"/>
        <w:rPr>
          <w:b/>
          <w:color w:val="000000"/>
          <w:sz w:val="28"/>
        </w:rPr>
      </w:pPr>
      <w:r w:rsidRPr="00283B13">
        <w:rPr>
          <w:b/>
          <w:color w:val="000000"/>
          <w:sz w:val="28"/>
        </w:rPr>
        <w:t>Practice Note No.</w:t>
      </w:r>
      <w:r w:rsidRPr="00283B13" w:rsidDel="00FD6D10">
        <w:rPr>
          <w:b/>
          <w:color w:val="000000"/>
          <w:sz w:val="28"/>
        </w:rPr>
        <w:t xml:space="preserve"> </w:t>
      </w:r>
      <w:r w:rsidR="00442FFA" w:rsidRPr="00283B13">
        <w:rPr>
          <w:b/>
          <w:color w:val="000000"/>
          <w:sz w:val="28"/>
        </w:rPr>
        <w:t>5</w:t>
      </w:r>
      <w:r w:rsidRPr="00283B13">
        <w:rPr>
          <w:b/>
          <w:color w:val="000000"/>
          <w:sz w:val="28"/>
        </w:rPr>
        <w:t xml:space="preserve"> </w:t>
      </w:r>
      <w:r w:rsidR="00442FFA" w:rsidRPr="00283B13">
        <w:rPr>
          <w:b/>
          <w:color w:val="000000"/>
          <w:sz w:val="28"/>
        </w:rPr>
        <w:t>of 2015</w:t>
      </w:r>
    </w:p>
    <w:p w:rsidR="00271B59" w:rsidRPr="00283B13" w:rsidRDefault="00E76517" w:rsidP="00271B59">
      <w:pPr>
        <w:autoSpaceDE w:val="0"/>
        <w:autoSpaceDN w:val="0"/>
        <w:adjustRightInd w:val="0"/>
        <w:spacing w:line="360" w:lineRule="auto"/>
        <w:jc w:val="center"/>
        <w:rPr>
          <w:b/>
          <w:color w:val="000000"/>
          <w:sz w:val="28"/>
        </w:rPr>
      </w:pPr>
      <w:r w:rsidRPr="00283B13">
        <w:rPr>
          <w:b/>
          <w:color w:val="000000"/>
          <w:sz w:val="28"/>
        </w:rPr>
        <w:t>Professional Liability</w:t>
      </w:r>
      <w:r w:rsidR="00271B59" w:rsidRPr="00283B13">
        <w:rPr>
          <w:b/>
          <w:color w:val="000000"/>
          <w:sz w:val="28"/>
        </w:rPr>
        <w:t xml:space="preserve"> List</w:t>
      </w:r>
    </w:p>
    <w:p w:rsidR="00D85336" w:rsidRPr="00283B13" w:rsidRDefault="00D85336" w:rsidP="00D85336">
      <w:pPr>
        <w:autoSpaceDE w:val="0"/>
        <w:autoSpaceDN w:val="0"/>
        <w:adjustRightInd w:val="0"/>
        <w:spacing w:line="360" w:lineRule="auto"/>
        <w:jc w:val="center"/>
        <w:rPr>
          <w:color w:val="000000"/>
        </w:rPr>
      </w:pPr>
    </w:p>
    <w:p w:rsidR="008515EE" w:rsidRPr="00283B13" w:rsidRDefault="00C02583" w:rsidP="00283B13">
      <w:pPr>
        <w:pStyle w:val="Heading1"/>
      </w:pPr>
      <w:r w:rsidRPr="00283B13">
        <w:t>1.</w:t>
      </w:r>
      <w:r w:rsidRPr="00283B13">
        <w:tab/>
        <w:t>INTRODUCTION</w:t>
      </w:r>
    </w:p>
    <w:p w:rsidR="00C02583" w:rsidRPr="00283B13" w:rsidRDefault="00C02583" w:rsidP="00C02583">
      <w:pPr>
        <w:spacing w:line="360" w:lineRule="auto"/>
        <w:jc w:val="both"/>
      </w:pPr>
    </w:p>
    <w:p w:rsidR="00C02583" w:rsidRPr="00283B13" w:rsidRDefault="00C02583" w:rsidP="008846D6">
      <w:pPr>
        <w:spacing w:line="360" w:lineRule="auto"/>
        <w:ind w:left="720" w:hanging="720"/>
        <w:jc w:val="both"/>
      </w:pPr>
      <w:r w:rsidRPr="00283B13">
        <w:t>1.1</w:t>
      </w:r>
      <w:r w:rsidRPr="00283B13">
        <w:tab/>
      </w:r>
      <w:r w:rsidR="008846D6" w:rsidRPr="00283B13">
        <w:t xml:space="preserve">This Practice Note replaces </w:t>
      </w:r>
      <w:r w:rsidR="00E76517" w:rsidRPr="00283B13">
        <w:rPr>
          <w:i/>
        </w:rPr>
        <w:t>Practice Note No. 3</w:t>
      </w:r>
      <w:r w:rsidR="008846D6" w:rsidRPr="00283B13">
        <w:rPr>
          <w:i/>
        </w:rPr>
        <w:t xml:space="preserve"> of 201</w:t>
      </w:r>
      <w:r w:rsidR="00E76517" w:rsidRPr="00283B13">
        <w:rPr>
          <w:i/>
        </w:rPr>
        <w:t>2</w:t>
      </w:r>
      <w:r w:rsidR="00C60BB4" w:rsidRPr="00283B13">
        <w:t xml:space="preserve">, and provides updated guidance on the operation of the </w:t>
      </w:r>
      <w:r w:rsidR="00E76517" w:rsidRPr="00283B13">
        <w:t>Professional Liability</w:t>
      </w:r>
      <w:r w:rsidR="00C60BB4" w:rsidRPr="00283B13">
        <w:t xml:space="preserve"> List</w:t>
      </w:r>
      <w:r w:rsidR="00DE2909" w:rsidRPr="00283B13">
        <w:t xml:space="preserve"> (</w:t>
      </w:r>
      <w:r w:rsidR="00DE2909" w:rsidRPr="00283B13">
        <w:rPr>
          <w:b/>
          <w:i/>
        </w:rPr>
        <w:t>List</w:t>
      </w:r>
      <w:r w:rsidR="00DE2909" w:rsidRPr="00283B13">
        <w:t>), a specialist case management list</w:t>
      </w:r>
      <w:r w:rsidR="00C60BB4" w:rsidRPr="00283B13">
        <w:t xml:space="preserve"> </w:t>
      </w:r>
      <w:r w:rsidR="00007DBA" w:rsidRPr="00283B13">
        <w:t>within the Common Law Division of the Supreme Court of Victoria (</w:t>
      </w:r>
      <w:r w:rsidR="00007DBA" w:rsidRPr="00283B13">
        <w:rPr>
          <w:b/>
          <w:i/>
        </w:rPr>
        <w:t>Court</w:t>
      </w:r>
      <w:r w:rsidR="00007DBA" w:rsidRPr="00283B13">
        <w:t>)</w:t>
      </w:r>
      <w:r w:rsidR="008846D6" w:rsidRPr="00283B13">
        <w:t xml:space="preserve">. </w:t>
      </w:r>
      <w:r w:rsidRPr="00283B13">
        <w:t xml:space="preserve">The procedures set out in this Practice Note will apply from </w:t>
      </w:r>
      <w:r w:rsidR="00474F94" w:rsidRPr="00283B13">
        <w:t xml:space="preserve">1 </w:t>
      </w:r>
      <w:r w:rsidR="00E87D76" w:rsidRPr="00283B13">
        <w:t>January 2015</w:t>
      </w:r>
      <w:r w:rsidRPr="00283B13">
        <w:t xml:space="preserve"> to relevant proceedings commenced in the </w:t>
      </w:r>
      <w:r w:rsidR="0018061B" w:rsidRPr="00283B13">
        <w:t>Trial Division</w:t>
      </w:r>
      <w:r w:rsidR="008846D6" w:rsidRPr="00283B13">
        <w:t xml:space="preserve"> of the </w:t>
      </w:r>
      <w:r w:rsidR="00DB1142" w:rsidRPr="00283B13">
        <w:t>Court</w:t>
      </w:r>
      <w:r w:rsidR="00FD2962" w:rsidRPr="00283B13">
        <w:t>.</w:t>
      </w:r>
    </w:p>
    <w:p w:rsidR="00E76517" w:rsidRPr="00283B13" w:rsidRDefault="00E76517" w:rsidP="00305761">
      <w:pPr>
        <w:spacing w:line="360" w:lineRule="auto"/>
        <w:ind w:left="720" w:hanging="720"/>
        <w:jc w:val="both"/>
      </w:pPr>
    </w:p>
    <w:p w:rsidR="00E76517" w:rsidRPr="00283B13" w:rsidRDefault="00E76517" w:rsidP="00305761">
      <w:pPr>
        <w:spacing w:line="360" w:lineRule="auto"/>
        <w:ind w:left="720" w:hanging="720"/>
        <w:jc w:val="both"/>
      </w:pPr>
      <w:r w:rsidRPr="00283B13">
        <w:t>1.2</w:t>
      </w:r>
      <w:r w:rsidRPr="00283B13">
        <w:tab/>
        <w:t xml:space="preserve">The purpose of the List is to provide for the just and efficient determination of eligible proceedings, </w:t>
      </w:r>
      <w:r w:rsidR="009638F8" w:rsidRPr="00283B13">
        <w:t>through</w:t>
      </w:r>
      <w:r w:rsidRPr="00283B13">
        <w:t xml:space="preserve"> early identification of the substantial </w:t>
      </w:r>
      <w:r w:rsidR="009638F8" w:rsidRPr="00283B13">
        <w:t>questions in controversy and</w:t>
      </w:r>
      <w:r w:rsidRPr="00283B13">
        <w:t xml:space="preserve"> flexible adoption of appropr</w:t>
      </w:r>
      <w:r w:rsidR="009638F8" w:rsidRPr="00283B13">
        <w:t>iat</w:t>
      </w:r>
      <w:r w:rsidR="00052F17" w:rsidRPr="00283B13">
        <w:t>e</w:t>
      </w:r>
      <w:r w:rsidRPr="00283B13">
        <w:t xml:space="preserve"> procedures.</w:t>
      </w:r>
    </w:p>
    <w:p w:rsidR="00E76517" w:rsidRPr="00283B13" w:rsidRDefault="00E76517" w:rsidP="00E76517">
      <w:pPr>
        <w:spacing w:line="360" w:lineRule="auto"/>
        <w:ind w:left="720" w:hanging="720"/>
        <w:jc w:val="both"/>
      </w:pPr>
    </w:p>
    <w:p w:rsidR="00E76517" w:rsidRPr="00283B13" w:rsidRDefault="00E76517" w:rsidP="00E76517">
      <w:pPr>
        <w:spacing w:line="360" w:lineRule="auto"/>
        <w:ind w:left="720" w:hanging="720"/>
        <w:jc w:val="both"/>
      </w:pPr>
      <w:r w:rsidRPr="00283B13">
        <w:t>1.3</w:t>
      </w:r>
      <w:r w:rsidRPr="00283B13">
        <w:tab/>
        <w:t xml:space="preserve">The Judge in Charge of the List </w:t>
      </w:r>
      <w:r w:rsidR="00B90F12" w:rsidRPr="00283B13">
        <w:t>(</w:t>
      </w:r>
      <w:r w:rsidR="00B90F12" w:rsidRPr="00283B13">
        <w:rPr>
          <w:b/>
          <w:i/>
        </w:rPr>
        <w:t>Judge in Charge</w:t>
      </w:r>
      <w:r w:rsidR="00B90F12" w:rsidRPr="00283B13">
        <w:t xml:space="preserve">) </w:t>
      </w:r>
      <w:r w:rsidRPr="00283B13">
        <w:t>is Justice Macaulay. His Honour is assisted by Associate Justice Daly.</w:t>
      </w:r>
    </w:p>
    <w:p w:rsidR="009638F8" w:rsidRPr="00283B13" w:rsidRDefault="009638F8" w:rsidP="00B27816">
      <w:pPr>
        <w:spacing w:line="360" w:lineRule="auto"/>
        <w:jc w:val="both"/>
        <w:rPr>
          <w:b/>
        </w:rPr>
      </w:pPr>
    </w:p>
    <w:p w:rsidR="008F2D46" w:rsidRPr="00283B13" w:rsidRDefault="00263C5A" w:rsidP="008F2D46">
      <w:pPr>
        <w:spacing w:line="360" w:lineRule="auto"/>
        <w:ind w:left="720" w:hanging="720"/>
        <w:jc w:val="both"/>
      </w:pPr>
      <w:r w:rsidRPr="00283B13">
        <w:t>1.4</w:t>
      </w:r>
      <w:r w:rsidR="008F2D46" w:rsidRPr="00283B13">
        <w:tab/>
        <w:t>Refer</w:t>
      </w:r>
      <w:r w:rsidR="002D51CF" w:rsidRPr="00283B13">
        <w:t xml:space="preserve">ences in this Practice Note to </w:t>
      </w:r>
      <w:r w:rsidR="002D51CF" w:rsidRPr="00283B13">
        <w:rPr>
          <w:b/>
          <w:i/>
        </w:rPr>
        <w:t>Associate Judge</w:t>
      </w:r>
      <w:r w:rsidR="008F2D46" w:rsidRPr="00283B13">
        <w:t xml:space="preserve"> are to be read as references to the Associate Judge assisting in the management of the List.</w:t>
      </w:r>
    </w:p>
    <w:p w:rsidR="00263C5A" w:rsidRPr="00283B13" w:rsidRDefault="00263C5A" w:rsidP="00263C5A">
      <w:pPr>
        <w:spacing w:line="360" w:lineRule="auto"/>
        <w:ind w:left="720" w:hanging="720"/>
        <w:jc w:val="both"/>
      </w:pPr>
    </w:p>
    <w:p w:rsidR="00263C5A" w:rsidRPr="00283B13" w:rsidRDefault="00263C5A" w:rsidP="00263C5A">
      <w:pPr>
        <w:spacing w:line="360" w:lineRule="auto"/>
        <w:ind w:left="720" w:hanging="720"/>
        <w:jc w:val="both"/>
      </w:pPr>
      <w:r w:rsidRPr="00283B13">
        <w:t>1.5</w:t>
      </w:r>
      <w:r w:rsidRPr="00283B13">
        <w:tab/>
        <w:t>Refer</w:t>
      </w:r>
      <w:r w:rsidR="002D51CF" w:rsidRPr="00283B13">
        <w:t xml:space="preserve">ences in this Practice Note to </w:t>
      </w:r>
      <w:r w:rsidR="002D51CF" w:rsidRPr="00283B13">
        <w:rPr>
          <w:b/>
          <w:i/>
        </w:rPr>
        <w:t>Associate</w:t>
      </w:r>
      <w:r w:rsidRPr="00283B13">
        <w:t xml:space="preserve"> are to be read as references to the Associate to the Judge in Charge.</w:t>
      </w:r>
    </w:p>
    <w:p w:rsidR="00263C5A" w:rsidRPr="00283B13" w:rsidRDefault="00263C5A" w:rsidP="00B27816">
      <w:pPr>
        <w:spacing w:line="360" w:lineRule="auto"/>
        <w:jc w:val="both"/>
        <w:rPr>
          <w:b/>
        </w:rPr>
      </w:pPr>
    </w:p>
    <w:p w:rsidR="00C02583" w:rsidRPr="00283B13" w:rsidRDefault="00B6449F" w:rsidP="00283B13">
      <w:pPr>
        <w:pStyle w:val="Heading1"/>
      </w:pPr>
      <w:r w:rsidRPr="00283B13">
        <w:lastRenderedPageBreak/>
        <w:t>2.</w:t>
      </w:r>
      <w:r w:rsidRPr="00283B13">
        <w:tab/>
      </w:r>
      <w:r w:rsidR="00DB1142" w:rsidRPr="00283B13">
        <w:t>PROCEEDINGS</w:t>
      </w:r>
      <w:r w:rsidRPr="00283B13">
        <w:t xml:space="preserve"> SUITABLE FOR I</w:t>
      </w:r>
      <w:r w:rsidR="00C02583" w:rsidRPr="00283B13">
        <w:t>NCLUSION IN THE LIST</w:t>
      </w:r>
    </w:p>
    <w:p w:rsidR="00C02583" w:rsidRPr="00283B13" w:rsidRDefault="00C02583" w:rsidP="00C02583">
      <w:pPr>
        <w:spacing w:line="360" w:lineRule="auto"/>
        <w:ind w:left="720" w:hanging="720"/>
        <w:jc w:val="both"/>
      </w:pPr>
    </w:p>
    <w:p w:rsidR="00052F17" w:rsidRPr="00283B13" w:rsidRDefault="00C02583" w:rsidP="009638F8">
      <w:pPr>
        <w:spacing w:line="360" w:lineRule="auto"/>
        <w:ind w:left="720" w:hanging="720"/>
        <w:jc w:val="both"/>
      </w:pPr>
      <w:r w:rsidRPr="00283B13">
        <w:t>2.1</w:t>
      </w:r>
      <w:r w:rsidRPr="00283B13">
        <w:tab/>
      </w:r>
      <w:r w:rsidR="007A1449" w:rsidRPr="00283B13">
        <w:t xml:space="preserve">Proceedings </w:t>
      </w:r>
      <w:r w:rsidR="00E76517" w:rsidRPr="00283B13">
        <w:t>involving a claim for economic loss against a professional for breach of duty in tort or contract, related statutory contravention (e.g. misleading or deceptive conduct), or for breach of equitable duties should be initiated in the List.</w:t>
      </w:r>
      <w:r w:rsidR="009638F8" w:rsidRPr="00283B13">
        <w:t xml:space="preserve"> </w:t>
      </w:r>
    </w:p>
    <w:p w:rsidR="00052F17" w:rsidRPr="00283B13" w:rsidRDefault="00052F17" w:rsidP="009638F8">
      <w:pPr>
        <w:spacing w:line="360" w:lineRule="auto"/>
        <w:ind w:left="720" w:hanging="720"/>
        <w:jc w:val="both"/>
      </w:pPr>
    </w:p>
    <w:p w:rsidR="00052F17" w:rsidRPr="00283B13" w:rsidRDefault="00052F17" w:rsidP="009638F8">
      <w:pPr>
        <w:spacing w:line="360" w:lineRule="auto"/>
        <w:ind w:left="720" w:hanging="720"/>
        <w:jc w:val="both"/>
      </w:pPr>
      <w:r w:rsidRPr="00283B13">
        <w:t>2.2</w:t>
      </w:r>
      <w:r w:rsidRPr="00283B13">
        <w:tab/>
        <w:t>Without limiting the generality of paragraph 2.1, claims for breach of duty against the following professionals are suitable for inclusion in the List:</w:t>
      </w:r>
    </w:p>
    <w:p w:rsidR="006044FB" w:rsidRPr="00283B13" w:rsidRDefault="00FC042A" w:rsidP="006044FB">
      <w:pPr>
        <w:numPr>
          <w:ilvl w:val="0"/>
          <w:numId w:val="33"/>
        </w:numPr>
        <w:spacing w:line="360" w:lineRule="auto"/>
        <w:jc w:val="both"/>
      </w:pPr>
      <w:r w:rsidRPr="00283B13">
        <w:t>Legal practitioners;</w:t>
      </w:r>
    </w:p>
    <w:p w:rsidR="006044FB" w:rsidRPr="00283B13" w:rsidRDefault="00FC042A" w:rsidP="006044FB">
      <w:pPr>
        <w:numPr>
          <w:ilvl w:val="0"/>
          <w:numId w:val="33"/>
        </w:numPr>
        <w:spacing w:line="360" w:lineRule="auto"/>
        <w:jc w:val="both"/>
      </w:pPr>
      <w:r w:rsidRPr="00283B13">
        <w:t>Financial advisers (including accountants, financial planners and finance brokers);</w:t>
      </w:r>
    </w:p>
    <w:p w:rsidR="006044FB" w:rsidRPr="00283B13" w:rsidRDefault="00FC042A" w:rsidP="006044FB">
      <w:pPr>
        <w:numPr>
          <w:ilvl w:val="0"/>
          <w:numId w:val="33"/>
        </w:numPr>
        <w:spacing w:line="360" w:lineRule="auto"/>
        <w:jc w:val="both"/>
      </w:pPr>
      <w:r w:rsidRPr="00283B13">
        <w:t>Stockbrokers;</w:t>
      </w:r>
    </w:p>
    <w:p w:rsidR="006044FB" w:rsidRPr="00283B13" w:rsidRDefault="00FC042A" w:rsidP="006044FB">
      <w:pPr>
        <w:numPr>
          <w:ilvl w:val="0"/>
          <w:numId w:val="33"/>
        </w:numPr>
        <w:spacing w:line="360" w:lineRule="auto"/>
        <w:jc w:val="both"/>
      </w:pPr>
      <w:r w:rsidRPr="00283B13">
        <w:t>I</w:t>
      </w:r>
      <w:r w:rsidR="006044FB" w:rsidRPr="00283B13">
        <w:t>nsurance brokers and</w:t>
      </w:r>
      <w:r w:rsidR="00B6449F" w:rsidRPr="00283B13">
        <w:t xml:space="preserve"> </w:t>
      </w:r>
      <w:r w:rsidRPr="00283B13">
        <w:t>agents;</w:t>
      </w:r>
    </w:p>
    <w:p w:rsidR="006044FB" w:rsidRPr="00283B13" w:rsidRDefault="00FC042A" w:rsidP="006044FB">
      <w:pPr>
        <w:numPr>
          <w:ilvl w:val="0"/>
          <w:numId w:val="33"/>
        </w:numPr>
        <w:spacing w:line="360" w:lineRule="auto"/>
        <w:jc w:val="both"/>
      </w:pPr>
      <w:r w:rsidRPr="00283B13">
        <w:t xml:space="preserve">Real estate agents and </w:t>
      </w:r>
      <w:proofErr w:type="spellStart"/>
      <w:r w:rsidRPr="00283B13">
        <w:t>conveyancers</w:t>
      </w:r>
      <w:proofErr w:type="spellEnd"/>
      <w:r w:rsidRPr="00283B13">
        <w:t>; and</w:t>
      </w:r>
    </w:p>
    <w:p w:rsidR="00FC042A" w:rsidRPr="00283B13" w:rsidRDefault="00FC042A" w:rsidP="006044FB">
      <w:pPr>
        <w:numPr>
          <w:ilvl w:val="0"/>
          <w:numId w:val="33"/>
        </w:numPr>
        <w:spacing w:line="360" w:lineRule="auto"/>
        <w:jc w:val="both"/>
      </w:pPr>
      <w:proofErr w:type="spellStart"/>
      <w:r w:rsidRPr="00283B13">
        <w:t>Valuers</w:t>
      </w:r>
      <w:proofErr w:type="spellEnd"/>
      <w:r w:rsidRPr="00283B13">
        <w:t>.</w:t>
      </w:r>
    </w:p>
    <w:p w:rsidR="00E76517" w:rsidRPr="00283B13" w:rsidRDefault="00E76517" w:rsidP="00377999">
      <w:pPr>
        <w:spacing w:line="360" w:lineRule="auto"/>
        <w:jc w:val="both"/>
      </w:pPr>
    </w:p>
    <w:p w:rsidR="0056656E" w:rsidRPr="00283B13" w:rsidRDefault="006044FB" w:rsidP="0056656E">
      <w:pPr>
        <w:spacing w:line="360" w:lineRule="auto"/>
        <w:ind w:left="720" w:hanging="720"/>
        <w:jc w:val="both"/>
      </w:pPr>
      <w:r w:rsidRPr="00283B13">
        <w:t>2.3</w:t>
      </w:r>
      <w:r w:rsidR="00DC24A7" w:rsidRPr="00283B13">
        <w:tab/>
      </w:r>
      <w:r w:rsidR="0056656E" w:rsidRPr="00283B13">
        <w:t xml:space="preserve">However, where the cause of action </w:t>
      </w:r>
      <w:r w:rsidR="00B27816" w:rsidRPr="00283B13">
        <w:t xml:space="preserve">arose in regional Victoria, </w:t>
      </w:r>
      <w:r w:rsidR="0056656E" w:rsidRPr="00283B13">
        <w:t xml:space="preserve">or where the majority of witnesses or parties </w:t>
      </w:r>
      <w:r w:rsidRPr="00283B13">
        <w:t xml:space="preserve">reside in regional Victoria, </w:t>
      </w:r>
      <w:r w:rsidR="0056656E" w:rsidRPr="00283B13">
        <w:t>proceeding</w:t>
      </w:r>
      <w:r w:rsidRPr="00283B13">
        <w:t>s of the nature set out in paragraph 2.1</w:t>
      </w:r>
      <w:r w:rsidR="0056656E" w:rsidRPr="00283B13">
        <w:t xml:space="preserve"> should be</w:t>
      </w:r>
      <w:r w:rsidR="00842BE1" w:rsidRPr="00283B13">
        <w:t xml:space="preserve"> initiated in </w:t>
      </w:r>
      <w:r w:rsidR="0056656E" w:rsidRPr="00283B13">
        <w:t xml:space="preserve">the </w:t>
      </w:r>
      <w:r w:rsidR="0056656E" w:rsidRPr="00283B13">
        <w:rPr>
          <w:b/>
        </w:rPr>
        <w:t>Civil Circuit List</w:t>
      </w:r>
      <w:r w:rsidR="0056656E" w:rsidRPr="00283B13">
        <w:t xml:space="preserve"> (see </w:t>
      </w:r>
      <w:r w:rsidR="0056656E" w:rsidRPr="00283B13">
        <w:rPr>
          <w:i/>
        </w:rPr>
        <w:t xml:space="preserve">Practice Note No. </w:t>
      </w:r>
      <w:r w:rsidR="009F5342">
        <w:rPr>
          <w:i/>
        </w:rPr>
        <w:t>1</w:t>
      </w:r>
      <w:bookmarkStart w:id="0" w:name="_GoBack"/>
      <w:bookmarkEnd w:id="0"/>
      <w:r w:rsidR="0056656E" w:rsidRPr="00283B13">
        <w:rPr>
          <w:i/>
        </w:rPr>
        <w:t xml:space="preserve"> of 2015</w:t>
      </w:r>
      <w:r w:rsidR="0056656E" w:rsidRPr="00283B13">
        <w:t>).</w:t>
      </w:r>
    </w:p>
    <w:p w:rsidR="0056656E" w:rsidRPr="00283B13" w:rsidRDefault="0056656E" w:rsidP="0056656E">
      <w:pPr>
        <w:spacing w:line="360" w:lineRule="auto"/>
        <w:ind w:left="720" w:hanging="720"/>
        <w:jc w:val="both"/>
      </w:pPr>
    </w:p>
    <w:p w:rsidR="00FC042A" w:rsidRPr="00283B13" w:rsidRDefault="006044FB" w:rsidP="00FC042A">
      <w:pPr>
        <w:spacing w:line="360" w:lineRule="auto"/>
        <w:ind w:left="720" w:hanging="720"/>
        <w:contextualSpacing/>
        <w:jc w:val="both"/>
      </w:pPr>
      <w:r w:rsidRPr="00283B13">
        <w:t>2.4</w:t>
      </w:r>
      <w:r w:rsidR="00FC042A" w:rsidRPr="00283B13">
        <w:tab/>
      </w:r>
      <w:r w:rsidR="009C6225" w:rsidRPr="00283B13">
        <w:t>C</w:t>
      </w:r>
      <w:r w:rsidR="00FC042A" w:rsidRPr="00283B13">
        <w:t>laims ag</w:t>
      </w:r>
      <w:r w:rsidR="00B6449F" w:rsidRPr="00283B13">
        <w:t>ainst the following</w:t>
      </w:r>
      <w:r w:rsidR="00FC042A" w:rsidRPr="00283B13">
        <w:t xml:space="preserve"> p</w:t>
      </w:r>
      <w:r w:rsidR="00B6449F" w:rsidRPr="00283B13">
        <w:t>rofessionals</w:t>
      </w:r>
      <w:r w:rsidR="00FC042A" w:rsidRPr="00283B13">
        <w:t xml:space="preserve"> are excluded from the List:</w:t>
      </w:r>
    </w:p>
    <w:p w:rsidR="006044FB" w:rsidRPr="00283B13" w:rsidRDefault="00FC042A" w:rsidP="006044FB">
      <w:pPr>
        <w:numPr>
          <w:ilvl w:val="0"/>
          <w:numId w:val="34"/>
        </w:numPr>
        <w:spacing w:line="360" w:lineRule="auto"/>
        <w:jc w:val="both"/>
      </w:pPr>
      <w:r w:rsidRPr="00283B13">
        <w:t xml:space="preserve">Health practitioners (managed in the </w:t>
      </w:r>
      <w:r w:rsidRPr="00283B13">
        <w:rPr>
          <w:b/>
        </w:rPr>
        <w:t>Personal Injuries List</w:t>
      </w:r>
      <w:r w:rsidRPr="00283B13">
        <w:t xml:space="preserve"> or </w:t>
      </w:r>
      <w:r w:rsidRPr="00283B13">
        <w:rPr>
          <w:b/>
        </w:rPr>
        <w:t>Major Torts List</w:t>
      </w:r>
      <w:r w:rsidR="00B6449F" w:rsidRPr="00283B13">
        <w:t>)</w:t>
      </w:r>
      <w:r w:rsidRPr="00283B13">
        <w:t>;</w:t>
      </w:r>
    </w:p>
    <w:p w:rsidR="006044FB" w:rsidRPr="00283B13" w:rsidRDefault="00FC042A" w:rsidP="006044FB">
      <w:pPr>
        <w:numPr>
          <w:ilvl w:val="0"/>
          <w:numId w:val="34"/>
        </w:numPr>
        <w:spacing w:line="360" w:lineRule="auto"/>
        <w:jc w:val="both"/>
      </w:pPr>
      <w:r w:rsidRPr="00283B13">
        <w:t xml:space="preserve">Building, construction and engineering practitioners (managed in the </w:t>
      </w:r>
      <w:r w:rsidRPr="00283B13">
        <w:rPr>
          <w:b/>
        </w:rPr>
        <w:t>Commercial Court</w:t>
      </w:r>
      <w:r w:rsidRPr="00283B13">
        <w:t>);</w:t>
      </w:r>
      <w:r w:rsidR="006044FB" w:rsidRPr="00283B13">
        <w:t xml:space="preserve"> and</w:t>
      </w:r>
    </w:p>
    <w:p w:rsidR="00FC042A" w:rsidRPr="00283B13" w:rsidRDefault="00FC042A" w:rsidP="006044FB">
      <w:pPr>
        <w:numPr>
          <w:ilvl w:val="0"/>
          <w:numId w:val="34"/>
        </w:numPr>
        <w:spacing w:line="360" w:lineRule="auto"/>
        <w:jc w:val="both"/>
      </w:pPr>
      <w:r w:rsidRPr="00283B13">
        <w:t>Taxation pro</w:t>
      </w:r>
      <w:r w:rsidR="00DB1142" w:rsidRPr="00283B13">
        <w:t>fessionals</w:t>
      </w:r>
      <w:r w:rsidRPr="00283B13">
        <w:t xml:space="preserve"> (managed in the </w:t>
      </w:r>
      <w:r w:rsidRPr="00283B13">
        <w:rPr>
          <w:b/>
        </w:rPr>
        <w:t>Commercial Court</w:t>
      </w:r>
      <w:r w:rsidRPr="00283B13">
        <w:t xml:space="preserve">). </w:t>
      </w:r>
    </w:p>
    <w:p w:rsidR="008F2D46" w:rsidRPr="00283B13" w:rsidRDefault="008F2D46" w:rsidP="008F2D46">
      <w:pPr>
        <w:spacing w:line="360" w:lineRule="auto"/>
        <w:jc w:val="both"/>
        <w:rPr>
          <w:b/>
        </w:rPr>
      </w:pPr>
    </w:p>
    <w:p w:rsidR="00E41E9C" w:rsidRPr="00283B13" w:rsidRDefault="00B6449F" w:rsidP="00283B13">
      <w:pPr>
        <w:pStyle w:val="Heading1"/>
      </w:pPr>
      <w:r w:rsidRPr="00283B13">
        <w:t>3.</w:t>
      </w:r>
      <w:r w:rsidRPr="00283B13">
        <w:tab/>
      </w:r>
      <w:r w:rsidR="000A7D36" w:rsidRPr="00283B13">
        <w:t>PROCEDURE</w:t>
      </w:r>
      <w:r w:rsidR="00E41E9C" w:rsidRPr="00283B13">
        <w:t xml:space="preserve"> FOR ENTRY INTO THE LIST</w:t>
      </w:r>
    </w:p>
    <w:p w:rsidR="00E41E9C" w:rsidRPr="00283B13" w:rsidRDefault="00E41E9C" w:rsidP="00CB2EDD">
      <w:pPr>
        <w:spacing w:line="360" w:lineRule="auto"/>
        <w:jc w:val="both"/>
      </w:pPr>
    </w:p>
    <w:p w:rsidR="00B90F12" w:rsidRPr="00283B13" w:rsidRDefault="00B6449F" w:rsidP="00B27816">
      <w:pPr>
        <w:spacing w:line="360" w:lineRule="auto"/>
        <w:ind w:left="720" w:hanging="720"/>
        <w:jc w:val="both"/>
      </w:pPr>
      <w:r w:rsidRPr="00283B13">
        <w:t>3.1</w:t>
      </w:r>
      <w:r w:rsidRPr="00283B13">
        <w:tab/>
      </w:r>
      <w:r w:rsidR="00B27816" w:rsidRPr="00283B13">
        <w:t xml:space="preserve">Proceedings </w:t>
      </w:r>
      <w:r w:rsidR="00B90F12" w:rsidRPr="00283B13">
        <w:t xml:space="preserve">of the nature set out in paragraph 2.1 should be initiated in the List by endorsing the heading of the originating process “Professional </w:t>
      </w:r>
      <w:r w:rsidR="00B90F12" w:rsidRPr="00283B13">
        <w:lastRenderedPageBreak/>
        <w:t>Liability List”. The heading of all subsequent documents filed in the proceeding should also be endorsed</w:t>
      </w:r>
      <w:r w:rsidR="00B27816" w:rsidRPr="00283B13">
        <w:t xml:space="preserve"> “Professional Liability List”.</w:t>
      </w:r>
    </w:p>
    <w:p w:rsidR="00B90F12" w:rsidRPr="00283B13" w:rsidRDefault="00B90F12" w:rsidP="00B6449F">
      <w:pPr>
        <w:spacing w:line="360" w:lineRule="auto"/>
        <w:ind w:left="720" w:hanging="720"/>
        <w:jc w:val="both"/>
      </w:pPr>
    </w:p>
    <w:p w:rsidR="00B6449F" w:rsidRPr="00283B13" w:rsidRDefault="00AE2B0D" w:rsidP="00B6449F">
      <w:pPr>
        <w:spacing w:line="360" w:lineRule="auto"/>
        <w:ind w:left="720" w:hanging="720"/>
        <w:jc w:val="both"/>
      </w:pPr>
      <w:r w:rsidRPr="00283B13">
        <w:t>3.2</w:t>
      </w:r>
      <w:r w:rsidR="00B6449F" w:rsidRPr="00283B13">
        <w:tab/>
        <w:t>If at any time after the initiation of a proceeding it appears to the Court that it is appropriate t</w:t>
      </w:r>
      <w:r w:rsidR="00842BE1" w:rsidRPr="00283B13">
        <w:t>o have the proceeding managed</w:t>
      </w:r>
      <w:r w:rsidR="00B6449F" w:rsidRPr="00283B13">
        <w:t xml:space="preserve"> in the List, the proceeding may be transferred into the List on the Court’s own motion.</w:t>
      </w:r>
      <w:r w:rsidRPr="00283B13">
        <w:t xml:space="preserve"> This may occur where, by virtue of an amended claim, counter-claim or third party claim, an eligible professional liability claim is introduced into the proceeding.</w:t>
      </w:r>
    </w:p>
    <w:p w:rsidR="00B6449F" w:rsidRPr="00283B13" w:rsidRDefault="00B6449F" w:rsidP="00B6449F">
      <w:pPr>
        <w:spacing w:line="360" w:lineRule="auto"/>
        <w:ind w:left="720" w:hanging="720"/>
        <w:jc w:val="both"/>
      </w:pPr>
    </w:p>
    <w:p w:rsidR="00B6449F" w:rsidRPr="00283B13" w:rsidRDefault="00AE2B0D" w:rsidP="00B6449F">
      <w:pPr>
        <w:spacing w:line="360" w:lineRule="auto"/>
        <w:ind w:left="720" w:hanging="720"/>
        <w:jc w:val="both"/>
      </w:pPr>
      <w:r w:rsidRPr="00283B13">
        <w:t>3.3</w:t>
      </w:r>
      <w:r w:rsidR="00B6449F" w:rsidRPr="00283B13">
        <w:tab/>
        <w:t>Conversely, a proceeding initiated in the List may be transferred out of the List on the Court’s own motion if it appears to the Court that it is appropriate t</w:t>
      </w:r>
      <w:r w:rsidR="00842BE1" w:rsidRPr="00283B13">
        <w:t>o have the proceeding managed</w:t>
      </w:r>
      <w:r w:rsidR="00B6449F" w:rsidRPr="00283B13">
        <w:t xml:space="preserve"> in a different list.</w:t>
      </w:r>
    </w:p>
    <w:p w:rsidR="00B6449F" w:rsidRPr="00283B13" w:rsidRDefault="00B6449F" w:rsidP="00B6449F">
      <w:pPr>
        <w:spacing w:line="360" w:lineRule="auto"/>
        <w:ind w:left="720" w:hanging="720"/>
        <w:jc w:val="both"/>
      </w:pPr>
    </w:p>
    <w:p w:rsidR="00B6449F" w:rsidRPr="00283B13" w:rsidRDefault="00B27816" w:rsidP="00B6449F">
      <w:pPr>
        <w:spacing w:line="360" w:lineRule="auto"/>
        <w:ind w:left="720" w:hanging="720"/>
        <w:jc w:val="both"/>
      </w:pPr>
      <w:r w:rsidRPr="00283B13">
        <w:t>3.4</w:t>
      </w:r>
      <w:r w:rsidR="00B6449F" w:rsidRPr="00283B13">
        <w:tab/>
        <w:t>No additional fees will be payable for the inclusion of a proceeding in the List.</w:t>
      </w:r>
    </w:p>
    <w:p w:rsidR="00B6449F" w:rsidRPr="00283B13" w:rsidRDefault="00B6449F" w:rsidP="00CB2EDD">
      <w:pPr>
        <w:spacing w:line="360" w:lineRule="auto"/>
        <w:jc w:val="both"/>
      </w:pPr>
    </w:p>
    <w:p w:rsidR="00CB2EDD" w:rsidRPr="00283B13" w:rsidRDefault="0067000B" w:rsidP="00283B13">
      <w:pPr>
        <w:pStyle w:val="Heading1"/>
      </w:pPr>
      <w:r w:rsidRPr="00283B13">
        <w:t>4</w:t>
      </w:r>
      <w:r w:rsidR="00CB2EDD" w:rsidRPr="00283B13">
        <w:t>.</w:t>
      </w:r>
      <w:r w:rsidR="00CB2EDD" w:rsidRPr="00283B13">
        <w:tab/>
        <w:t xml:space="preserve">FIRST DIRECTIONS HEARING </w:t>
      </w:r>
    </w:p>
    <w:p w:rsidR="00CB2EDD" w:rsidRPr="00283B13" w:rsidRDefault="00CB2EDD" w:rsidP="00CB2EDD">
      <w:pPr>
        <w:spacing w:line="360" w:lineRule="auto"/>
        <w:ind w:left="720" w:hanging="720"/>
        <w:jc w:val="both"/>
      </w:pPr>
    </w:p>
    <w:p w:rsidR="004F61E8" w:rsidRPr="00283B13" w:rsidRDefault="0067000B" w:rsidP="002C7B2E">
      <w:pPr>
        <w:spacing w:line="360" w:lineRule="auto"/>
        <w:ind w:left="720" w:hanging="720"/>
        <w:jc w:val="both"/>
      </w:pPr>
      <w:r w:rsidRPr="00283B13">
        <w:t>4</w:t>
      </w:r>
      <w:r w:rsidR="00CB2EDD" w:rsidRPr="00283B13">
        <w:t>.1</w:t>
      </w:r>
      <w:r w:rsidR="00CB2EDD" w:rsidRPr="00283B13">
        <w:tab/>
      </w:r>
      <w:r w:rsidR="00E41E9C" w:rsidRPr="00283B13">
        <w:t xml:space="preserve">The Judge in Charge </w:t>
      </w:r>
      <w:r w:rsidR="00CB2EDD" w:rsidRPr="00283B13">
        <w:t>will give directions for the management of a proceeding in the List at a first directions hearing.</w:t>
      </w:r>
      <w:r w:rsidR="005F02B1" w:rsidRPr="00283B13">
        <w:t xml:space="preserve"> </w:t>
      </w:r>
      <w:r w:rsidR="00DF4878" w:rsidRPr="00283B13">
        <w:t>T</w:t>
      </w:r>
      <w:r w:rsidR="005123B0" w:rsidRPr="00283B13">
        <w:t xml:space="preserve">he Court will </w:t>
      </w:r>
      <w:r w:rsidR="00B90F12" w:rsidRPr="00283B13">
        <w:t xml:space="preserve">generally </w:t>
      </w:r>
      <w:r w:rsidR="00DF4878" w:rsidRPr="00283B13">
        <w:t xml:space="preserve">notify the parties of </w:t>
      </w:r>
      <w:r w:rsidR="005123B0" w:rsidRPr="00283B13">
        <w:t xml:space="preserve">the date and time of the first directions hearing </w:t>
      </w:r>
      <w:r w:rsidR="00E41E9C" w:rsidRPr="00283B13">
        <w:t>within</w:t>
      </w:r>
      <w:r w:rsidR="005123B0" w:rsidRPr="00283B13">
        <w:t xml:space="preserve"> </w:t>
      </w:r>
      <w:r w:rsidR="008E5278" w:rsidRPr="00283B13">
        <w:t>14</w:t>
      </w:r>
      <w:r w:rsidR="00E41E9C" w:rsidRPr="00283B13">
        <w:t xml:space="preserve"> days of</w:t>
      </w:r>
      <w:r w:rsidR="004F61E8" w:rsidRPr="00283B13">
        <w:t xml:space="preserve"> the filing of the first defence.</w:t>
      </w:r>
      <w:r w:rsidRPr="00283B13">
        <w:t xml:space="preserve"> Directions hearings are held </w:t>
      </w:r>
      <w:r w:rsidR="00B90F12" w:rsidRPr="00283B13">
        <w:t xml:space="preserve">at 9.30am </w:t>
      </w:r>
      <w:r w:rsidRPr="00283B13">
        <w:t>on the thir</w:t>
      </w:r>
      <w:r w:rsidR="00B90F12" w:rsidRPr="00283B13">
        <w:t>d Friday of each month during the Court sitting terms</w:t>
      </w:r>
      <w:r w:rsidRPr="00283B13">
        <w:t>.</w:t>
      </w:r>
    </w:p>
    <w:p w:rsidR="00E41E9C" w:rsidRPr="00283B13" w:rsidRDefault="00E41E9C" w:rsidP="000D30D7">
      <w:pPr>
        <w:spacing w:line="360" w:lineRule="auto"/>
        <w:jc w:val="both"/>
      </w:pPr>
    </w:p>
    <w:p w:rsidR="00E41E9C" w:rsidRPr="00283B13" w:rsidRDefault="0067000B" w:rsidP="004272BD">
      <w:pPr>
        <w:spacing w:line="360" w:lineRule="auto"/>
        <w:ind w:left="720" w:hanging="720"/>
        <w:jc w:val="both"/>
      </w:pPr>
      <w:r w:rsidRPr="00283B13">
        <w:t>4</w:t>
      </w:r>
      <w:r w:rsidR="005C68BA" w:rsidRPr="00283B13">
        <w:t>.2</w:t>
      </w:r>
      <w:r w:rsidR="004272BD" w:rsidRPr="00283B13">
        <w:tab/>
      </w:r>
      <w:r w:rsidR="00E73747" w:rsidRPr="00283B13">
        <w:t>At the first directions hearing, t</w:t>
      </w:r>
      <w:r w:rsidR="004272BD" w:rsidRPr="00283B13">
        <w:t>he Court expects that each</w:t>
      </w:r>
      <w:r w:rsidR="00E41E9C" w:rsidRPr="00283B13">
        <w:t xml:space="preserve"> party's representative</w:t>
      </w:r>
      <w:r w:rsidR="004272BD" w:rsidRPr="00283B13">
        <w:t xml:space="preserve"> </w:t>
      </w:r>
      <w:r w:rsidR="00E41E9C" w:rsidRPr="00283B13">
        <w:t>will be properly briefed and familiar with the proceeding</w:t>
      </w:r>
      <w:r w:rsidR="004272BD" w:rsidRPr="00283B13">
        <w:t xml:space="preserve">, and </w:t>
      </w:r>
      <w:r w:rsidR="00E73747" w:rsidRPr="00283B13">
        <w:t xml:space="preserve">will be </w:t>
      </w:r>
      <w:r w:rsidR="004272BD" w:rsidRPr="00283B13">
        <w:t>able</w:t>
      </w:r>
      <w:r w:rsidR="00E41E9C" w:rsidRPr="00283B13">
        <w:t xml:space="preserve"> to deal fully with all issues</w:t>
      </w:r>
      <w:r w:rsidR="004272BD" w:rsidRPr="00283B13">
        <w:t xml:space="preserve"> that might arise</w:t>
      </w:r>
      <w:r w:rsidR="00E73747" w:rsidRPr="00283B13">
        <w:t xml:space="preserve">. </w:t>
      </w:r>
      <w:r w:rsidR="00E41E9C" w:rsidRPr="00283B13">
        <w:t xml:space="preserve">This expectation applies equally to </w:t>
      </w:r>
      <w:r w:rsidR="004272BD" w:rsidRPr="00283B13">
        <w:t>self-</w:t>
      </w:r>
      <w:r w:rsidR="00E41E9C" w:rsidRPr="00283B13">
        <w:t>represented litigants</w:t>
      </w:r>
      <w:r w:rsidR="004272BD" w:rsidRPr="00283B13">
        <w:t xml:space="preserve">. </w:t>
      </w:r>
      <w:r w:rsidR="00E41E9C" w:rsidRPr="00283B13">
        <w:t xml:space="preserve">If counsel have been retained to appear in the trial of the proceeding by the time of the first direction hearing, parties are strongly encouraged to brief such counsel to appear at the directions hearing.  </w:t>
      </w:r>
    </w:p>
    <w:p w:rsidR="000D30D7" w:rsidRPr="00283B13" w:rsidRDefault="000D30D7" w:rsidP="000D30D7">
      <w:pPr>
        <w:spacing w:line="360" w:lineRule="auto"/>
        <w:ind w:left="720" w:hanging="720"/>
        <w:jc w:val="both"/>
        <w:rPr>
          <w:b/>
        </w:rPr>
      </w:pPr>
    </w:p>
    <w:p w:rsidR="00E41E9C" w:rsidRPr="00283B13" w:rsidRDefault="0067000B" w:rsidP="000D30D7">
      <w:pPr>
        <w:spacing w:line="360" w:lineRule="auto"/>
        <w:ind w:left="720" w:right="26" w:hanging="720"/>
      </w:pPr>
      <w:r w:rsidRPr="00283B13">
        <w:t>4</w:t>
      </w:r>
      <w:r w:rsidR="005C68BA" w:rsidRPr="00283B13">
        <w:t>.3</w:t>
      </w:r>
      <w:r w:rsidR="000D30D7" w:rsidRPr="00283B13">
        <w:tab/>
      </w:r>
      <w:r w:rsidR="00E41E9C" w:rsidRPr="00283B13">
        <w:t>At the first directions hearing</w:t>
      </w:r>
      <w:r w:rsidR="000D30D7" w:rsidRPr="00283B13">
        <w:t>, all</w:t>
      </w:r>
      <w:r w:rsidR="00E41E9C" w:rsidRPr="00283B13">
        <w:t xml:space="preserve"> parties are expected to have considered:</w:t>
      </w:r>
    </w:p>
    <w:p w:rsidR="002106E6" w:rsidRPr="00283B13" w:rsidRDefault="002106E6" w:rsidP="002106E6">
      <w:pPr>
        <w:numPr>
          <w:ilvl w:val="0"/>
          <w:numId w:val="35"/>
        </w:numPr>
        <w:spacing w:line="360" w:lineRule="auto"/>
        <w:jc w:val="both"/>
      </w:pPr>
      <w:r w:rsidRPr="00283B13">
        <w:lastRenderedPageBreak/>
        <w:t>T</w:t>
      </w:r>
      <w:r w:rsidR="00E41E9C" w:rsidRPr="00283B13">
        <w:t>he nature of the claim, and the key legal and factual issues which may arise;</w:t>
      </w:r>
    </w:p>
    <w:p w:rsidR="002106E6" w:rsidRPr="00283B13" w:rsidRDefault="002106E6" w:rsidP="002106E6">
      <w:pPr>
        <w:numPr>
          <w:ilvl w:val="0"/>
          <w:numId w:val="35"/>
        </w:numPr>
        <w:spacing w:line="360" w:lineRule="auto"/>
        <w:jc w:val="both"/>
      </w:pPr>
      <w:r w:rsidRPr="00283B13">
        <w:t>W</w:t>
      </w:r>
      <w:r w:rsidR="00E41E9C" w:rsidRPr="00283B13">
        <w:t>hether the parties have given each other sufficient in</w:t>
      </w:r>
      <w:r w:rsidR="003100A5" w:rsidRPr="00283B13">
        <w:t>formation to</w:t>
      </w:r>
      <w:r w:rsidR="00E41E9C" w:rsidRPr="00283B13">
        <w:t xml:space="preserve"> understand the principal questions in issue;</w:t>
      </w:r>
    </w:p>
    <w:p w:rsidR="002106E6" w:rsidRPr="00283B13" w:rsidRDefault="002106E6" w:rsidP="002106E6">
      <w:pPr>
        <w:numPr>
          <w:ilvl w:val="0"/>
          <w:numId w:val="35"/>
        </w:numPr>
        <w:spacing w:line="360" w:lineRule="auto"/>
        <w:jc w:val="both"/>
      </w:pPr>
      <w:r w:rsidRPr="00283B13">
        <w:t>T</w:t>
      </w:r>
      <w:r w:rsidR="00E41E9C" w:rsidRPr="00283B13">
        <w:t>heir compliance with s</w:t>
      </w:r>
      <w:r w:rsidR="005C68BA" w:rsidRPr="00283B13">
        <w:t>ection</w:t>
      </w:r>
      <w:r w:rsidR="00E41E9C" w:rsidRPr="00283B13">
        <w:t xml:space="preserve"> 26 of the </w:t>
      </w:r>
      <w:r w:rsidR="00E41E9C" w:rsidRPr="00283B13">
        <w:rPr>
          <w:i/>
        </w:rPr>
        <w:t>Civil Procedure Act</w:t>
      </w:r>
      <w:r w:rsidR="00E41E9C" w:rsidRPr="00283B13">
        <w:t xml:space="preserve"> </w:t>
      </w:r>
      <w:r w:rsidR="00E41E9C" w:rsidRPr="00283B13">
        <w:rPr>
          <w:i/>
        </w:rPr>
        <w:t>2010</w:t>
      </w:r>
      <w:r w:rsidR="00E41E9C" w:rsidRPr="00283B13">
        <w:t>;</w:t>
      </w:r>
    </w:p>
    <w:p w:rsidR="002106E6" w:rsidRPr="00283B13" w:rsidRDefault="002106E6" w:rsidP="002106E6">
      <w:pPr>
        <w:numPr>
          <w:ilvl w:val="0"/>
          <w:numId w:val="35"/>
        </w:numPr>
        <w:spacing w:line="360" w:lineRule="auto"/>
        <w:jc w:val="both"/>
      </w:pPr>
      <w:r w:rsidRPr="00283B13">
        <w:t>T</w:t>
      </w:r>
      <w:r w:rsidR="00E41E9C" w:rsidRPr="00283B13">
        <w:t>he likely duration and the mode of the trial;</w:t>
      </w:r>
    </w:p>
    <w:p w:rsidR="002106E6" w:rsidRPr="00283B13" w:rsidRDefault="002106E6" w:rsidP="002106E6">
      <w:pPr>
        <w:numPr>
          <w:ilvl w:val="0"/>
          <w:numId w:val="35"/>
        </w:numPr>
        <w:spacing w:line="360" w:lineRule="auto"/>
        <w:jc w:val="both"/>
      </w:pPr>
      <w:r w:rsidRPr="00283B13">
        <w:t>T</w:t>
      </w:r>
      <w:r w:rsidR="00E41E9C" w:rsidRPr="00283B13">
        <w:t>he utility of early mediation or other form of alternative dispute resolution;</w:t>
      </w:r>
    </w:p>
    <w:p w:rsidR="002106E6" w:rsidRPr="00283B13" w:rsidRDefault="002106E6" w:rsidP="002106E6">
      <w:pPr>
        <w:numPr>
          <w:ilvl w:val="0"/>
          <w:numId w:val="35"/>
        </w:numPr>
        <w:spacing w:line="360" w:lineRule="auto"/>
        <w:jc w:val="both"/>
      </w:pPr>
      <w:r w:rsidRPr="00283B13">
        <w:t>J</w:t>
      </w:r>
      <w:r w:rsidR="002C7B2E" w:rsidRPr="00283B13">
        <w:t>oinder of any further parties;</w:t>
      </w:r>
    </w:p>
    <w:p w:rsidR="002106E6" w:rsidRPr="00283B13" w:rsidRDefault="002106E6" w:rsidP="002106E6">
      <w:pPr>
        <w:numPr>
          <w:ilvl w:val="0"/>
          <w:numId w:val="35"/>
        </w:numPr>
        <w:spacing w:line="360" w:lineRule="auto"/>
        <w:jc w:val="both"/>
      </w:pPr>
      <w:r w:rsidRPr="00283B13">
        <w:t>W</w:t>
      </w:r>
      <w:r w:rsidR="00E41E9C" w:rsidRPr="00283B13">
        <w:t>hether apportionment is sought against any party or other person;</w:t>
      </w:r>
    </w:p>
    <w:p w:rsidR="002106E6" w:rsidRPr="00283B13" w:rsidRDefault="002106E6" w:rsidP="002106E6">
      <w:pPr>
        <w:numPr>
          <w:ilvl w:val="0"/>
          <w:numId w:val="35"/>
        </w:numPr>
        <w:spacing w:line="360" w:lineRule="auto"/>
        <w:jc w:val="both"/>
      </w:pPr>
      <w:r w:rsidRPr="00283B13">
        <w:t>T</w:t>
      </w:r>
      <w:r w:rsidR="00E41E9C" w:rsidRPr="00283B13">
        <w:t>he filing and service of any further pleadings;</w:t>
      </w:r>
    </w:p>
    <w:p w:rsidR="002106E6" w:rsidRPr="00283B13" w:rsidRDefault="002106E6" w:rsidP="002106E6">
      <w:pPr>
        <w:numPr>
          <w:ilvl w:val="0"/>
          <w:numId w:val="35"/>
        </w:numPr>
        <w:spacing w:line="360" w:lineRule="auto"/>
        <w:jc w:val="both"/>
      </w:pPr>
      <w:r w:rsidRPr="00283B13">
        <w:t>T</w:t>
      </w:r>
      <w:r w:rsidR="00E41E9C" w:rsidRPr="00283B13">
        <w:t>he provision of proper particulars;</w:t>
      </w:r>
    </w:p>
    <w:p w:rsidR="002106E6" w:rsidRPr="00283B13" w:rsidRDefault="002106E6" w:rsidP="002106E6">
      <w:pPr>
        <w:numPr>
          <w:ilvl w:val="0"/>
          <w:numId w:val="35"/>
        </w:numPr>
        <w:spacing w:line="360" w:lineRule="auto"/>
        <w:jc w:val="both"/>
      </w:pPr>
      <w:r w:rsidRPr="00283B13">
        <w:t>T</w:t>
      </w:r>
      <w:r w:rsidR="00E41E9C" w:rsidRPr="00283B13">
        <w:t>he scope of discovery, service of lists of documents, and the provision of copy documents;</w:t>
      </w:r>
    </w:p>
    <w:p w:rsidR="002106E6" w:rsidRPr="00283B13" w:rsidRDefault="002106E6" w:rsidP="002106E6">
      <w:pPr>
        <w:numPr>
          <w:ilvl w:val="0"/>
          <w:numId w:val="35"/>
        </w:numPr>
        <w:spacing w:line="360" w:lineRule="auto"/>
        <w:jc w:val="both"/>
      </w:pPr>
      <w:r w:rsidRPr="00283B13">
        <w:t>W</w:t>
      </w:r>
      <w:r w:rsidR="00E41E9C" w:rsidRPr="00283B13">
        <w:t>hether expert evidence is appropriate for the resolution of the issues in dispute and, if so, the nature and scope of any likely expert evidence;</w:t>
      </w:r>
    </w:p>
    <w:p w:rsidR="002106E6" w:rsidRPr="00283B13" w:rsidRDefault="002106E6" w:rsidP="002106E6">
      <w:pPr>
        <w:numPr>
          <w:ilvl w:val="0"/>
          <w:numId w:val="35"/>
        </w:numPr>
        <w:spacing w:line="360" w:lineRule="auto"/>
        <w:jc w:val="both"/>
      </w:pPr>
      <w:r w:rsidRPr="00283B13">
        <w:t>W</w:t>
      </w:r>
      <w:r w:rsidR="003100A5" w:rsidRPr="00283B13">
        <w:t>hether</w:t>
      </w:r>
      <w:r w:rsidR="00E41E9C" w:rsidRPr="00283B13">
        <w:t xml:space="preserve"> experts have been or are expected to be retained for</w:t>
      </w:r>
      <w:r w:rsidR="002D51CF" w:rsidRPr="00283B13">
        <w:t xml:space="preserve"> the purposes of the proceeding</w:t>
      </w:r>
      <w:r w:rsidR="002C7B2E" w:rsidRPr="00283B13">
        <w:t>,</w:t>
      </w:r>
      <w:r w:rsidR="00E41E9C" w:rsidRPr="00283B13">
        <w:t xml:space="preserve"> and whether a common expert might be jointly retained</w:t>
      </w:r>
      <w:r w:rsidRPr="00283B13">
        <w:t>;</w:t>
      </w:r>
    </w:p>
    <w:p w:rsidR="008F2D46" w:rsidRPr="00283B13" w:rsidRDefault="008F2D46" w:rsidP="008F2D46">
      <w:pPr>
        <w:numPr>
          <w:ilvl w:val="0"/>
          <w:numId w:val="35"/>
        </w:numPr>
        <w:spacing w:line="360" w:lineRule="auto"/>
        <w:jc w:val="both"/>
      </w:pPr>
      <w:r w:rsidRPr="00283B13">
        <w:t>The timing for the filing and service of any evidence or affidavits; and</w:t>
      </w:r>
    </w:p>
    <w:p w:rsidR="008F2D46" w:rsidRPr="00283B13" w:rsidRDefault="008F2D46" w:rsidP="008F2D46">
      <w:pPr>
        <w:numPr>
          <w:ilvl w:val="0"/>
          <w:numId w:val="35"/>
        </w:numPr>
        <w:spacing w:line="360" w:lineRule="auto"/>
        <w:jc w:val="both"/>
      </w:pPr>
      <w:r w:rsidRPr="00283B13">
        <w:t>Whether an order should be made for the separate trial of any question.</w:t>
      </w:r>
    </w:p>
    <w:p w:rsidR="008F2D46" w:rsidRPr="00283B13" w:rsidRDefault="008F2D46" w:rsidP="008F2D46">
      <w:pPr>
        <w:spacing w:line="360" w:lineRule="auto"/>
        <w:ind w:left="720" w:hanging="720"/>
        <w:jc w:val="both"/>
      </w:pPr>
    </w:p>
    <w:p w:rsidR="008F2D46" w:rsidRPr="00283B13" w:rsidRDefault="00263C5A" w:rsidP="008F2D46">
      <w:pPr>
        <w:spacing w:line="360" w:lineRule="auto"/>
        <w:ind w:left="720" w:hanging="720"/>
        <w:jc w:val="both"/>
      </w:pPr>
      <w:r w:rsidRPr="00283B13">
        <w:t xml:space="preserve">4.4 </w:t>
      </w:r>
      <w:r w:rsidRPr="00283B13">
        <w:tab/>
        <w:t xml:space="preserve">In considering the </w:t>
      </w:r>
      <w:r w:rsidR="008F2D46" w:rsidRPr="00283B13">
        <w:t xml:space="preserve">matters </w:t>
      </w:r>
      <w:r w:rsidRPr="00283B13">
        <w:t xml:space="preserve">set out in paragraph 4.3, </w:t>
      </w:r>
      <w:r w:rsidR="008F2D46" w:rsidRPr="00283B13">
        <w:t>and any other directions required to progress the matter, parties should note that:</w:t>
      </w:r>
    </w:p>
    <w:p w:rsidR="008F2D46" w:rsidRPr="00283B13" w:rsidRDefault="001B7444" w:rsidP="008F2D46">
      <w:pPr>
        <w:numPr>
          <w:ilvl w:val="0"/>
          <w:numId w:val="39"/>
        </w:numPr>
        <w:spacing w:line="360" w:lineRule="auto"/>
        <w:jc w:val="both"/>
      </w:pPr>
      <w:r w:rsidRPr="00283B13">
        <w:t>L</w:t>
      </w:r>
      <w:r w:rsidR="008F2D46" w:rsidRPr="00283B13">
        <w:t>eave is required for the filing and service of interrogatories</w:t>
      </w:r>
      <w:r w:rsidR="00263C5A" w:rsidRPr="00283B13">
        <w:t>,</w:t>
      </w:r>
      <w:r w:rsidR="008F2D46" w:rsidRPr="00283B13">
        <w:t xml:space="preserve"> notwithstanding any consent minutes filed by the parties providing for them; and</w:t>
      </w:r>
    </w:p>
    <w:p w:rsidR="008F2D46" w:rsidRPr="00283B13" w:rsidRDefault="001B7444" w:rsidP="008F2D46">
      <w:pPr>
        <w:numPr>
          <w:ilvl w:val="0"/>
          <w:numId w:val="39"/>
        </w:numPr>
        <w:spacing w:line="360" w:lineRule="auto"/>
        <w:jc w:val="both"/>
      </w:pPr>
      <w:r w:rsidRPr="00283B13">
        <w:t>G</w:t>
      </w:r>
      <w:r w:rsidR="008F2D46" w:rsidRPr="00283B13">
        <w:t>enerally, orders will not be made for witness statements and all witnesses will be required to give oral evidence at trial.</w:t>
      </w:r>
    </w:p>
    <w:p w:rsidR="006041AE" w:rsidRPr="00283B13" w:rsidRDefault="006041AE" w:rsidP="006041AE">
      <w:pPr>
        <w:spacing w:line="360" w:lineRule="auto"/>
        <w:ind w:left="720" w:hanging="720"/>
        <w:jc w:val="both"/>
      </w:pPr>
    </w:p>
    <w:p w:rsidR="006041AE" w:rsidRPr="00283B13" w:rsidRDefault="008F2D46" w:rsidP="006041AE">
      <w:pPr>
        <w:spacing w:line="360" w:lineRule="auto"/>
        <w:ind w:left="720" w:hanging="720"/>
        <w:jc w:val="both"/>
      </w:pPr>
      <w:r w:rsidRPr="00283B13">
        <w:t>4.5</w:t>
      </w:r>
      <w:r w:rsidR="009C6225" w:rsidRPr="00283B13">
        <w:tab/>
        <w:t>C</w:t>
      </w:r>
      <w:r w:rsidR="006041AE" w:rsidRPr="00283B13">
        <w:t xml:space="preserve">onsent orders will not usually be made on the papers prior to the first directions hearing. </w:t>
      </w:r>
    </w:p>
    <w:p w:rsidR="006041AE" w:rsidRPr="00283B13" w:rsidRDefault="006041AE" w:rsidP="00CB2EDD">
      <w:pPr>
        <w:spacing w:line="360" w:lineRule="auto"/>
        <w:ind w:left="720" w:hanging="720"/>
        <w:jc w:val="both"/>
        <w:rPr>
          <w:b/>
        </w:rPr>
      </w:pPr>
    </w:p>
    <w:p w:rsidR="00E41E9C" w:rsidRPr="00283B13" w:rsidRDefault="0067000B" w:rsidP="00283B13">
      <w:pPr>
        <w:pStyle w:val="Heading1"/>
      </w:pPr>
      <w:r w:rsidRPr="00283B13">
        <w:lastRenderedPageBreak/>
        <w:t>5</w:t>
      </w:r>
      <w:r w:rsidR="004272BD" w:rsidRPr="00283B13">
        <w:t>.</w:t>
      </w:r>
      <w:r w:rsidR="004272BD" w:rsidRPr="00283B13">
        <w:tab/>
      </w:r>
      <w:r w:rsidR="00E41E9C" w:rsidRPr="00283B13">
        <w:t xml:space="preserve">MANAGEMENT OF </w:t>
      </w:r>
      <w:r w:rsidR="00DA792C" w:rsidRPr="00283B13">
        <w:t>PROCEEDINGS</w:t>
      </w:r>
      <w:r w:rsidR="00E41E9C" w:rsidRPr="00283B13">
        <w:t xml:space="preserve"> FOLLOWING </w:t>
      </w:r>
      <w:r w:rsidR="003100A5" w:rsidRPr="00283B13">
        <w:t xml:space="preserve">THE </w:t>
      </w:r>
      <w:r w:rsidR="00E41E9C" w:rsidRPr="00283B13">
        <w:t>FIRST DIRECTIONS HEARING</w:t>
      </w:r>
    </w:p>
    <w:p w:rsidR="00B27816" w:rsidRPr="00283B13" w:rsidRDefault="00B27816" w:rsidP="0067000B">
      <w:pPr>
        <w:spacing w:line="360" w:lineRule="auto"/>
        <w:ind w:left="720" w:hanging="720"/>
        <w:contextualSpacing/>
        <w:jc w:val="both"/>
      </w:pPr>
    </w:p>
    <w:p w:rsidR="002C7B2E" w:rsidRPr="00283B13" w:rsidRDefault="0067000B" w:rsidP="0067000B">
      <w:pPr>
        <w:spacing w:line="360" w:lineRule="auto"/>
        <w:ind w:left="720" w:right="26" w:hanging="720"/>
        <w:contextualSpacing/>
      </w:pPr>
      <w:r w:rsidRPr="00283B13">
        <w:t>5.1</w:t>
      </w:r>
      <w:r w:rsidRPr="00283B13">
        <w:tab/>
      </w:r>
      <w:r w:rsidR="002C7B2E" w:rsidRPr="00283B13">
        <w:t>The Court expects all parties to cooperate with one another to achieve the just and eff</w:t>
      </w:r>
      <w:r w:rsidR="006041AE" w:rsidRPr="00283B13">
        <w:t>icient resolution of the proceeding</w:t>
      </w:r>
      <w:r w:rsidR="002C7B2E" w:rsidRPr="00283B13">
        <w:t xml:space="preserve"> in accordance with the </w:t>
      </w:r>
      <w:r w:rsidR="002C7B2E" w:rsidRPr="00283B13">
        <w:rPr>
          <w:i/>
        </w:rPr>
        <w:t>Civil Procedure Act 2010</w:t>
      </w:r>
      <w:r w:rsidR="002C7B2E" w:rsidRPr="00283B13">
        <w:t>.</w:t>
      </w:r>
    </w:p>
    <w:p w:rsidR="002C7B2E" w:rsidRPr="00283B13" w:rsidRDefault="002C7B2E" w:rsidP="0067000B">
      <w:pPr>
        <w:spacing w:line="360" w:lineRule="auto"/>
        <w:ind w:left="720" w:right="26" w:hanging="720"/>
        <w:contextualSpacing/>
      </w:pPr>
    </w:p>
    <w:p w:rsidR="0067000B" w:rsidRPr="00283B13" w:rsidRDefault="002C7B2E" w:rsidP="0067000B">
      <w:pPr>
        <w:spacing w:line="360" w:lineRule="auto"/>
        <w:ind w:left="720" w:right="26" w:hanging="720"/>
        <w:contextualSpacing/>
      </w:pPr>
      <w:r w:rsidRPr="00283B13">
        <w:t>5.2</w:t>
      </w:r>
      <w:r w:rsidRPr="00283B13">
        <w:tab/>
      </w:r>
      <w:r w:rsidR="0067000B" w:rsidRPr="00283B13">
        <w:t xml:space="preserve">The </w:t>
      </w:r>
      <w:r w:rsidR="00E41E9C" w:rsidRPr="00283B13">
        <w:t xml:space="preserve">Judge </w:t>
      </w:r>
      <w:r w:rsidR="006041AE" w:rsidRPr="00283B13">
        <w:t>in Charge</w:t>
      </w:r>
      <w:r w:rsidR="0067000B" w:rsidRPr="00283B13">
        <w:t xml:space="preserve"> </w:t>
      </w:r>
      <w:r w:rsidR="00E41E9C" w:rsidRPr="00283B13">
        <w:t>may refer the management</w:t>
      </w:r>
      <w:r w:rsidR="0067000B" w:rsidRPr="00283B13">
        <w:t xml:space="preserve"> of a proceeding, or a specific matter arising in the course of a proceeding, to </w:t>
      </w:r>
      <w:r w:rsidR="00263C5A" w:rsidRPr="00283B13">
        <w:t>the</w:t>
      </w:r>
      <w:r w:rsidR="003E42BE" w:rsidRPr="00283B13">
        <w:t xml:space="preserve"> </w:t>
      </w:r>
      <w:r w:rsidR="00263C5A" w:rsidRPr="00283B13">
        <w:t>A</w:t>
      </w:r>
      <w:r w:rsidR="003E42BE" w:rsidRPr="00283B13">
        <w:t xml:space="preserve">ssociate </w:t>
      </w:r>
      <w:r w:rsidR="00263C5A" w:rsidRPr="00283B13">
        <w:t>J</w:t>
      </w:r>
      <w:r w:rsidR="003E42BE" w:rsidRPr="00283B13">
        <w:t>udge</w:t>
      </w:r>
      <w:r w:rsidR="0067000B" w:rsidRPr="00283B13">
        <w:t>.</w:t>
      </w:r>
    </w:p>
    <w:p w:rsidR="0067000B" w:rsidRPr="00283B13" w:rsidRDefault="0067000B" w:rsidP="0067000B">
      <w:pPr>
        <w:spacing w:line="360" w:lineRule="auto"/>
        <w:ind w:left="720" w:right="26" w:hanging="720"/>
        <w:contextualSpacing/>
      </w:pPr>
    </w:p>
    <w:p w:rsidR="008F2D46" w:rsidRPr="00283B13" w:rsidRDefault="002C7B2E" w:rsidP="008F2D46">
      <w:pPr>
        <w:spacing w:line="360" w:lineRule="auto"/>
        <w:ind w:left="720" w:right="26" w:hanging="720"/>
        <w:contextualSpacing/>
      </w:pPr>
      <w:r w:rsidRPr="00283B13">
        <w:t>5.3</w:t>
      </w:r>
      <w:r w:rsidR="00E41E9C" w:rsidRPr="00283B13">
        <w:tab/>
      </w:r>
      <w:r w:rsidR="008F2D46" w:rsidRPr="00283B13">
        <w:t xml:space="preserve">The following matters will not be dealt with at a directions hearing before the Judge in Charge and should be determined by the Associate Judge </w:t>
      </w:r>
      <w:r w:rsidR="00263C5A" w:rsidRPr="00283B13">
        <w:t>(</w:t>
      </w:r>
      <w:r w:rsidR="008F2D46" w:rsidRPr="00283B13">
        <w:t>unless the Judge in Charge orders otherwise</w:t>
      </w:r>
      <w:r w:rsidR="00263C5A" w:rsidRPr="00283B13">
        <w:t>)</w:t>
      </w:r>
      <w:r w:rsidR="008F2D46" w:rsidRPr="00283B13">
        <w:t>:</w:t>
      </w:r>
    </w:p>
    <w:p w:rsidR="008F2D46" w:rsidRPr="00283B13" w:rsidRDefault="008F2D46" w:rsidP="008F2D46">
      <w:pPr>
        <w:numPr>
          <w:ilvl w:val="0"/>
          <w:numId w:val="36"/>
        </w:numPr>
        <w:spacing w:line="360" w:lineRule="auto"/>
        <w:ind w:right="26"/>
        <w:contextualSpacing/>
      </w:pPr>
      <w:r w:rsidRPr="00283B13">
        <w:t>Discovery disputes;</w:t>
      </w:r>
    </w:p>
    <w:p w:rsidR="003100A5" w:rsidRPr="00283B13" w:rsidRDefault="003100A5" w:rsidP="003100A5">
      <w:pPr>
        <w:numPr>
          <w:ilvl w:val="0"/>
          <w:numId w:val="36"/>
        </w:numPr>
        <w:spacing w:line="360" w:lineRule="auto"/>
        <w:jc w:val="both"/>
      </w:pPr>
      <w:r w:rsidRPr="00283B13">
        <w:t>D</w:t>
      </w:r>
      <w:r w:rsidR="00E41E9C" w:rsidRPr="00283B13">
        <w:t>isputes concerning the giving or adequacy of pleadings and particulars;</w:t>
      </w:r>
    </w:p>
    <w:p w:rsidR="003100A5" w:rsidRPr="00283B13" w:rsidRDefault="003100A5" w:rsidP="003100A5">
      <w:pPr>
        <w:numPr>
          <w:ilvl w:val="0"/>
          <w:numId w:val="36"/>
        </w:numPr>
        <w:spacing w:line="360" w:lineRule="auto"/>
        <w:jc w:val="both"/>
      </w:pPr>
      <w:r w:rsidRPr="00283B13">
        <w:t>A</w:t>
      </w:r>
      <w:r w:rsidR="00E41E9C" w:rsidRPr="00283B13">
        <w:t>pplications for security for costs;</w:t>
      </w:r>
    </w:p>
    <w:p w:rsidR="003100A5" w:rsidRPr="00283B13" w:rsidRDefault="003100A5" w:rsidP="003100A5">
      <w:pPr>
        <w:numPr>
          <w:ilvl w:val="0"/>
          <w:numId w:val="36"/>
        </w:numPr>
        <w:spacing w:line="360" w:lineRule="auto"/>
        <w:jc w:val="both"/>
      </w:pPr>
      <w:r w:rsidRPr="00283B13">
        <w:t>T</w:t>
      </w:r>
      <w:r w:rsidR="00E41E9C" w:rsidRPr="00283B13">
        <w:t>he joinder of any parties;</w:t>
      </w:r>
    </w:p>
    <w:p w:rsidR="003100A5" w:rsidRPr="00283B13" w:rsidRDefault="003100A5" w:rsidP="003100A5">
      <w:pPr>
        <w:numPr>
          <w:ilvl w:val="0"/>
          <w:numId w:val="36"/>
        </w:numPr>
        <w:spacing w:line="360" w:lineRule="auto"/>
        <w:jc w:val="both"/>
      </w:pPr>
      <w:r w:rsidRPr="00283B13">
        <w:t>A</w:t>
      </w:r>
      <w:r w:rsidR="002D51CF" w:rsidRPr="00283B13">
        <w:t>pplications to strike out</w:t>
      </w:r>
      <w:r w:rsidR="00E41E9C" w:rsidRPr="00283B13">
        <w:t xml:space="preserve"> proceedings or for summary judgment; and</w:t>
      </w:r>
    </w:p>
    <w:p w:rsidR="0067000B" w:rsidRPr="00283B13" w:rsidRDefault="003100A5" w:rsidP="003100A5">
      <w:pPr>
        <w:numPr>
          <w:ilvl w:val="0"/>
          <w:numId w:val="36"/>
        </w:numPr>
        <w:spacing w:line="360" w:lineRule="auto"/>
        <w:jc w:val="both"/>
      </w:pPr>
      <w:r w:rsidRPr="00283B13">
        <w:t>D</w:t>
      </w:r>
      <w:r w:rsidR="00E41E9C" w:rsidRPr="00283B13">
        <w:t>isputes concerning subpoenas.</w:t>
      </w:r>
    </w:p>
    <w:p w:rsidR="0067000B" w:rsidRPr="00283B13" w:rsidRDefault="0067000B" w:rsidP="0067000B">
      <w:pPr>
        <w:spacing w:line="360" w:lineRule="auto"/>
        <w:ind w:left="720" w:right="26" w:hanging="720"/>
        <w:contextualSpacing/>
      </w:pPr>
    </w:p>
    <w:p w:rsidR="00CA48DC" w:rsidRPr="00283B13" w:rsidRDefault="00CA48DC" w:rsidP="0067000B">
      <w:pPr>
        <w:spacing w:line="360" w:lineRule="auto"/>
        <w:ind w:left="720" w:right="26" w:hanging="720"/>
        <w:contextualSpacing/>
      </w:pPr>
      <w:r w:rsidRPr="00283B13">
        <w:t>5.4</w:t>
      </w:r>
      <w:r w:rsidRPr="00283B13">
        <w:tab/>
        <w:t xml:space="preserve">Parties seeking to </w:t>
      </w:r>
      <w:r w:rsidR="00263C5A" w:rsidRPr="00283B13">
        <w:t>arrange</w:t>
      </w:r>
      <w:r w:rsidRPr="00283B13">
        <w:t xml:space="preserve"> a hearing of an application set out in paragraph 5.3 should contact the Associate to the Associate Judge in the first instance.</w:t>
      </w:r>
      <w:r w:rsidR="00BB14F1" w:rsidRPr="00283B13">
        <w:t xml:space="preserve"> Parties will be advised of the time and date that the summons should be made returnable.</w:t>
      </w:r>
    </w:p>
    <w:p w:rsidR="00B27816" w:rsidRPr="00283B13" w:rsidRDefault="00CA48DC" w:rsidP="0067000B">
      <w:pPr>
        <w:spacing w:line="360" w:lineRule="auto"/>
        <w:ind w:left="720" w:right="26" w:hanging="720"/>
        <w:contextualSpacing/>
      </w:pPr>
      <w:r w:rsidRPr="00283B13" w:rsidDel="00CA48DC">
        <w:t xml:space="preserve"> </w:t>
      </w:r>
    </w:p>
    <w:p w:rsidR="00E41E9C" w:rsidRPr="00283B13" w:rsidRDefault="0067000B" w:rsidP="0067000B">
      <w:pPr>
        <w:spacing w:line="360" w:lineRule="auto"/>
        <w:ind w:right="26" w:firstLine="720"/>
        <w:contextualSpacing/>
        <w:rPr>
          <w:i/>
        </w:rPr>
      </w:pPr>
      <w:r w:rsidRPr="00283B13">
        <w:rPr>
          <w:i/>
        </w:rPr>
        <w:t>Joinder applications</w:t>
      </w:r>
    </w:p>
    <w:p w:rsidR="003100A5" w:rsidRPr="00283B13" w:rsidRDefault="003100A5" w:rsidP="002871B8">
      <w:pPr>
        <w:spacing w:line="360" w:lineRule="auto"/>
        <w:ind w:right="26"/>
        <w:contextualSpacing/>
      </w:pPr>
    </w:p>
    <w:p w:rsidR="00E41E9C" w:rsidRPr="00283B13" w:rsidRDefault="00CA48DC" w:rsidP="0067000B">
      <w:pPr>
        <w:spacing w:line="360" w:lineRule="auto"/>
        <w:ind w:left="720" w:right="26" w:hanging="720"/>
        <w:contextualSpacing/>
      </w:pPr>
      <w:r w:rsidRPr="00283B13">
        <w:t>5.5</w:t>
      </w:r>
      <w:r w:rsidR="00E41E9C" w:rsidRPr="00283B13">
        <w:tab/>
        <w:t>An application for leave to join a third party or another party should be brought by summons</w:t>
      </w:r>
      <w:r w:rsidR="001B7444" w:rsidRPr="00283B13">
        <w:t>,</w:t>
      </w:r>
      <w:r w:rsidR="00E41E9C" w:rsidRPr="00283B13">
        <w:t xml:space="preserve"> supported by an affidavit setting out the basis for the joinder and including a proposed statement of claim against the party to be joined.</w:t>
      </w:r>
    </w:p>
    <w:p w:rsidR="0067000B" w:rsidRPr="00283B13" w:rsidRDefault="0067000B" w:rsidP="0067000B">
      <w:pPr>
        <w:spacing w:line="360" w:lineRule="auto"/>
        <w:ind w:left="720" w:right="26" w:hanging="720"/>
        <w:contextualSpacing/>
      </w:pPr>
    </w:p>
    <w:p w:rsidR="00E41E9C" w:rsidRPr="00283B13" w:rsidRDefault="00CA48DC" w:rsidP="0067000B">
      <w:pPr>
        <w:spacing w:line="360" w:lineRule="auto"/>
        <w:ind w:left="720" w:right="26" w:hanging="720"/>
        <w:contextualSpacing/>
      </w:pPr>
      <w:r w:rsidRPr="00283B13">
        <w:lastRenderedPageBreak/>
        <w:t>5.6</w:t>
      </w:r>
      <w:r w:rsidR="00E41E9C" w:rsidRPr="00283B13">
        <w:tab/>
        <w:t>Parties should make any application for joinde</w:t>
      </w:r>
      <w:r w:rsidR="002871B8" w:rsidRPr="00283B13">
        <w:t xml:space="preserve">r at the earliest opportunity. </w:t>
      </w:r>
      <w:r w:rsidR="00E41E9C" w:rsidRPr="00283B13">
        <w:t>The Court will take into account any unnecessary delay on the part of a party in making any application for joinder when exercising its discretion as to whether to allow the application, and in determining the question of costs.</w:t>
      </w:r>
    </w:p>
    <w:p w:rsidR="0067000B" w:rsidRPr="00283B13" w:rsidRDefault="0067000B" w:rsidP="0067000B">
      <w:pPr>
        <w:spacing w:line="360" w:lineRule="auto"/>
        <w:ind w:left="720" w:right="26" w:hanging="720"/>
        <w:contextualSpacing/>
      </w:pPr>
    </w:p>
    <w:p w:rsidR="00E41E9C" w:rsidRPr="00283B13" w:rsidRDefault="00E41E9C" w:rsidP="0067000B">
      <w:pPr>
        <w:spacing w:line="360" w:lineRule="auto"/>
        <w:ind w:left="720" w:right="26" w:hanging="720"/>
        <w:contextualSpacing/>
      </w:pPr>
      <w:r w:rsidRPr="00283B13">
        <w:t>5.</w:t>
      </w:r>
      <w:r w:rsidR="00CA48DC" w:rsidRPr="00283B13">
        <w:t>7</w:t>
      </w:r>
      <w:r w:rsidRPr="00283B13">
        <w:tab/>
        <w:t>The summons and supporting affidavit must be filed and served on all existing parties and the proposed third party or other party within sufficient time to permit the third party or other party to file a notice of appearance and otherwise to determine whether to appear on the hearing of the application, and to enable the party, if joined, to seek or to be subject to directions.</w:t>
      </w:r>
    </w:p>
    <w:p w:rsidR="0067000B" w:rsidRPr="00283B13" w:rsidRDefault="0067000B" w:rsidP="0067000B">
      <w:pPr>
        <w:spacing w:line="360" w:lineRule="auto"/>
        <w:ind w:left="720" w:right="26" w:hanging="720"/>
        <w:contextualSpacing/>
      </w:pPr>
    </w:p>
    <w:p w:rsidR="00E41E9C" w:rsidRPr="00283B13" w:rsidRDefault="00E41E9C" w:rsidP="0067000B">
      <w:pPr>
        <w:spacing w:line="360" w:lineRule="auto"/>
        <w:ind w:right="26" w:firstLine="720"/>
        <w:contextualSpacing/>
        <w:rPr>
          <w:i/>
        </w:rPr>
      </w:pPr>
      <w:r w:rsidRPr="00283B13">
        <w:rPr>
          <w:i/>
        </w:rPr>
        <w:t xml:space="preserve">Further directions hearings </w:t>
      </w:r>
    </w:p>
    <w:p w:rsidR="003100A5" w:rsidRPr="00283B13" w:rsidRDefault="003100A5" w:rsidP="0067000B">
      <w:pPr>
        <w:spacing w:line="360" w:lineRule="auto"/>
        <w:ind w:right="26" w:firstLine="720"/>
        <w:contextualSpacing/>
        <w:rPr>
          <w:i/>
        </w:rPr>
      </w:pPr>
    </w:p>
    <w:p w:rsidR="00E41E9C" w:rsidRPr="00283B13" w:rsidRDefault="00CA48DC" w:rsidP="0067000B">
      <w:pPr>
        <w:spacing w:line="360" w:lineRule="auto"/>
        <w:ind w:left="720" w:right="26" w:hanging="720"/>
        <w:contextualSpacing/>
      </w:pPr>
      <w:r w:rsidRPr="00283B13">
        <w:t>5.8</w:t>
      </w:r>
      <w:r w:rsidR="00FC65B0" w:rsidRPr="00283B13">
        <w:tab/>
        <w:t>T</w:t>
      </w:r>
      <w:r w:rsidR="00E41E9C" w:rsidRPr="00283B13">
        <w:t xml:space="preserve">he </w:t>
      </w:r>
      <w:r w:rsidR="00FC65B0" w:rsidRPr="00283B13">
        <w:t xml:space="preserve">Judge in Charge </w:t>
      </w:r>
      <w:r w:rsidR="00E41E9C" w:rsidRPr="00283B13">
        <w:t xml:space="preserve">may give </w:t>
      </w:r>
      <w:r w:rsidR="00FC65B0" w:rsidRPr="00283B13">
        <w:t xml:space="preserve">further directions from time to time in proceedings in the List, </w:t>
      </w:r>
      <w:r w:rsidR="00E41E9C" w:rsidRPr="00283B13">
        <w:t>including:</w:t>
      </w:r>
    </w:p>
    <w:p w:rsidR="00FC65B0" w:rsidRPr="00283B13" w:rsidRDefault="00FC65B0" w:rsidP="00FC65B0">
      <w:pPr>
        <w:numPr>
          <w:ilvl w:val="0"/>
          <w:numId w:val="37"/>
        </w:numPr>
        <w:spacing w:line="360" w:lineRule="auto"/>
        <w:jc w:val="both"/>
      </w:pPr>
      <w:r w:rsidRPr="00283B13">
        <w:t>F</w:t>
      </w:r>
      <w:r w:rsidR="00E41E9C" w:rsidRPr="00283B13">
        <w:t>ixing a time after which no further party may be joined;</w:t>
      </w:r>
    </w:p>
    <w:p w:rsidR="00FC65B0" w:rsidRPr="00283B13" w:rsidRDefault="00FC65B0" w:rsidP="00FC65B0">
      <w:pPr>
        <w:numPr>
          <w:ilvl w:val="0"/>
          <w:numId w:val="37"/>
        </w:numPr>
        <w:spacing w:line="360" w:lineRule="auto"/>
        <w:jc w:val="both"/>
      </w:pPr>
      <w:r w:rsidRPr="00283B13">
        <w:t>D</w:t>
      </w:r>
      <w:r w:rsidR="00E41E9C" w:rsidRPr="00283B13">
        <w:t>irections for mediation or other form of appropriate alternative dispute resolution;</w:t>
      </w:r>
    </w:p>
    <w:p w:rsidR="00FC65B0" w:rsidRPr="00283B13" w:rsidRDefault="00FC65B0" w:rsidP="00FC65B0">
      <w:pPr>
        <w:numPr>
          <w:ilvl w:val="0"/>
          <w:numId w:val="37"/>
        </w:numPr>
        <w:spacing w:line="360" w:lineRule="auto"/>
        <w:jc w:val="both"/>
      </w:pPr>
      <w:r w:rsidRPr="00283B13">
        <w:t>D</w:t>
      </w:r>
      <w:r w:rsidR="00E41E9C" w:rsidRPr="00283B13">
        <w:t>irections for the preparation of the proceeding for trial;</w:t>
      </w:r>
    </w:p>
    <w:p w:rsidR="00FC65B0" w:rsidRPr="00283B13" w:rsidRDefault="00FC65B0" w:rsidP="00FC65B0">
      <w:pPr>
        <w:numPr>
          <w:ilvl w:val="0"/>
          <w:numId w:val="37"/>
        </w:numPr>
        <w:spacing w:line="360" w:lineRule="auto"/>
        <w:jc w:val="both"/>
      </w:pPr>
      <w:r w:rsidRPr="00283B13">
        <w:t>T</w:t>
      </w:r>
      <w:r w:rsidR="00E41E9C" w:rsidRPr="00283B13">
        <w:t>hat the issues in dispute be reduced to a statement of issues to assist the process of clarifying the real questions for resolution;</w:t>
      </w:r>
    </w:p>
    <w:p w:rsidR="00FC65B0" w:rsidRPr="00283B13" w:rsidRDefault="00FC65B0" w:rsidP="00FC65B0">
      <w:pPr>
        <w:numPr>
          <w:ilvl w:val="0"/>
          <w:numId w:val="37"/>
        </w:numPr>
        <w:spacing w:line="360" w:lineRule="auto"/>
        <w:jc w:val="both"/>
      </w:pPr>
      <w:r w:rsidRPr="00283B13">
        <w:t>D</w:t>
      </w:r>
      <w:r w:rsidR="00E41E9C" w:rsidRPr="00283B13">
        <w:t>irections with respect to the preparation of any expert reports and the manner in which evidence will be given by experts including directions under r</w:t>
      </w:r>
      <w:r w:rsidR="005C68BA" w:rsidRPr="00283B13">
        <w:t>ule</w:t>
      </w:r>
      <w:r w:rsidR="00E41E9C" w:rsidRPr="00283B13">
        <w:t xml:space="preserve"> 44.06 of the </w:t>
      </w:r>
      <w:r w:rsidR="005C68BA" w:rsidRPr="00283B13">
        <w:rPr>
          <w:i/>
        </w:rPr>
        <w:t>Supreme Court (General Civil Procedure) Rules 2005</w:t>
      </w:r>
      <w:r w:rsidR="00E41E9C" w:rsidRPr="00283B13">
        <w:t>;</w:t>
      </w:r>
    </w:p>
    <w:p w:rsidR="00FC65B0" w:rsidRPr="00283B13" w:rsidRDefault="00FC65B0" w:rsidP="00FC65B0">
      <w:pPr>
        <w:numPr>
          <w:ilvl w:val="0"/>
          <w:numId w:val="37"/>
        </w:numPr>
        <w:spacing w:line="360" w:lineRule="auto"/>
        <w:jc w:val="both"/>
      </w:pPr>
      <w:r w:rsidRPr="00283B13">
        <w:t>T</w:t>
      </w:r>
      <w:r w:rsidR="00E41E9C" w:rsidRPr="00283B13">
        <w:t xml:space="preserve">hat certain questions be heard and determined in a preliminary way; </w:t>
      </w:r>
    </w:p>
    <w:p w:rsidR="00FC65B0" w:rsidRPr="00283B13" w:rsidRDefault="00FC65B0" w:rsidP="00FC65B0">
      <w:pPr>
        <w:numPr>
          <w:ilvl w:val="0"/>
          <w:numId w:val="37"/>
        </w:numPr>
        <w:spacing w:line="360" w:lineRule="auto"/>
        <w:jc w:val="both"/>
      </w:pPr>
      <w:r w:rsidRPr="00283B13">
        <w:t>T</w:t>
      </w:r>
      <w:r w:rsidR="00E41E9C" w:rsidRPr="00283B13">
        <w:t>hat the evidence and submissions of the parties upon a particular question be heard in a preliminary way;</w:t>
      </w:r>
    </w:p>
    <w:p w:rsidR="00FC65B0" w:rsidRPr="00283B13" w:rsidRDefault="00FC65B0" w:rsidP="00FC65B0">
      <w:pPr>
        <w:numPr>
          <w:ilvl w:val="0"/>
          <w:numId w:val="37"/>
        </w:numPr>
        <w:spacing w:line="360" w:lineRule="auto"/>
        <w:jc w:val="both"/>
      </w:pPr>
      <w:r w:rsidRPr="00283B13">
        <w:t>T</w:t>
      </w:r>
      <w:r w:rsidR="00E41E9C" w:rsidRPr="00283B13">
        <w:t>hat the evidence of all parties upon a particular question be given before the evidence upon other questions;</w:t>
      </w:r>
    </w:p>
    <w:p w:rsidR="00FC65B0" w:rsidRPr="00283B13" w:rsidRDefault="00FC65B0" w:rsidP="00FC65B0">
      <w:pPr>
        <w:numPr>
          <w:ilvl w:val="0"/>
          <w:numId w:val="37"/>
        </w:numPr>
        <w:spacing w:line="360" w:lineRule="auto"/>
        <w:jc w:val="both"/>
      </w:pPr>
      <w:r w:rsidRPr="00283B13">
        <w:t>T</w:t>
      </w:r>
      <w:r w:rsidR="00E41E9C" w:rsidRPr="00283B13">
        <w:t>hat the parties provide an estimate of the likely duration of the trial and a timetable for the conduct of the trial; and</w:t>
      </w:r>
    </w:p>
    <w:p w:rsidR="00E41E9C" w:rsidRPr="00283B13" w:rsidRDefault="00FC65B0" w:rsidP="00FC65B0">
      <w:pPr>
        <w:numPr>
          <w:ilvl w:val="0"/>
          <w:numId w:val="37"/>
        </w:numPr>
        <w:spacing w:line="360" w:lineRule="auto"/>
        <w:jc w:val="both"/>
      </w:pPr>
      <w:r w:rsidRPr="00283B13">
        <w:t>D</w:t>
      </w:r>
      <w:r w:rsidR="00E41E9C" w:rsidRPr="00283B13">
        <w:t>irections for the conduct of the trial.</w:t>
      </w:r>
    </w:p>
    <w:p w:rsidR="00552BDA" w:rsidRPr="00283B13" w:rsidRDefault="00552BDA" w:rsidP="00F12166">
      <w:pPr>
        <w:spacing w:line="360" w:lineRule="auto"/>
        <w:ind w:left="720" w:hanging="720"/>
        <w:contextualSpacing/>
        <w:jc w:val="both"/>
        <w:rPr>
          <w:b/>
        </w:rPr>
      </w:pPr>
    </w:p>
    <w:p w:rsidR="00F12166" w:rsidRPr="00283B13" w:rsidRDefault="00F12166" w:rsidP="00F12166">
      <w:pPr>
        <w:spacing w:line="360" w:lineRule="auto"/>
        <w:ind w:left="720"/>
        <w:contextualSpacing/>
        <w:jc w:val="both"/>
        <w:rPr>
          <w:i/>
        </w:rPr>
      </w:pPr>
      <w:r w:rsidRPr="00283B13">
        <w:rPr>
          <w:i/>
        </w:rPr>
        <w:lastRenderedPageBreak/>
        <w:t>Final directions hearing</w:t>
      </w:r>
    </w:p>
    <w:p w:rsidR="003100A5" w:rsidRPr="00283B13" w:rsidRDefault="003100A5" w:rsidP="00BB14F1">
      <w:pPr>
        <w:spacing w:line="360" w:lineRule="auto"/>
        <w:contextualSpacing/>
        <w:jc w:val="both"/>
        <w:rPr>
          <w:i/>
        </w:rPr>
      </w:pPr>
    </w:p>
    <w:p w:rsidR="00756708" w:rsidRPr="00283B13" w:rsidRDefault="00CA48DC" w:rsidP="00F12166">
      <w:pPr>
        <w:spacing w:line="360" w:lineRule="auto"/>
        <w:ind w:left="720" w:right="26" w:hanging="720"/>
        <w:contextualSpacing/>
      </w:pPr>
      <w:r w:rsidRPr="00283B13">
        <w:t>5.9</w:t>
      </w:r>
      <w:r w:rsidR="00F12166" w:rsidRPr="00283B13">
        <w:tab/>
      </w:r>
      <w:r w:rsidR="00756708" w:rsidRPr="00283B13">
        <w:t>T</w:t>
      </w:r>
      <w:r w:rsidR="00F12166" w:rsidRPr="00283B13">
        <w:t>he</w:t>
      </w:r>
      <w:r w:rsidR="00B27816" w:rsidRPr="00283B13">
        <w:t xml:space="preserve"> Associate Judge</w:t>
      </w:r>
      <w:r w:rsidR="00E41E9C" w:rsidRPr="00283B13">
        <w:t xml:space="preserve"> </w:t>
      </w:r>
      <w:r w:rsidR="009F390C" w:rsidRPr="00283B13">
        <w:t xml:space="preserve">or Judge in Charge </w:t>
      </w:r>
      <w:r w:rsidR="00E41E9C" w:rsidRPr="00283B13">
        <w:t>may convene a final directions hearing</w:t>
      </w:r>
      <w:r w:rsidR="00756708" w:rsidRPr="00283B13">
        <w:t>, to be held shortly before the date fixed for trial</w:t>
      </w:r>
      <w:r w:rsidR="00E41E9C" w:rsidRPr="00283B13">
        <w:t>.</w:t>
      </w:r>
    </w:p>
    <w:p w:rsidR="00756708" w:rsidRPr="00283B13" w:rsidRDefault="00756708" w:rsidP="00F12166">
      <w:pPr>
        <w:spacing w:line="360" w:lineRule="auto"/>
        <w:ind w:left="720" w:right="26" w:hanging="720"/>
        <w:contextualSpacing/>
      </w:pPr>
    </w:p>
    <w:p w:rsidR="00E41E9C" w:rsidRPr="00283B13" w:rsidRDefault="00CA48DC" w:rsidP="00F12166">
      <w:pPr>
        <w:spacing w:line="360" w:lineRule="auto"/>
        <w:ind w:left="720" w:right="26" w:hanging="720"/>
        <w:contextualSpacing/>
      </w:pPr>
      <w:r w:rsidRPr="00283B13">
        <w:t>5.10</w:t>
      </w:r>
      <w:r w:rsidR="00756708" w:rsidRPr="00283B13">
        <w:tab/>
      </w:r>
      <w:r w:rsidR="00E41E9C" w:rsidRPr="00283B13">
        <w:t>A</w:t>
      </w:r>
      <w:r w:rsidR="001B7444" w:rsidRPr="00283B13">
        <w:t>t a</w:t>
      </w:r>
      <w:r w:rsidR="00E41E9C" w:rsidRPr="00283B13">
        <w:t xml:space="preserve"> final directions hearing</w:t>
      </w:r>
      <w:r w:rsidR="00756708" w:rsidRPr="00283B13">
        <w:t>, each party’s representative should be in a position to</w:t>
      </w:r>
      <w:r w:rsidR="00E41E9C" w:rsidRPr="00283B13">
        <w:t xml:space="preserve"> deal with the following matters:</w:t>
      </w:r>
    </w:p>
    <w:p w:rsidR="00756708" w:rsidRPr="00283B13" w:rsidRDefault="00756708" w:rsidP="00756708">
      <w:pPr>
        <w:numPr>
          <w:ilvl w:val="0"/>
          <w:numId w:val="38"/>
        </w:numPr>
        <w:spacing w:line="360" w:lineRule="auto"/>
        <w:jc w:val="both"/>
      </w:pPr>
      <w:r w:rsidRPr="00283B13">
        <w:t>W</w:t>
      </w:r>
      <w:r w:rsidR="00E41E9C" w:rsidRPr="00283B13">
        <w:t>hether the</w:t>
      </w:r>
      <w:r w:rsidR="00DB1142" w:rsidRPr="00283B13">
        <w:t xml:space="preserve"> trial</w:t>
      </w:r>
      <w:r w:rsidR="005C68BA" w:rsidRPr="00283B13">
        <w:t xml:space="preserve"> is ready to proceed</w:t>
      </w:r>
      <w:r w:rsidR="00E41E9C" w:rsidRPr="00283B13">
        <w:t xml:space="preserve"> on the proposed commencement date;</w:t>
      </w:r>
    </w:p>
    <w:p w:rsidR="00756708" w:rsidRPr="00283B13" w:rsidRDefault="00756708" w:rsidP="00756708">
      <w:pPr>
        <w:numPr>
          <w:ilvl w:val="0"/>
          <w:numId w:val="38"/>
        </w:numPr>
        <w:spacing w:line="360" w:lineRule="auto"/>
        <w:jc w:val="both"/>
      </w:pPr>
      <w:r w:rsidRPr="00283B13">
        <w:t>W</w:t>
      </w:r>
      <w:r w:rsidR="00E41E9C" w:rsidRPr="00283B13">
        <w:t xml:space="preserve">hether any applicable </w:t>
      </w:r>
      <w:r w:rsidR="005C68BA" w:rsidRPr="00283B13">
        <w:t>timetable is still appropriate;</w:t>
      </w:r>
    </w:p>
    <w:p w:rsidR="00756708" w:rsidRPr="00283B13" w:rsidRDefault="00756708" w:rsidP="00756708">
      <w:pPr>
        <w:numPr>
          <w:ilvl w:val="0"/>
          <w:numId w:val="38"/>
        </w:numPr>
        <w:spacing w:line="360" w:lineRule="auto"/>
        <w:jc w:val="both"/>
      </w:pPr>
      <w:r w:rsidRPr="00283B13">
        <w:t>W</w:t>
      </w:r>
      <w:r w:rsidR="00E41E9C" w:rsidRPr="00283B13">
        <w:t>hether the estimates previously provided with respect to the length of the trial remain accurate; and</w:t>
      </w:r>
    </w:p>
    <w:p w:rsidR="00940F44" w:rsidRPr="00283B13" w:rsidRDefault="00756708" w:rsidP="00756708">
      <w:pPr>
        <w:numPr>
          <w:ilvl w:val="0"/>
          <w:numId w:val="38"/>
        </w:numPr>
        <w:spacing w:line="360" w:lineRule="auto"/>
        <w:jc w:val="both"/>
      </w:pPr>
      <w:r w:rsidRPr="00283B13">
        <w:t>W</w:t>
      </w:r>
      <w:r w:rsidR="00E41E9C" w:rsidRPr="00283B13">
        <w:t>hether a mediation or a further mediation would be likely to achieve a settlement of some or all of the questions in issue</w:t>
      </w:r>
    </w:p>
    <w:p w:rsidR="004E284B" w:rsidRPr="00283B13" w:rsidRDefault="004E284B" w:rsidP="00F12166">
      <w:pPr>
        <w:spacing w:line="360" w:lineRule="auto"/>
        <w:ind w:left="720" w:hanging="720"/>
        <w:contextualSpacing/>
        <w:jc w:val="both"/>
        <w:rPr>
          <w:b/>
        </w:rPr>
      </w:pPr>
    </w:p>
    <w:p w:rsidR="00F12166" w:rsidRPr="00283B13" w:rsidRDefault="00F12166" w:rsidP="00283B13">
      <w:pPr>
        <w:pStyle w:val="Heading1"/>
      </w:pPr>
      <w:r w:rsidRPr="00283B13">
        <w:t>6.</w:t>
      </w:r>
      <w:r w:rsidRPr="00283B13">
        <w:tab/>
      </w:r>
      <w:r w:rsidR="009E380A" w:rsidRPr="00283B13">
        <w:t xml:space="preserve">COURT </w:t>
      </w:r>
      <w:r w:rsidR="005C68BA" w:rsidRPr="00283B13">
        <w:t>ORDERS</w:t>
      </w:r>
    </w:p>
    <w:p w:rsidR="00F12166" w:rsidRPr="00283B13" w:rsidRDefault="00F12166" w:rsidP="00F12166">
      <w:pPr>
        <w:spacing w:line="360" w:lineRule="auto"/>
        <w:ind w:right="26"/>
        <w:contextualSpacing/>
        <w:rPr>
          <w:b/>
        </w:rPr>
      </w:pPr>
    </w:p>
    <w:p w:rsidR="009E380A" w:rsidRPr="00283B13" w:rsidRDefault="00F12166" w:rsidP="00F12166">
      <w:pPr>
        <w:spacing w:line="360" w:lineRule="auto"/>
        <w:ind w:left="720" w:right="26" w:hanging="720"/>
        <w:contextualSpacing/>
      </w:pPr>
      <w:r w:rsidRPr="00283B13">
        <w:t>6.1</w:t>
      </w:r>
      <w:r w:rsidRPr="00283B13">
        <w:tab/>
      </w:r>
      <w:r w:rsidR="009E380A" w:rsidRPr="00283B13">
        <w:t>The plaintiff’s solicitors are encouraged to deliver proposed consent orders to all other parties in advance of all directions hear</w:t>
      </w:r>
      <w:r w:rsidR="001B7444" w:rsidRPr="00283B13">
        <w:t>ings. The parties</w:t>
      </w:r>
      <w:r w:rsidR="009E380A" w:rsidRPr="00283B13">
        <w:t xml:space="preserve"> should email minutes of consent to the Associate, in both Word and signed PDF format, by 2.30pm on the day prior to the directions hearing. </w:t>
      </w:r>
    </w:p>
    <w:p w:rsidR="006041AE" w:rsidRPr="00283B13" w:rsidRDefault="006041AE" w:rsidP="006041AE">
      <w:pPr>
        <w:spacing w:line="360" w:lineRule="auto"/>
        <w:ind w:left="720" w:right="26" w:hanging="720"/>
        <w:contextualSpacing/>
      </w:pPr>
    </w:p>
    <w:p w:rsidR="006041AE" w:rsidRPr="00283B13" w:rsidRDefault="006041AE" w:rsidP="006041AE">
      <w:pPr>
        <w:spacing w:line="360" w:lineRule="auto"/>
        <w:ind w:left="720" w:right="26" w:hanging="720"/>
        <w:contextualSpacing/>
      </w:pPr>
      <w:r w:rsidRPr="00283B13">
        <w:t>6.2</w:t>
      </w:r>
      <w:r w:rsidRPr="00283B13">
        <w:tab/>
        <w:t>Liberty to apply will be implied into all orders.</w:t>
      </w:r>
    </w:p>
    <w:p w:rsidR="006041AE" w:rsidRPr="00283B13" w:rsidRDefault="006041AE" w:rsidP="00F12166">
      <w:pPr>
        <w:spacing w:line="360" w:lineRule="auto"/>
        <w:ind w:left="720" w:right="26" w:hanging="720"/>
        <w:contextualSpacing/>
      </w:pPr>
    </w:p>
    <w:p w:rsidR="009E380A" w:rsidRPr="00283B13" w:rsidRDefault="006041AE" w:rsidP="009E380A">
      <w:pPr>
        <w:spacing w:line="360" w:lineRule="auto"/>
        <w:ind w:left="720" w:right="26" w:hanging="720"/>
        <w:contextualSpacing/>
      </w:pPr>
      <w:r w:rsidRPr="00283B13">
        <w:t>6.3</w:t>
      </w:r>
      <w:r w:rsidRPr="00283B13">
        <w:tab/>
        <w:t>The Court</w:t>
      </w:r>
      <w:r w:rsidR="009E380A" w:rsidRPr="00283B13">
        <w:t xml:space="preserve"> will authenticate orders </w:t>
      </w:r>
      <w:r w:rsidR="001B7444" w:rsidRPr="00283B13">
        <w:t>on the papers where appropriate. H</w:t>
      </w:r>
      <w:r w:rsidR="009E380A" w:rsidRPr="00283B13">
        <w:t xml:space="preserve">owever, notwithstanding that the parties may have submitted proposed </w:t>
      </w:r>
      <w:r w:rsidRPr="00283B13">
        <w:t>consent orders, the Court</w:t>
      </w:r>
      <w:r w:rsidR="009E380A" w:rsidRPr="00283B13">
        <w:t xml:space="preserve"> may decide not to make the proposed orders and may require the attendance of practitioners at a hearing. Parties are required to appear at all scheduled directions hearings unless otherwise advised by the Associate.</w:t>
      </w:r>
    </w:p>
    <w:p w:rsidR="009E380A" w:rsidRPr="00283B13" w:rsidRDefault="006041AE" w:rsidP="00F12166">
      <w:pPr>
        <w:spacing w:line="360" w:lineRule="auto"/>
        <w:ind w:left="720" w:right="26" w:hanging="720"/>
        <w:contextualSpacing/>
      </w:pPr>
      <w:r w:rsidRPr="00283B13">
        <w:t>6.4</w:t>
      </w:r>
      <w:r w:rsidR="009E380A" w:rsidRPr="00283B13">
        <w:tab/>
        <w:t xml:space="preserve">Parties should notify the Associate as soon as it becomes apparent </w:t>
      </w:r>
      <w:r w:rsidR="002D51CF" w:rsidRPr="00283B13">
        <w:t>that there are difficulties in complying</w:t>
      </w:r>
      <w:r w:rsidR="009E380A" w:rsidRPr="00283B13">
        <w:t xml:space="preserve"> with orders, so that a further directions hearing can be scheduled.</w:t>
      </w:r>
    </w:p>
    <w:p w:rsidR="00F12166" w:rsidRPr="00283B13" w:rsidRDefault="00F12166" w:rsidP="00F12166">
      <w:pPr>
        <w:spacing w:line="360" w:lineRule="auto"/>
        <w:ind w:left="720" w:right="26" w:hanging="720"/>
        <w:contextualSpacing/>
      </w:pPr>
    </w:p>
    <w:p w:rsidR="000C2CE1" w:rsidRPr="00283B13" w:rsidRDefault="00552BDA" w:rsidP="00283B13">
      <w:pPr>
        <w:pStyle w:val="Heading1"/>
      </w:pPr>
      <w:r w:rsidRPr="00283B13">
        <w:lastRenderedPageBreak/>
        <w:t>7</w:t>
      </w:r>
      <w:r w:rsidR="00940F44" w:rsidRPr="00283B13">
        <w:t>.</w:t>
      </w:r>
      <w:r w:rsidR="00940F44" w:rsidRPr="00283B13">
        <w:tab/>
      </w:r>
      <w:r w:rsidR="000C2CE1" w:rsidRPr="00283B13">
        <w:t>COMMUNICATIONS WITH THE COURT</w:t>
      </w:r>
    </w:p>
    <w:p w:rsidR="000C2CE1" w:rsidRPr="00283B13" w:rsidRDefault="000C2CE1" w:rsidP="00F12166">
      <w:pPr>
        <w:spacing w:line="360" w:lineRule="auto"/>
        <w:ind w:left="720" w:hanging="720"/>
        <w:contextualSpacing/>
        <w:jc w:val="both"/>
        <w:rPr>
          <w:b/>
        </w:rPr>
      </w:pPr>
    </w:p>
    <w:p w:rsidR="00C02F5C" w:rsidRPr="00283B13" w:rsidRDefault="00552BDA" w:rsidP="00F12166">
      <w:pPr>
        <w:spacing w:line="360" w:lineRule="auto"/>
        <w:ind w:left="720" w:hanging="720"/>
        <w:contextualSpacing/>
        <w:jc w:val="both"/>
      </w:pPr>
      <w:r w:rsidRPr="00283B13">
        <w:t>7</w:t>
      </w:r>
      <w:r w:rsidR="008B3490" w:rsidRPr="00283B13">
        <w:t>.1</w:t>
      </w:r>
      <w:r w:rsidR="000C2CE1" w:rsidRPr="00283B13">
        <w:tab/>
      </w:r>
      <w:r w:rsidR="00553534" w:rsidRPr="00283B13">
        <w:t>At all stages of the proceeding, communications with the Court should be by email w</w:t>
      </w:r>
      <w:r w:rsidRPr="00283B13">
        <w:t>ith a copy to all other parties</w:t>
      </w:r>
      <w:r w:rsidR="009C1066" w:rsidRPr="00283B13">
        <w:t>, and should be confined to uncontroversial matters</w:t>
      </w:r>
      <w:r w:rsidRPr="00283B13">
        <w:t>.</w:t>
      </w:r>
      <w:r w:rsidR="00F12166" w:rsidRPr="00283B13">
        <w:t xml:space="preserve"> </w:t>
      </w:r>
      <w:r w:rsidR="009C1066" w:rsidRPr="00283B13">
        <w:t>C</w:t>
      </w:r>
      <w:r w:rsidR="00263C5A" w:rsidRPr="00283B13">
        <w:t>ontact details for all associates</w:t>
      </w:r>
      <w:r w:rsidR="009C1066" w:rsidRPr="00283B13">
        <w:t xml:space="preserve"> are</w:t>
      </w:r>
      <w:r w:rsidR="00C752A5" w:rsidRPr="00283B13">
        <w:t xml:space="preserve"> on the Court website.</w:t>
      </w:r>
    </w:p>
    <w:p w:rsidR="00573198" w:rsidRPr="00283B13" w:rsidRDefault="00573198" w:rsidP="00F12166">
      <w:pPr>
        <w:spacing w:line="360" w:lineRule="auto"/>
        <w:ind w:left="720" w:hanging="720"/>
        <w:contextualSpacing/>
        <w:jc w:val="both"/>
      </w:pPr>
    </w:p>
    <w:p w:rsidR="00573198" w:rsidRPr="00283B13" w:rsidRDefault="00573198" w:rsidP="00F12166">
      <w:pPr>
        <w:spacing w:line="360" w:lineRule="auto"/>
        <w:ind w:left="720" w:hanging="720"/>
        <w:contextualSpacing/>
        <w:jc w:val="both"/>
      </w:pPr>
    </w:p>
    <w:p w:rsidR="00573198" w:rsidRPr="00283B13" w:rsidRDefault="00573198" w:rsidP="00573198">
      <w:pPr>
        <w:spacing w:line="360" w:lineRule="auto"/>
        <w:ind w:left="720" w:hanging="720"/>
        <w:contextualSpacing/>
        <w:jc w:val="right"/>
      </w:pPr>
      <w:r w:rsidRPr="00283B13">
        <w:t xml:space="preserve">Vivienne </w:t>
      </w:r>
      <w:proofErr w:type="spellStart"/>
      <w:r w:rsidRPr="00283B13">
        <w:t>Macgillivray</w:t>
      </w:r>
      <w:proofErr w:type="spellEnd"/>
    </w:p>
    <w:p w:rsidR="00573198" w:rsidRPr="00283B13" w:rsidRDefault="00573198" w:rsidP="00573198">
      <w:pPr>
        <w:spacing w:line="360" w:lineRule="auto"/>
        <w:ind w:left="720" w:hanging="720"/>
        <w:contextualSpacing/>
        <w:jc w:val="right"/>
      </w:pPr>
      <w:r w:rsidRPr="00283B13">
        <w:t>Executive Associate to the Chief Justice</w:t>
      </w:r>
    </w:p>
    <w:p w:rsidR="00573198" w:rsidRPr="00283B13" w:rsidRDefault="00573198" w:rsidP="00573198">
      <w:pPr>
        <w:spacing w:line="360" w:lineRule="auto"/>
        <w:ind w:left="720" w:hanging="720"/>
        <w:contextualSpacing/>
        <w:jc w:val="right"/>
      </w:pPr>
      <w:r w:rsidRPr="00283B13">
        <w:t>5 November 2014</w:t>
      </w:r>
    </w:p>
    <w:sectPr w:rsidR="00573198" w:rsidRPr="00283B13">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6A" w:rsidRDefault="000A086A">
      <w:r>
        <w:separator/>
      </w:r>
    </w:p>
  </w:endnote>
  <w:endnote w:type="continuationSeparator" w:id="0">
    <w:p w:rsidR="000A086A" w:rsidRDefault="000A086A">
      <w:r>
        <w:continuationSeparator/>
      </w:r>
    </w:p>
  </w:endnote>
  <w:endnote w:type="continuationNotice" w:id="1">
    <w:p w:rsidR="000A086A" w:rsidRDefault="000A0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25" w:rsidRDefault="009C6225">
    <w:pPr>
      <w:pStyle w:val="Footer"/>
      <w:jc w:val="right"/>
    </w:pPr>
    <w:r>
      <w:fldChar w:fldCharType="begin"/>
    </w:r>
    <w:r>
      <w:instrText xml:space="preserve"> PAGE   \* MERGEFORMAT </w:instrText>
    </w:r>
    <w:r>
      <w:fldChar w:fldCharType="separate"/>
    </w:r>
    <w:r w:rsidR="009F5342">
      <w:rPr>
        <w:noProof/>
      </w:rPr>
      <w:t>2</w:t>
    </w:r>
    <w:r>
      <w:rPr>
        <w:noProof/>
      </w:rPr>
      <w:fldChar w:fldCharType="end"/>
    </w:r>
  </w:p>
  <w:p w:rsidR="009C6225" w:rsidRDefault="009C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6A" w:rsidRDefault="000A086A">
      <w:r>
        <w:separator/>
      </w:r>
    </w:p>
  </w:footnote>
  <w:footnote w:type="continuationSeparator" w:id="0">
    <w:p w:rsidR="000A086A" w:rsidRDefault="000A086A">
      <w:r>
        <w:continuationSeparator/>
      </w:r>
    </w:p>
  </w:footnote>
  <w:footnote w:type="continuationNotice" w:id="1">
    <w:p w:rsidR="000A086A" w:rsidRDefault="000A0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25" w:rsidRDefault="009C6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06C78"/>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3592039"/>
    <w:multiLevelType w:val="hybridMultilevel"/>
    <w:tmpl w:val="CE6C99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0D0E746F"/>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0ECC47B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64934CA"/>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6AA2B9B"/>
    <w:multiLevelType w:val="hybridMultilevel"/>
    <w:tmpl w:val="46CA1186"/>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05E6DBC"/>
    <w:multiLevelType w:val="hybridMultilevel"/>
    <w:tmpl w:val="46CA1186"/>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8BA1288"/>
    <w:multiLevelType w:val="hybridMultilevel"/>
    <w:tmpl w:val="61509EFC"/>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0514598"/>
    <w:multiLevelType w:val="hybridMultilevel"/>
    <w:tmpl w:val="44E09316"/>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6B21273"/>
    <w:multiLevelType w:val="hybridMultilevel"/>
    <w:tmpl w:val="F224F266"/>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nsid w:val="38473985"/>
    <w:multiLevelType w:val="hybridMultilevel"/>
    <w:tmpl w:val="46CA1186"/>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nsid w:val="39D975DB"/>
    <w:multiLevelType w:val="hybridMultilevel"/>
    <w:tmpl w:val="46CA1186"/>
    <w:lvl w:ilvl="0" w:tplc="0C090017">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3DE241A6"/>
    <w:multiLevelType w:val="hybridMultilevel"/>
    <w:tmpl w:val="5F5E37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7623167"/>
    <w:multiLevelType w:val="hybridMultilevel"/>
    <w:tmpl w:val="F15A97DE"/>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rPr>
        <w:rFonts w:hint="default"/>
      </w:rPr>
    </w:lvl>
    <w:lvl w:ilvl="2" w:tplc="0C090017">
      <w:start w:val="1"/>
      <w:numFmt w:val="lowerLetter"/>
      <w:lvlText w:val="%3)"/>
      <w:lvlJc w:val="lef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1087915"/>
    <w:multiLevelType w:val="hybridMultilevel"/>
    <w:tmpl w:val="BD447C6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A9A16B0"/>
    <w:multiLevelType w:val="hybridMultilevel"/>
    <w:tmpl w:val="256CE1D4"/>
    <w:lvl w:ilvl="0" w:tplc="0C09000F">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2">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6">
    <w:nsid w:val="70AF381F"/>
    <w:multiLevelType w:val="hybridMultilevel"/>
    <w:tmpl w:val="77CA11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D6F5119"/>
    <w:multiLevelType w:val="hybridMultilevel"/>
    <w:tmpl w:val="FFE6DE46"/>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15"/>
  </w:num>
  <w:num w:numId="3">
    <w:abstractNumId w:val="31"/>
  </w:num>
  <w:num w:numId="4">
    <w:abstractNumId w:val="38"/>
  </w:num>
  <w:num w:numId="5">
    <w:abstractNumId w:val="12"/>
  </w:num>
  <w:num w:numId="6">
    <w:abstractNumId w:val="33"/>
  </w:num>
  <w:num w:numId="7">
    <w:abstractNumId w:val="34"/>
  </w:num>
  <w:num w:numId="8">
    <w:abstractNumId w:val="25"/>
  </w:num>
  <w:num w:numId="9">
    <w:abstractNumId w:val="3"/>
  </w:num>
  <w:num w:numId="10">
    <w:abstractNumId w:val="24"/>
  </w:num>
  <w:num w:numId="11">
    <w:abstractNumId w:val="29"/>
  </w:num>
  <w:num w:numId="12">
    <w:abstractNumId w:val="32"/>
  </w:num>
  <w:num w:numId="13">
    <w:abstractNumId w:val="5"/>
  </w:num>
  <w:num w:numId="14">
    <w:abstractNumId w:val="4"/>
  </w:num>
  <w:num w:numId="15">
    <w:abstractNumId w:val="16"/>
  </w:num>
  <w:num w:numId="16">
    <w:abstractNumId w:val="0"/>
  </w:num>
  <w:num w:numId="17">
    <w:abstractNumId w:val="13"/>
  </w:num>
  <w:num w:numId="18">
    <w:abstractNumId w:val="20"/>
  </w:num>
  <w:num w:numId="19">
    <w:abstractNumId w:val="14"/>
  </w:num>
  <w:num w:numId="20">
    <w:abstractNumId w:val="23"/>
  </w:num>
  <w:num w:numId="21">
    <w:abstractNumId w:val="2"/>
  </w:num>
  <w:num w:numId="22">
    <w:abstractNumId w:val="36"/>
  </w:num>
  <w:num w:numId="23">
    <w:abstractNumId w:val="37"/>
  </w:num>
  <w:num w:numId="24">
    <w:abstractNumId w:val="27"/>
  </w:num>
  <w:num w:numId="25">
    <w:abstractNumId w:val="17"/>
  </w:num>
  <w:num w:numId="26">
    <w:abstractNumId w:val="19"/>
  </w:num>
  <w:num w:numId="27">
    <w:abstractNumId w:val="30"/>
  </w:num>
  <w:num w:numId="28">
    <w:abstractNumId w:val="21"/>
  </w:num>
  <w:num w:numId="29">
    <w:abstractNumId w:val="22"/>
  </w:num>
  <w:num w:numId="30">
    <w:abstractNumId w:val="11"/>
  </w:num>
  <w:num w:numId="31">
    <w:abstractNumId w:val="9"/>
  </w:num>
  <w:num w:numId="32">
    <w:abstractNumId w:val="26"/>
  </w:num>
  <w:num w:numId="33">
    <w:abstractNumId w:val="18"/>
  </w:num>
  <w:num w:numId="34">
    <w:abstractNumId w:val="6"/>
  </w:num>
  <w:num w:numId="35">
    <w:abstractNumId w:val="1"/>
  </w:num>
  <w:num w:numId="36">
    <w:abstractNumId w:val="10"/>
  </w:num>
  <w:num w:numId="37">
    <w:abstractNumId w:val="7"/>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2F17"/>
    <w:rsid w:val="00055F43"/>
    <w:rsid w:val="000566C3"/>
    <w:rsid w:val="00070CA2"/>
    <w:rsid w:val="00070D66"/>
    <w:rsid w:val="00071A96"/>
    <w:rsid w:val="00073139"/>
    <w:rsid w:val="00073769"/>
    <w:rsid w:val="00077863"/>
    <w:rsid w:val="000778BA"/>
    <w:rsid w:val="00081A41"/>
    <w:rsid w:val="00095BA5"/>
    <w:rsid w:val="00095E13"/>
    <w:rsid w:val="000A086A"/>
    <w:rsid w:val="000A1DE7"/>
    <w:rsid w:val="000A27D1"/>
    <w:rsid w:val="000A4F62"/>
    <w:rsid w:val="000A553C"/>
    <w:rsid w:val="000A6B76"/>
    <w:rsid w:val="000A7D36"/>
    <w:rsid w:val="000B1134"/>
    <w:rsid w:val="000B2E54"/>
    <w:rsid w:val="000B4C4F"/>
    <w:rsid w:val="000B5F50"/>
    <w:rsid w:val="000C0998"/>
    <w:rsid w:val="000C1777"/>
    <w:rsid w:val="000C2CE1"/>
    <w:rsid w:val="000C4A41"/>
    <w:rsid w:val="000C5F4B"/>
    <w:rsid w:val="000C75E1"/>
    <w:rsid w:val="000D07F1"/>
    <w:rsid w:val="000D30D7"/>
    <w:rsid w:val="000D3250"/>
    <w:rsid w:val="000D5E28"/>
    <w:rsid w:val="000D7A64"/>
    <w:rsid w:val="000E12FA"/>
    <w:rsid w:val="000F3B18"/>
    <w:rsid w:val="000F6EA7"/>
    <w:rsid w:val="00100006"/>
    <w:rsid w:val="00101EC5"/>
    <w:rsid w:val="00125C07"/>
    <w:rsid w:val="001326AB"/>
    <w:rsid w:val="00133A51"/>
    <w:rsid w:val="00140683"/>
    <w:rsid w:val="00143136"/>
    <w:rsid w:val="00144DAA"/>
    <w:rsid w:val="00145C92"/>
    <w:rsid w:val="00145D28"/>
    <w:rsid w:val="0015063E"/>
    <w:rsid w:val="00150C13"/>
    <w:rsid w:val="001523C4"/>
    <w:rsid w:val="00155A8E"/>
    <w:rsid w:val="0015650D"/>
    <w:rsid w:val="00161CA2"/>
    <w:rsid w:val="001716EF"/>
    <w:rsid w:val="0018061B"/>
    <w:rsid w:val="001913C5"/>
    <w:rsid w:val="00194089"/>
    <w:rsid w:val="00194A80"/>
    <w:rsid w:val="001A5036"/>
    <w:rsid w:val="001A5B39"/>
    <w:rsid w:val="001A667F"/>
    <w:rsid w:val="001A7651"/>
    <w:rsid w:val="001B3484"/>
    <w:rsid w:val="001B4283"/>
    <w:rsid w:val="001B4D29"/>
    <w:rsid w:val="001B7444"/>
    <w:rsid w:val="001B7E2C"/>
    <w:rsid w:val="001C06A0"/>
    <w:rsid w:val="001C116C"/>
    <w:rsid w:val="001C2F4B"/>
    <w:rsid w:val="001C7322"/>
    <w:rsid w:val="002106E6"/>
    <w:rsid w:val="00217758"/>
    <w:rsid w:val="00217E88"/>
    <w:rsid w:val="002218C5"/>
    <w:rsid w:val="0022666D"/>
    <w:rsid w:val="0023426A"/>
    <w:rsid w:val="00234B7B"/>
    <w:rsid w:val="00241A4E"/>
    <w:rsid w:val="00247F50"/>
    <w:rsid w:val="0026005D"/>
    <w:rsid w:val="00263C5A"/>
    <w:rsid w:val="00265BF9"/>
    <w:rsid w:val="00271B59"/>
    <w:rsid w:val="00275A5A"/>
    <w:rsid w:val="0028130B"/>
    <w:rsid w:val="00283B13"/>
    <w:rsid w:val="002871B8"/>
    <w:rsid w:val="002963E5"/>
    <w:rsid w:val="002B465A"/>
    <w:rsid w:val="002C1134"/>
    <w:rsid w:val="002C426A"/>
    <w:rsid w:val="002C7B2E"/>
    <w:rsid w:val="002D0AB0"/>
    <w:rsid w:val="002D0FD3"/>
    <w:rsid w:val="002D23D8"/>
    <w:rsid w:val="002D51CF"/>
    <w:rsid w:val="002E0F6B"/>
    <w:rsid w:val="002E1CE8"/>
    <w:rsid w:val="002E6B43"/>
    <w:rsid w:val="002E7FD2"/>
    <w:rsid w:val="002F4D7F"/>
    <w:rsid w:val="00300F4B"/>
    <w:rsid w:val="00302981"/>
    <w:rsid w:val="00305761"/>
    <w:rsid w:val="00307B60"/>
    <w:rsid w:val="003100A5"/>
    <w:rsid w:val="00310655"/>
    <w:rsid w:val="00310A32"/>
    <w:rsid w:val="00311051"/>
    <w:rsid w:val="003166D1"/>
    <w:rsid w:val="00321C75"/>
    <w:rsid w:val="0032286C"/>
    <w:rsid w:val="00334DD3"/>
    <w:rsid w:val="00340257"/>
    <w:rsid w:val="0034260E"/>
    <w:rsid w:val="00350055"/>
    <w:rsid w:val="003500B9"/>
    <w:rsid w:val="003508E0"/>
    <w:rsid w:val="00353E4C"/>
    <w:rsid w:val="00356593"/>
    <w:rsid w:val="00357A0D"/>
    <w:rsid w:val="00365BBD"/>
    <w:rsid w:val="00365D0E"/>
    <w:rsid w:val="00367AD0"/>
    <w:rsid w:val="00377999"/>
    <w:rsid w:val="00381991"/>
    <w:rsid w:val="00386C9F"/>
    <w:rsid w:val="00387DB3"/>
    <w:rsid w:val="00391CA0"/>
    <w:rsid w:val="003945D8"/>
    <w:rsid w:val="00396EF2"/>
    <w:rsid w:val="00397AAE"/>
    <w:rsid w:val="003A7A5A"/>
    <w:rsid w:val="003A7E6C"/>
    <w:rsid w:val="003B7248"/>
    <w:rsid w:val="003C10F8"/>
    <w:rsid w:val="003C343E"/>
    <w:rsid w:val="003C5C64"/>
    <w:rsid w:val="003C62F1"/>
    <w:rsid w:val="003E42BE"/>
    <w:rsid w:val="003E4D6B"/>
    <w:rsid w:val="003E6152"/>
    <w:rsid w:val="003F0D9C"/>
    <w:rsid w:val="00404CB0"/>
    <w:rsid w:val="00414B77"/>
    <w:rsid w:val="00414E70"/>
    <w:rsid w:val="0042138B"/>
    <w:rsid w:val="004272BD"/>
    <w:rsid w:val="00434BEE"/>
    <w:rsid w:val="004361F0"/>
    <w:rsid w:val="00441431"/>
    <w:rsid w:val="00442FFA"/>
    <w:rsid w:val="00454495"/>
    <w:rsid w:val="00455D46"/>
    <w:rsid w:val="00461361"/>
    <w:rsid w:val="00471414"/>
    <w:rsid w:val="00474F94"/>
    <w:rsid w:val="00482EBE"/>
    <w:rsid w:val="00483F1E"/>
    <w:rsid w:val="004912F2"/>
    <w:rsid w:val="00492363"/>
    <w:rsid w:val="00494220"/>
    <w:rsid w:val="004946BD"/>
    <w:rsid w:val="0049669C"/>
    <w:rsid w:val="00496F08"/>
    <w:rsid w:val="004B2A72"/>
    <w:rsid w:val="004B5756"/>
    <w:rsid w:val="004B6E9A"/>
    <w:rsid w:val="004C1FFA"/>
    <w:rsid w:val="004C29B1"/>
    <w:rsid w:val="004D1112"/>
    <w:rsid w:val="004E1038"/>
    <w:rsid w:val="004E1052"/>
    <w:rsid w:val="004E10CA"/>
    <w:rsid w:val="004E284B"/>
    <w:rsid w:val="004F61E8"/>
    <w:rsid w:val="004F7E81"/>
    <w:rsid w:val="0050429E"/>
    <w:rsid w:val="00506B52"/>
    <w:rsid w:val="00512025"/>
    <w:rsid w:val="005123B0"/>
    <w:rsid w:val="005158D2"/>
    <w:rsid w:val="005278A1"/>
    <w:rsid w:val="00541EAB"/>
    <w:rsid w:val="00547600"/>
    <w:rsid w:val="00550871"/>
    <w:rsid w:val="00552BDA"/>
    <w:rsid w:val="005534A5"/>
    <w:rsid w:val="00553534"/>
    <w:rsid w:val="00554A65"/>
    <w:rsid w:val="0055503D"/>
    <w:rsid w:val="00561105"/>
    <w:rsid w:val="0056389E"/>
    <w:rsid w:val="00565B62"/>
    <w:rsid w:val="0056656E"/>
    <w:rsid w:val="00571E15"/>
    <w:rsid w:val="00573198"/>
    <w:rsid w:val="00575849"/>
    <w:rsid w:val="005825BE"/>
    <w:rsid w:val="00593530"/>
    <w:rsid w:val="005A291A"/>
    <w:rsid w:val="005A386C"/>
    <w:rsid w:val="005A4134"/>
    <w:rsid w:val="005A59BA"/>
    <w:rsid w:val="005A68BF"/>
    <w:rsid w:val="005B499F"/>
    <w:rsid w:val="005B5CFE"/>
    <w:rsid w:val="005B7E00"/>
    <w:rsid w:val="005C542A"/>
    <w:rsid w:val="005C68BA"/>
    <w:rsid w:val="005C7F57"/>
    <w:rsid w:val="005D3383"/>
    <w:rsid w:val="005E04B4"/>
    <w:rsid w:val="005E3BB5"/>
    <w:rsid w:val="005E5273"/>
    <w:rsid w:val="005E704A"/>
    <w:rsid w:val="005F02B1"/>
    <w:rsid w:val="005F067C"/>
    <w:rsid w:val="006041AE"/>
    <w:rsid w:val="006044FB"/>
    <w:rsid w:val="00607B05"/>
    <w:rsid w:val="006124C3"/>
    <w:rsid w:val="006135A6"/>
    <w:rsid w:val="00613FA8"/>
    <w:rsid w:val="00625C50"/>
    <w:rsid w:val="0062755D"/>
    <w:rsid w:val="00634832"/>
    <w:rsid w:val="00635413"/>
    <w:rsid w:val="00636D64"/>
    <w:rsid w:val="00637EE8"/>
    <w:rsid w:val="006513DD"/>
    <w:rsid w:val="00655347"/>
    <w:rsid w:val="006563DF"/>
    <w:rsid w:val="00657731"/>
    <w:rsid w:val="006613C4"/>
    <w:rsid w:val="00666E4A"/>
    <w:rsid w:val="006676CA"/>
    <w:rsid w:val="00667CD0"/>
    <w:rsid w:val="0067000B"/>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74CE"/>
    <w:rsid w:val="006B3991"/>
    <w:rsid w:val="006C55DA"/>
    <w:rsid w:val="006E6E2F"/>
    <w:rsid w:val="006F0255"/>
    <w:rsid w:val="006F0430"/>
    <w:rsid w:val="006F3E76"/>
    <w:rsid w:val="006F3FAF"/>
    <w:rsid w:val="006F5F1C"/>
    <w:rsid w:val="006F6748"/>
    <w:rsid w:val="007006DF"/>
    <w:rsid w:val="00701F69"/>
    <w:rsid w:val="00704897"/>
    <w:rsid w:val="007107C6"/>
    <w:rsid w:val="00715F27"/>
    <w:rsid w:val="00720BE1"/>
    <w:rsid w:val="00722648"/>
    <w:rsid w:val="00737442"/>
    <w:rsid w:val="00741D9B"/>
    <w:rsid w:val="007453B3"/>
    <w:rsid w:val="0074724C"/>
    <w:rsid w:val="0075230A"/>
    <w:rsid w:val="00752628"/>
    <w:rsid w:val="00755325"/>
    <w:rsid w:val="00756708"/>
    <w:rsid w:val="00756FE4"/>
    <w:rsid w:val="00767B98"/>
    <w:rsid w:val="00780A47"/>
    <w:rsid w:val="00780F23"/>
    <w:rsid w:val="007951CA"/>
    <w:rsid w:val="00796E2E"/>
    <w:rsid w:val="007A0780"/>
    <w:rsid w:val="007A1449"/>
    <w:rsid w:val="007A1D8C"/>
    <w:rsid w:val="007B3902"/>
    <w:rsid w:val="007C6118"/>
    <w:rsid w:val="007D0506"/>
    <w:rsid w:val="007D1D95"/>
    <w:rsid w:val="007E24CA"/>
    <w:rsid w:val="007E2608"/>
    <w:rsid w:val="007E5564"/>
    <w:rsid w:val="007F1253"/>
    <w:rsid w:val="007F7938"/>
    <w:rsid w:val="007F7C28"/>
    <w:rsid w:val="007F7F97"/>
    <w:rsid w:val="00802FC4"/>
    <w:rsid w:val="00804B57"/>
    <w:rsid w:val="008119D2"/>
    <w:rsid w:val="0082465E"/>
    <w:rsid w:val="0082476F"/>
    <w:rsid w:val="00831D0F"/>
    <w:rsid w:val="00834079"/>
    <w:rsid w:val="00835C7C"/>
    <w:rsid w:val="00836099"/>
    <w:rsid w:val="008429C5"/>
    <w:rsid w:val="00842BE1"/>
    <w:rsid w:val="008434C3"/>
    <w:rsid w:val="00845023"/>
    <w:rsid w:val="00850A46"/>
    <w:rsid w:val="008515EE"/>
    <w:rsid w:val="00854FD4"/>
    <w:rsid w:val="0086055D"/>
    <w:rsid w:val="00872BAD"/>
    <w:rsid w:val="00880069"/>
    <w:rsid w:val="0088136E"/>
    <w:rsid w:val="00882109"/>
    <w:rsid w:val="008846D6"/>
    <w:rsid w:val="00892D21"/>
    <w:rsid w:val="00892FF7"/>
    <w:rsid w:val="008942F1"/>
    <w:rsid w:val="008B0EC2"/>
    <w:rsid w:val="008B1575"/>
    <w:rsid w:val="008B3490"/>
    <w:rsid w:val="008B47EA"/>
    <w:rsid w:val="008C027C"/>
    <w:rsid w:val="008C41FA"/>
    <w:rsid w:val="008E2F41"/>
    <w:rsid w:val="008E5278"/>
    <w:rsid w:val="008F2D46"/>
    <w:rsid w:val="009018EC"/>
    <w:rsid w:val="0091164B"/>
    <w:rsid w:val="00913054"/>
    <w:rsid w:val="00916516"/>
    <w:rsid w:val="0092369B"/>
    <w:rsid w:val="009251C5"/>
    <w:rsid w:val="00934959"/>
    <w:rsid w:val="009349A0"/>
    <w:rsid w:val="00940734"/>
    <w:rsid w:val="00940F44"/>
    <w:rsid w:val="00941002"/>
    <w:rsid w:val="00947689"/>
    <w:rsid w:val="0095377B"/>
    <w:rsid w:val="00955CBF"/>
    <w:rsid w:val="009579B5"/>
    <w:rsid w:val="0096128D"/>
    <w:rsid w:val="009638F8"/>
    <w:rsid w:val="00963A32"/>
    <w:rsid w:val="00970632"/>
    <w:rsid w:val="00975561"/>
    <w:rsid w:val="00975676"/>
    <w:rsid w:val="0098076E"/>
    <w:rsid w:val="00984A84"/>
    <w:rsid w:val="00987FD8"/>
    <w:rsid w:val="00990B3C"/>
    <w:rsid w:val="00993D8D"/>
    <w:rsid w:val="009956C6"/>
    <w:rsid w:val="00996F81"/>
    <w:rsid w:val="009A16DD"/>
    <w:rsid w:val="009A45B0"/>
    <w:rsid w:val="009B3159"/>
    <w:rsid w:val="009B7708"/>
    <w:rsid w:val="009C1066"/>
    <w:rsid w:val="009C3906"/>
    <w:rsid w:val="009C393F"/>
    <w:rsid w:val="009C6225"/>
    <w:rsid w:val="009C6B44"/>
    <w:rsid w:val="009D1753"/>
    <w:rsid w:val="009E380A"/>
    <w:rsid w:val="009E5E09"/>
    <w:rsid w:val="009E714C"/>
    <w:rsid w:val="009F27F0"/>
    <w:rsid w:val="009F390C"/>
    <w:rsid w:val="009F5342"/>
    <w:rsid w:val="00A00F9E"/>
    <w:rsid w:val="00A02D5F"/>
    <w:rsid w:val="00A03CC1"/>
    <w:rsid w:val="00A04BF1"/>
    <w:rsid w:val="00A13D3C"/>
    <w:rsid w:val="00A1734D"/>
    <w:rsid w:val="00A222B3"/>
    <w:rsid w:val="00A25FDD"/>
    <w:rsid w:val="00A4125A"/>
    <w:rsid w:val="00A64EE1"/>
    <w:rsid w:val="00A67FC3"/>
    <w:rsid w:val="00A715A8"/>
    <w:rsid w:val="00A7773B"/>
    <w:rsid w:val="00A86757"/>
    <w:rsid w:val="00A9278B"/>
    <w:rsid w:val="00A933C3"/>
    <w:rsid w:val="00A937DF"/>
    <w:rsid w:val="00AA0705"/>
    <w:rsid w:val="00AA1BA4"/>
    <w:rsid w:val="00AB61BD"/>
    <w:rsid w:val="00AB6B2D"/>
    <w:rsid w:val="00AB6B88"/>
    <w:rsid w:val="00AC2F4D"/>
    <w:rsid w:val="00AE2B0D"/>
    <w:rsid w:val="00AE3CE5"/>
    <w:rsid w:val="00AF29CC"/>
    <w:rsid w:val="00AF72F1"/>
    <w:rsid w:val="00AF7BEA"/>
    <w:rsid w:val="00B0217A"/>
    <w:rsid w:val="00B03FB3"/>
    <w:rsid w:val="00B13BE2"/>
    <w:rsid w:val="00B210B9"/>
    <w:rsid w:val="00B2533E"/>
    <w:rsid w:val="00B26EE9"/>
    <w:rsid w:val="00B27212"/>
    <w:rsid w:val="00B27816"/>
    <w:rsid w:val="00B31D34"/>
    <w:rsid w:val="00B323E2"/>
    <w:rsid w:val="00B366E1"/>
    <w:rsid w:val="00B37F5F"/>
    <w:rsid w:val="00B40971"/>
    <w:rsid w:val="00B41CB2"/>
    <w:rsid w:val="00B4335D"/>
    <w:rsid w:val="00B43CA5"/>
    <w:rsid w:val="00B445A4"/>
    <w:rsid w:val="00B50C4E"/>
    <w:rsid w:val="00B53468"/>
    <w:rsid w:val="00B57556"/>
    <w:rsid w:val="00B6220E"/>
    <w:rsid w:val="00B6449F"/>
    <w:rsid w:val="00B733F4"/>
    <w:rsid w:val="00B84551"/>
    <w:rsid w:val="00B86CFD"/>
    <w:rsid w:val="00B90F12"/>
    <w:rsid w:val="00B91665"/>
    <w:rsid w:val="00B92511"/>
    <w:rsid w:val="00BA467D"/>
    <w:rsid w:val="00BA4AA3"/>
    <w:rsid w:val="00BA536E"/>
    <w:rsid w:val="00BB025F"/>
    <w:rsid w:val="00BB14F1"/>
    <w:rsid w:val="00BB1CFE"/>
    <w:rsid w:val="00BB3539"/>
    <w:rsid w:val="00BB6A06"/>
    <w:rsid w:val="00BC37CA"/>
    <w:rsid w:val="00BC63FD"/>
    <w:rsid w:val="00BC7826"/>
    <w:rsid w:val="00BD4E3C"/>
    <w:rsid w:val="00BD53FE"/>
    <w:rsid w:val="00BE1071"/>
    <w:rsid w:val="00BE5E45"/>
    <w:rsid w:val="00BE6133"/>
    <w:rsid w:val="00BF2411"/>
    <w:rsid w:val="00BF5F87"/>
    <w:rsid w:val="00BF6922"/>
    <w:rsid w:val="00BF764E"/>
    <w:rsid w:val="00BF7EB5"/>
    <w:rsid w:val="00C02583"/>
    <w:rsid w:val="00C02F5C"/>
    <w:rsid w:val="00C03C6C"/>
    <w:rsid w:val="00C16227"/>
    <w:rsid w:val="00C16789"/>
    <w:rsid w:val="00C25E34"/>
    <w:rsid w:val="00C27E6B"/>
    <w:rsid w:val="00C310B9"/>
    <w:rsid w:val="00C342D5"/>
    <w:rsid w:val="00C401CD"/>
    <w:rsid w:val="00C4035A"/>
    <w:rsid w:val="00C53183"/>
    <w:rsid w:val="00C55128"/>
    <w:rsid w:val="00C56DF5"/>
    <w:rsid w:val="00C570CC"/>
    <w:rsid w:val="00C60BB4"/>
    <w:rsid w:val="00C65F24"/>
    <w:rsid w:val="00C752A5"/>
    <w:rsid w:val="00C814AC"/>
    <w:rsid w:val="00C9278D"/>
    <w:rsid w:val="00C96FB5"/>
    <w:rsid w:val="00C979D7"/>
    <w:rsid w:val="00CA48DC"/>
    <w:rsid w:val="00CB2437"/>
    <w:rsid w:val="00CB2EDD"/>
    <w:rsid w:val="00CC0A36"/>
    <w:rsid w:val="00CC2810"/>
    <w:rsid w:val="00CC6705"/>
    <w:rsid w:val="00CD4AFD"/>
    <w:rsid w:val="00CD791D"/>
    <w:rsid w:val="00CE0037"/>
    <w:rsid w:val="00CE4442"/>
    <w:rsid w:val="00CE46FB"/>
    <w:rsid w:val="00CE520C"/>
    <w:rsid w:val="00CF07B3"/>
    <w:rsid w:val="00CF18F8"/>
    <w:rsid w:val="00CF4BEC"/>
    <w:rsid w:val="00CF5F3A"/>
    <w:rsid w:val="00CF6054"/>
    <w:rsid w:val="00CF6947"/>
    <w:rsid w:val="00D005FF"/>
    <w:rsid w:val="00D00C1F"/>
    <w:rsid w:val="00D043C4"/>
    <w:rsid w:val="00D16016"/>
    <w:rsid w:val="00D1679C"/>
    <w:rsid w:val="00D226B3"/>
    <w:rsid w:val="00D23C64"/>
    <w:rsid w:val="00D244E3"/>
    <w:rsid w:val="00D246E6"/>
    <w:rsid w:val="00D25933"/>
    <w:rsid w:val="00D26B29"/>
    <w:rsid w:val="00D27CB6"/>
    <w:rsid w:val="00D3340C"/>
    <w:rsid w:val="00D36415"/>
    <w:rsid w:val="00D44645"/>
    <w:rsid w:val="00D54B74"/>
    <w:rsid w:val="00D55E46"/>
    <w:rsid w:val="00D56D02"/>
    <w:rsid w:val="00D62946"/>
    <w:rsid w:val="00D62C14"/>
    <w:rsid w:val="00D636CD"/>
    <w:rsid w:val="00D66FF2"/>
    <w:rsid w:val="00D71E39"/>
    <w:rsid w:val="00D77D53"/>
    <w:rsid w:val="00D809E3"/>
    <w:rsid w:val="00D83A65"/>
    <w:rsid w:val="00D85336"/>
    <w:rsid w:val="00D86A6A"/>
    <w:rsid w:val="00D961E3"/>
    <w:rsid w:val="00DA1E21"/>
    <w:rsid w:val="00DA284A"/>
    <w:rsid w:val="00DA792C"/>
    <w:rsid w:val="00DB1142"/>
    <w:rsid w:val="00DB304D"/>
    <w:rsid w:val="00DB6F51"/>
    <w:rsid w:val="00DB7EBE"/>
    <w:rsid w:val="00DC0370"/>
    <w:rsid w:val="00DC1D8A"/>
    <w:rsid w:val="00DC24A7"/>
    <w:rsid w:val="00DC5BE7"/>
    <w:rsid w:val="00DC66BB"/>
    <w:rsid w:val="00DD1823"/>
    <w:rsid w:val="00DE2909"/>
    <w:rsid w:val="00DE6424"/>
    <w:rsid w:val="00DE6CBB"/>
    <w:rsid w:val="00DF032B"/>
    <w:rsid w:val="00DF1F28"/>
    <w:rsid w:val="00DF4878"/>
    <w:rsid w:val="00DF52D4"/>
    <w:rsid w:val="00E04926"/>
    <w:rsid w:val="00E05506"/>
    <w:rsid w:val="00E0551B"/>
    <w:rsid w:val="00E15CF5"/>
    <w:rsid w:val="00E16169"/>
    <w:rsid w:val="00E20381"/>
    <w:rsid w:val="00E2055A"/>
    <w:rsid w:val="00E23A7E"/>
    <w:rsid w:val="00E25646"/>
    <w:rsid w:val="00E2776C"/>
    <w:rsid w:val="00E35F0B"/>
    <w:rsid w:val="00E41E9C"/>
    <w:rsid w:val="00E52E8C"/>
    <w:rsid w:val="00E54AD4"/>
    <w:rsid w:val="00E61AA5"/>
    <w:rsid w:val="00E62BC4"/>
    <w:rsid w:val="00E66EDC"/>
    <w:rsid w:val="00E73747"/>
    <w:rsid w:val="00E74D52"/>
    <w:rsid w:val="00E76517"/>
    <w:rsid w:val="00E76604"/>
    <w:rsid w:val="00E77C89"/>
    <w:rsid w:val="00E86A05"/>
    <w:rsid w:val="00E87D76"/>
    <w:rsid w:val="00E90334"/>
    <w:rsid w:val="00EA0DB8"/>
    <w:rsid w:val="00EA141C"/>
    <w:rsid w:val="00EA2EB9"/>
    <w:rsid w:val="00EA6CDF"/>
    <w:rsid w:val="00EC4A6A"/>
    <w:rsid w:val="00EC6B3A"/>
    <w:rsid w:val="00ED25C1"/>
    <w:rsid w:val="00ED61FE"/>
    <w:rsid w:val="00EE6009"/>
    <w:rsid w:val="00EF1683"/>
    <w:rsid w:val="00EF2F58"/>
    <w:rsid w:val="00EF5C7D"/>
    <w:rsid w:val="00F0621A"/>
    <w:rsid w:val="00F07C59"/>
    <w:rsid w:val="00F12166"/>
    <w:rsid w:val="00F24E6E"/>
    <w:rsid w:val="00F25EF5"/>
    <w:rsid w:val="00F33797"/>
    <w:rsid w:val="00F43EC5"/>
    <w:rsid w:val="00F521A3"/>
    <w:rsid w:val="00F52A10"/>
    <w:rsid w:val="00F630C6"/>
    <w:rsid w:val="00F80F7B"/>
    <w:rsid w:val="00F911E2"/>
    <w:rsid w:val="00FA3DB0"/>
    <w:rsid w:val="00FA51CA"/>
    <w:rsid w:val="00FA7259"/>
    <w:rsid w:val="00FA7381"/>
    <w:rsid w:val="00FA7B26"/>
    <w:rsid w:val="00FB60BC"/>
    <w:rsid w:val="00FC042A"/>
    <w:rsid w:val="00FC350B"/>
    <w:rsid w:val="00FC4A80"/>
    <w:rsid w:val="00FC65B0"/>
    <w:rsid w:val="00FC697E"/>
    <w:rsid w:val="00FC7E16"/>
    <w:rsid w:val="00FD0B7E"/>
    <w:rsid w:val="00FD2962"/>
    <w:rsid w:val="00FD2DBF"/>
    <w:rsid w:val="00FD41F1"/>
    <w:rsid w:val="00FD4655"/>
    <w:rsid w:val="00FD6D10"/>
    <w:rsid w:val="00FE13F6"/>
    <w:rsid w:val="00FE2DE4"/>
    <w:rsid w:val="00FE744B"/>
    <w:rsid w:val="00FF1DE7"/>
    <w:rsid w:val="00FF3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283B13"/>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283B13"/>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283B13"/>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283B13"/>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77614427">
      <w:bodyDiv w:val="1"/>
      <w:marLeft w:val="0"/>
      <w:marRight w:val="0"/>
      <w:marTop w:val="0"/>
      <w:marBottom w:val="0"/>
      <w:divBdr>
        <w:top w:val="none" w:sz="0" w:space="0" w:color="auto"/>
        <w:left w:val="none" w:sz="0" w:space="0" w:color="auto"/>
        <w:bottom w:val="none" w:sz="0" w:space="0" w:color="auto"/>
        <w:right w:val="none" w:sz="0" w:space="0" w:color="auto"/>
      </w:divBdr>
      <w:divsChild>
        <w:div w:id="696853642">
          <w:marLeft w:val="0"/>
          <w:marRight w:val="0"/>
          <w:marTop w:val="0"/>
          <w:marBottom w:val="0"/>
          <w:divBdr>
            <w:top w:val="none" w:sz="0" w:space="0" w:color="auto"/>
            <w:left w:val="none" w:sz="0" w:space="0" w:color="auto"/>
            <w:bottom w:val="none" w:sz="0" w:space="0" w:color="auto"/>
            <w:right w:val="none" w:sz="0" w:space="0" w:color="auto"/>
          </w:divBdr>
          <w:divsChild>
            <w:div w:id="916206189">
              <w:marLeft w:val="0"/>
              <w:marRight w:val="0"/>
              <w:marTop w:val="0"/>
              <w:marBottom w:val="0"/>
              <w:divBdr>
                <w:top w:val="none" w:sz="0" w:space="0" w:color="auto"/>
                <w:left w:val="none" w:sz="0" w:space="0" w:color="auto"/>
                <w:bottom w:val="none" w:sz="0" w:space="0" w:color="auto"/>
                <w:right w:val="none" w:sz="0" w:space="0" w:color="auto"/>
              </w:divBdr>
              <w:divsChild>
                <w:div w:id="10755862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B0D7E09265A419F03B6951BDD7ED6" ma:contentTypeVersion="1" ma:contentTypeDescription="Create a new document." ma:contentTypeScope="" ma:versionID="848a964f34604051caabb44acb1cc8b2">
  <xsd:schema xmlns:xsd="http://www.w3.org/2001/XMLSchema" xmlns:xs="http://www.w3.org/2001/XMLSchema" xmlns:p="http://schemas.microsoft.com/office/2006/metadata/properties" xmlns:ns3="079f852e-5e1f-442b-8157-bcfa9a404e25" targetNamespace="http://schemas.microsoft.com/office/2006/metadata/properties" ma:root="true" ma:fieldsID="44cf692a4a842114386482213bcd6353" ns3:_="">
    <xsd:import namespace="079f852e-5e1f-442b-8157-bcfa9a404e2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f852e-5e1f-442b-8157-bcfa9a404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D92C-853C-4498-9536-600FE6546CC1}">
  <ds:schemaRefs>
    <ds:schemaRef ds:uri="http://schemas.microsoft.com/office/2006/metadata/longProperties"/>
  </ds:schemaRefs>
</ds:datastoreItem>
</file>

<file path=customXml/itemProps2.xml><?xml version="1.0" encoding="utf-8"?>
<ds:datastoreItem xmlns:ds="http://schemas.openxmlformats.org/officeDocument/2006/customXml" ds:itemID="{FEA99E7F-2431-461D-ACBF-E1E42796F734}">
  <ds:schemaRefs>
    <ds:schemaRef ds:uri="http://schemas.microsoft.com/sharepoint/v3/contenttype/forms"/>
  </ds:schemaRefs>
</ds:datastoreItem>
</file>

<file path=customXml/itemProps3.xml><?xml version="1.0" encoding="utf-8"?>
<ds:datastoreItem xmlns:ds="http://schemas.openxmlformats.org/officeDocument/2006/customXml" ds:itemID="{4E891472-842D-4E4F-8752-F1636490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f852e-5e1f-442b-8157-bcfa9a404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B1DC9-41DC-4494-8057-B12C74C13783}">
  <ds:schemaRef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079f852e-5e1f-442b-8157-bcfa9a404e25"/>
    <ds:schemaRef ds:uri="http://schemas.microsoft.com/office/2006/metadata/properties"/>
  </ds:schemaRefs>
</ds:datastoreItem>
</file>

<file path=customXml/itemProps5.xml><?xml version="1.0" encoding="utf-8"?>
<ds:datastoreItem xmlns:ds="http://schemas.openxmlformats.org/officeDocument/2006/customXml" ds:itemID="{561C604E-98DB-472F-B216-71681679D097}">
  <ds:schemaRefs>
    <ds:schemaRef ds:uri="http://schemas.openxmlformats.org/officeDocument/2006/bibliography"/>
  </ds:schemaRefs>
</ds:datastoreItem>
</file>

<file path=customXml/itemProps6.xml><?xml version="1.0" encoding="utf-8"?>
<ds:datastoreItem xmlns:ds="http://schemas.openxmlformats.org/officeDocument/2006/customXml" ds:itemID="{43AEED13-80BE-4FB8-9779-CC3EBCF3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1847</Words>
  <Characters>9297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Practice Note No. 5 of 2015 Professional Liability List</vt:lpstr>
    </vt:vector>
  </TitlesOfParts>
  <Company>Supreme Court of Victoria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5 of 2015 Professional Liability List</dc:title>
  <dc:subject/>
  <dc:creator>Supreme Court of Victoria </dc:creator>
  <cp:keywords/>
  <dc:description/>
  <cp:lastModifiedBy>Stuart Moran</cp:lastModifiedBy>
  <cp:revision>4</cp:revision>
  <cp:lastPrinted>2014-10-21T23:34:00Z</cp:lastPrinted>
  <dcterms:created xsi:type="dcterms:W3CDTF">2014-12-08T04:48:00Z</dcterms:created>
  <dcterms:modified xsi:type="dcterms:W3CDTF">2014-12-08T06:08:00Z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