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C5" w:rsidRDefault="006D07C5" w:rsidP="006E06EB">
      <w:pPr>
        <w:tabs>
          <w:tab w:val="left" w:pos="5517"/>
        </w:tabs>
      </w:pPr>
      <w:r>
        <w:rPr>
          <w:noProof/>
          <w:lang w:eastAsia="en-AU"/>
        </w:rPr>
        <w:drawing>
          <wp:anchor distT="0" distB="0" distL="114300" distR="114300" simplePos="0" relativeHeight="251659264" behindDoc="1" locked="0" layoutInCell="1" allowOverlap="1" wp14:anchorId="32083A81" wp14:editId="00B92A9A">
            <wp:simplePos x="0" y="0"/>
            <wp:positionH relativeFrom="column">
              <wp:posOffset>2107351</wp:posOffset>
            </wp:positionH>
            <wp:positionV relativeFrom="paragraph">
              <wp:posOffset>-783285</wp:posOffset>
            </wp:positionV>
            <wp:extent cx="1324098" cy="1324098"/>
            <wp:effectExtent l="0" t="0" r="9525" b="9525"/>
            <wp:wrapNone/>
            <wp:docPr id="2" name="Picture 2" descr="Description: G:\Communication Services\Branding\SCV Logo\SCV MASTER LOGOS\WITH ELIPSE\SCV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ommunication Services\Branding\SCV Logo\SCV MASTER LOGOS\WITH ELIPSE\SCV_Red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098" cy="1324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7C5" w:rsidRDefault="006D07C5" w:rsidP="006D07C5">
      <w:pPr>
        <w:tabs>
          <w:tab w:val="left" w:pos="5517"/>
        </w:tabs>
      </w:pPr>
    </w:p>
    <w:p w:rsidR="00270DAA" w:rsidRPr="00270DAA" w:rsidRDefault="00270DAA" w:rsidP="00A82D9B">
      <w:pPr>
        <w:pStyle w:val="Default"/>
        <w:spacing w:before="120" w:after="120"/>
        <w:jc w:val="center"/>
        <w:rPr>
          <w:rFonts w:ascii="Times New Roman" w:hAnsi="Times New Roman" w:cs="Times New Roman"/>
          <w:b/>
          <w:bCs/>
          <w:sz w:val="36"/>
          <w:szCs w:val="36"/>
        </w:rPr>
      </w:pPr>
      <w:r w:rsidRPr="00270DAA">
        <w:rPr>
          <w:rFonts w:ascii="Times New Roman" w:hAnsi="Times New Roman" w:cs="Times New Roman"/>
          <w:b/>
          <w:bCs/>
          <w:sz w:val="36"/>
          <w:szCs w:val="36"/>
        </w:rPr>
        <w:t>Supreme Court of Victoria</w:t>
      </w:r>
    </w:p>
    <w:p w:rsidR="00270DAA" w:rsidRPr="00270DAA" w:rsidRDefault="00270DAA" w:rsidP="00A82D9B">
      <w:pPr>
        <w:pStyle w:val="Default"/>
        <w:spacing w:before="120" w:after="120"/>
        <w:jc w:val="center"/>
        <w:rPr>
          <w:rFonts w:ascii="Times New Roman" w:hAnsi="Times New Roman" w:cs="Times New Roman"/>
          <w:b/>
          <w:bCs/>
          <w:sz w:val="36"/>
          <w:szCs w:val="36"/>
        </w:rPr>
      </w:pPr>
      <w:r w:rsidRPr="00270DAA">
        <w:rPr>
          <w:rFonts w:ascii="Times New Roman" w:hAnsi="Times New Roman" w:cs="Times New Roman"/>
          <w:b/>
          <w:bCs/>
          <w:sz w:val="36"/>
          <w:szCs w:val="36"/>
        </w:rPr>
        <w:t>Criminal Division</w:t>
      </w:r>
    </w:p>
    <w:p w:rsidR="00270DAA" w:rsidRPr="00270DAA" w:rsidRDefault="00270DAA" w:rsidP="006D07C5">
      <w:pPr>
        <w:tabs>
          <w:tab w:val="left" w:pos="5517"/>
        </w:tabs>
        <w:spacing w:line="240" w:lineRule="auto"/>
        <w:jc w:val="center"/>
        <w:rPr>
          <w:rFonts w:ascii="Times New Roman" w:hAnsi="Times New Roman" w:cs="Times New Roman"/>
          <w:b/>
          <w:smallCaps/>
          <w:sz w:val="36"/>
          <w:szCs w:val="36"/>
        </w:rPr>
      </w:pPr>
    </w:p>
    <w:p w:rsidR="006D07C5" w:rsidRPr="00270DAA" w:rsidRDefault="006D07C5" w:rsidP="00A82D9B">
      <w:pPr>
        <w:pStyle w:val="Default"/>
        <w:spacing w:before="120" w:after="120"/>
        <w:jc w:val="center"/>
        <w:rPr>
          <w:rFonts w:ascii="Times New Roman" w:hAnsi="Times New Roman" w:cs="Times New Roman"/>
          <w:b/>
          <w:bCs/>
          <w:sz w:val="28"/>
          <w:szCs w:val="28"/>
        </w:rPr>
      </w:pPr>
      <w:r w:rsidRPr="00270DAA">
        <w:rPr>
          <w:rFonts w:ascii="Times New Roman" w:hAnsi="Times New Roman" w:cs="Times New Roman"/>
          <w:b/>
          <w:bCs/>
          <w:sz w:val="28"/>
          <w:szCs w:val="28"/>
        </w:rPr>
        <w:t xml:space="preserve">Practice </w:t>
      </w:r>
      <w:r w:rsidR="00E13D26" w:rsidRPr="00270DAA">
        <w:rPr>
          <w:rFonts w:ascii="Times New Roman" w:hAnsi="Times New Roman" w:cs="Times New Roman"/>
          <w:b/>
          <w:bCs/>
          <w:sz w:val="28"/>
          <w:szCs w:val="28"/>
        </w:rPr>
        <w:t>Note</w:t>
      </w:r>
      <w:r w:rsidR="00C925E2" w:rsidRPr="00270DAA">
        <w:rPr>
          <w:rFonts w:ascii="Times New Roman" w:hAnsi="Times New Roman" w:cs="Times New Roman"/>
          <w:b/>
          <w:bCs/>
          <w:sz w:val="28"/>
          <w:szCs w:val="28"/>
        </w:rPr>
        <w:t xml:space="preserve"> No 8</w:t>
      </w:r>
      <w:r w:rsidRPr="00270DAA">
        <w:rPr>
          <w:rFonts w:ascii="Times New Roman" w:hAnsi="Times New Roman" w:cs="Times New Roman"/>
          <w:b/>
          <w:bCs/>
          <w:sz w:val="28"/>
          <w:szCs w:val="28"/>
        </w:rPr>
        <w:t xml:space="preserve"> of 2016</w:t>
      </w:r>
    </w:p>
    <w:p w:rsidR="006D07C5" w:rsidRPr="00270DAA" w:rsidRDefault="006D07C5" w:rsidP="00A82D9B">
      <w:pPr>
        <w:pStyle w:val="Default"/>
        <w:spacing w:before="120" w:after="120"/>
        <w:jc w:val="center"/>
        <w:rPr>
          <w:rFonts w:ascii="Times New Roman" w:hAnsi="Times New Roman" w:cs="Times New Roman"/>
          <w:b/>
          <w:bCs/>
          <w:sz w:val="28"/>
          <w:szCs w:val="28"/>
        </w:rPr>
      </w:pPr>
      <w:r w:rsidRPr="00270DAA">
        <w:rPr>
          <w:rFonts w:ascii="Times New Roman" w:hAnsi="Times New Roman" w:cs="Times New Roman"/>
          <w:b/>
          <w:bCs/>
          <w:sz w:val="28"/>
          <w:szCs w:val="28"/>
        </w:rPr>
        <w:t>Bail Applications and Appeals</w:t>
      </w:r>
    </w:p>
    <w:p w:rsidR="00E13D26" w:rsidRPr="00270DAA" w:rsidRDefault="00E13D26" w:rsidP="00E13D26">
      <w:pPr>
        <w:pStyle w:val="Default"/>
        <w:rPr>
          <w:rFonts w:ascii="Times New Roman" w:hAnsi="Times New Roman" w:cs="Times New Roman"/>
        </w:rPr>
      </w:pPr>
    </w:p>
    <w:p w:rsidR="00E13D26" w:rsidRPr="00270DAA" w:rsidRDefault="00E13D26" w:rsidP="00E13D26">
      <w:pPr>
        <w:pStyle w:val="Default"/>
        <w:jc w:val="both"/>
        <w:rPr>
          <w:rFonts w:ascii="Times New Roman" w:hAnsi="Times New Roman" w:cs="Times New Roman"/>
        </w:rPr>
      </w:pPr>
      <w:r w:rsidRPr="00270DAA">
        <w:rPr>
          <w:rFonts w:ascii="Times New Roman" w:hAnsi="Times New Roman" w:cs="Times New Roman"/>
          <w:b/>
          <w:bCs/>
        </w:rPr>
        <w:t>1.</w:t>
      </w:r>
      <w:r w:rsidRPr="00270DAA">
        <w:rPr>
          <w:rFonts w:ascii="Times New Roman" w:hAnsi="Times New Roman" w:cs="Times New Roman"/>
          <w:b/>
          <w:bCs/>
        </w:rPr>
        <w:tab/>
      </w:r>
      <w:r w:rsidR="00A82D9B" w:rsidRPr="00270DAA">
        <w:rPr>
          <w:rFonts w:ascii="Times New Roman" w:hAnsi="Times New Roman" w:cs="Times New Roman"/>
          <w:b/>
          <w:bCs/>
        </w:rPr>
        <w:t>INTRODUCTION</w:t>
      </w:r>
    </w:p>
    <w:p w:rsidR="00E13D26" w:rsidRPr="00270DAA" w:rsidRDefault="00E13D26" w:rsidP="00E13D26">
      <w:pPr>
        <w:pStyle w:val="Default"/>
        <w:jc w:val="both"/>
        <w:rPr>
          <w:rFonts w:ascii="Times New Roman" w:hAnsi="Times New Roman" w:cs="Times New Roman"/>
        </w:rPr>
      </w:pPr>
    </w:p>
    <w:p w:rsidR="00E13D26" w:rsidRPr="00270DAA" w:rsidRDefault="00E13D26" w:rsidP="00435D65">
      <w:pPr>
        <w:pStyle w:val="Default"/>
        <w:spacing w:line="360" w:lineRule="auto"/>
        <w:jc w:val="both"/>
        <w:rPr>
          <w:rFonts w:ascii="Times New Roman" w:hAnsi="Times New Roman" w:cs="Times New Roman"/>
        </w:rPr>
      </w:pPr>
      <w:r w:rsidRPr="00270DAA">
        <w:rPr>
          <w:rFonts w:ascii="Times New Roman" w:hAnsi="Times New Roman" w:cs="Times New Roman"/>
        </w:rPr>
        <w:t>1.1</w:t>
      </w:r>
      <w:r w:rsidRPr="00270DAA">
        <w:rPr>
          <w:rFonts w:ascii="Times New Roman" w:hAnsi="Times New Roman" w:cs="Times New Roman"/>
        </w:rPr>
        <w:tab/>
        <w:t xml:space="preserve">The Chief Justice has </w:t>
      </w:r>
      <w:r w:rsidR="0099121D" w:rsidRPr="00270DAA">
        <w:rPr>
          <w:rFonts w:ascii="Times New Roman" w:hAnsi="Times New Roman" w:cs="Times New Roman"/>
        </w:rPr>
        <w:t>authorised</w:t>
      </w:r>
      <w:r w:rsidRPr="00270DAA">
        <w:rPr>
          <w:rFonts w:ascii="Times New Roman" w:hAnsi="Times New Roman" w:cs="Times New Roman"/>
        </w:rPr>
        <w:t xml:space="preserve"> the release of th</w:t>
      </w:r>
      <w:r w:rsidR="0099121D" w:rsidRPr="00270DAA">
        <w:rPr>
          <w:rFonts w:ascii="Times New Roman" w:hAnsi="Times New Roman" w:cs="Times New Roman"/>
        </w:rPr>
        <w:t>is</w:t>
      </w:r>
      <w:r w:rsidRPr="00270DAA">
        <w:rPr>
          <w:rFonts w:ascii="Times New Roman" w:hAnsi="Times New Roman" w:cs="Times New Roman"/>
        </w:rPr>
        <w:t xml:space="preserve"> Practice Note. </w:t>
      </w:r>
    </w:p>
    <w:p w:rsidR="00E13D26" w:rsidRPr="00270DAA" w:rsidRDefault="00E13D26" w:rsidP="00435D65">
      <w:pPr>
        <w:pStyle w:val="Default"/>
        <w:spacing w:line="360" w:lineRule="auto"/>
        <w:jc w:val="both"/>
        <w:rPr>
          <w:rFonts w:ascii="Times New Roman" w:hAnsi="Times New Roman" w:cs="Times New Roman"/>
        </w:rPr>
      </w:pPr>
    </w:p>
    <w:p w:rsidR="00E13D26" w:rsidRPr="00270DAA" w:rsidRDefault="00E13D26" w:rsidP="00435D65">
      <w:pPr>
        <w:pStyle w:val="Default"/>
        <w:spacing w:line="360" w:lineRule="auto"/>
        <w:ind w:left="720" w:hanging="720"/>
        <w:jc w:val="both"/>
        <w:rPr>
          <w:rFonts w:ascii="Times New Roman" w:hAnsi="Times New Roman" w:cs="Times New Roman"/>
        </w:rPr>
      </w:pPr>
      <w:r w:rsidRPr="00270DAA">
        <w:rPr>
          <w:rFonts w:ascii="Times New Roman" w:hAnsi="Times New Roman" w:cs="Times New Roman"/>
        </w:rPr>
        <w:t>1.2</w:t>
      </w:r>
      <w:r w:rsidRPr="00270DAA">
        <w:rPr>
          <w:rFonts w:ascii="Times New Roman" w:hAnsi="Times New Roman" w:cs="Times New Roman"/>
        </w:rPr>
        <w:tab/>
        <w:t xml:space="preserve">The purpose of this Practice Note is to centralise the administrative management of </w:t>
      </w:r>
      <w:r w:rsidR="009A20C0" w:rsidRPr="00270DAA">
        <w:rPr>
          <w:rFonts w:ascii="Times New Roman" w:hAnsi="Times New Roman" w:cs="Times New Roman"/>
        </w:rPr>
        <w:t>application</w:t>
      </w:r>
      <w:r w:rsidR="0099121D" w:rsidRPr="00270DAA">
        <w:rPr>
          <w:rFonts w:ascii="Times New Roman" w:hAnsi="Times New Roman" w:cs="Times New Roman"/>
        </w:rPr>
        <w:t>s</w:t>
      </w:r>
      <w:r w:rsidR="009A20C0" w:rsidRPr="00270DAA">
        <w:rPr>
          <w:rFonts w:ascii="Times New Roman" w:hAnsi="Times New Roman" w:cs="Times New Roman"/>
        </w:rPr>
        <w:t xml:space="preserve"> </w:t>
      </w:r>
      <w:r w:rsidR="0099121D" w:rsidRPr="00270DAA">
        <w:rPr>
          <w:rFonts w:ascii="Times New Roman" w:hAnsi="Times New Roman" w:cs="Times New Roman"/>
        </w:rPr>
        <w:t>and</w:t>
      </w:r>
      <w:r w:rsidR="009A20C0" w:rsidRPr="00270DAA">
        <w:rPr>
          <w:rFonts w:ascii="Times New Roman" w:hAnsi="Times New Roman" w:cs="Times New Roman"/>
        </w:rPr>
        <w:t xml:space="preserve"> appeal</w:t>
      </w:r>
      <w:r w:rsidR="0099121D" w:rsidRPr="00270DAA">
        <w:rPr>
          <w:rFonts w:ascii="Times New Roman" w:hAnsi="Times New Roman" w:cs="Times New Roman"/>
        </w:rPr>
        <w:t>s</w:t>
      </w:r>
      <w:r w:rsidR="009A20C0" w:rsidRPr="00270DAA">
        <w:rPr>
          <w:rFonts w:ascii="Times New Roman" w:hAnsi="Times New Roman" w:cs="Times New Roman"/>
        </w:rPr>
        <w:t xml:space="preserve"> with respect to </w:t>
      </w:r>
      <w:r w:rsidRPr="00270DAA">
        <w:rPr>
          <w:rFonts w:ascii="Times New Roman" w:hAnsi="Times New Roman" w:cs="Times New Roman"/>
        </w:rPr>
        <w:t xml:space="preserve">bail </w:t>
      </w:r>
      <w:r w:rsidR="009A20C0" w:rsidRPr="00270DAA">
        <w:rPr>
          <w:rFonts w:ascii="Times New Roman" w:hAnsi="Times New Roman" w:cs="Times New Roman"/>
        </w:rPr>
        <w:t xml:space="preserve">in </w:t>
      </w:r>
      <w:r w:rsidRPr="00270DAA">
        <w:rPr>
          <w:rFonts w:ascii="Times New Roman" w:hAnsi="Times New Roman" w:cs="Times New Roman"/>
        </w:rPr>
        <w:t xml:space="preserve">the Registry and to </w:t>
      </w:r>
      <w:r w:rsidR="0099121D" w:rsidRPr="00270DAA">
        <w:rPr>
          <w:rFonts w:ascii="Times New Roman" w:hAnsi="Times New Roman" w:cs="Times New Roman"/>
        </w:rPr>
        <w:t xml:space="preserve">specify </w:t>
      </w:r>
      <w:r w:rsidRPr="00270DAA">
        <w:rPr>
          <w:rFonts w:ascii="Times New Roman" w:hAnsi="Times New Roman" w:cs="Times New Roman"/>
        </w:rPr>
        <w:t xml:space="preserve">the standard requirements </w:t>
      </w:r>
      <w:r w:rsidR="0099121D" w:rsidRPr="00270DAA">
        <w:rPr>
          <w:rFonts w:ascii="Times New Roman" w:hAnsi="Times New Roman" w:cs="Times New Roman"/>
        </w:rPr>
        <w:t xml:space="preserve">necessary for the efficient processing of </w:t>
      </w:r>
      <w:r w:rsidRPr="00270DAA">
        <w:rPr>
          <w:rFonts w:ascii="Times New Roman" w:hAnsi="Times New Roman" w:cs="Times New Roman"/>
        </w:rPr>
        <w:t>all such applications</w:t>
      </w:r>
      <w:r w:rsidR="0099121D" w:rsidRPr="00270DAA">
        <w:rPr>
          <w:rFonts w:ascii="Times New Roman" w:hAnsi="Times New Roman" w:cs="Times New Roman"/>
        </w:rPr>
        <w:t xml:space="preserve"> and appeals</w:t>
      </w:r>
      <w:r w:rsidRPr="00270DAA">
        <w:rPr>
          <w:rFonts w:ascii="Times New Roman" w:hAnsi="Times New Roman" w:cs="Times New Roman"/>
        </w:rPr>
        <w:t xml:space="preserve">. </w:t>
      </w:r>
    </w:p>
    <w:p w:rsidR="00E13D26" w:rsidRPr="00270DAA" w:rsidRDefault="00E13D26" w:rsidP="00435D65">
      <w:pPr>
        <w:pStyle w:val="Default"/>
        <w:spacing w:line="360" w:lineRule="auto"/>
        <w:jc w:val="both"/>
        <w:rPr>
          <w:rFonts w:ascii="Times New Roman" w:hAnsi="Times New Roman" w:cs="Times New Roman"/>
        </w:rPr>
      </w:pPr>
    </w:p>
    <w:p w:rsidR="00E13D26" w:rsidRPr="00270DAA" w:rsidRDefault="00E13D26" w:rsidP="00435D65">
      <w:pPr>
        <w:pStyle w:val="Default"/>
        <w:spacing w:line="360" w:lineRule="auto"/>
        <w:jc w:val="both"/>
        <w:rPr>
          <w:rFonts w:ascii="Times New Roman" w:hAnsi="Times New Roman" w:cs="Times New Roman"/>
        </w:rPr>
      </w:pPr>
      <w:r w:rsidRPr="00270DAA">
        <w:rPr>
          <w:rFonts w:ascii="Times New Roman" w:hAnsi="Times New Roman" w:cs="Times New Roman"/>
        </w:rPr>
        <w:t>1.3</w:t>
      </w:r>
      <w:r w:rsidRPr="00270DAA">
        <w:rPr>
          <w:rFonts w:ascii="Times New Roman" w:hAnsi="Times New Roman" w:cs="Times New Roman"/>
        </w:rPr>
        <w:tab/>
        <w:t xml:space="preserve">This Practice Note replaces </w:t>
      </w:r>
      <w:r w:rsidRPr="00270DAA">
        <w:rPr>
          <w:rFonts w:ascii="Times New Roman" w:hAnsi="Times New Roman" w:cs="Times New Roman"/>
          <w:i/>
          <w:iCs/>
        </w:rPr>
        <w:t>Practice Note No. 5 of 20</w:t>
      </w:r>
      <w:r w:rsidR="00052C11" w:rsidRPr="00270DAA">
        <w:rPr>
          <w:rFonts w:ascii="Times New Roman" w:hAnsi="Times New Roman" w:cs="Times New Roman"/>
          <w:i/>
          <w:iCs/>
        </w:rPr>
        <w:t>0</w:t>
      </w:r>
      <w:r w:rsidRPr="00270DAA">
        <w:rPr>
          <w:rFonts w:ascii="Times New Roman" w:hAnsi="Times New Roman" w:cs="Times New Roman"/>
          <w:i/>
          <w:iCs/>
        </w:rPr>
        <w:t xml:space="preserve">4 </w:t>
      </w:r>
      <w:r w:rsidRPr="00270DAA">
        <w:rPr>
          <w:rFonts w:ascii="Times New Roman" w:hAnsi="Times New Roman" w:cs="Times New Roman"/>
        </w:rPr>
        <w:t xml:space="preserve">which is hereby revoked. </w:t>
      </w:r>
    </w:p>
    <w:p w:rsidR="00E13D26" w:rsidRPr="00270DAA" w:rsidRDefault="00E13D26" w:rsidP="00435D65">
      <w:pPr>
        <w:pStyle w:val="Default"/>
        <w:spacing w:line="360" w:lineRule="auto"/>
        <w:jc w:val="both"/>
        <w:rPr>
          <w:rFonts w:ascii="Times New Roman" w:hAnsi="Times New Roman" w:cs="Times New Roman"/>
        </w:rPr>
      </w:pPr>
    </w:p>
    <w:p w:rsidR="00E13D26" w:rsidRPr="00270DAA" w:rsidRDefault="00E13D26" w:rsidP="00435D65">
      <w:pPr>
        <w:pStyle w:val="Default"/>
        <w:spacing w:line="360" w:lineRule="auto"/>
        <w:ind w:left="720" w:hanging="720"/>
        <w:jc w:val="both"/>
        <w:rPr>
          <w:rFonts w:ascii="Times New Roman" w:hAnsi="Times New Roman" w:cs="Times New Roman"/>
        </w:rPr>
      </w:pPr>
      <w:r w:rsidRPr="00270DAA">
        <w:rPr>
          <w:rFonts w:ascii="Times New Roman" w:hAnsi="Times New Roman" w:cs="Times New Roman"/>
        </w:rPr>
        <w:t>1.4</w:t>
      </w:r>
      <w:r w:rsidRPr="00270DAA">
        <w:rPr>
          <w:rFonts w:ascii="Times New Roman" w:hAnsi="Times New Roman" w:cs="Times New Roman"/>
        </w:rPr>
        <w:tab/>
        <w:t>T</w:t>
      </w:r>
      <w:r w:rsidR="00DD6F21" w:rsidRPr="00270DAA">
        <w:rPr>
          <w:rFonts w:ascii="Times New Roman" w:hAnsi="Times New Roman" w:cs="Times New Roman"/>
        </w:rPr>
        <w:t>his Practice Note commences on 11 April 2016</w:t>
      </w:r>
      <w:r w:rsidRPr="00270DAA">
        <w:rPr>
          <w:rFonts w:ascii="Times New Roman" w:hAnsi="Times New Roman" w:cs="Times New Roman"/>
        </w:rPr>
        <w:t xml:space="preserve"> and will apply to applications with respect to bail commenced in the Criminal Division on or after that date. </w:t>
      </w:r>
    </w:p>
    <w:p w:rsidR="00E13D26" w:rsidRPr="00270DAA" w:rsidRDefault="00E13D26" w:rsidP="00435D65">
      <w:pPr>
        <w:pStyle w:val="Default"/>
        <w:spacing w:line="360" w:lineRule="auto"/>
        <w:jc w:val="both"/>
        <w:rPr>
          <w:rFonts w:ascii="Times New Roman" w:hAnsi="Times New Roman" w:cs="Times New Roman"/>
        </w:rPr>
      </w:pPr>
    </w:p>
    <w:p w:rsidR="00E13D26" w:rsidRDefault="00E13D26" w:rsidP="00435D65">
      <w:pPr>
        <w:pStyle w:val="Default"/>
        <w:spacing w:line="360" w:lineRule="auto"/>
        <w:jc w:val="both"/>
        <w:rPr>
          <w:rFonts w:ascii="Times New Roman" w:hAnsi="Times New Roman" w:cs="Times New Roman"/>
          <w:b/>
          <w:bCs/>
        </w:rPr>
      </w:pPr>
      <w:r w:rsidRPr="00270DAA">
        <w:rPr>
          <w:rFonts w:ascii="Times New Roman" w:hAnsi="Times New Roman" w:cs="Times New Roman"/>
          <w:b/>
          <w:bCs/>
        </w:rPr>
        <w:t>2.</w:t>
      </w:r>
      <w:r w:rsidRPr="00270DAA">
        <w:rPr>
          <w:rFonts w:ascii="Times New Roman" w:hAnsi="Times New Roman" w:cs="Times New Roman"/>
          <w:b/>
          <w:bCs/>
        </w:rPr>
        <w:tab/>
      </w:r>
      <w:r w:rsidR="00A82D9B" w:rsidRPr="00270DAA">
        <w:rPr>
          <w:rFonts w:ascii="Times New Roman" w:hAnsi="Times New Roman" w:cs="Times New Roman"/>
          <w:b/>
          <w:bCs/>
        </w:rPr>
        <w:t>DEFINITIONS</w:t>
      </w:r>
    </w:p>
    <w:p w:rsidR="00435D65" w:rsidRPr="00270DAA" w:rsidRDefault="00435D65" w:rsidP="00435D65">
      <w:pPr>
        <w:pStyle w:val="Default"/>
        <w:spacing w:line="360" w:lineRule="auto"/>
        <w:jc w:val="both"/>
        <w:rPr>
          <w:rFonts w:ascii="Times New Roman" w:hAnsi="Times New Roman" w:cs="Times New Roman"/>
        </w:rPr>
      </w:pPr>
    </w:p>
    <w:p w:rsidR="009A20C0" w:rsidRPr="00435D65" w:rsidRDefault="00E13D26" w:rsidP="00435D65">
      <w:pPr>
        <w:pStyle w:val="Default"/>
        <w:spacing w:line="360" w:lineRule="auto"/>
        <w:jc w:val="both"/>
        <w:rPr>
          <w:rFonts w:ascii="Times New Roman" w:hAnsi="Times New Roman" w:cs="Times New Roman"/>
        </w:rPr>
      </w:pPr>
      <w:r w:rsidRPr="00270DAA">
        <w:rPr>
          <w:rFonts w:ascii="Times New Roman" w:hAnsi="Times New Roman" w:cs="Times New Roman"/>
        </w:rPr>
        <w:t>2.1</w:t>
      </w:r>
      <w:r w:rsidRPr="00270DAA">
        <w:rPr>
          <w:rFonts w:ascii="Times New Roman" w:hAnsi="Times New Roman" w:cs="Times New Roman"/>
        </w:rPr>
        <w:tab/>
        <w:t xml:space="preserve">In this Practice Note: </w:t>
      </w:r>
    </w:p>
    <w:p w:rsidR="00BA0154" w:rsidRPr="00435D65" w:rsidRDefault="00D96617" w:rsidP="00435D65">
      <w:pPr>
        <w:tabs>
          <w:tab w:val="left" w:pos="720"/>
        </w:tabs>
        <w:rPr>
          <w:rFonts w:ascii="Times New Roman" w:hAnsi="Times New Roman" w:cs="Times New Roman"/>
          <w:b/>
          <w:bCs/>
          <w:iCs/>
        </w:rPr>
      </w:pPr>
      <w:r w:rsidRPr="00270DAA">
        <w:rPr>
          <w:rFonts w:ascii="Times New Roman" w:hAnsi="Times New Roman" w:cs="Times New Roman"/>
          <w:b/>
          <w:bCs/>
          <w:i/>
          <w:iCs/>
        </w:rPr>
        <w:tab/>
        <w:t>Act</w:t>
      </w:r>
      <w:r w:rsidRPr="00270DAA">
        <w:rPr>
          <w:rFonts w:ascii="Times New Roman" w:hAnsi="Times New Roman" w:cs="Times New Roman"/>
          <w:bCs/>
          <w:iCs/>
        </w:rPr>
        <w:t xml:space="preserve"> means the </w:t>
      </w:r>
      <w:r w:rsidRPr="00270DAA">
        <w:rPr>
          <w:rFonts w:ascii="Times New Roman" w:hAnsi="Times New Roman" w:cs="Times New Roman"/>
          <w:bCs/>
          <w:i/>
          <w:iCs/>
        </w:rPr>
        <w:t>Bail Act 1977.</w:t>
      </w:r>
    </w:p>
    <w:p w:rsidR="00D96617" w:rsidRPr="00435D65" w:rsidRDefault="00D96617" w:rsidP="00435D65">
      <w:pPr>
        <w:tabs>
          <w:tab w:val="left" w:pos="720"/>
        </w:tabs>
        <w:ind w:left="720"/>
        <w:rPr>
          <w:rFonts w:ascii="Times New Roman" w:hAnsi="Times New Roman" w:cs="Times New Roman"/>
          <w:bCs/>
          <w:i/>
          <w:iCs/>
        </w:rPr>
      </w:pPr>
      <w:r w:rsidRPr="00270DAA">
        <w:rPr>
          <w:rFonts w:ascii="Times New Roman" w:hAnsi="Times New Roman" w:cs="Times New Roman"/>
          <w:b/>
          <w:bCs/>
          <w:i/>
          <w:iCs/>
        </w:rPr>
        <w:t>CPA</w:t>
      </w:r>
      <w:r w:rsidRPr="00270DAA">
        <w:rPr>
          <w:rFonts w:ascii="Times New Roman" w:hAnsi="Times New Roman" w:cs="Times New Roman"/>
          <w:bCs/>
          <w:iCs/>
        </w:rPr>
        <w:t xml:space="preserve"> means the </w:t>
      </w:r>
      <w:r w:rsidRPr="00270DAA">
        <w:rPr>
          <w:rFonts w:ascii="Times New Roman" w:hAnsi="Times New Roman" w:cs="Times New Roman"/>
          <w:bCs/>
          <w:i/>
          <w:iCs/>
        </w:rPr>
        <w:t>Criminal Procedure Act 2009.</w:t>
      </w:r>
    </w:p>
    <w:p w:rsidR="00A1681A" w:rsidRPr="00270DAA" w:rsidRDefault="00D96617" w:rsidP="00435D65">
      <w:pPr>
        <w:tabs>
          <w:tab w:val="left" w:pos="720"/>
        </w:tabs>
        <w:ind w:left="720"/>
        <w:rPr>
          <w:rFonts w:ascii="Times New Roman" w:hAnsi="Times New Roman" w:cs="Times New Roman"/>
          <w:bCs/>
          <w:iCs/>
        </w:rPr>
      </w:pPr>
      <w:r w:rsidRPr="00270DAA">
        <w:rPr>
          <w:rFonts w:ascii="Times New Roman" w:hAnsi="Times New Roman" w:cs="Times New Roman"/>
          <w:b/>
          <w:bCs/>
          <w:i/>
          <w:iCs/>
        </w:rPr>
        <w:t>Director or DPP</w:t>
      </w:r>
      <w:r w:rsidR="003825A1" w:rsidRPr="00270DAA">
        <w:rPr>
          <w:rFonts w:ascii="Times New Roman" w:hAnsi="Times New Roman" w:cs="Times New Roman"/>
          <w:bCs/>
          <w:iCs/>
        </w:rPr>
        <w:t xml:space="preserve"> means, as appropriate, either </w:t>
      </w:r>
      <w:r w:rsidRPr="00270DAA">
        <w:rPr>
          <w:rFonts w:ascii="Times New Roman" w:hAnsi="Times New Roman" w:cs="Times New Roman"/>
          <w:bCs/>
          <w:iCs/>
        </w:rPr>
        <w:t xml:space="preserve">the </w:t>
      </w:r>
      <w:r w:rsidR="003825A1" w:rsidRPr="00270DAA">
        <w:rPr>
          <w:rFonts w:ascii="Times New Roman" w:hAnsi="Times New Roman" w:cs="Times New Roman"/>
          <w:bCs/>
          <w:iCs/>
        </w:rPr>
        <w:t xml:space="preserve">State or Commonwealth </w:t>
      </w:r>
      <w:r w:rsidRPr="00270DAA">
        <w:rPr>
          <w:rFonts w:ascii="Times New Roman" w:hAnsi="Times New Roman" w:cs="Times New Roman"/>
          <w:bCs/>
          <w:iCs/>
        </w:rPr>
        <w:t>Director of Public Prosecutions.</w:t>
      </w:r>
    </w:p>
    <w:p w:rsidR="006D07C5" w:rsidRPr="00270DAA" w:rsidRDefault="00E13D26" w:rsidP="00435D65">
      <w:pPr>
        <w:tabs>
          <w:tab w:val="left" w:pos="720"/>
        </w:tabs>
        <w:rPr>
          <w:rFonts w:ascii="Times New Roman" w:hAnsi="Times New Roman" w:cs="Times New Roman"/>
        </w:rPr>
      </w:pPr>
      <w:r w:rsidRPr="00270DAA">
        <w:rPr>
          <w:rFonts w:ascii="Times New Roman" w:hAnsi="Times New Roman" w:cs="Times New Roman"/>
          <w:b/>
          <w:bCs/>
          <w:i/>
          <w:iCs/>
        </w:rPr>
        <w:tab/>
        <w:t xml:space="preserve">Registry </w:t>
      </w:r>
      <w:r w:rsidRPr="00270DAA">
        <w:rPr>
          <w:rFonts w:ascii="Times New Roman" w:hAnsi="Times New Roman" w:cs="Times New Roman"/>
        </w:rPr>
        <w:t>means the Principal Registry of the Supreme Court</w:t>
      </w:r>
      <w:r w:rsidR="009A20C0" w:rsidRPr="00270DAA">
        <w:rPr>
          <w:rFonts w:ascii="Times New Roman" w:hAnsi="Times New Roman" w:cs="Times New Roman"/>
        </w:rPr>
        <w:t xml:space="preserve"> of Victoria</w:t>
      </w:r>
      <w:r w:rsidRPr="00270DAA">
        <w:rPr>
          <w:rFonts w:ascii="Times New Roman" w:hAnsi="Times New Roman" w:cs="Times New Roman"/>
        </w:rPr>
        <w:t>.</w:t>
      </w:r>
    </w:p>
    <w:p w:rsidR="00E13D26" w:rsidRPr="00270DAA" w:rsidRDefault="00E13D26" w:rsidP="00435D65">
      <w:pPr>
        <w:tabs>
          <w:tab w:val="left" w:pos="720"/>
        </w:tabs>
        <w:rPr>
          <w:rFonts w:ascii="Times New Roman" w:hAnsi="Times New Roman" w:cs="Times New Roman"/>
        </w:rPr>
      </w:pPr>
    </w:p>
    <w:p w:rsidR="006D07C5" w:rsidRPr="00270DAA" w:rsidRDefault="00E13D26" w:rsidP="00435D65">
      <w:pPr>
        <w:pStyle w:val="List"/>
        <w:spacing w:before="120" w:after="120" w:line="360" w:lineRule="auto"/>
        <w:ind w:left="720" w:right="216" w:hanging="720"/>
        <w:jc w:val="both"/>
        <w:rPr>
          <w:rFonts w:eastAsiaTheme="minorHAnsi"/>
          <w:b/>
          <w:bCs/>
          <w:color w:val="000000"/>
          <w:lang w:eastAsia="en-US"/>
        </w:rPr>
      </w:pPr>
      <w:r w:rsidRPr="00270DAA">
        <w:rPr>
          <w:b/>
          <w:caps/>
        </w:rPr>
        <w:t>3.</w:t>
      </w:r>
      <w:r w:rsidR="006D07C5" w:rsidRPr="00270DAA">
        <w:rPr>
          <w:b/>
          <w:caps/>
        </w:rPr>
        <w:tab/>
      </w:r>
      <w:r w:rsidR="00A82D9B" w:rsidRPr="00270DAA">
        <w:rPr>
          <w:rFonts w:eastAsiaTheme="minorHAnsi"/>
          <w:b/>
          <w:bCs/>
          <w:color w:val="000000"/>
          <w:lang w:eastAsia="en-US"/>
        </w:rPr>
        <w:t>FILING AND SERVICE</w:t>
      </w:r>
    </w:p>
    <w:p w:rsidR="006D07C5" w:rsidRPr="00270DAA" w:rsidRDefault="009A20C0" w:rsidP="00435D65">
      <w:pPr>
        <w:pStyle w:val="List"/>
        <w:spacing w:before="120" w:after="120" w:line="360" w:lineRule="auto"/>
        <w:ind w:left="720" w:right="216" w:hanging="720"/>
        <w:jc w:val="both"/>
      </w:pPr>
      <w:r w:rsidRPr="00270DAA">
        <w:t>3.1</w:t>
      </w:r>
      <w:r w:rsidRPr="00270DAA">
        <w:tab/>
      </w:r>
      <w:r w:rsidR="006D07C5" w:rsidRPr="00270DAA">
        <w:t>An</w:t>
      </w:r>
      <w:r w:rsidR="00A1681A" w:rsidRPr="00270DAA">
        <w:t>y</w:t>
      </w:r>
      <w:r w:rsidR="006D07C5" w:rsidRPr="00270DAA">
        <w:t xml:space="preserve"> application </w:t>
      </w:r>
      <w:r w:rsidR="0043236B" w:rsidRPr="00270DAA">
        <w:t xml:space="preserve">for bail </w:t>
      </w:r>
      <w:r w:rsidR="007844A4" w:rsidRPr="00270DAA">
        <w:t xml:space="preserve">or appeal </w:t>
      </w:r>
      <w:r w:rsidR="0043236B" w:rsidRPr="00270DAA">
        <w:t xml:space="preserve">against a refusal of </w:t>
      </w:r>
      <w:r w:rsidR="006D07C5" w:rsidRPr="00270DAA">
        <w:t xml:space="preserve">bail </w:t>
      </w:r>
      <w:r w:rsidR="00A1681A" w:rsidRPr="00270DAA">
        <w:t>and</w:t>
      </w:r>
      <w:r w:rsidR="00D96617" w:rsidRPr="00270DAA">
        <w:t xml:space="preserve"> any opposition thereto</w:t>
      </w:r>
      <w:r w:rsidR="0043236B" w:rsidRPr="00270DAA">
        <w:t>,</w:t>
      </w:r>
      <w:r w:rsidR="00D96617" w:rsidRPr="00270DAA">
        <w:t xml:space="preserve"> </w:t>
      </w:r>
      <w:r w:rsidR="00A1681A" w:rsidRPr="00270DAA">
        <w:t>with</w:t>
      </w:r>
      <w:r w:rsidR="006D07C5" w:rsidRPr="00270DAA">
        <w:t xml:space="preserve"> </w:t>
      </w:r>
      <w:r w:rsidR="007844A4" w:rsidRPr="00270DAA">
        <w:t xml:space="preserve">any </w:t>
      </w:r>
      <w:r w:rsidR="006D07C5" w:rsidRPr="00270DAA">
        <w:t xml:space="preserve">supporting affidavit </w:t>
      </w:r>
      <w:r w:rsidR="00904FF6" w:rsidRPr="00270DAA">
        <w:t>must be filed with the Registry.</w:t>
      </w:r>
    </w:p>
    <w:p w:rsidR="009A20C0" w:rsidRPr="00270DAA" w:rsidRDefault="006D07C5" w:rsidP="00435D65">
      <w:pPr>
        <w:pStyle w:val="List"/>
        <w:numPr>
          <w:ilvl w:val="0"/>
          <w:numId w:val="5"/>
        </w:numPr>
        <w:spacing w:before="120" w:after="120" w:line="360" w:lineRule="auto"/>
        <w:ind w:left="1440" w:right="216"/>
        <w:jc w:val="both"/>
      </w:pPr>
      <w:r w:rsidRPr="00270DAA">
        <w:lastRenderedPageBreak/>
        <w:t xml:space="preserve">Filing may </w:t>
      </w:r>
      <w:r w:rsidR="0043236B" w:rsidRPr="00270DAA">
        <w:t xml:space="preserve">be </w:t>
      </w:r>
      <w:r w:rsidRPr="00270DAA">
        <w:t xml:space="preserve">either by emailing the application and affidavit to </w:t>
      </w:r>
      <w:hyperlink r:id="rId12" w:history="1">
        <w:r w:rsidRPr="00270DAA">
          <w:rPr>
            <w:rStyle w:val="Hyperlink"/>
          </w:rPr>
          <w:t>criminaldivision@supremecourt.vic.gov.au</w:t>
        </w:r>
      </w:hyperlink>
      <w:r w:rsidRPr="00270DAA">
        <w:t xml:space="preserve"> or by submitting the</w:t>
      </w:r>
      <w:r w:rsidR="000D09F5" w:rsidRPr="00270DAA">
        <w:t>se</w:t>
      </w:r>
      <w:r w:rsidRPr="00270DAA">
        <w:t xml:space="preserve"> materials to the Registry</w:t>
      </w:r>
      <w:r w:rsidR="000030C5" w:rsidRPr="00270DAA">
        <w:t xml:space="preserve"> in person</w:t>
      </w:r>
      <w:r w:rsidRPr="00270DAA">
        <w:t xml:space="preserve"> </w:t>
      </w:r>
      <w:r w:rsidR="000B4D2E" w:rsidRPr="00270DAA">
        <w:t xml:space="preserve">or via post </w:t>
      </w:r>
      <w:r w:rsidR="00C33FE8" w:rsidRPr="00270DAA">
        <w:t>at</w:t>
      </w:r>
      <w:r w:rsidR="000B4D2E" w:rsidRPr="00270DAA">
        <w:t xml:space="preserve"> </w:t>
      </w:r>
      <w:r w:rsidRPr="00270DAA">
        <w:t>2/436 Lonsdale Street, Melbourne.</w:t>
      </w:r>
    </w:p>
    <w:p w:rsidR="006D07C5" w:rsidRPr="00270DAA" w:rsidRDefault="006D07C5" w:rsidP="00435D65">
      <w:pPr>
        <w:pStyle w:val="List"/>
        <w:numPr>
          <w:ilvl w:val="0"/>
          <w:numId w:val="5"/>
        </w:numPr>
        <w:spacing w:before="120" w:after="120" w:line="360" w:lineRule="auto"/>
        <w:ind w:left="1440" w:right="216"/>
        <w:jc w:val="both"/>
      </w:pPr>
      <w:r w:rsidRPr="00270DAA">
        <w:t xml:space="preserve">Subject to </w:t>
      </w:r>
      <w:r w:rsidR="006E06EB" w:rsidRPr="00270DAA">
        <w:t>an</w:t>
      </w:r>
      <w:r w:rsidR="00D96617" w:rsidRPr="00270DAA">
        <w:t xml:space="preserve"> explicit order to the contrary</w:t>
      </w:r>
      <w:r w:rsidRPr="00270DAA">
        <w:t>, no application</w:t>
      </w:r>
      <w:r w:rsidR="007415FA" w:rsidRPr="00270DAA">
        <w:t>,</w:t>
      </w:r>
      <w:r w:rsidRPr="00270DAA">
        <w:t xml:space="preserve"> affidavit</w:t>
      </w:r>
      <w:r w:rsidR="000030C5" w:rsidRPr="00270DAA">
        <w:t xml:space="preserve"> or opposition</w:t>
      </w:r>
      <w:r w:rsidRPr="00270DAA">
        <w:t xml:space="preserve"> should be filed with any individual </w:t>
      </w:r>
      <w:r w:rsidR="00D96617" w:rsidRPr="00270DAA">
        <w:t>Judge</w:t>
      </w:r>
      <w:r w:rsidRPr="00270DAA">
        <w:t xml:space="preserve"> of the Court</w:t>
      </w:r>
      <w:r w:rsidR="000D09F5" w:rsidRPr="00270DAA">
        <w:t xml:space="preserve"> or </w:t>
      </w:r>
      <w:r w:rsidR="007415FA" w:rsidRPr="00270DAA">
        <w:t xml:space="preserve">a member of </w:t>
      </w:r>
      <w:r w:rsidR="00D96617" w:rsidRPr="00270DAA">
        <w:t>their</w:t>
      </w:r>
      <w:r w:rsidRPr="00270DAA">
        <w:t xml:space="preserve"> staff.</w:t>
      </w:r>
    </w:p>
    <w:p w:rsidR="006D07C5" w:rsidRPr="00270DAA" w:rsidRDefault="009A20C0" w:rsidP="00435D65">
      <w:pPr>
        <w:pStyle w:val="List"/>
        <w:spacing w:before="120" w:after="120" w:line="360" w:lineRule="auto"/>
        <w:ind w:left="720" w:right="216" w:hanging="720"/>
        <w:jc w:val="both"/>
      </w:pPr>
      <w:r w:rsidRPr="00270DAA">
        <w:t>3.2</w:t>
      </w:r>
      <w:r w:rsidRPr="00270DAA">
        <w:tab/>
      </w:r>
      <w:r w:rsidR="006D07C5" w:rsidRPr="00270DAA">
        <w:t>An application or further application for bail</w:t>
      </w:r>
      <w:r w:rsidR="000030C5" w:rsidRPr="00270DAA">
        <w:t>,</w:t>
      </w:r>
      <w:r w:rsidR="006D07C5" w:rsidRPr="00270DAA">
        <w:t xml:space="preserve"> or</w:t>
      </w:r>
      <w:r w:rsidRPr="00270DAA">
        <w:t xml:space="preserve"> seeking to vary the conditions </w:t>
      </w:r>
      <w:r w:rsidR="006D07C5" w:rsidRPr="00270DAA">
        <w:t>of bail</w:t>
      </w:r>
      <w:r w:rsidR="000030C5" w:rsidRPr="00270DAA">
        <w:t>,</w:t>
      </w:r>
      <w:r w:rsidR="006D07C5" w:rsidRPr="00270DAA">
        <w:t xml:space="preserve"> and </w:t>
      </w:r>
      <w:r w:rsidR="000D09F5" w:rsidRPr="00270DAA">
        <w:t xml:space="preserve">a </w:t>
      </w:r>
      <w:r w:rsidR="006D07C5" w:rsidRPr="00270DAA">
        <w:t>supporting affidavit:</w:t>
      </w:r>
    </w:p>
    <w:p w:rsidR="009A20C0" w:rsidRPr="00270DAA" w:rsidRDefault="006D07C5" w:rsidP="00435D65">
      <w:pPr>
        <w:pStyle w:val="List"/>
        <w:numPr>
          <w:ilvl w:val="0"/>
          <w:numId w:val="6"/>
        </w:numPr>
        <w:spacing w:before="120" w:after="120" w:line="360" w:lineRule="auto"/>
        <w:ind w:left="1440" w:right="216" w:hanging="720"/>
        <w:jc w:val="both"/>
      </w:pPr>
      <w:r w:rsidRPr="00270DAA">
        <w:t xml:space="preserve">Must, when filed by the applicant’s legal representative, be served on the </w:t>
      </w:r>
      <w:r w:rsidR="000D09F5" w:rsidRPr="00270DAA">
        <w:t>DPP</w:t>
      </w:r>
      <w:r w:rsidR="00904FF6" w:rsidRPr="00270DAA">
        <w:t>,</w:t>
      </w:r>
      <w:r w:rsidRPr="00270DAA">
        <w:t xml:space="preserve"> in accordance with s 392 of the CPA</w:t>
      </w:r>
      <w:r w:rsidRPr="00270DAA">
        <w:rPr>
          <w:i/>
        </w:rPr>
        <w:t xml:space="preserve">, </w:t>
      </w:r>
      <w:r w:rsidRPr="00270DAA">
        <w:t>on the same day that they are filed with the Registry;</w:t>
      </w:r>
    </w:p>
    <w:p w:rsidR="009A20C0" w:rsidRPr="00270DAA" w:rsidRDefault="006D07C5" w:rsidP="00435D65">
      <w:pPr>
        <w:pStyle w:val="List"/>
        <w:numPr>
          <w:ilvl w:val="0"/>
          <w:numId w:val="6"/>
        </w:numPr>
        <w:spacing w:before="120" w:after="120" w:line="360" w:lineRule="auto"/>
        <w:ind w:left="1440" w:right="216" w:hanging="720"/>
        <w:jc w:val="both"/>
      </w:pPr>
      <w:r w:rsidRPr="00270DAA">
        <w:t>Will, when filed by an applicant in person, be transmitted electronically to the DPP by the Registry within 24 hours of filing.</w:t>
      </w:r>
    </w:p>
    <w:p w:rsidR="000D09F5" w:rsidRPr="00270DAA" w:rsidRDefault="000D09F5" w:rsidP="00435D65">
      <w:pPr>
        <w:pStyle w:val="List"/>
        <w:numPr>
          <w:ilvl w:val="0"/>
          <w:numId w:val="6"/>
        </w:numPr>
        <w:spacing w:before="120" w:after="120" w:line="360" w:lineRule="auto"/>
        <w:ind w:left="1440" w:right="216" w:hanging="720"/>
        <w:jc w:val="both"/>
      </w:pPr>
      <w:r w:rsidRPr="00270DAA">
        <w:t xml:space="preserve">Will in all cases be transmitted electronically to </w:t>
      </w:r>
      <w:r w:rsidR="004E60D6" w:rsidRPr="00270DAA">
        <w:t>Victoria Police,</w:t>
      </w:r>
      <w:r w:rsidRPr="00270DAA">
        <w:t xml:space="preserve"> by the Registry within 24 hours of filing in order to facilitate the timely preparation of a response.</w:t>
      </w:r>
    </w:p>
    <w:p w:rsidR="006D07C5" w:rsidRPr="00270DAA" w:rsidRDefault="009A20C0" w:rsidP="00435D65">
      <w:pPr>
        <w:pStyle w:val="List"/>
        <w:spacing w:before="120" w:after="120" w:line="360" w:lineRule="auto"/>
        <w:ind w:left="720" w:right="216" w:hanging="720"/>
        <w:jc w:val="both"/>
      </w:pPr>
      <w:r w:rsidRPr="00270DAA">
        <w:t>3.3</w:t>
      </w:r>
      <w:r w:rsidRPr="00270DAA">
        <w:tab/>
      </w:r>
      <w:r w:rsidR="006D07C5" w:rsidRPr="00270DAA">
        <w:t>The DPP or informant must file and serve on the applicant or their legal representative any materials in opposition</w:t>
      </w:r>
      <w:r w:rsidR="00904FF6" w:rsidRPr="00270DAA">
        <w:t>,</w:t>
      </w:r>
      <w:r w:rsidR="006D07C5" w:rsidRPr="00270DAA">
        <w:t xml:space="preserve"> or a notice of intention not to contest</w:t>
      </w:r>
      <w:r w:rsidR="00904FF6" w:rsidRPr="00270DAA">
        <w:t>,</w:t>
      </w:r>
      <w:r w:rsidR="006D07C5" w:rsidRPr="00270DAA">
        <w:t xml:space="preserve"> within 5 days of service or the Registry’s electronic transmission of the application. </w:t>
      </w:r>
    </w:p>
    <w:p w:rsidR="006D07C5" w:rsidRPr="00270DAA" w:rsidRDefault="009A20C0" w:rsidP="00435D65">
      <w:pPr>
        <w:pStyle w:val="List"/>
        <w:spacing w:before="120" w:after="120" w:line="360" w:lineRule="auto"/>
        <w:ind w:left="720" w:right="216" w:hanging="720"/>
        <w:jc w:val="both"/>
      </w:pPr>
      <w:r w:rsidRPr="00270DAA">
        <w:t>3.4</w:t>
      </w:r>
      <w:r w:rsidRPr="00270DAA">
        <w:tab/>
      </w:r>
      <w:r w:rsidR="006D07C5" w:rsidRPr="00270DAA">
        <w:t xml:space="preserve">An application </w:t>
      </w:r>
      <w:r w:rsidR="007844A4" w:rsidRPr="00270DAA">
        <w:t xml:space="preserve">in respect of </w:t>
      </w:r>
      <w:r w:rsidR="006D07C5" w:rsidRPr="00270DAA">
        <w:t xml:space="preserve">the revocation of bail and supporting affidavit must be served on the respondent or their legal representative, in accordance with </w:t>
      </w:r>
      <w:proofErr w:type="spellStart"/>
      <w:r w:rsidR="006D07C5" w:rsidRPr="00270DAA">
        <w:t>ss</w:t>
      </w:r>
      <w:proofErr w:type="spellEnd"/>
      <w:r w:rsidR="006D07C5" w:rsidRPr="00270DAA">
        <w:t xml:space="preserve"> 391</w:t>
      </w:r>
      <w:r w:rsidR="00A1681A" w:rsidRPr="00270DAA">
        <w:t xml:space="preserve"> &amp;</w:t>
      </w:r>
      <w:r w:rsidR="006D07C5" w:rsidRPr="00270DAA">
        <w:t xml:space="preserve"> 394 of the CPA, on the same day that they are filed with the Registry.</w:t>
      </w:r>
    </w:p>
    <w:p w:rsidR="006D07C5" w:rsidRPr="00270DAA" w:rsidRDefault="009A20C0" w:rsidP="00435D65">
      <w:pPr>
        <w:pStyle w:val="List"/>
        <w:spacing w:before="120" w:after="120" w:line="360" w:lineRule="auto"/>
        <w:ind w:left="720" w:right="216" w:hanging="720"/>
        <w:jc w:val="both"/>
      </w:pPr>
      <w:r w:rsidRPr="00270DAA">
        <w:t>3.5</w:t>
      </w:r>
      <w:r w:rsidRPr="00270DAA">
        <w:tab/>
      </w:r>
      <w:r w:rsidR="006D07C5" w:rsidRPr="00270DAA">
        <w:t xml:space="preserve">The respondent must file and serve any materials in opposition to the application for revocation of bail, or a notice of intention not to contest, </w:t>
      </w:r>
      <w:r w:rsidR="00146C94" w:rsidRPr="00270DAA">
        <w:t>as soon as practicable and no more than 3</w:t>
      </w:r>
      <w:r w:rsidR="006D07C5" w:rsidRPr="00270DAA">
        <w:t xml:space="preserve"> days </w:t>
      </w:r>
      <w:r w:rsidR="00146C94" w:rsidRPr="00270DAA">
        <w:t xml:space="preserve">after </w:t>
      </w:r>
      <w:r w:rsidR="006D07C5" w:rsidRPr="00270DAA">
        <w:t>service</w:t>
      </w:r>
      <w:r w:rsidR="00146C94" w:rsidRPr="00270DAA">
        <w:t xml:space="preserve"> of the application</w:t>
      </w:r>
      <w:r w:rsidR="006D07C5" w:rsidRPr="00270DAA">
        <w:t>.</w:t>
      </w:r>
    </w:p>
    <w:p w:rsidR="00024929" w:rsidRPr="00270DAA" w:rsidRDefault="00024929" w:rsidP="00435D65">
      <w:pPr>
        <w:pStyle w:val="List"/>
        <w:spacing w:before="120" w:after="120" w:line="360" w:lineRule="auto"/>
        <w:ind w:left="720" w:right="216" w:hanging="720"/>
        <w:jc w:val="both"/>
        <w:rPr>
          <w:b/>
          <w:smallCaps/>
        </w:rPr>
      </w:pPr>
    </w:p>
    <w:p w:rsidR="0015213C" w:rsidRPr="00270DAA" w:rsidRDefault="009A20C0" w:rsidP="00435D65">
      <w:pPr>
        <w:pStyle w:val="List"/>
        <w:spacing w:before="120" w:after="120" w:line="360" w:lineRule="auto"/>
        <w:ind w:left="720" w:right="216" w:hanging="720"/>
        <w:jc w:val="both"/>
      </w:pPr>
      <w:r w:rsidRPr="00270DAA">
        <w:rPr>
          <w:b/>
          <w:caps/>
        </w:rPr>
        <w:t>4.</w:t>
      </w:r>
      <w:r w:rsidR="006D07C5" w:rsidRPr="00270DAA">
        <w:rPr>
          <w:b/>
          <w:caps/>
        </w:rPr>
        <w:tab/>
      </w:r>
      <w:r w:rsidR="00A82D9B" w:rsidRPr="00270DAA">
        <w:rPr>
          <w:rFonts w:eastAsiaTheme="minorHAnsi"/>
          <w:b/>
          <w:bCs/>
          <w:color w:val="000000"/>
          <w:lang w:eastAsia="en-US"/>
        </w:rPr>
        <w:t>FORM AND CONTENT</w:t>
      </w:r>
    </w:p>
    <w:p w:rsidR="00E00547" w:rsidRPr="00270DAA" w:rsidRDefault="0015213C" w:rsidP="00435D65">
      <w:pPr>
        <w:pStyle w:val="List"/>
        <w:spacing w:before="120" w:after="120" w:line="360" w:lineRule="auto"/>
        <w:ind w:left="720" w:right="216" w:hanging="720"/>
        <w:jc w:val="both"/>
      </w:pPr>
      <w:r w:rsidRPr="00270DAA">
        <w:t>4.1</w:t>
      </w:r>
      <w:r w:rsidRPr="00270DAA">
        <w:tab/>
        <w:t xml:space="preserve">Generally, any application in respect of bail must comply with the requirements of </w:t>
      </w:r>
      <w:r w:rsidRPr="00270DAA">
        <w:rPr>
          <w:i/>
        </w:rPr>
        <w:t>Supreme Court (</w:t>
      </w:r>
      <w:r w:rsidR="00C33FE8" w:rsidRPr="00270DAA">
        <w:rPr>
          <w:i/>
        </w:rPr>
        <w:t xml:space="preserve">Criminal </w:t>
      </w:r>
      <w:r w:rsidRPr="00270DAA">
        <w:rPr>
          <w:i/>
        </w:rPr>
        <w:t>Procedure) Rules 200</w:t>
      </w:r>
      <w:r w:rsidR="00C33FE8" w:rsidRPr="00270DAA">
        <w:rPr>
          <w:i/>
        </w:rPr>
        <w:t>8</w:t>
      </w:r>
      <w:r w:rsidR="00C33FE8" w:rsidRPr="00270DAA">
        <w:t xml:space="preserve"> r 1.10.</w:t>
      </w:r>
    </w:p>
    <w:p w:rsidR="00BA0FD9" w:rsidRPr="00270DAA" w:rsidRDefault="00BA0FD9" w:rsidP="00435D65">
      <w:pPr>
        <w:pStyle w:val="List"/>
        <w:numPr>
          <w:ilvl w:val="0"/>
          <w:numId w:val="7"/>
        </w:numPr>
        <w:spacing w:before="120" w:after="120" w:line="360" w:lineRule="auto"/>
        <w:ind w:right="216" w:hanging="720"/>
        <w:jc w:val="both"/>
      </w:pPr>
      <w:r w:rsidRPr="00270DAA">
        <w:t>Templates to s</w:t>
      </w:r>
      <w:r w:rsidR="000E7FA5" w:rsidRPr="00270DAA">
        <w:t xml:space="preserve">pecific types of bail </w:t>
      </w:r>
      <w:r w:rsidRPr="00270DAA">
        <w:t>application</w:t>
      </w:r>
      <w:r w:rsidR="000E7FA5" w:rsidRPr="00270DAA">
        <w:t>s</w:t>
      </w:r>
      <w:r w:rsidRPr="00270DAA">
        <w:t xml:space="preserve"> may be found </w:t>
      </w:r>
      <w:r w:rsidR="00DD6F21" w:rsidRPr="00270DAA">
        <w:t>on the Court’s website</w:t>
      </w:r>
      <w:r w:rsidR="000923F7" w:rsidRPr="00270DAA">
        <w:t>.</w:t>
      </w:r>
      <w:r w:rsidR="000E7FA5" w:rsidRPr="00270DAA">
        <w:t xml:space="preserve">  These may also be found as F</w:t>
      </w:r>
      <w:r w:rsidRPr="00270DAA">
        <w:t xml:space="preserve">orms 11, 11A &amp; 14 of the </w:t>
      </w:r>
      <w:r w:rsidRPr="00270DAA">
        <w:rPr>
          <w:i/>
        </w:rPr>
        <w:t>Bail Regulations 2012</w:t>
      </w:r>
      <w:r w:rsidRPr="00270DAA">
        <w:t>.</w:t>
      </w:r>
    </w:p>
    <w:p w:rsidR="00185100" w:rsidRPr="00270DAA" w:rsidRDefault="0015213C" w:rsidP="00435D65">
      <w:pPr>
        <w:pStyle w:val="List"/>
        <w:spacing w:before="120" w:after="120" w:line="360" w:lineRule="auto"/>
        <w:ind w:left="720" w:right="216" w:hanging="720"/>
        <w:jc w:val="both"/>
      </w:pPr>
      <w:r w:rsidRPr="00270DAA">
        <w:rPr>
          <w:caps/>
        </w:rPr>
        <w:lastRenderedPageBreak/>
        <w:t>4.2</w:t>
      </w:r>
      <w:r w:rsidRPr="00270DAA">
        <w:rPr>
          <w:caps/>
        </w:rPr>
        <w:tab/>
      </w:r>
      <w:r w:rsidR="006D07C5" w:rsidRPr="00270DAA">
        <w:t xml:space="preserve">An application in respect of bail must </w:t>
      </w:r>
      <w:r w:rsidR="006D07C5" w:rsidRPr="00270DAA">
        <w:rPr>
          <w:u w:val="single"/>
        </w:rPr>
        <w:t>not</w:t>
      </w:r>
      <w:r w:rsidR="00A1681A" w:rsidRPr="00270DAA">
        <w:t xml:space="preserve"> specify a date for hearing, this will be set by the Registry</w:t>
      </w:r>
      <w:r w:rsidR="000923F7" w:rsidRPr="00270DAA">
        <w:t xml:space="preserve"> following consultation with</w:t>
      </w:r>
      <w:r w:rsidR="00743411" w:rsidRPr="00270DAA">
        <w:t xml:space="preserve"> </w:t>
      </w:r>
      <w:r w:rsidR="000923F7" w:rsidRPr="00270DAA">
        <w:t>the Criminal Division</w:t>
      </w:r>
      <w:r w:rsidR="00185100" w:rsidRPr="00270DAA">
        <w:t>.</w:t>
      </w:r>
      <w:r w:rsidR="007415FA" w:rsidRPr="00270DAA">
        <w:t xml:space="preserve"> </w:t>
      </w:r>
      <w:r w:rsidR="00185100" w:rsidRPr="00270DAA">
        <w:rPr>
          <w:b/>
          <w:i/>
        </w:rPr>
        <w:t xml:space="preserve">However, parties must advise the Registry of any information, which they know to be relevant to the fixing of a hearing date, </w:t>
      </w:r>
      <w:r w:rsidR="00185100" w:rsidRPr="00270DAA">
        <w:rPr>
          <w:b/>
          <w:i/>
          <w:u w:val="single"/>
        </w:rPr>
        <w:t>at the time of the filing of their application or any response</w:t>
      </w:r>
      <w:r w:rsidR="00146C94" w:rsidRPr="00270DAA">
        <w:rPr>
          <w:b/>
          <w:i/>
          <w:u w:val="single"/>
        </w:rPr>
        <w:t>, or at the earliest opportunity</w:t>
      </w:r>
      <w:r w:rsidR="00185100" w:rsidRPr="00270DAA">
        <w:t xml:space="preserve">. Such information </w:t>
      </w:r>
      <w:r w:rsidR="007415FA" w:rsidRPr="00270DAA">
        <w:t xml:space="preserve">may </w:t>
      </w:r>
      <w:r w:rsidR="00185100" w:rsidRPr="00270DAA">
        <w:t>include, but is not limited to:</w:t>
      </w:r>
    </w:p>
    <w:p w:rsidR="00185100" w:rsidRPr="00270DAA" w:rsidRDefault="00185100" w:rsidP="00435D65">
      <w:pPr>
        <w:pStyle w:val="List"/>
        <w:numPr>
          <w:ilvl w:val="0"/>
          <w:numId w:val="9"/>
        </w:numPr>
        <w:spacing w:before="120" w:after="120" w:line="360" w:lineRule="auto"/>
        <w:ind w:right="216" w:hanging="720"/>
        <w:jc w:val="both"/>
        <w:rPr>
          <w:b/>
          <w:caps/>
        </w:rPr>
      </w:pPr>
      <w:r w:rsidRPr="00270DAA">
        <w:t>Particularised grounds of urgency, including:</w:t>
      </w:r>
    </w:p>
    <w:p w:rsidR="00185100" w:rsidRPr="00270DAA" w:rsidRDefault="00185100" w:rsidP="00435D65">
      <w:pPr>
        <w:pStyle w:val="List"/>
        <w:numPr>
          <w:ilvl w:val="1"/>
          <w:numId w:val="9"/>
        </w:numPr>
        <w:spacing w:before="120" w:after="120" w:line="360" w:lineRule="auto"/>
        <w:ind w:right="216" w:hanging="720"/>
        <w:jc w:val="both"/>
        <w:rPr>
          <w:b/>
          <w:caps/>
        </w:rPr>
      </w:pPr>
      <w:r w:rsidRPr="00270DAA">
        <w:t>The physical or mental health of an applicant seeking release or variation;</w:t>
      </w:r>
    </w:p>
    <w:p w:rsidR="00185100" w:rsidRPr="00270DAA" w:rsidRDefault="00185100" w:rsidP="00435D65">
      <w:pPr>
        <w:pStyle w:val="List"/>
        <w:numPr>
          <w:ilvl w:val="1"/>
          <w:numId w:val="9"/>
        </w:numPr>
        <w:spacing w:before="120" w:after="120" w:line="360" w:lineRule="auto"/>
        <w:ind w:right="216" w:hanging="720"/>
        <w:jc w:val="both"/>
        <w:rPr>
          <w:b/>
          <w:caps/>
        </w:rPr>
      </w:pPr>
      <w:r w:rsidRPr="00270DAA">
        <w:t>Any vulnerability of the person seeking release or variation, such as advanced or immature age;</w:t>
      </w:r>
    </w:p>
    <w:p w:rsidR="00743411" w:rsidRPr="00270DAA" w:rsidRDefault="00185100" w:rsidP="00435D65">
      <w:pPr>
        <w:pStyle w:val="List"/>
        <w:numPr>
          <w:ilvl w:val="1"/>
          <w:numId w:val="9"/>
        </w:numPr>
        <w:spacing w:before="120" w:after="120" w:line="360" w:lineRule="auto"/>
        <w:ind w:right="216" w:hanging="720"/>
        <w:jc w:val="both"/>
        <w:rPr>
          <w:b/>
          <w:caps/>
        </w:rPr>
      </w:pPr>
      <w:r w:rsidRPr="00270DAA">
        <w:t>Whether the applicant seeking release or variation is an indigenous person</w:t>
      </w:r>
      <w:r w:rsidR="00743411" w:rsidRPr="00270DAA">
        <w:t>; and,</w:t>
      </w:r>
    </w:p>
    <w:p w:rsidR="00185100" w:rsidRPr="00270DAA" w:rsidRDefault="00743411" w:rsidP="00435D65">
      <w:pPr>
        <w:pStyle w:val="List"/>
        <w:numPr>
          <w:ilvl w:val="1"/>
          <w:numId w:val="9"/>
        </w:numPr>
        <w:spacing w:before="120" w:after="120" w:line="360" w:lineRule="auto"/>
        <w:ind w:right="216" w:hanging="720"/>
        <w:jc w:val="both"/>
        <w:rPr>
          <w:b/>
          <w:caps/>
        </w:rPr>
      </w:pPr>
      <w:r w:rsidRPr="00270DAA">
        <w:t>Any other factor which in the judgment of the applicant or their legal representative warrants expedited consideration by the Court.</w:t>
      </w:r>
    </w:p>
    <w:p w:rsidR="00185100" w:rsidRPr="00270DAA" w:rsidRDefault="00185100" w:rsidP="00435D65">
      <w:pPr>
        <w:pStyle w:val="List"/>
        <w:numPr>
          <w:ilvl w:val="0"/>
          <w:numId w:val="9"/>
        </w:numPr>
        <w:spacing w:before="120" w:after="120" w:line="360" w:lineRule="auto"/>
        <w:ind w:right="216" w:hanging="720"/>
        <w:jc w:val="both"/>
        <w:rPr>
          <w:b/>
          <w:caps/>
        </w:rPr>
      </w:pPr>
      <w:r w:rsidRPr="00270DAA">
        <w:t>Whether the prosecution consents to the application;</w:t>
      </w:r>
    </w:p>
    <w:p w:rsidR="00185100" w:rsidRPr="00270DAA" w:rsidRDefault="00185100" w:rsidP="00435D65">
      <w:pPr>
        <w:pStyle w:val="List"/>
        <w:numPr>
          <w:ilvl w:val="0"/>
          <w:numId w:val="9"/>
        </w:numPr>
        <w:spacing w:before="120" w:after="120" w:line="360" w:lineRule="auto"/>
        <w:ind w:right="216" w:hanging="720"/>
        <w:jc w:val="both"/>
        <w:rPr>
          <w:b/>
          <w:caps/>
        </w:rPr>
      </w:pPr>
      <w:r w:rsidRPr="00270DAA">
        <w:t>Whether certain hearing dates are particularly inconvenient to the parties or their representatives.</w:t>
      </w:r>
    </w:p>
    <w:p w:rsidR="00DE1F10" w:rsidRPr="00270DAA" w:rsidRDefault="00E00547" w:rsidP="00435D65">
      <w:pPr>
        <w:pStyle w:val="List"/>
        <w:spacing w:before="120" w:after="120" w:line="360" w:lineRule="auto"/>
        <w:ind w:left="720" w:right="216" w:hanging="720"/>
        <w:jc w:val="both"/>
      </w:pPr>
      <w:r w:rsidRPr="00270DAA">
        <w:t>4.</w:t>
      </w:r>
      <w:r w:rsidR="007415FA" w:rsidRPr="00270DAA">
        <w:t>3</w:t>
      </w:r>
      <w:r w:rsidRPr="00270DAA">
        <w:tab/>
        <w:t xml:space="preserve">An application </w:t>
      </w:r>
      <w:r w:rsidR="0043236B" w:rsidRPr="00270DAA">
        <w:t>for</w:t>
      </w:r>
      <w:r w:rsidRPr="00270DAA">
        <w:t xml:space="preserve"> bail must </w:t>
      </w:r>
      <w:r w:rsidR="009D2693" w:rsidRPr="00270DAA">
        <w:t>briefly state the grounds upon which bail is sought to be granted, varied or revoked</w:t>
      </w:r>
      <w:r w:rsidR="0043236B" w:rsidRPr="00270DAA">
        <w:t xml:space="preserve"> including reference to the particular sections of the </w:t>
      </w:r>
      <w:r w:rsidR="0043236B" w:rsidRPr="00270DAA">
        <w:rPr>
          <w:i/>
        </w:rPr>
        <w:t xml:space="preserve">Bail Act </w:t>
      </w:r>
      <w:r w:rsidR="0043236B" w:rsidRPr="00270DAA">
        <w:t>which apply to that application</w:t>
      </w:r>
      <w:r w:rsidR="00D11BCD" w:rsidRPr="00270DAA">
        <w:t xml:space="preserve"> and also</w:t>
      </w:r>
      <w:r w:rsidR="0043236B" w:rsidRPr="00270DAA">
        <w:t xml:space="preserve"> including whether cause or exceptional circumstances must be established</w:t>
      </w:r>
      <w:r w:rsidR="00D11BCD" w:rsidRPr="00270DAA">
        <w:t xml:space="preserve"> by the applicant</w:t>
      </w:r>
      <w:r w:rsidR="0043236B" w:rsidRPr="00270DAA">
        <w:t xml:space="preserve">. </w:t>
      </w:r>
    </w:p>
    <w:p w:rsidR="00E00547" w:rsidRPr="00270DAA" w:rsidRDefault="00BA0FD9" w:rsidP="00435D65">
      <w:pPr>
        <w:pStyle w:val="List"/>
        <w:spacing w:before="120" w:after="120" w:line="360" w:lineRule="auto"/>
        <w:ind w:left="720" w:right="216" w:hanging="720"/>
        <w:jc w:val="both"/>
      </w:pPr>
      <w:r w:rsidRPr="00270DAA">
        <w:t>4.4</w:t>
      </w:r>
      <w:r w:rsidRPr="00270DAA">
        <w:tab/>
        <w:t>Any application or opposition</w:t>
      </w:r>
      <w:r w:rsidR="009D2693" w:rsidRPr="00270DAA">
        <w:t xml:space="preserve"> must </w:t>
      </w:r>
      <w:r w:rsidR="00E00547" w:rsidRPr="00270DAA">
        <w:t xml:space="preserve">be accompanied by an affidavit </w:t>
      </w:r>
      <w:r w:rsidRPr="00270DAA">
        <w:t xml:space="preserve">that provides the birth date of the applicant, identifies all charges against the applicant, names the informant and </w:t>
      </w:r>
      <w:r w:rsidR="00E00547" w:rsidRPr="00270DAA">
        <w:t>set</w:t>
      </w:r>
      <w:r w:rsidRPr="00270DAA">
        <w:t>s</w:t>
      </w:r>
      <w:r w:rsidR="00E00547" w:rsidRPr="00270DAA">
        <w:t xml:space="preserve"> out the facts to be relied upon in support of the </w:t>
      </w:r>
      <w:r w:rsidR="009D2693" w:rsidRPr="00270DAA">
        <w:t xml:space="preserve">grounds as stated in the </w:t>
      </w:r>
      <w:r w:rsidR="00E00547" w:rsidRPr="00270DAA">
        <w:t>application</w:t>
      </w:r>
      <w:r w:rsidRPr="00270DAA">
        <w:t xml:space="preserve"> or opposition</w:t>
      </w:r>
      <w:r w:rsidR="000923F7" w:rsidRPr="00270DAA">
        <w:t>.</w:t>
      </w:r>
    </w:p>
    <w:p w:rsidR="00146C94" w:rsidRPr="00270DAA" w:rsidRDefault="00185100" w:rsidP="00435D65">
      <w:pPr>
        <w:pStyle w:val="List"/>
        <w:numPr>
          <w:ilvl w:val="0"/>
          <w:numId w:val="8"/>
        </w:numPr>
        <w:spacing w:before="120" w:after="120" w:line="360" w:lineRule="auto"/>
        <w:ind w:right="216" w:hanging="720"/>
        <w:jc w:val="both"/>
      </w:pPr>
      <w:r w:rsidRPr="00270DAA">
        <w:t>Information on preparing an</w:t>
      </w:r>
      <w:r w:rsidR="009D2693" w:rsidRPr="00270DAA">
        <w:t xml:space="preserve"> affidavit may be found </w:t>
      </w:r>
      <w:r w:rsidR="00DD6F21" w:rsidRPr="00270DAA">
        <w:t>on the Court’s website</w:t>
      </w:r>
      <w:r w:rsidR="009D2693" w:rsidRPr="00270DAA">
        <w:t>.</w:t>
      </w:r>
      <w:r w:rsidR="00146C94" w:rsidRPr="00270DAA">
        <w:t xml:space="preserve"> </w:t>
      </w:r>
    </w:p>
    <w:p w:rsidR="00435D65" w:rsidRDefault="00146C94" w:rsidP="00435D65">
      <w:pPr>
        <w:pStyle w:val="List"/>
        <w:spacing w:before="120" w:after="120" w:line="360" w:lineRule="auto"/>
        <w:ind w:left="720" w:right="216" w:hanging="720"/>
        <w:jc w:val="both"/>
      </w:pPr>
      <w:r w:rsidRPr="00270DAA">
        <w:t>4.5</w:t>
      </w:r>
      <w:r w:rsidRPr="00270DAA">
        <w:tab/>
        <w:t>An application to vary a condition of bail must be accompanied by an affidavit of consent from the surety (where relevant).</w:t>
      </w:r>
    </w:p>
    <w:p w:rsidR="00435D65" w:rsidRDefault="00435D65">
      <w:pPr>
        <w:rPr>
          <w:rFonts w:ascii="Times New Roman" w:eastAsia="Times New Roman" w:hAnsi="Times New Roman" w:cs="Times New Roman"/>
          <w:lang w:eastAsia="en-AU"/>
        </w:rPr>
      </w:pPr>
      <w:r>
        <w:br w:type="page"/>
      </w:r>
    </w:p>
    <w:p w:rsidR="00435D65" w:rsidRPr="00270DAA" w:rsidRDefault="00435D65" w:rsidP="00435D65">
      <w:pPr>
        <w:pStyle w:val="List"/>
        <w:spacing w:before="120" w:after="120" w:line="360" w:lineRule="auto"/>
        <w:ind w:left="720" w:right="216" w:hanging="720"/>
        <w:jc w:val="both"/>
      </w:pPr>
      <w:bookmarkStart w:id="0" w:name="_GoBack"/>
      <w:bookmarkEnd w:id="0"/>
    </w:p>
    <w:p w:rsidR="007415FA" w:rsidRPr="00270DAA" w:rsidRDefault="007415FA" w:rsidP="00435D65">
      <w:pPr>
        <w:pStyle w:val="List"/>
        <w:spacing w:before="120" w:after="120" w:line="360" w:lineRule="auto"/>
        <w:ind w:left="720" w:right="216" w:hanging="720"/>
        <w:jc w:val="both"/>
        <w:rPr>
          <w:rFonts w:eastAsiaTheme="minorHAnsi"/>
          <w:b/>
          <w:bCs/>
          <w:color w:val="000000"/>
          <w:lang w:eastAsia="en-US"/>
        </w:rPr>
      </w:pPr>
      <w:r w:rsidRPr="00270DAA">
        <w:rPr>
          <w:b/>
          <w:caps/>
        </w:rPr>
        <w:t>5</w:t>
      </w:r>
      <w:r w:rsidR="009A20C0" w:rsidRPr="00270DAA">
        <w:rPr>
          <w:b/>
          <w:caps/>
        </w:rPr>
        <w:t>.</w:t>
      </w:r>
      <w:r w:rsidR="006D07C5" w:rsidRPr="00270DAA">
        <w:rPr>
          <w:b/>
          <w:caps/>
        </w:rPr>
        <w:tab/>
      </w:r>
      <w:r w:rsidR="00A82D9B" w:rsidRPr="00270DAA">
        <w:rPr>
          <w:rFonts w:eastAsiaTheme="minorHAnsi"/>
          <w:b/>
          <w:bCs/>
          <w:color w:val="000000"/>
          <w:lang w:eastAsia="en-US"/>
        </w:rPr>
        <w:t>APPEARANCES AND ORDERS</w:t>
      </w:r>
    </w:p>
    <w:p w:rsidR="007415FA" w:rsidRPr="00270DAA" w:rsidRDefault="007415FA" w:rsidP="00435D65">
      <w:pPr>
        <w:pStyle w:val="List"/>
        <w:spacing w:before="120" w:after="120" w:line="360" w:lineRule="auto"/>
        <w:ind w:left="720" w:right="216" w:hanging="720"/>
        <w:jc w:val="both"/>
        <w:rPr>
          <w:b/>
          <w:caps/>
        </w:rPr>
      </w:pPr>
      <w:r w:rsidRPr="00270DAA">
        <w:t>5.1</w:t>
      </w:r>
      <w:r w:rsidRPr="00270DAA">
        <w:tab/>
      </w:r>
      <w:r w:rsidR="00564C4F" w:rsidRPr="00270DAA">
        <w:rPr>
          <w:caps/>
        </w:rPr>
        <w:t>T</w:t>
      </w:r>
      <w:r w:rsidR="00564C4F" w:rsidRPr="00270DAA">
        <w:t xml:space="preserve">he Registry will make the appropriate arrangements for the applicant’s attendance. If the judge hearing the application considers that </w:t>
      </w:r>
      <w:r w:rsidR="0043236B" w:rsidRPr="00270DAA">
        <w:t xml:space="preserve">for good reason </w:t>
      </w:r>
      <w:r w:rsidR="00564C4F" w:rsidRPr="00270DAA">
        <w:t>the applicant does not need to be present in court, the Registry will arrange a videolink with the place of remand.</w:t>
      </w:r>
    </w:p>
    <w:p w:rsidR="007415FA" w:rsidRPr="00270DAA" w:rsidRDefault="007415FA" w:rsidP="00435D65">
      <w:pPr>
        <w:pStyle w:val="List"/>
        <w:spacing w:before="120" w:after="120" w:line="360" w:lineRule="auto"/>
        <w:ind w:left="720" w:right="216" w:hanging="720"/>
        <w:jc w:val="both"/>
        <w:rPr>
          <w:b/>
          <w:caps/>
        </w:rPr>
      </w:pPr>
      <w:r w:rsidRPr="00270DAA">
        <w:rPr>
          <w:caps/>
        </w:rPr>
        <w:t>5.2</w:t>
      </w:r>
      <w:r w:rsidRPr="00270DAA">
        <w:rPr>
          <w:caps/>
        </w:rPr>
        <w:tab/>
      </w:r>
      <w:r w:rsidR="006D07C5" w:rsidRPr="00270DAA">
        <w:t xml:space="preserve">If the Prosecution </w:t>
      </w:r>
      <w:r w:rsidR="0043236B" w:rsidRPr="00270DAA">
        <w:t xml:space="preserve">consents </w:t>
      </w:r>
      <w:r w:rsidR="006D07C5" w:rsidRPr="00270DAA">
        <w:t>to the application and the judge considers it proper so to do</w:t>
      </w:r>
      <w:r w:rsidR="00146C94" w:rsidRPr="00270DAA">
        <w:t>,</w:t>
      </w:r>
      <w:r w:rsidR="006D07C5" w:rsidRPr="00270DAA">
        <w:t xml:space="preserve"> an order admitting the applicant to bail </w:t>
      </w:r>
      <w:r w:rsidR="0043236B" w:rsidRPr="00270DAA">
        <w:t xml:space="preserve">may be made </w:t>
      </w:r>
      <w:r w:rsidR="006D07C5" w:rsidRPr="00270DAA">
        <w:t>without requiring the parties to attend.</w:t>
      </w:r>
    </w:p>
    <w:p w:rsidR="0032115A" w:rsidRPr="00270DAA" w:rsidRDefault="007415FA" w:rsidP="00435D65">
      <w:pPr>
        <w:pStyle w:val="List"/>
        <w:spacing w:before="120" w:after="120" w:line="360" w:lineRule="auto"/>
        <w:ind w:left="720" w:right="216" w:hanging="720"/>
        <w:jc w:val="both"/>
      </w:pPr>
      <w:r w:rsidRPr="00270DAA">
        <w:rPr>
          <w:caps/>
        </w:rPr>
        <w:t>5.3</w:t>
      </w:r>
      <w:r w:rsidRPr="00270DAA">
        <w:rPr>
          <w:caps/>
        </w:rPr>
        <w:tab/>
      </w:r>
      <w:r w:rsidR="00564C4F" w:rsidRPr="00270DAA">
        <w:t>If the applicant is to appear by videolink</w:t>
      </w:r>
      <w:r w:rsidR="00C33FE8" w:rsidRPr="00270DAA">
        <w:t xml:space="preserve"> and bail is granted</w:t>
      </w:r>
      <w:r w:rsidR="00564C4F" w:rsidRPr="00270DAA">
        <w:t>, the Registry will forward the signed order and the Undertaking of Bail to the governor of the prison or the member of the police force for the time being in charge of the police gaol in which the applicant is held.</w:t>
      </w:r>
    </w:p>
    <w:p w:rsidR="00507EB4" w:rsidRPr="00270DAA" w:rsidRDefault="00507EB4" w:rsidP="00435D65">
      <w:pPr>
        <w:pStyle w:val="List"/>
        <w:spacing w:before="120" w:after="120" w:line="360" w:lineRule="auto"/>
        <w:ind w:left="720" w:right="216" w:hanging="720"/>
        <w:jc w:val="both"/>
      </w:pPr>
      <w:r w:rsidRPr="00270DAA">
        <w:t>5.</w:t>
      </w:r>
      <w:r w:rsidR="00DE1F10" w:rsidRPr="00270DAA">
        <w:t>4</w:t>
      </w:r>
      <w:r w:rsidRPr="00270DAA">
        <w:tab/>
        <w:t>If a condition of bail requires a surety, the surety must attend at the Principal Registry to provide the surety, affirm or swear an Affidavit of Justification and sign the Undertaking of Bail. The surety must attend at the Principal Registry, whether the accused is to be bailed by the Principal Registry or by the place of remand. The surety and applicant must also attend at the Principal Registry to sign a new Undertaking of Bail for any variation to conditions of bail that is granted.</w:t>
      </w:r>
    </w:p>
    <w:p w:rsidR="006D07C5" w:rsidRPr="00270DAA" w:rsidRDefault="00507EB4" w:rsidP="00435D65">
      <w:pPr>
        <w:pStyle w:val="List"/>
        <w:spacing w:before="120" w:after="120" w:line="360" w:lineRule="auto"/>
        <w:ind w:left="720" w:right="216" w:hanging="720"/>
        <w:jc w:val="both"/>
      </w:pPr>
      <w:r w:rsidRPr="00270DAA">
        <w:t>5.</w:t>
      </w:r>
      <w:r w:rsidR="00DE1F10" w:rsidRPr="00270DAA">
        <w:t>5</w:t>
      </w:r>
      <w:r w:rsidR="0032115A" w:rsidRPr="00270DAA">
        <w:tab/>
      </w:r>
      <w:r w:rsidR="006D07C5" w:rsidRPr="00270DAA">
        <w:t>When the order contains conditions requiring the applicant to report to any police station, the Registry will transmit a copy of the order to the Chief Commissioner of Police</w:t>
      </w:r>
      <w:r w:rsidR="0043236B" w:rsidRPr="00270DAA">
        <w:t xml:space="preserve"> and to the officer in</w:t>
      </w:r>
      <w:r w:rsidR="00DD6F21" w:rsidRPr="00270DAA">
        <w:t xml:space="preserve"> charge of that police station</w:t>
      </w:r>
      <w:r w:rsidR="006D07C5" w:rsidRPr="00270DAA">
        <w:t>.</w:t>
      </w:r>
      <w:r w:rsidRPr="00270DAA">
        <w:t xml:space="preserve"> </w:t>
      </w:r>
    </w:p>
    <w:p w:rsidR="000E7FA5" w:rsidRPr="00270DAA" w:rsidRDefault="00507EB4" w:rsidP="00435D65">
      <w:pPr>
        <w:pStyle w:val="List"/>
        <w:spacing w:before="120" w:after="120" w:line="360" w:lineRule="auto"/>
        <w:ind w:left="720" w:right="216" w:hanging="720"/>
        <w:jc w:val="both"/>
      </w:pPr>
      <w:r w:rsidRPr="00270DAA">
        <w:t>5.</w:t>
      </w:r>
      <w:r w:rsidR="00DE1F10" w:rsidRPr="00270DAA">
        <w:t>6</w:t>
      </w:r>
      <w:r w:rsidRPr="00270DAA">
        <w:tab/>
        <w:t>When the order contains a condition that the applicant surrender his or her passport, the Registry will transmit a copy of the Undertaking of Bail to the Department of Foreign Affairs and Trade, Passport Section; passports surrendered to the Supreme Court will be transferred to the court in which the charges will be heard.</w:t>
      </w:r>
    </w:p>
    <w:p w:rsidR="00DE1F10" w:rsidRPr="00270DAA" w:rsidRDefault="00DE1F10" w:rsidP="00435D65">
      <w:pPr>
        <w:pStyle w:val="List"/>
        <w:spacing w:before="120" w:after="120" w:line="360" w:lineRule="auto"/>
        <w:ind w:left="720" w:right="216" w:hanging="720"/>
        <w:jc w:val="both"/>
      </w:pPr>
    </w:p>
    <w:p w:rsidR="00185100" w:rsidRPr="00270DAA" w:rsidRDefault="00185100" w:rsidP="00435D65">
      <w:pPr>
        <w:pStyle w:val="List"/>
        <w:ind w:left="1440" w:right="216" w:hanging="720"/>
        <w:jc w:val="right"/>
      </w:pPr>
      <w:r w:rsidRPr="00270DAA">
        <w:t xml:space="preserve">Vivienne Macgillivray </w:t>
      </w:r>
    </w:p>
    <w:p w:rsidR="00185100" w:rsidRPr="00270DAA" w:rsidRDefault="00185100" w:rsidP="00435D65">
      <w:pPr>
        <w:pStyle w:val="List"/>
        <w:ind w:left="1440" w:right="216" w:hanging="720"/>
        <w:jc w:val="right"/>
      </w:pPr>
      <w:r w:rsidRPr="00270DAA">
        <w:t xml:space="preserve">Executive Associate to the Chief Justice </w:t>
      </w:r>
    </w:p>
    <w:p w:rsidR="00185100" w:rsidRPr="00270DAA" w:rsidRDefault="00DD6F21" w:rsidP="00435D65">
      <w:pPr>
        <w:pStyle w:val="List"/>
        <w:ind w:left="1440" w:right="216" w:hanging="720"/>
        <w:jc w:val="right"/>
      </w:pPr>
      <w:r w:rsidRPr="00270DAA">
        <w:t>8 April</w:t>
      </w:r>
      <w:r w:rsidR="00185100" w:rsidRPr="00270DAA">
        <w:t xml:space="preserve"> 2016</w:t>
      </w:r>
    </w:p>
    <w:sectPr w:rsidR="00185100" w:rsidRPr="00270DAA" w:rsidSect="009120E4">
      <w:headerReference w:type="even" r:id="rId13"/>
      <w:headerReference w:type="default" r:id="rId14"/>
      <w:headerReference w:type="first" r:id="rId15"/>
      <w:pgSz w:w="11906" w:h="16838"/>
      <w:pgMar w:top="1440" w:right="1440" w:bottom="568" w:left="1440" w:header="5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D8" w:rsidRDefault="00B028D8" w:rsidP="00A36728">
      <w:pPr>
        <w:spacing w:line="240" w:lineRule="auto"/>
      </w:pPr>
      <w:r>
        <w:separator/>
      </w:r>
    </w:p>
  </w:endnote>
  <w:endnote w:type="continuationSeparator" w:id="0">
    <w:p w:rsidR="00B028D8" w:rsidRDefault="00B028D8" w:rsidP="00A36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D8" w:rsidRDefault="00B028D8" w:rsidP="00A36728">
      <w:pPr>
        <w:spacing w:line="240" w:lineRule="auto"/>
      </w:pPr>
      <w:r>
        <w:separator/>
      </w:r>
    </w:p>
  </w:footnote>
  <w:footnote w:type="continuationSeparator" w:id="0">
    <w:p w:rsidR="00B028D8" w:rsidRDefault="00B028D8" w:rsidP="00A367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6" w:rsidRDefault="0090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6" w:rsidRDefault="00904FF6" w:rsidP="00A36728">
    <w:pPr>
      <w:pStyle w:val="Header"/>
    </w:pPr>
  </w:p>
  <w:p w:rsidR="00904FF6" w:rsidRDefault="00904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6" w:rsidRDefault="0090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9FE"/>
    <w:multiLevelType w:val="hybridMultilevel"/>
    <w:tmpl w:val="49DCDC0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102211F"/>
    <w:multiLevelType w:val="hybridMultilevel"/>
    <w:tmpl w:val="9C6E9450"/>
    <w:lvl w:ilvl="0" w:tplc="0C090001">
      <w:start w:val="1"/>
      <w:numFmt w:val="bullet"/>
      <w:lvlText w:val=""/>
      <w:lvlJc w:val="left"/>
      <w:pPr>
        <w:tabs>
          <w:tab w:val="num" w:pos="1440"/>
        </w:tabs>
        <w:ind w:left="1440" w:hanging="720"/>
      </w:pPr>
      <w:rPr>
        <w:rFonts w:ascii="Symbol" w:hAnsi="Symbol" w:hint="default"/>
      </w:rPr>
    </w:lvl>
    <w:lvl w:ilvl="1" w:tplc="73343726">
      <w:start w:val="1"/>
      <w:numFmt w:val="bullet"/>
      <w:lvlText w:val=""/>
      <w:lvlJc w:val="left"/>
      <w:pPr>
        <w:tabs>
          <w:tab w:val="num" w:pos="1728"/>
        </w:tabs>
        <w:ind w:left="1728" w:hanging="288"/>
      </w:pPr>
      <w:rPr>
        <w:rFonts w:ascii="Symbol" w:hAnsi="Symbol"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325C2B49"/>
    <w:multiLevelType w:val="hybridMultilevel"/>
    <w:tmpl w:val="91BEC62A"/>
    <w:lvl w:ilvl="0" w:tplc="FE48C4C0">
      <w:start w:val="1"/>
      <w:numFmt w:val="lowerLetter"/>
      <w:lvlText w:val="%1."/>
      <w:lvlJc w:val="left"/>
      <w:pPr>
        <w:ind w:left="1440" w:hanging="360"/>
      </w:pPr>
      <w:rPr>
        <w:b w:val="0"/>
        <w:caps w:val="0"/>
      </w:rPr>
    </w:lvl>
    <w:lvl w:ilvl="1" w:tplc="0C09001B">
      <w:start w:val="1"/>
      <w:numFmt w:val="lowerRoman"/>
      <w:lvlText w:val="%2."/>
      <w:lvlJc w:val="right"/>
      <w:pPr>
        <w:ind w:left="2160" w:hanging="360"/>
      </w:pPr>
      <w:rPr>
        <w:b w:val="0"/>
        <w:caps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F537478"/>
    <w:multiLevelType w:val="hybridMultilevel"/>
    <w:tmpl w:val="CE16D1F0"/>
    <w:lvl w:ilvl="0" w:tplc="0C090001">
      <w:start w:val="1"/>
      <w:numFmt w:val="bullet"/>
      <w:lvlText w:val=""/>
      <w:lvlJc w:val="left"/>
      <w:pPr>
        <w:tabs>
          <w:tab w:val="num" w:pos="1440"/>
        </w:tabs>
        <w:ind w:left="1440" w:hanging="720"/>
      </w:pPr>
      <w:rPr>
        <w:rFonts w:ascii="Symbol" w:hAnsi="Symbol" w:hint="default"/>
      </w:rPr>
    </w:lvl>
    <w:lvl w:ilvl="1" w:tplc="73343726">
      <w:start w:val="1"/>
      <w:numFmt w:val="bullet"/>
      <w:lvlText w:val=""/>
      <w:lvlJc w:val="left"/>
      <w:pPr>
        <w:tabs>
          <w:tab w:val="num" w:pos="1728"/>
        </w:tabs>
        <w:ind w:left="1728" w:hanging="288"/>
      </w:pPr>
      <w:rPr>
        <w:rFonts w:ascii="Symbol" w:hAnsi="Symbol"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nsid w:val="51393E96"/>
    <w:multiLevelType w:val="hybridMultilevel"/>
    <w:tmpl w:val="9E1AF4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5FF2EF1"/>
    <w:multiLevelType w:val="hybridMultilevel"/>
    <w:tmpl w:val="9BB4DAF6"/>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565FD1"/>
    <w:multiLevelType w:val="hybridMultilevel"/>
    <w:tmpl w:val="4FA25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B0448C"/>
    <w:multiLevelType w:val="hybridMultilevel"/>
    <w:tmpl w:val="03C876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274749"/>
    <w:multiLevelType w:val="hybridMultilevel"/>
    <w:tmpl w:val="EC144C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6"/>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28"/>
    <w:rsid w:val="000030C5"/>
    <w:rsid w:val="00024929"/>
    <w:rsid w:val="00052356"/>
    <w:rsid w:val="00052C11"/>
    <w:rsid w:val="000923F7"/>
    <w:rsid w:val="000B4D2E"/>
    <w:rsid w:val="000D09F5"/>
    <w:rsid w:val="000E7FA5"/>
    <w:rsid w:val="00121FA8"/>
    <w:rsid w:val="00146C94"/>
    <w:rsid w:val="0015213C"/>
    <w:rsid w:val="00185100"/>
    <w:rsid w:val="001C43AD"/>
    <w:rsid w:val="00270DAA"/>
    <w:rsid w:val="0032115A"/>
    <w:rsid w:val="003563CB"/>
    <w:rsid w:val="0036233C"/>
    <w:rsid w:val="003825A1"/>
    <w:rsid w:val="00396EBF"/>
    <w:rsid w:val="003D508C"/>
    <w:rsid w:val="0043236B"/>
    <w:rsid w:val="00435D65"/>
    <w:rsid w:val="00473F81"/>
    <w:rsid w:val="004A4443"/>
    <w:rsid w:val="004E60D6"/>
    <w:rsid w:val="00507EB4"/>
    <w:rsid w:val="00564C4F"/>
    <w:rsid w:val="00632D3E"/>
    <w:rsid w:val="00672457"/>
    <w:rsid w:val="006A4765"/>
    <w:rsid w:val="006D07C5"/>
    <w:rsid w:val="006E06EB"/>
    <w:rsid w:val="007156B6"/>
    <w:rsid w:val="007415FA"/>
    <w:rsid w:val="00742A85"/>
    <w:rsid w:val="00743411"/>
    <w:rsid w:val="007844A4"/>
    <w:rsid w:val="00891803"/>
    <w:rsid w:val="00904FF6"/>
    <w:rsid w:val="009120E4"/>
    <w:rsid w:val="00912D65"/>
    <w:rsid w:val="0099121D"/>
    <w:rsid w:val="009A20C0"/>
    <w:rsid w:val="009D2693"/>
    <w:rsid w:val="009F7F33"/>
    <w:rsid w:val="00A042D3"/>
    <w:rsid w:val="00A1681A"/>
    <w:rsid w:val="00A259C0"/>
    <w:rsid w:val="00A36728"/>
    <w:rsid w:val="00A82D9B"/>
    <w:rsid w:val="00AE4E8C"/>
    <w:rsid w:val="00B028D8"/>
    <w:rsid w:val="00BA0154"/>
    <w:rsid w:val="00BA0FD9"/>
    <w:rsid w:val="00BE6A4C"/>
    <w:rsid w:val="00C33FE8"/>
    <w:rsid w:val="00C925E2"/>
    <w:rsid w:val="00D11BCD"/>
    <w:rsid w:val="00D96617"/>
    <w:rsid w:val="00DB6163"/>
    <w:rsid w:val="00DD6F21"/>
    <w:rsid w:val="00DE1F10"/>
    <w:rsid w:val="00E00547"/>
    <w:rsid w:val="00E13D26"/>
    <w:rsid w:val="00F34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203A02-D952-4E67-A485-56B28201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A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042D3"/>
    <w:pPr>
      <w:spacing w:line="240" w:lineRule="auto"/>
    </w:pPr>
  </w:style>
  <w:style w:type="character" w:customStyle="1" w:styleId="FootnoteTextChar">
    <w:name w:val="Footnote Text Char"/>
    <w:link w:val="FootnoteText"/>
    <w:uiPriority w:val="99"/>
    <w:semiHidden/>
    <w:rsid w:val="00A042D3"/>
  </w:style>
  <w:style w:type="paragraph" w:styleId="Header">
    <w:name w:val="header"/>
    <w:basedOn w:val="Normal"/>
    <w:link w:val="HeaderChar"/>
    <w:uiPriority w:val="99"/>
    <w:unhideWhenUsed/>
    <w:rsid w:val="00A36728"/>
    <w:pPr>
      <w:tabs>
        <w:tab w:val="center" w:pos="4513"/>
        <w:tab w:val="right" w:pos="9026"/>
      </w:tabs>
      <w:spacing w:line="240" w:lineRule="auto"/>
    </w:pPr>
  </w:style>
  <w:style w:type="character" w:customStyle="1" w:styleId="HeaderChar">
    <w:name w:val="Header Char"/>
    <w:basedOn w:val="DefaultParagraphFont"/>
    <w:link w:val="Header"/>
    <w:uiPriority w:val="99"/>
    <w:rsid w:val="00A36728"/>
  </w:style>
  <w:style w:type="paragraph" w:styleId="Footer">
    <w:name w:val="footer"/>
    <w:basedOn w:val="Normal"/>
    <w:link w:val="FooterChar"/>
    <w:uiPriority w:val="99"/>
    <w:unhideWhenUsed/>
    <w:rsid w:val="00A36728"/>
    <w:pPr>
      <w:tabs>
        <w:tab w:val="center" w:pos="4513"/>
        <w:tab w:val="right" w:pos="9026"/>
      </w:tabs>
      <w:spacing w:line="240" w:lineRule="auto"/>
    </w:pPr>
  </w:style>
  <w:style w:type="character" w:customStyle="1" w:styleId="FooterChar">
    <w:name w:val="Footer Char"/>
    <w:basedOn w:val="DefaultParagraphFont"/>
    <w:link w:val="Footer"/>
    <w:uiPriority w:val="99"/>
    <w:rsid w:val="00A36728"/>
  </w:style>
  <w:style w:type="paragraph" w:styleId="BalloonText">
    <w:name w:val="Balloon Text"/>
    <w:basedOn w:val="Normal"/>
    <w:link w:val="BalloonTextChar"/>
    <w:uiPriority w:val="99"/>
    <w:semiHidden/>
    <w:unhideWhenUsed/>
    <w:rsid w:val="00632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3E"/>
    <w:rPr>
      <w:rFonts w:ascii="Tahoma" w:hAnsi="Tahoma" w:cs="Tahoma"/>
      <w:sz w:val="16"/>
      <w:szCs w:val="16"/>
    </w:rPr>
  </w:style>
  <w:style w:type="paragraph" w:styleId="List">
    <w:name w:val="List"/>
    <w:basedOn w:val="Normal"/>
    <w:rsid w:val="006D07C5"/>
    <w:pPr>
      <w:spacing w:line="240" w:lineRule="auto"/>
      <w:ind w:left="283" w:hanging="283"/>
      <w:jc w:val="left"/>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6D07C5"/>
    <w:rPr>
      <w:color w:val="0000FF" w:themeColor="hyperlink"/>
      <w:u w:val="single"/>
    </w:rPr>
  </w:style>
  <w:style w:type="paragraph" w:customStyle="1" w:styleId="Default">
    <w:name w:val="Default"/>
    <w:rsid w:val="00E13D26"/>
    <w:pPr>
      <w:autoSpaceDE w:val="0"/>
      <w:autoSpaceDN w:val="0"/>
      <w:adjustRightInd w:val="0"/>
      <w:spacing w:line="240" w:lineRule="auto"/>
      <w:jc w:val="left"/>
    </w:pPr>
    <w:rPr>
      <w:rFonts w:cs="Book Antiqua"/>
      <w:color w:val="000000"/>
    </w:rPr>
  </w:style>
  <w:style w:type="character" w:styleId="CommentReference">
    <w:name w:val="annotation reference"/>
    <w:basedOn w:val="DefaultParagraphFont"/>
    <w:uiPriority w:val="99"/>
    <w:semiHidden/>
    <w:unhideWhenUsed/>
    <w:rsid w:val="00564C4F"/>
    <w:rPr>
      <w:sz w:val="16"/>
      <w:szCs w:val="16"/>
    </w:rPr>
  </w:style>
  <w:style w:type="paragraph" w:styleId="CommentText">
    <w:name w:val="annotation text"/>
    <w:basedOn w:val="Normal"/>
    <w:link w:val="CommentTextChar"/>
    <w:uiPriority w:val="99"/>
    <w:semiHidden/>
    <w:unhideWhenUsed/>
    <w:rsid w:val="00564C4F"/>
    <w:pPr>
      <w:spacing w:line="240" w:lineRule="auto"/>
    </w:pPr>
    <w:rPr>
      <w:sz w:val="20"/>
      <w:szCs w:val="20"/>
    </w:rPr>
  </w:style>
  <w:style w:type="character" w:customStyle="1" w:styleId="CommentTextChar">
    <w:name w:val="Comment Text Char"/>
    <w:basedOn w:val="DefaultParagraphFont"/>
    <w:link w:val="CommentText"/>
    <w:uiPriority w:val="99"/>
    <w:semiHidden/>
    <w:rsid w:val="00564C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minaldivision@supremecourt.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628063c3079963b1f2514d950e95fc7b">
  <xsd:schema xmlns:xsd="http://www.w3.org/2001/XMLSchema" xmlns:xs="http://www.w3.org/2001/XMLSchema" xmlns:p="http://schemas.microsoft.com/office/2006/metadata/properties" xmlns:ns2="3d35400e-913e-4289-a6bb-c9c808f4167f" targetNamespace="http://schemas.microsoft.com/office/2006/metadata/properties" ma:root="true" ma:fieldsID="5ae4af863c8686c48a6d70507cd7a9be"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AAC9-0040-4ACA-9EDB-DDE875ED9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51923-9668-4EC2-958F-F63FAC7EBEDC}">
  <ds:schemaRefs>
    <ds:schemaRef ds:uri="http://schemas.microsoft.com/sharepoint/v3/contenttype/forms"/>
  </ds:schemaRefs>
</ds:datastoreItem>
</file>

<file path=customXml/itemProps3.xml><?xml version="1.0" encoding="utf-8"?>
<ds:datastoreItem xmlns:ds="http://schemas.openxmlformats.org/officeDocument/2006/customXml" ds:itemID="{1A587E2E-73A4-4B0E-8AC5-42E24AFC050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d35400e-913e-4289-a6bb-c9c808f4167f"/>
    <ds:schemaRef ds:uri="http://www.w3.org/XML/1998/namespace"/>
  </ds:schemaRefs>
</ds:datastoreItem>
</file>

<file path=customXml/itemProps4.xml><?xml version="1.0" encoding="utf-8"?>
<ds:datastoreItem xmlns:ds="http://schemas.openxmlformats.org/officeDocument/2006/customXml" ds:itemID="{B7C4BA9A-4C56-441D-8D2E-9B81CD0F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Tedhams</dc:creator>
  <cp:keywords/>
  <dc:description/>
  <cp:lastModifiedBy>Kerry Helmers</cp:lastModifiedBy>
  <cp:revision>3</cp:revision>
  <dcterms:created xsi:type="dcterms:W3CDTF">2016-04-08T01:42:00Z</dcterms:created>
  <dcterms:modified xsi:type="dcterms:W3CDTF">2016-04-08T01:52:00Z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0x0101009926EC1D92A87A4492BE89A594A6FF4A</vt:lpwstr>
  </property>
</Properties>
</file>