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875" w:type="dxa"/>
        <w:jc w:val="center"/>
        <w:tblLook w:val="01E0" w:firstRow="1" w:lastRow="1" w:firstColumn="1" w:lastColumn="1" w:noHBand="0" w:noVBand="0"/>
      </w:tblPr>
      <w:tblGrid>
        <w:gridCol w:w="2875"/>
      </w:tblGrid>
      <w:tr w:rsidR="00281610" w:rsidRPr="00B705D7" w14:paraId="31B26BDB" w14:textId="77777777" w:rsidTr="00055465">
        <w:trPr>
          <w:trHeight w:val="1956"/>
          <w:jc w:val="center"/>
        </w:trPr>
        <w:tc>
          <w:tcPr>
            <w:tcW w:w="2875" w:type="dxa"/>
            <w:shd w:val="clear" w:color="auto" w:fill="auto"/>
          </w:tcPr>
          <w:p w14:paraId="46F7F658" w14:textId="77777777" w:rsidR="00281610" w:rsidRPr="008E63F9" w:rsidRDefault="00281610" w:rsidP="00055465">
            <w:pPr>
              <w:ind w:left="-567"/>
              <w:jc w:val="center"/>
              <w:rPr>
                <w:b/>
                <w:sz w:val="16"/>
                <w:szCs w:val="16"/>
              </w:rPr>
            </w:pPr>
            <w:bookmarkStart w:id="0" w:name="_GoBack"/>
            <w:bookmarkEnd w:id="0"/>
            <w:r w:rsidRPr="00B705D7">
              <w:rPr>
                <w:noProof/>
                <w:sz w:val="16"/>
                <w:szCs w:val="16"/>
              </w:rPr>
              <w:drawing>
                <wp:inline distT="0" distB="0" distL="0" distR="0" wp14:anchorId="7772E568" wp14:editId="7772E569">
                  <wp:extent cx="1248410" cy="1248410"/>
                  <wp:effectExtent l="0" t="0" r="8890" b="8890"/>
                  <wp:docPr id="1" name="Picture 1" descr="SCV_RG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_RGB_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8410" cy="1248410"/>
                          </a:xfrm>
                          <a:prstGeom prst="rect">
                            <a:avLst/>
                          </a:prstGeom>
                          <a:noFill/>
                          <a:ln>
                            <a:noFill/>
                          </a:ln>
                        </pic:spPr>
                      </pic:pic>
                    </a:graphicData>
                  </a:graphic>
                </wp:inline>
              </w:drawing>
            </w:r>
          </w:p>
        </w:tc>
      </w:tr>
    </w:tbl>
    <w:p w14:paraId="24E07AE4" w14:textId="77777777" w:rsidR="00281610" w:rsidRPr="00B705D7" w:rsidRDefault="00281610" w:rsidP="00281610">
      <w:pPr>
        <w:ind w:left="-567"/>
        <w:rPr>
          <w:b/>
          <w:sz w:val="16"/>
          <w:szCs w:val="16"/>
        </w:rPr>
      </w:pPr>
    </w:p>
    <w:p w14:paraId="52D7377F" w14:textId="6F0E1612" w:rsidR="00281610" w:rsidRPr="00B705D7" w:rsidRDefault="00A51441" w:rsidP="00281610">
      <w:pPr>
        <w:ind w:left="-567"/>
        <w:jc w:val="center"/>
        <w:rPr>
          <w:b/>
          <w:sz w:val="28"/>
        </w:rPr>
      </w:pPr>
      <w:r>
        <w:rPr>
          <w:b/>
          <w:sz w:val="28"/>
        </w:rPr>
        <w:t>Practice Note No 4</w:t>
      </w:r>
      <w:r w:rsidR="003A4536">
        <w:rPr>
          <w:b/>
          <w:sz w:val="28"/>
        </w:rPr>
        <w:t xml:space="preserve"> of 2016  </w:t>
      </w:r>
    </w:p>
    <w:p w14:paraId="2578E598" w14:textId="77777777" w:rsidR="00281610" w:rsidRPr="00B705D7" w:rsidRDefault="00281610" w:rsidP="00281610">
      <w:pPr>
        <w:ind w:left="-567"/>
        <w:rPr>
          <w:b/>
          <w:sz w:val="16"/>
          <w:szCs w:val="16"/>
        </w:rPr>
      </w:pPr>
    </w:p>
    <w:p w14:paraId="2A0CC59F" w14:textId="77777777" w:rsidR="00281610" w:rsidRPr="00B705D7" w:rsidRDefault="00281610" w:rsidP="00281610">
      <w:pPr>
        <w:ind w:left="-567"/>
        <w:rPr>
          <w:b/>
          <w:sz w:val="16"/>
          <w:szCs w:val="16"/>
        </w:rPr>
      </w:pPr>
    </w:p>
    <w:p w14:paraId="47063097" w14:textId="77777777" w:rsidR="00281610" w:rsidRPr="00B705D7" w:rsidRDefault="00505D97" w:rsidP="0014670D">
      <w:pPr>
        <w:ind w:left="-567"/>
        <w:jc w:val="center"/>
        <w:rPr>
          <w:b/>
          <w:sz w:val="28"/>
        </w:rPr>
      </w:pPr>
      <w:r w:rsidRPr="00B705D7">
        <w:rPr>
          <w:b/>
          <w:sz w:val="28"/>
          <w:szCs w:val="28"/>
        </w:rPr>
        <w:t>Confiscation and Proceeds of Crime List</w:t>
      </w:r>
    </w:p>
    <w:p w14:paraId="5382E3CD" w14:textId="77777777" w:rsidR="00281610" w:rsidRDefault="00281610" w:rsidP="00505D97"/>
    <w:p w14:paraId="5F6A0C3B" w14:textId="77777777" w:rsidR="00F12109" w:rsidRPr="00B705D7" w:rsidRDefault="00F12109" w:rsidP="00505D97"/>
    <w:p w14:paraId="02642EB2" w14:textId="77777777" w:rsidR="00525468" w:rsidRPr="00B705D7" w:rsidRDefault="0014670D" w:rsidP="006939ED">
      <w:pPr>
        <w:pStyle w:val="Default"/>
        <w:numPr>
          <w:ilvl w:val="0"/>
          <w:numId w:val="1"/>
        </w:numPr>
        <w:spacing w:after="240"/>
        <w:ind w:left="0" w:firstLine="0"/>
        <w:rPr>
          <w:rFonts w:ascii="Times New Roman" w:hAnsi="Times New Roman" w:cs="Times New Roman"/>
          <w:b/>
          <w:bCs/>
          <w:color w:val="auto"/>
        </w:rPr>
      </w:pPr>
      <w:r w:rsidRPr="00B705D7">
        <w:rPr>
          <w:rFonts w:ascii="Times New Roman" w:hAnsi="Times New Roman" w:cs="Times New Roman"/>
          <w:b/>
          <w:bCs/>
          <w:color w:val="auto"/>
        </w:rPr>
        <w:t xml:space="preserve">Establishment of List </w:t>
      </w:r>
    </w:p>
    <w:p w14:paraId="58600E6C" w14:textId="77777777" w:rsidR="0014670D" w:rsidRPr="00B705D7" w:rsidRDefault="0014670D" w:rsidP="006939ED">
      <w:pPr>
        <w:pStyle w:val="ListParagraph"/>
        <w:ind w:left="0"/>
      </w:pPr>
      <w:r w:rsidRPr="00B705D7">
        <w:t xml:space="preserve">From 1 April 2016 the </w:t>
      </w:r>
      <w:r w:rsidR="00505D97" w:rsidRPr="00B705D7">
        <w:t>Confiscation and Proceeds of Crime List (</w:t>
      </w:r>
      <w:r w:rsidR="00505D97" w:rsidRPr="00B705D7">
        <w:rPr>
          <w:b/>
          <w:i/>
        </w:rPr>
        <w:t>List</w:t>
      </w:r>
      <w:r w:rsidR="00505D97" w:rsidRPr="00B705D7">
        <w:t>)</w:t>
      </w:r>
      <w:r w:rsidRPr="00B705D7">
        <w:t xml:space="preserve"> will </w:t>
      </w:r>
      <w:r w:rsidR="003A4536">
        <w:t xml:space="preserve">operate </w:t>
      </w:r>
      <w:r w:rsidR="00505D97" w:rsidRPr="00B705D7">
        <w:t>as a specialist case management list within the Common Law Division of the Supreme Court of Victoria (</w:t>
      </w:r>
      <w:r w:rsidR="00505D97" w:rsidRPr="00B705D7">
        <w:rPr>
          <w:b/>
          <w:i/>
        </w:rPr>
        <w:t>Court</w:t>
      </w:r>
      <w:r w:rsidR="00505D97" w:rsidRPr="00B705D7">
        <w:t xml:space="preserve">). </w:t>
      </w:r>
      <w:r w:rsidR="00E26023" w:rsidRPr="00B705D7">
        <w:t>Justice J Forrest will be the Judge in Charge of the List (</w:t>
      </w:r>
      <w:r w:rsidR="00E26023" w:rsidRPr="00B705D7">
        <w:rPr>
          <w:b/>
          <w:i/>
        </w:rPr>
        <w:t>Judge in Charge</w:t>
      </w:r>
      <w:r w:rsidR="00E26023" w:rsidRPr="00B705D7">
        <w:t xml:space="preserve">). </w:t>
      </w:r>
      <w:r w:rsidR="00505D97" w:rsidRPr="00B705D7">
        <w:t xml:space="preserve">The procedures set out in this </w:t>
      </w:r>
      <w:r w:rsidRPr="00B705D7">
        <w:t>Notice</w:t>
      </w:r>
      <w:r w:rsidR="00505D97" w:rsidRPr="00B705D7">
        <w:t xml:space="preserve"> will apply from 1 April 2016 to </w:t>
      </w:r>
      <w:r w:rsidRPr="00B705D7">
        <w:t>proceedings commenced in</w:t>
      </w:r>
      <w:r w:rsidR="00E42624" w:rsidRPr="00B705D7">
        <w:t>,</w:t>
      </w:r>
      <w:r w:rsidRPr="00B705D7">
        <w:t xml:space="preserve"> and transferred to</w:t>
      </w:r>
      <w:r w:rsidR="00E42624" w:rsidRPr="00B705D7">
        <w:t>,</w:t>
      </w:r>
      <w:r w:rsidRPr="00B705D7">
        <w:t xml:space="preserve"> the List. </w:t>
      </w:r>
    </w:p>
    <w:p w14:paraId="78162212" w14:textId="77777777" w:rsidR="0014670D" w:rsidRPr="00B705D7" w:rsidRDefault="0014670D" w:rsidP="006939ED">
      <w:pPr>
        <w:pStyle w:val="ListParagraph"/>
        <w:ind w:left="0"/>
        <w:rPr>
          <w:sz w:val="26"/>
        </w:rPr>
      </w:pPr>
    </w:p>
    <w:p w14:paraId="0425FF68" w14:textId="77777777" w:rsidR="00402C55" w:rsidRDefault="0014670D" w:rsidP="006C3DD9">
      <w:pPr>
        <w:pStyle w:val="Default"/>
        <w:numPr>
          <w:ilvl w:val="0"/>
          <w:numId w:val="1"/>
        </w:numPr>
        <w:spacing w:after="240"/>
        <w:ind w:left="0" w:firstLine="0"/>
      </w:pPr>
      <w:r w:rsidRPr="00B705D7">
        <w:rPr>
          <w:rFonts w:ascii="Times New Roman" w:hAnsi="Times New Roman" w:cs="Times New Roman"/>
          <w:b/>
          <w:bCs/>
          <w:color w:val="auto"/>
        </w:rPr>
        <w:t>Initiation of Proceedings</w:t>
      </w:r>
      <w:r w:rsidR="00280161" w:rsidRPr="00B705D7">
        <w:rPr>
          <w:rStyle w:val="FootnoteReference"/>
        </w:rPr>
        <w:footnoteReference w:id="2"/>
      </w:r>
      <w:r w:rsidRPr="00B705D7">
        <w:rPr>
          <w:rFonts w:ascii="Times New Roman" w:hAnsi="Times New Roman" w:cs="Times New Roman"/>
          <w:b/>
          <w:bCs/>
          <w:color w:val="auto"/>
        </w:rPr>
        <w:t xml:space="preserve"> </w:t>
      </w:r>
    </w:p>
    <w:p w14:paraId="30B0911C" w14:textId="77777777" w:rsidR="00505D97" w:rsidRPr="00B705D7" w:rsidRDefault="00505D97" w:rsidP="006939ED">
      <w:pPr>
        <w:pStyle w:val="ListParagraph"/>
        <w:ind w:left="0"/>
        <w:jc w:val="both"/>
      </w:pPr>
      <w:r w:rsidRPr="00B705D7">
        <w:t>Proceedings under:</w:t>
      </w:r>
    </w:p>
    <w:p w14:paraId="00BBB857" w14:textId="77777777" w:rsidR="00505D97" w:rsidRPr="00B705D7" w:rsidRDefault="00505D97" w:rsidP="006939ED">
      <w:pPr>
        <w:pStyle w:val="ListParagraph"/>
        <w:numPr>
          <w:ilvl w:val="1"/>
          <w:numId w:val="1"/>
        </w:numPr>
        <w:ind w:left="284" w:firstLine="0"/>
        <w:jc w:val="both"/>
      </w:pPr>
      <w:r w:rsidRPr="00B705D7">
        <w:t xml:space="preserve">the </w:t>
      </w:r>
      <w:r w:rsidRPr="00B705D7">
        <w:rPr>
          <w:i/>
        </w:rPr>
        <w:t>Confiscation Act 1997</w:t>
      </w:r>
      <w:r w:rsidRPr="00B705D7">
        <w:t xml:space="preserve"> (Vic);</w:t>
      </w:r>
    </w:p>
    <w:p w14:paraId="3C9B9AED" w14:textId="77777777" w:rsidR="00505D97" w:rsidRPr="00B705D7" w:rsidRDefault="006939ED" w:rsidP="00191903">
      <w:pPr>
        <w:pStyle w:val="ListParagraph"/>
        <w:numPr>
          <w:ilvl w:val="1"/>
          <w:numId w:val="1"/>
        </w:numPr>
        <w:ind w:left="709" w:hanging="425"/>
        <w:jc w:val="both"/>
      </w:pPr>
      <w:r w:rsidRPr="00B705D7">
        <w:t xml:space="preserve">the </w:t>
      </w:r>
      <w:r w:rsidR="00505D97" w:rsidRPr="00B705D7">
        <w:rPr>
          <w:i/>
        </w:rPr>
        <w:t>Proceeds of Crime Act 2002</w:t>
      </w:r>
      <w:r w:rsidR="00505D97" w:rsidRPr="00B705D7">
        <w:t xml:space="preserve"> (</w:t>
      </w:r>
      <w:proofErr w:type="spellStart"/>
      <w:r w:rsidR="00505D97" w:rsidRPr="00B705D7">
        <w:t>Cth</w:t>
      </w:r>
      <w:proofErr w:type="spellEnd"/>
      <w:r w:rsidR="00505D97" w:rsidRPr="00B705D7">
        <w:t>); or</w:t>
      </w:r>
    </w:p>
    <w:p w14:paraId="38934E37" w14:textId="77777777" w:rsidR="00505D97" w:rsidRPr="00B705D7" w:rsidRDefault="00505D97" w:rsidP="006939ED">
      <w:pPr>
        <w:pStyle w:val="ListParagraph"/>
        <w:numPr>
          <w:ilvl w:val="1"/>
          <w:numId w:val="1"/>
        </w:numPr>
        <w:ind w:left="709" w:hanging="425"/>
        <w:jc w:val="both"/>
      </w:pPr>
      <w:r w:rsidRPr="00B705D7">
        <w:t xml:space="preserve">any other Victorian and Commonwealth legislation providing for the restraint or forfeiture of property connected with criminal activity, </w:t>
      </w:r>
    </w:p>
    <w:p w14:paraId="062C6A4D" w14:textId="77777777" w:rsidR="00505D97" w:rsidRPr="00B705D7" w:rsidRDefault="00505D97" w:rsidP="006939ED">
      <w:pPr>
        <w:pStyle w:val="ListParagraph"/>
        <w:ind w:left="0"/>
        <w:jc w:val="both"/>
      </w:pPr>
      <w:proofErr w:type="gramStart"/>
      <w:r w:rsidRPr="00B705D7">
        <w:t>should</w:t>
      </w:r>
      <w:proofErr w:type="gramEnd"/>
      <w:r w:rsidRPr="00B705D7">
        <w:t xml:space="preserve"> be initiated in the List. </w:t>
      </w:r>
      <w:r w:rsidR="006939ED" w:rsidRPr="00B705D7">
        <w:t>No additional fees will be payable for the inclusion of a proceeding in the List.</w:t>
      </w:r>
      <w:r w:rsidR="00896D8D" w:rsidRPr="00B705D7">
        <w:t xml:space="preserve"> </w:t>
      </w:r>
    </w:p>
    <w:p w14:paraId="70F6C909" w14:textId="77777777" w:rsidR="003E3A37" w:rsidRPr="00B705D7" w:rsidRDefault="003E3A37" w:rsidP="006939ED">
      <w:pPr>
        <w:jc w:val="both"/>
      </w:pPr>
    </w:p>
    <w:p w14:paraId="468B5FE5" w14:textId="77777777" w:rsidR="0017106E" w:rsidRPr="00B705D7" w:rsidRDefault="00125E73" w:rsidP="006939ED">
      <w:pPr>
        <w:pStyle w:val="ListParagraph"/>
        <w:ind w:left="0"/>
        <w:jc w:val="both"/>
      </w:pPr>
      <w:r w:rsidRPr="00B705D7">
        <w:t>Applications initiating a proceeding</w:t>
      </w:r>
      <w:r w:rsidR="0017106E" w:rsidRPr="00B705D7">
        <w:t xml:space="preserve"> should continue to be made via the Practice Court Coordinator, who will make arrangements for the application to be heard by the Judge in Charge of the List or in the Practice Court.</w:t>
      </w:r>
      <w:r w:rsidR="000D5AD5" w:rsidRPr="00B705D7">
        <w:t xml:space="preserve">  Urgent applications will be heard by the judge in the Practice Court.</w:t>
      </w:r>
    </w:p>
    <w:p w14:paraId="6BEAB752" w14:textId="77777777" w:rsidR="0017106E" w:rsidRPr="00B705D7" w:rsidRDefault="0017106E" w:rsidP="006939ED">
      <w:pPr>
        <w:pStyle w:val="ListParagraph"/>
        <w:ind w:left="0"/>
        <w:jc w:val="both"/>
      </w:pPr>
    </w:p>
    <w:p w14:paraId="2687AA8B" w14:textId="77777777" w:rsidR="003E3A37" w:rsidRPr="00B705D7" w:rsidRDefault="0017106E" w:rsidP="006939ED">
      <w:pPr>
        <w:pStyle w:val="ListParagraph"/>
        <w:ind w:left="0"/>
        <w:jc w:val="both"/>
      </w:pPr>
      <w:r w:rsidRPr="00B705D7">
        <w:t xml:space="preserve">All </w:t>
      </w:r>
      <w:r w:rsidR="00505D97" w:rsidRPr="00B705D7">
        <w:t>documents filed in the proceeding should be endorsed “Confiscation and Proceeds of Crime List”.</w:t>
      </w:r>
      <w:r w:rsidR="00180FFD" w:rsidRPr="00B705D7">
        <w:t xml:space="preserve"> </w:t>
      </w:r>
      <w:r w:rsidR="00BD4962" w:rsidRPr="00B705D7">
        <w:t xml:space="preserve">Practitioners should refer to the List webpage for general guidance as </w:t>
      </w:r>
      <w:r w:rsidR="00180FFD" w:rsidRPr="00B705D7">
        <w:t xml:space="preserve">to the applicable time limits under the above legislation.  </w:t>
      </w:r>
    </w:p>
    <w:p w14:paraId="3DA663BF" w14:textId="77777777" w:rsidR="003E3A37" w:rsidRPr="00B705D7" w:rsidRDefault="003E3A37" w:rsidP="006939ED">
      <w:pPr>
        <w:pStyle w:val="ListParagraph"/>
        <w:ind w:left="0"/>
        <w:jc w:val="both"/>
      </w:pPr>
    </w:p>
    <w:p w14:paraId="334D7AA4" w14:textId="77777777" w:rsidR="00505D97" w:rsidRPr="00B705D7" w:rsidRDefault="00E42624" w:rsidP="006939ED">
      <w:pPr>
        <w:pStyle w:val="ListParagraph"/>
        <w:ind w:left="0"/>
        <w:jc w:val="both"/>
      </w:pPr>
      <w:r w:rsidRPr="00B705D7">
        <w:t>In case</w:t>
      </w:r>
      <w:r w:rsidR="00505D97" w:rsidRPr="00B705D7">
        <w:t xml:space="preserve"> of doubt as to whether a proposed proceeding is suitable for inclusion in the List, the proposed applicant should contact </w:t>
      </w:r>
      <w:r w:rsidR="00521C4E" w:rsidRPr="00B705D7">
        <w:t xml:space="preserve">the Associate to the Judge in Charge </w:t>
      </w:r>
      <w:r w:rsidR="003E3A37" w:rsidRPr="00B705D7">
        <w:t>at first instance, or the Practice Court Coo</w:t>
      </w:r>
      <w:r w:rsidRPr="00B705D7">
        <w:t>rdinator if the matter is urgent</w:t>
      </w:r>
      <w:r w:rsidR="003E3A37" w:rsidRPr="00B705D7">
        <w:t xml:space="preserve">. </w:t>
      </w:r>
    </w:p>
    <w:p w14:paraId="3E66C0C4" w14:textId="77777777" w:rsidR="006939ED" w:rsidRDefault="006939ED" w:rsidP="006939ED">
      <w:pPr>
        <w:pStyle w:val="ListParagraph"/>
        <w:spacing w:line="360" w:lineRule="auto"/>
        <w:ind w:left="0"/>
        <w:jc w:val="both"/>
      </w:pPr>
    </w:p>
    <w:p w14:paraId="06FDFB38" w14:textId="77777777" w:rsidR="00F12109" w:rsidRPr="00B705D7" w:rsidRDefault="00F12109" w:rsidP="006939ED">
      <w:pPr>
        <w:pStyle w:val="ListParagraph"/>
        <w:spacing w:line="360" w:lineRule="auto"/>
        <w:ind w:left="0"/>
        <w:jc w:val="both"/>
      </w:pPr>
    </w:p>
    <w:p w14:paraId="589B48EB" w14:textId="77777777" w:rsidR="00505D97" w:rsidRDefault="0014670D" w:rsidP="006939ED">
      <w:pPr>
        <w:pStyle w:val="ListParagraph"/>
        <w:numPr>
          <w:ilvl w:val="0"/>
          <w:numId w:val="1"/>
        </w:numPr>
        <w:spacing w:line="360" w:lineRule="auto"/>
        <w:ind w:left="0" w:firstLine="0"/>
        <w:jc w:val="both"/>
        <w:rPr>
          <w:b/>
        </w:rPr>
      </w:pPr>
      <w:r w:rsidRPr="00B705D7">
        <w:rPr>
          <w:b/>
        </w:rPr>
        <w:t>Transfer of Proceedings</w:t>
      </w:r>
    </w:p>
    <w:p w14:paraId="58493457" w14:textId="77777777" w:rsidR="00E42624" w:rsidRPr="00B705D7" w:rsidRDefault="0014670D" w:rsidP="006939ED">
      <w:pPr>
        <w:pStyle w:val="ListParagraph"/>
        <w:ind w:left="0"/>
        <w:jc w:val="both"/>
      </w:pPr>
      <w:r w:rsidRPr="00B705D7">
        <w:t>Proceedings of t</w:t>
      </w:r>
      <w:r w:rsidR="00E42624" w:rsidRPr="00B705D7">
        <w:t>he nature set out in paragraph 2</w:t>
      </w:r>
      <w:r w:rsidRPr="00B705D7">
        <w:t xml:space="preserve"> commenced prior to the establishment of the List will be administratively transferred into the List for future management. The Court on its own motion may transfer</w:t>
      </w:r>
      <w:r w:rsidR="009225FF" w:rsidRPr="00B705D7">
        <w:t xml:space="preserve"> a proceeding</w:t>
      </w:r>
      <w:r w:rsidRPr="00B705D7">
        <w:t xml:space="preserve"> into or out of the List if it appears to the Court appropriate to do so for the</w:t>
      </w:r>
      <w:r w:rsidR="00E42624" w:rsidRPr="00B705D7">
        <w:t xml:space="preserve"> proper</w:t>
      </w:r>
      <w:r w:rsidRPr="00B705D7">
        <w:t xml:space="preserve"> management of that proceeding. </w:t>
      </w:r>
    </w:p>
    <w:p w14:paraId="0B69C6B3" w14:textId="77777777" w:rsidR="00307BD4" w:rsidRPr="00B705D7" w:rsidRDefault="00307BD4" w:rsidP="006939ED">
      <w:pPr>
        <w:pStyle w:val="ListParagraph"/>
        <w:ind w:left="0"/>
        <w:jc w:val="both"/>
      </w:pPr>
    </w:p>
    <w:p w14:paraId="73F87360" w14:textId="77777777" w:rsidR="00307BD4" w:rsidRPr="00B705D7" w:rsidRDefault="00BD4962" w:rsidP="006939ED">
      <w:pPr>
        <w:pStyle w:val="ListParagraph"/>
        <w:ind w:left="0"/>
        <w:jc w:val="both"/>
        <w:rPr>
          <w:i/>
        </w:rPr>
      </w:pPr>
      <w:r w:rsidRPr="00B705D7">
        <w:t>For the avoidance of doubt, a</w:t>
      </w:r>
      <w:r w:rsidR="00307BD4" w:rsidRPr="00B705D7">
        <w:t>ny transfer of proceedings suitable for inclusion in the List from the County Court of Victoria</w:t>
      </w:r>
      <w:r w:rsidR="00180FFD" w:rsidRPr="00B705D7">
        <w:t xml:space="preserve"> to this Court</w:t>
      </w:r>
      <w:r w:rsidR="00307BD4" w:rsidRPr="00B705D7">
        <w:t xml:space="preserve"> </w:t>
      </w:r>
      <w:r w:rsidRPr="00B705D7">
        <w:t xml:space="preserve">must be made under the </w:t>
      </w:r>
      <w:r w:rsidRPr="00B705D7">
        <w:rPr>
          <w:i/>
        </w:rPr>
        <w:t xml:space="preserve">Courts (Case Transfer) Act 1991 </w:t>
      </w:r>
      <w:r w:rsidRPr="00B705D7">
        <w:t>(Vic).</w:t>
      </w:r>
    </w:p>
    <w:p w14:paraId="1D6F2C7A" w14:textId="77777777" w:rsidR="00505D97" w:rsidRPr="00B705D7" w:rsidRDefault="00505D97" w:rsidP="006939ED">
      <w:pPr>
        <w:pStyle w:val="ListParagraph"/>
        <w:spacing w:line="360" w:lineRule="auto"/>
        <w:ind w:left="0"/>
        <w:jc w:val="both"/>
      </w:pPr>
    </w:p>
    <w:p w14:paraId="4D0A0EE0" w14:textId="77777777" w:rsidR="00E42624" w:rsidRPr="00B705D7" w:rsidRDefault="00E42624" w:rsidP="006939ED">
      <w:pPr>
        <w:pStyle w:val="Default"/>
        <w:numPr>
          <w:ilvl w:val="0"/>
          <w:numId w:val="1"/>
        </w:numPr>
        <w:spacing w:after="240"/>
        <w:ind w:left="0" w:firstLine="0"/>
        <w:rPr>
          <w:rFonts w:ascii="Times New Roman" w:hAnsi="Times New Roman" w:cs="Times New Roman"/>
          <w:b/>
          <w:bCs/>
          <w:color w:val="auto"/>
        </w:rPr>
      </w:pPr>
      <w:r w:rsidRPr="00B705D7">
        <w:rPr>
          <w:rFonts w:ascii="Times New Roman" w:hAnsi="Times New Roman" w:cs="Times New Roman"/>
          <w:b/>
          <w:bCs/>
          <w:color w:val="auto"/>
        </w:rPr>
        <w:t>Management of List</w:t>
      </w:r>
    </w:p>
    <w:p w14:paraId="15E976F4" w14:textId="77777777" w:rsidR="00E42624" w:rsidRPr="00B705D7" w:rsidRDefault="000D5AD5" w:rsidP="00E42624">
      <w:r w:rsidRPr="00B705D7">
        <w:t>P</w:t>
      </w:r>
      <w:r w:rsidR="00E42624" w:rsidRPr="00B705D7">
        <w:t>roceedings in the List will be managed by the Judge in Charge. The Associate to the Judge in Charge (</w:t>
      </w:r>
      <w:r w:rsidR="00E42624" w:rsidRPr="00B705D7">
        <w:rPr>
          <w:b/>
          <w:i/>
        </w:rPr>
        <w:t>Associate</w:t>
      </w:r>
      <w:r w:rsidR="00E42624" w:rsidRPr="00B705D7">
        <w:rPr>
          <w:b/>
        </w:rPr>
        <w:t xml:space="preserve">) </w:t>
      </w:r>
      <w:r w:rsidR="00E42624" w:rsidRPr="00B705D7">
        <w:t xml:space="preserve">will </w:t>
      </w:r>
      <w:r w:rsidR="00E26023" w:rsidRPr="00B705D7">
        <w:t xml:space="preserve">be </w:t>
      </w:r>
      <w:r w:rsidR="00E42624" w:rsidRPr="00B705D7">
        <w:t xml:space="preserve">the </w:t>
      </w:r>
      <w:r w:rsidR="009C6543" w:rsidRPr="00B705D7">
        <w:t xml:space="preserve">principal </w:t>
      </w:r>
      <w:r w:rsidR="00E42624" w:rsidRPr="00B705D7">
        <w:t>point of contact for all</w:t>
      </w:r>
      <w:r w:rsidR="00CE076F" w:rsidRPr="00B705D7">
        <w:t xml:space="preserve"> </w:t>
      </w:r>
      <w:r w:rsidRPr="00B705D7">
        <w:t xml:space="preserve">non-urgent </w:t>
      </w:r>
      <w:r w:rsidR="00CE076F" w:rsidRPr="00B705D7">
        <w:t>proceedings in the List. Practitioners are reminded that all communications with the Associate in this regard are to comply</w:t>
      </w:r>
      <w:r w:rsidR="00355044" w:rsidRPr="00B705D7">
        <w:t xml:space="preserve"> with the ordinary protocols of communication with Associates (for guidance see Notice to Profession 6/2009).</w:t>
      </w:r>
      <w:r w:rsidR="00CE076F" w:rsidRPr="00B705D7">
        <w:t xml:space="preserve"> </w:t>
      </w:r>
    </w:p>
    <w:p w14:paraId="38851E5F" w14:textId="77777777" w:rsidR="00E42624" w:rsidRPr="00B705D7" w:rsidRDefault="00E42624" w:rsidP="00E42624">
      <w:pPr>
        <w:pStyle w:val="Default"/>
        <w:spacing w:after="240"/>
        <w:rPr>
          <w:rFonts w:ascii="Times New Roman" w:hAnsi="Times New Roman" w:cs="Times New Roman"/>
          <w:b/>
          <w:bCs/>
          <w:color w:val="auto"/>
        </w:rPr>
      </w:pPr>
    </w:p>
    <w:p w14:paraId="65EAF109" w14:textId="77777777" w:rsidR="00505D97" w:rsidRPr="00B705D7" w:rsidRDefault="00505D97" w:rsidP="006939ED">
      <w:pPr>
        <w:pStyle w:val="Default"/>
        <w:numPr>
          <w:ilvl w:val="0"/>
          <w:numId w:val="1"/>
        </w:numPr>
        <w:spacing w:after="240"/>
        <w:ind w:left="0" w:firstLine="0"/>
        <w:rPr>
          <w:rFonts w:ascii="Times New Roman" w:hAnsi="Times New Roman" w:cs="Times New Roman"/>
          <w:b/>
          <w:bCs/>
          <w:color w:val="auto"/>
        </w:rPr>
      </w:pPr>
      <w:r w:rsidRPr="00B705D7">
        <w:rPr>
          <w:rFonts w:ascii="Times New Roman" w:hAnsi="Times New Roman" w:cs="Times New Roman"/>
          <w:b/>
          <w:bCs/>
          <w:color w:val="auto"/>
        </w:rPr>
        <w:t>Directions Hearings</w:t>
      </w:r>
    </w:p>
    <w:p w14:paraId="012DCDE6" w14:textId="77777777" w:rsidR="00505D97" w:rsidRPr="00B705D7" w:rsidRDefault="00505D97" w:rsidP="006939ED">
      <w:pPr>
        <w:pStyle w:val="Default"/>
        <w:spacing w:after="240"/>
        <w:rPr>
          <w:rFonts w:ascii="Times New Roman" w:hAnsi="Times New Roman" w:cs="Times New Roman"/>
          <w:bCs/>
          <w:color w:val="auto"/>
        </w:rPr>
      </w:pPr>
      <w:r w:rsidRPr="00B705D7">
        <w:rPr>
          <w:rFonts w:ascii="Times New Roman" w:hAnsi="Times New Roman" w:cs="Times New Roman"/>
          <w:bCs/>
          <w:color w:val="auto"/>
        </w:rPr>
        <w:t>Directions hearings will be held on the f</w:t>
      </w:r>
      <w:r w:rsidR="00B46001" w:rsidRPr="00B705D7">
        <w:rPr>
          <w:rFonts w:ascii="Times New Roman" w:hAnsi="Times New Roman" w:cs="Times New Roman"/>
          <w:bCs/>
          <w:color w:val="auto"/>
        </w:rPr>
        <w:t>irst Monday of each month at 9:3</w:t>
      </w:r>
      <w:r w:rsidRPr="00B705D7">
        <w:rPr>
          <w:rFonts w:ascii="Times New Roman" w:hAnsi="Times New Roman" w:cs="Times New Roman"/>
          <w:bCs/>
          <w:color w:val="auto"/>
        </w:rPr>
        <w:t xml:space="preserve">0am or such other </w:t>
      </w:r>
      <w:r w:rsidR="00E42624" w:rsidRPr="00B705D7">
        <w:rPr>
          <w:rFonts w:ascii="Times New Roman" w:hAnsi="Times New Roman" w:cs="Times New Roman"/>
          <w:bCs/>
          <w:color w:val="auto"/>
        </w:rPr>
        <w:t xml:space="preserve">date and </w:t>
      </w:r>
      <w:r w:rsidRPr="00B705D7">
        <w:rPr>
          <w:rFonts w:ascii="Times New Roman" w:hAnsi="Times New Roman" w:cs="Times New Roman"/>
          <w:bCs/>
          <w:color w:val="auto"/>
        </w:rPr>
        <w:t xml:space="preserve">time as the Associate advises or publishes.  During the Court vacation period all urgent directions matters should be addressed to the Practice Court Coordinator. </w:t>
      </w:r>
    </w:p>
    <w:p w14:paraId="5540AC0C" w14:textId="77777777" w:rsidR="00960948" w:rsidRPr="00B705D7" w:rsidRDefault="00960948" w:rsidP="006939ED">
      <w:pPr>
        <w:pStyle w:val="Default"/>
        <w:spacing w:after="240"/>
        <w:rPr>
          <w:rFonts w:ascii="Times New Roman" w:hAnsi="Times New Roman" w:cs="Times New Roman"/>
          <w:bCs/>
          <w:color w:val="auto"/>
        </w:rPr>
      </w:pPr>
      <w:r w:rsidRPr="00B705D7">
        <w:rPr>
          <w:rFonts w:ascii="Times New Roman" w:hAnsi="Times New Roman" w:cs="Times New Roman"/>
          <w:bCs/>
          <w:color w:val="auto"/>
        </w:rPr>
        <w:t xml:space="preserve">Where a practitioner anticipates that a matter set down for a directions hearing will exceed </w:t>
      </w:r>
      <w:r w:rsidR="00BD4962" w:rsidRPr="00B705D7">
        <w:rPr>
          <w:rFonts w:ascii="Times New Roman" w:hAnsi="Times New Roman" w:cs="Times New Roman"/>
          <w:bCs/>
          <w:color w:val="auto"/>
        </w:rPr>
        <w:t>30 minutes</w:t>
      </w:r>
      <w:r w:rsidRPr="00B705D7">
        <w:rPr>
          <w:rFonts w:ascii="Times New Roman" w:hAnsi="Times New Roman" w:cs="Times New Roman"/>
          <w:bCs/>
          <w:color w:val="auto"/>
        </w:rPr>
        <w:t xml:space="preserve">, </w:t>
      </w:r>
      <w:r w:rsidR="00BD4962" w:rsidRPr="00B705D7">
        <w:rPr>
          <w:rFonts w:ascii="Times New Roman" w:hAnsi="Times New Roman" w:cs="Times New Roman"/>
          <w:bCs/>
          <w:color w:val="auto"/>
        </w:rPr>
        <w:t xml:space="preserve">the practitioner </w:t>
      </w:r>
      <w:r w:rsidRPr="00B705D7">
        <w:rPr>
          <w:rFonts w:ascii="Times New Roman" w:hAnsi="Times New Roman" w:cs="Times New Roman"/>
          <w:bCs/>
          <w:color w:val="auto"/>
        </w:rPr>
        <w:t>should advise the Associate</w:t>
      </w:r>
      <w:r w:rsidR="00BD4962" w:rsidRPr="00B705D7">
        <w:rPr>
          <w:rFonts w:ascii="Times New Roman" w:hAnsi="Times New Roman" w:cs="Times New Roman"/>
          <w:bCs/>
          <w:color w:val="auto"/>
        </w:rPr>
        <w:t xml:space="preserve"> as soon as practicable</w:t>
      </w:r>
      <w:r w:rsidRPr="00B705D7">
        <w:rPr>
          <w:rFonts w:ascii="Times New Roman" w:hAnsi="Times New Roman" w:cs="Times New Roman"/>
          <w:bCs/>
          <w:color w:val="auto"/>
        </w:rPr>
        <w:t xml:space="preserve">. Where </w:t>
      </w:r>
      <w:r w:rsidR="00180FFD" w:rsidRPr="00B705D7">
        <w:rPr>
          <w:rFonts w:ascii="Times New Roman" w:hAnsi="Times New Roman" w:cs="Times New Roman"/>
          <w:bCs/>
          <w:color w:val="auto"/>
        </w:rPr>
        <w:t>necessary the Associate may</w:t>
      </w:r>
      <w:r w:rsidRPr="00B705D7">
        <w:rPr>
          <w:rFonts w:ascii="Times New Roman" w:hAnsi="Times New Roman" w:cs="Times New Roman"/>
          <w:bCs/>
          <w:color w:val="auto"/>
        </w:rPr>
        <w:t xml:space="preserve"> re-schedule the hearing of that matter</w:t>
      </w:r>
      <w:r w:rsidR="00BD4962" w:rsidRPr="00B705D7">
        <w:rPr>
          <w:rFonts w:ascii="Times New Roman" w:hAnsi="Times New Roman" w:cs="Times New Roman"/>
          <w:bCs/>
          <w:color w:val="auto"/>
        </w:rPr>
        <w:t>.</w:t>
      </w:r>
      <w:r w:rsidRPr="00B705D7">
        <w:rPr>
          <w:rFonts w:ascii="Times New Roman" w:hAnsi="Times New Roman" w:cs="Times New Roman"/>
          <w:bCs/>
          <w:color w:val="auto"/>
        </w:rPr>
        <w:t xml:space="preserve"> </w:t>
      </w:r>
      <w:r w:rsidR="00180FFD" w:rsidRPr="00B705D7">
        <w:rPr>
          <w:rFonts w:ascii="Times New Roman" w:hAnsi="Times New Roman" w:cs="Times New Roman"/>
          <w:bCs/>
          <w:color w:val="auto"/>
        </w:rPr>
        <w:t>Both the urgency of the</w:t>
      </w:r>
      <w:r w:rsidR="00315F52" w:rsidRPr="00B705D7">
        <w:rPr>
          <w:rFonts w:ascii="Times New Roman" w:hAnsi="Times New Roman" w:cs="Times New Roman"/>
          <w:bCs/>
          <w:color w:val="auto"/>
        </w:rPr>
        <w:t xml:space="preserve"> matter and the Court’s </w:t>
      </w:r>
      <w:r w:rsidR="00BD4962" w:rsidRPr="00B705D7">
        <w:rPr>
          <w:rFonts w:ascii="Times New Roman" w:hAnsi="Times New Roman" w:cs="Times New Roman"/>
          <w:bCs/>
          <w:color w:val="auto"/>
        </w:rPr>
        <w:t xml:space="preserve">business </w:t>
      </w:r>
      <w:r w:rsidR="00315F52" w:rsidRPr="00B705D7">
        <w:rPr>
          <w:rFonts w:ascii="Times New Roman" w:hAnsi="Times New Roman" w:cs="Times New Roman"/>
          <w:bCs/>
          <w:color w:val="auto"/>
        </w:rPr>
        <w:t xml:space="preserve">will be taken into account in </w:t>
      </w:r>
      <w:r w:rsidR="00BD4962" w:rsidRPr="00B705D7">
        <w:rPr>
          <w:rFonts w:ascii="Times New Roman" w:hAnsi="Times New Roman" w:cs="Times New Roman"/>
          <w:bCs/>
          <w:color w:val="auto"/>
        </w:rPr>
        <w:t>fixing a new date</w:t>
      </w:r>
      <w:r w:rsidR="00315F52" w:rsidRPr="00B705D7">
        <w:rPr>
          <w:rFonts w:ascii="Times New Roman" w:hAnsi="Times New Roman" w:cs="Times New Roman"/>
          <w:bCs/>
          <w:color w:val="auto"/>
        </w:rPr>
        <w:t xml:space="preserve">. </w:t>
      </w:r>
      <w:r w:rsidRPr="00B705D7">
        <w:rPr>
          <w:rFonts w:ascii="Times New Roman" w:hAnsi="Times New Roman" w:cs="Times New Roman"/>
          <w:bCs/>
          <w:color w:val="auto"/>
        </w:rPr>
        <w:t xml:space="preserve">     </w:t>
      </w:r>
    </w:p>
    <w:p w14:paraId="2D152ABE" w14:textId="77777777" w:rsidR="00505D97" w:rsidRPr="00B705D7" w:rsidRDefault="00CF7D1E" w:rsidP="006939ED">
      <w:pPr>
        <w:pStyle w:val="Default"/>
        <w:numPr>
          <w:ilvl w:val="0"/>
          <w:numId w:val="1"/>
        </w:numPr>
        <w:spacing w:after="240"/>
        <w:ind w:left="0" w:firstLine="0"/>
        <w:rPr>
          <w:rFonts w:ascii="Times New Roman" w:hAnsi="Times New Roman" w:cs="Times New Roman"/>
          <w:b/>
          <w:bCs/>
          <w:color w:val="auto"/>
        </w:rPr>
      </w:pPr>
      <w:r w:rsidRPr="00B705D7">
        <w:rPr>
          <w:rFonts w:ascii="Times New Roman" w:hAnsi="Times New Roman" w:cs="Times New Roman"/>
          <w:b/>
          <w:bCs/>
          <w:color w:val="auto"/>
        </w:rPr>
        <w:t>Applications</w:t>
      </w:r>
      <w:r w:rsidR="00E42624" w:rsidRPr="00B705D7">
        <w:rPr>
          <w:rFonts w:ascii="Times New Roman" w:hAnsi="Times New Roman" w:cs="Times New Roman"/>
          <w:b/>
          <w:bCs/>
          <w:color w:val="auto"/>
        </w:rPr>
        <w:t xml:space="preserve"> </w:t>
      </w:r>
    </w:p>
    <w:p w14:paraId="20158CEC" w14:textId="77777777" w:rsidR="00125E73" w:rsidRPr="00B705D7" w:rsidRDefault="000D5AD5" w:rsidP="006939ED">
      <w:pPr>
        <w:pStyle w:val="Default"/>
        <w:spacing w:after="240"/>
        <w:rPr>
          <w:rFonts w:ascii="Times New Roman" w:hAnsi="Times New Roman" w:cs="Times New Roman"/>
          <w:bCs/>
          <w:color w:val="auto"/>
        </w:rPr>
      </w:pPr>
      <w:r w:rsidRPr="00B705D7">
        <w:rPr>
          <w:rFonts w:ascii="Times New Roman" w:hAnsi="Times New Roman" w:cs="Times New Roman"/>
          <w:bCs/>
          <w:color w:val="auto"/>
        </w:rPr>
        <w:t>Any</w:t>
      </w:r>
      <w:r w:rsidR="00125E73" w:rsidRPr="00B705D7">
        <w:rPr>
          <w:rFonts w:ascii="Times New Roman" w:hAnsi="Times New Roman" w:cs="Times New Roman"/>
          <w:bCs/>
          <w:color w:val="auto"/>
        </w:rPr>
        <w:t xml:space="preserve"> application should be made to the Judge in Charge by contacting the Associate. In circumstances of urgency the Practice Court Coordinator may be contacted</w:t>
      </w:r>
      <w:r w:rsidR="000679DF" w:rsidRPr="00B705D7">
        <w:rPr>
          <w:rFonts w:ascii="Times New Roman" w:hAnsi="Times New Roman" w:cs="Times New Roman"/>
          <w:bCs/>
          <w:color w:val="auto"/>
        </w:rPr>
        <w:t>.</w:t>
      </w:r>
    </w:p>
    <w:p w14:paraId="75CC01AA" w14:textId="77777777" w:rsidR="00CF7D1E" w:rsidRPr="00B705D7" w:rsidRDefault="00CE076F" w:rsidP="006939ED">
      <w:pPr>
        <w:pStyle w:val="Default"/>
        <w:spacing w:after="240"/>
        <w:rPr>
          <w:rFonts w:ascii="Times New Roman" w:hAnsi="Times New Roman" w:cs="Times New Roman"/>
          <w:bCs/>
          <w:color w:val="auto"/>
        </w:rPr>
      </w:pPr>
      <w:r w:rsidRPr="00B705D7">
        <w:rPr>
          <w:rFonts w:ascii="Times New Roman" w:hAnsi="Times New Roman" w:cs="Times New Roman"/>
          <w:bCs/>
          <w:color w:val="auto"/>
        </w:rPr>
        <w:t>In all circumstances p</w:t>
      </w:r>
      <w:r w:rsidR="00CF7D1E" w:rsidRPr="00B705D7">
        <w:rPr>
          <w:rFonts w:ascii="Times New Roman" w:hAnsi="Times New Roman" w:cs="Times New Roman"/>
          <w:bCs/>
          <w:color w:val="auto"/>
        </w:rPr>
        <w:t xml:space="preserve">ractitioners must notify the </w:t>
      </w:r>
      <w:r w:rsidR="000679DF" w:rsidRPr="00B705D7">
        <w:rPr>
          <w:rFonts w:ascii="Times New Roman" w:hAnsi="Times New Roman" w:cs="Times New Roman"/>
          <w:bCs/>
          <w:color w:val="auto"/>
        </w:rPr>
        <w:t xml:space="preserve">Court </w:t>
      </w:r>
      <w:r w:rsidR="00CF7D1E" w:rsidRPr="00B705D7">
        <w:rPr>
          <w:rFonts w:ascii="Times New Roman" w:hAnsi="Times New Roman" w:cs="Times New Roman"/>
          <w:bCs/>
          <w:color w:val="auto"/>
        </w:rPr>
        <w:t>immediately upon becoming aware that:</w:t>
      </w:r>
    </w:p>
    <w:p w14:paraId="2E68BEFC" w14:textId="77777777" w:rsidR="00CF7D1E" w:rsidRPr="00B705D7" w:rsidRDefault="006939ED" w:rsidP="00CE076F">
      <w:pPr>
        <w:pStyle w:val="Default"/>
        <w:numPr>
          <w:ilvl w:val="1"/>
          <w:numId w:val="1"/>
        </w:numPr>
        <w:ind w:left="284" w:firstLine="0"/>
        <w:rPr>
          <w:rFonts w:ascii="Times New Roman" w:hAnsi="Times New Roman" w:cs="Times New Roman"/>
          <w:bCs/>
          <w:color w:val="auto"/>
        </w:rPr>
      </w:pPr>
      <w:r w:rsidRPr="00B705D7">
        <w:rPr>
          <w:rFonts w:ascii="Times New Roman" w:hAnsi="Times New Roman" w:cs="Times New Roman"/>
          <w:bCs/>
          <w:color w:val="auto"/>
        </w:rPr>
        <w:t>a</w:t>
      </w:r>
      <w:r w:rsidR="00CF7D1E" w:rsidRPr="00B705D7">
        <w:rPr>
          <w:rFonts w:ascii="Times New Roman" w:hAnsi="Times New Roman" w:cs="Times New Roman"/>
          <w:bCs/>
          <w:color w:val="auto"/>
        </w:rPr>
        <w:t xml:space="preserve"> hearing is no longer required;</w:t>
      </w:r>
    </w:p>
    <w:p w14:paraId="03739681" w14:textId="77777777" w:rsidR="00CF7D1E" w:rsidRPr="00B705D7" w:rsidRDefault="006939ED" w:rsidP="00CE076F">
      <w:pPr>
        <w:pStyle w:val="Default"/>
        <w:numPr>
          <w:ilvl w:val="1"/>
          <w:numId w:val="1"/>
        </w:numPr>
        <w:ind w:left="284" w:firstLine="0"/>
        <w:rPr>
          <w:rFonts w:ascii="Times New Roman" w:hAnsi="Times New Roman" w:cs="Times New Roman"/>
          <w:bCs/>
          <w:color w:val="auto"/>
        </w:rPr>
      </w:pPr>
      <w:r w:rsidRPr="00B705D7">
        <w:rPr>
          <w:rFonts w:ascii="Times New Roman" w:hAnsi="Times New Roman" w:cs="Times New Roman"/>
          <w:bCs/>
          <w:color w:val="auto"/>
        </w:rPr>
        <w:t>a</w:t>
      </w:r>
      <w:r w:rsidR="00CF7D1E" w:rsidRPr="00B705D7">
        <w:rPr>
          <w:rFonts w:ascii="Times New Roman" w:hAnsi="Times New Roman" w:cs="Times New Roman"/>
          <w:bCs/>
          <w:color w:val="auto"/>
        </w:rPr>
        <w:t>n application is no longer contested;</w:t>
      </w:r>
    </w:p>
    <w:p w14:paraId="046174E2" w14:textId="77777777" w:rsidR="00CF7D1E" w:rsidRPr="00B705D7" w:rsidRDefault="006939ED" w:rsidP="00CE076F">
      <w:pPr>
        <w:pStyle w:val="Default"/>
        <w:numPr>
          <w:ilvl w:val="1"/>
          <w:numId w:val="1"/>
        </w:numPr>
        <w:ind w:left="284" w:firstLine="0"/>
        <w:rPr>
          <w:rFonts w:ascii="Times New Roman" w:hAnsi="Times New Roman" w:cs="Times New Roman"/>
          <w:bCs/>
          <w:color w:val="auto"/>
        </w:rPr>
      </w:pPr>
      <w:r w:rsidRPr="00B705D7">
        <w:rPr>
          <w:rFonts w:ascii="Times New Roman" w:hAnsi="Times New Roman" w:cs="Times New Roman"/>
          <w:bCs/>
          <w:color w:val="auto"/>
        </w:rPr>
        <w:t>a</w:t>
      </w:r>
      <w:r w:rsidR="00CF7D1E" w:rsidRPr="00B705D7">
        <w:rPr>
          <w:rFonts w:ascii="Times New Roman" w:hAnsi="Times New Roman" w:cs="Times New Roman"/>
          <w:bCs/>
          <w:color w:val="auto"/>
        </w:rPr>
        <w:t>n application has become a consent matter; or</w:t>
      </w:r>
    </w:p>
    <w:p w14:paraId="29CDC769" w14:textId="77777777" w:rsidR="00CF7D1E" w:rsidRPr="00B705D7" w:rsidRDefault="006939ED" w:rsidP="00CE076F">
      <w:pPr>
        <w:pStyle w:val="Default"/>
        <w:numPr>
          <w:ilvl w:val="1"/>
          <w:numId w:val="1"/>
        </w:numPr>
        <w:ind w:left="284" w:firstLine="0"/>
        <w:rPr>
          <w:rFonts w:ascii="Times New Roman" w:hAnsi="Times New Roman" w:cs="Times New Roman"/>
          <w:bCs/>
          <w:color w:val="auto"/>
        </w:rPr>
      </w:pPr>
      <w:proofErr w:type="gramStart"/>
      <w:r w:rsidRPr="00B705D7">
        <w:rPr>
          <w:rFonts w:ascii="Times New Roman" w:hAnsi="Times New Roman" w:cs="Times New Roman"/>
          <w:bCs/>
          <w:color w:val="auto"/>
        </w:rPr>
        <w:t>a</w:t>
      </w:r>
      <w:proofErr w:type="gramEnd"/>
      <w:r w:rsidR="00CF7D1E" w:rsidRPr="00B705D7">
        <w:rPr>
          <w:rFonts w:ascii="Times New Roman" w:hAnsi="Times New Roman" w:cs="Times New Roman"/>
          <w:bCs/>
          <w:color w:val="auto"/>
        </w:rPr>
        <w:t xml:space="preserve"> hearing estimate has been revised. </w:t>
      </w:r>
    </w:p>
    <w:p w14:paraId="5667E1A8" w14:textId="77777777" w:rsidR="006939ED" w:rsidRPr="00B705D7" w:rsidRDefault="006939ED" w:rsidP="006939ED">
      <w:pPr>
        <w:pStyle w:val="Default"/>
        <w:rPr>
          <w:rFonts w:ascii="Times New Roman" w:hAnsi="Times New Roman" w:cs="Times New Roman"/>
          <w:bCs/>
          <w:color w:val="auto"/>
        </w:rPr>
      </w:pPr>
    </w:p>
    <w:p w14:paraId="6A48D40D" w14:textId="77777777" w:rsidR="009C6AC6" w:rsidRPr="00B705D7" w:rsidRDefault="00C34A95" w:rsidP="006939ED">
      <w:pPr>
        <w:pStyle w:val="Default"/>
        <w:numPr>
          <w:ilvl w:val="0"/>
          <w:numId w:val="1"/>
        </w:numPr>
        <w:spacing w:after="240"/>
        <w:ind w:left="0" w:firstLine="0"/>
        <w:rPr>
          <w:rFonts w:ascii="Times New Roman" w:hAnsi="Times New Roman" w:cs="Times New Roman"/>
          <w:b/>
          <w:bCs/>
          <w:color w:val="auto"/>
        </w:rPr>
      </w:pPr>
      <w:r w:rsidRPr="00B705D7">
        <w:rPr>
          <w:rFonts w:ascii="Times New Roman" w:hAnsi="Times New Roman" w:cs="Times New Roman"/>
          <w:b/>
          <w:bCs/>
          <w:color w:val="auto"/>
        </w:rPr>
        <w:t>Consent Orders</w:t>
      </w:r>
    </w:p>
    <w:p w14:paraId="06FBF7C1" w14:textId="77777777" w:rsidR="009C6AC6" w:rsidRPr="00B705D7" w:rsidRDefault="009C6AC6" w:rsidP="00191903">
      <w:pPr>
        <w:pStyle w:val="Default"/>
        <w:spacing w:after="240"/>
        <w:rPr>
          <w:rFonts w:ascii="Times New Roman" w:hAnsi="Times New Roman" w:cs="Times New Roman"/>
          <w:bCs/>
          <w:color w:val="auto"/>
        </w:rPr>
      </w:pPr>
      <w:r w:rsidRPr="00B705D7">
        <w:rPr>
          <w:rFonts w:ascii="Times New Roman" w:hAnsi="Times New Roman" w:cs="Times New Roman"/>
          <w:bCs/>
          <w:color w:val="auto"/>
        </w:rPr>
        <w:t xml:space="preserve">Minutes of </w:t>
      </w:r>
      <w:r w:rsidR="00994CCE">
        <w:rPr>
          <w:rFonts w:ascii="Times New Roman" w:hAnsi="Times New Roman" w:cs="Times New Roman"/>
          <w:bCs/>
          <w:color w:val="auto"/>
        </w:rPr>
        <w:t>p</w:t>
      </w:r>
      <w:r w:rsidRPr="00B705D7">
        <w:rPr>
          <w:rFonts w:ascii="Times New Roman" w:hAnsi="Times New Roman" w:cs="Times New Roman"/>
          <w:bCs/>
          <w:color w:val="auto"/>
        </w:rPr>
        <w:t xml:space="preserve">roposed </w:t>
      </w:r>
      <w:r w:rsidR="00994CCE">
        <w:rPr>
          <w:rFonts w:ascii="Times New Roman" w:hAnsi="Times New Roman" w:cs="Times New Roman"/>
          <w:bCs/>
          <w:color w:val="auto"/>
        </w:rPr>
        <w:t>c</w:t>
      </w:r>
      <w:r w:rsidRPr="00B705D7">
        <w:rPr>
          <w:rFonts w:ascii="Times New Roman" w:hAnsi="Times New Roman" w:cs="Times New Roman"/>
          <w:bCs/>
          <w:color w:val="auto"/>
        </w:rPr>
        <w:t xml:space="preserve">onsent </w:t>
      </w:r>
      <w:r w:rsidR="00994CCE">
        <w:rPr>
          <w:rFonts w:ascii="Times New Roman" w:hAnsi="Times New Roman" w:cs="Times New Roman"/>
          <w:bCs/>
          <w:color w:val="auto"/>
        </w:rPr>
        <w:t>o</w:t>
      </w:r>
      <w:r w:rsidRPr="00B705D7">
        <w:rPr>
          <w:rFonts w:ascii="Times New Roman" w:hAnsi="Times New Roman" w:cs="Times New Roman"/>
          <w:bCs/>
          <w:color w:val="auto"/>
        </w:rPr>
        <w:t xml:space="preserve">rders </w:t>
      </w:r>
      <w:r w:rsidR="00994CCE">
        <w:rPr>
          <w:rFonts w:ascii="Times New Roman" w:hAnsi="Times New Roman" w:cs="Times New Roman"/>
          <w:bCs/>
          <w:color w:val="auto"/>
        </w:rPr>
        <w:t xml:space="preserve">in </w:t>
      </w:r>
      <w:r w:rsidR="006C29EF">
        <w:rPr>
          <w:rFonts w:ascii="Times New Roman" w:hAnsi="Times New Roman" w:cs="Times New Roman"/>
          <w:bCs/>
          <w:color w:val="auto"/>
        </w:rPr>
        <w:t xml:space="preserve">both signed PDF and </w:t>
      </w:r>
      <w:r w:rsidR="00994CCE">
        <w:rPr>
          <w:rFonts w:ascii="Times New Roman" w:hAnsi="Times New Roman" w:cs="Times New Roman"/>
          <w:bCs/>
          <w:color w:val="auto"/>
        </w:rPr>
        <w:t xml:space="preserve">editable form </w:t>
      </w:r>
      <w:r w:rsidRPr="00B705D7">
        <w:rPr>
          <w:rFonts w:ascii="Times New Roman" w:hAnsi="Times New Roman" w:cs="Times New Roman"/>
          <w:bCs/>
          <w:color w:val="auto"/>
        </w:rPr>
        <w:t xml:space="preserve">should be </w:t>
      </w:r>
      <w:r w:rsidR="00994CCE">
        <w:rPr>
          <w:rFonts w:ascii="Times New Roman" w:hAnsi="Times New Roman" w:cs="Times New Roman"/>
          <w:bCs/>
          <w:color w:val="auto"/>
        </w:rPr>
        <w:t xml:space="preserve">emailed </w:t>
      </w:r>
      <w:r w:rsidRPr="00B705D7">
        <w:rPr>
          <w:rFonts w:ascii="Times New Roman" w:hAnsi="Times New Roman" w:cs="Times New Roman"/>
          <w:bCs/>
          <w:color w:val="auto"/>
        </w:rPr>
        <w:t>to the Associate at the earliest opportunity, and in any event no later than:</w:t>
      </w:r>
    </w:p>
    <w:p w14:paraId="0B5C525A" w14:textId="77777777" w:rsidR="0041032A" w:rsidRPr="00B705D7" w:rsidRDefault="00960948" w:rsidP="00191903">
      <w:pPr>
        <w:pStyle w:val="Default"/>
        <w:numPr>
          <w:ilvl w:val="0"/>
          <w:numId w:val="2"/>
        </w:numPr>
        <w:spacing w:after="240"/>
        <w:ind w:hanging="1216"/>
        <w:rPr>
          <w:rFonts w:ascii="Times New Roman" w:hAnsi="Times New Roman" w:cs="Times New Roman"/>
          <w:bCs/>
          <w:color w:val="auto"/>
        </w:rPr>
      </w:pPr>
      <w:r w:rsidRPr="00B705D7">
        <w:rPr>
          <w:rFonts w:ascii="Times New Roman" w:hAnsi="Times New Roman" w:cs="Times New Roman"/>
          <w:bCs/>
          <w:color w:val="auto"/>
        </w:rPr>
        <w:lastRenderedPageBreak/>
        <w:t>w</w:t>
      </w:r>
      <w:r w:rsidR="009C6AC6" w:rsidRPr="00B705D7">
        <w:rPr>
          <w:rFonts w:ascii="Times New Roman" w:hAnsi="Times New Roman" w:cs="Times New Roman"/>
          <w:bCs/>
          <w:color w:val="auto"/>
        </w:rPr>
        <w:t>here the proposed con</w:t>
      </w:r>
      <w:r w:rsidRPr="00B705D7">
        <w:rPr>
          <w:rFonts w:ascii="Times New Roman" w:hAnsi="Times New Roman" w:cs="Times New Roman"/>
          <w:bCs/>
          <w:color w:val="auto"/>
        </w:rPr>
        <w:t>sent orders are in respect of</w:t>
      </w:r>
      <w:r w:rsidR="0041032A" w:rsidRPr="00B705D7">
        <w:rPr>
          <w:rFonts w:ascii="Times New Roman" w:hAnsi="Times New Roman" w:cs="Times New Roman"/>
          <w:bCs/>
          <w:color w:val="auto"/>
        </w:rPr>
        <w:t xml:space="preserve"> a directions hearing,</w:t>
      </w:r>
      <w:r w:rsidR="00191903" w:rsidRPr="00B705D7" w:rsidDel="00191903">
        <w:rPr>
          <w:rFonts w:ascii="Times New Roman" w:hAnsi="Times New Roman" w:cs="Times New Roman"/>
          <w:bCs/>
          <w:color w:val="auto"/>
        </w:rPr>
        <w:t xml:space="preserve"> </w:t>
      </w:r>
      <w:r w:rsidR="009C6AC6" w:rsidRPr="00B705D7">
        <w:rPr>
          <w:rFonts w:ascii="Times New Roman" w:hAnsi="Times New Roman" w:cs="Times New Roman"/>
          <w:bCs/>
          <w:color w:val="auto"/>
        </w:rPr>
        <w:t xml:space="preserve">5:00pm on the Thursday prior to </w:t>
      </w:r>
      <w:r w:rsidR="0041032A" w:rsidRPr="00B705D7">
        <w:rPr>
          <w:rFonts w:ascii="Times New Roman" w:hAnsi="Times New Roman" w:cs="Times New Roman"/>
          <w:bCs/>
          <w:color w:val="auto"/>
        </w:rPr>
        <w:t>the relevant directions hearing; or</w:t>
      </w:r>
    </w:p>
    <w:p w14:paraId="6FCFF2C0" w14:textId="77777777" w:rsidR="0041032A" w:rsidRPr="00B705D7" w:rsidRDefault="00960948" w:rsidP="00191903">
      <w:pPr>
        <w:pStyle w:val="Default"/>
        <w:numPr>
          <w:ilvl w:val="0"/>
          <w:numId w:val="2"/>
        </w:numPr>
        <w:spacing w:after="240"/>
        <w:ind w:hanging="1216"/>
        <w:rPr>
          <w:rFonts w:ascii="Times New Roman" w:hAnsi="Times New Roman" w:cs="Times New Roman"/>
          <w:bCs/>
          <w:color w:val="auto"/>
        </w:rPr>
      </w:pPr>
      <w:r w:rsidRPr="00B705D7">
        <w:rPr>
          <w:rFonts w:ascii="Times New Roman" w:hAnsi="Times New Roman" w:cs="Times New Roman"/>
          <w:bCs/>
          <w:color w:val="auto"/>
        </w:rPr>
        <w:t>w</w:t>
      </w:r>
      <w:r w:rsidR="009C6AC6" w:rsidRPr="00B705D7">
        <w:rPr>
          <w:rFonts w:ascii="Times New Roman" w:hAnsi="Times New Roman" w:cs="Times New Roman"/>
          <w:bCs/>
          <w:color w:val="auto"/>
        </w:rPr>
        <w:t>here the proposed consent orders are in respect of non-directions matters or applications, 48 hours</w:t>
      </w:r>
      <w:r w:rsidR="00DF5CBF" w:rsidRPr="00B705D7">
        <w:rPr>
          <w:rFonts w:ascii="Times New Roman" w:hAnsi="Times New Roman" w:cs="Times New Roman"/>
          <w:bCs/>
          <w:color w:val="auto"/>
        </w:rPr>
        <w:t xml:space="preserve"> (excluding weekends and public holidays)</w:t>
      </w:r>
      <w:r w:rsidR="009C6AC6" w:rsidRPr="00B705D7">
        <w:rPr>
          <w:rFonts w:ascii="Times New Roman" w:hAnsi="Times New Roman" w:cs="Times New Roman"/>
          <w:bCs/>
          <w:color w:val="auto"/>
        </w:rPr>
        <w:t xml:space="preserve"> prior to the relevant hearing. </w:t>
      </w:r>
    </w:p>
    <w:p w14:paraId="17A0A876" w14:textId="77777777" w:rsidR="009C6AC6" w:rsidRPr="00B705D7" w:rsidRDefault="009C6AC6" w:rsidP="00191903">
      <w:pPr>
        <w:pStyle w:val="Default"/>
        <w:spacing w:after="240"/>
        <w:rPr>
          <w:rFonts w:ascii="Times New Roman" w:hAnsi="Times New Roman" w:cs="Times New Roman"/>
          <w:bCs/>
          <w:color w:val="auto"/>
        </w:rPr>
      </w:pPr>
      <w:r w:rsidRPr="00B705D7">
        <w:rPr>
          <w:rFonts w:ascii="Times New Roman" w:hAnsi="Times New Roman" w:cs="Times New Roman"/>
          <w:bCs/>
          <w:color w:val="auto"/>
        </w:rPr>
        <w:t xml:space="preserve">Neither time frame is to detract from practitioners’ obligations under paragraph 6(c) of this Notice. </w:t>
      </w:r>
    </w:p>
    <w:p w14:paraId="096B8253" w14:textId="77777777" w:rsidR="0041032A" w:rsidRPr="00B705D7" w:rsidRDefault="0041032A" w:rsidP="00191903">
      <w:pPr>
        <w:pStyle w:val="Default"/>
        <w:spacing w:after="240"/>
        <w:rPr>
          <w:rFonts w:ascii="Times New Roman" w:hAnsi="Times New Roman" w:cs="Times New Roman"/>
          <w:bCs/>
          <w:color w:val="auto"/>
        </w:rPr>
      </w:pPr>
      <w:r w:rsidRPr="00B705D7">
        <w:rPr>
          <w:rFonts w:ascii="Times New Roman" w:hAnsi="Times New Roman" w:cs="Times New Roman"/>
          <w:bCs/>
          <w:color w:val="auto"/>
        </w:rPr>
        <w:t xml:space="preserve">Minutes of </w:t>
      </w:r>
      <w:r w:rsidR="00191903" w:rsidRPr="00B705D7">
        <w:rPr>
          <w:rFonts w:ascii="Times New Roman" w:hAnsi="Times New Roman" w:cs="Times New Roman"/>
          <w:bCs/>
          <w:color w:val="auto"/>
        </w:rPr>
        <w:t>p</w:t>
      </w:r>
      <w:r w:rsidRPr="00B705D7">
        <w:rPr>
          <w:rFonts w:ascii="Times New Roman" w:hAnsi="Times New Roman" w:cs="Times New Roman"/>
          <w:bCs/>
          <w:color w:val="auto"/>
        </w:rPr>
        <w:t xml:space="preserve">roposed </w:t>
      </w:r>
      <w:r w:rsidR="00191903" w:rsidRPr="00B705D7">
        <w:rPr>
          <w:rFonts w:ascii="Times New Roman" w:hAnsi="Times New Roman" w:cs="Times New Roman"/>
          <w:bCs/>
          <w:color w:val="auto"/>
        </w:rPr>
        <w:t>c</w:t>
      </w:r>
      <w:r w:rsidRPr="00B705D7">
        <w:rPr>
          <w:rFonts w:ascii="Times New Roman" w:hAnsi="Times New Roman" w:cs="Times New Roman"/>
          <w:bCs/>
          <w:color w:val="auto"/>
        </w:rPr>
        <w:t xml:space="preserve">onsent </w:t>
      </w:r>
      <w:r w:rsidR="00191903" w:rsidRPr="00B705D7">
        <w:rPr>
          <w:rFonts w:ascii="Times New Roman" w:hAnsi="Times New Roman" w:cs="Times New Roman"/>
          <w:bCs/>
          <w:color w:val="auto"/>
        </w:rPr>
        <w:t>o</w:t>
      </w:r>
      <w:r w:rsidRPr="00B705D7">
        <w:rPr>
          <w:rFonts w:ascii="Times New Roman" w:hAnsi="Times New Roman" w:cs="Times New Roman"/>
          <w:bCs/>
          <w:color w:val="auto"/>
        </w:rPr>
        <w:t xml:space="preserve">rders must be signed by all parties and delivered, with a draft Order, </w:t>
      </w:r>
      <w:r w:rsidR="00191903" w:rsidRPr="00B705D7">
        <w:rPr>
          <w:rFonts w:ascii="Times New Roman" w:hAnsi="Times New Roman" w:cs="Times New Roman"/>
          <w:bCs/>
          <w:color w:val="auto"/>
        </w:rPr>
        <w:t xml:space="preserve">only </w:t>
      </w:r>
      <w:r w:rsidRPr="00B705D7">
        <w:rPr>
          <w:rFonts w:ascii="Times New Roman" w:hAnsi="Times New Roman" w:cs="Times New Roman"/>
          <w:bCs/>
          <w:color w:val="auto"/>
        </w:rPr>
        <w:t xml:space="preserve">by e-mail to the Associate. The Associate will then advise the parties whether attendance at the relevant hearing is required. </w:t>
      </w:r>
      <w:r w:rsidR="00191903" w:rsidRPr="00B705D7">
        <w:rPr>
          <w:rFonts w:ascii="Times New Roman" w:hAnsi="Times New Roman" w:cs="Times New Roman"/>
          <w:bCs/>
          <w:color w:val="auto"/>
        </w:rPr>
        <w:t>Normally, an attendance will not be required unless the Judge considers it necessary for the parties to attend (an example is where an application has been adjourned on multiple occasions and its progress needs to be examined by the Judge).</w:t>
      </w:r>
      <w:r w:rsidR="003A4536">
        <w:rPr>
          <w:rFonts w:ascii="Times New Roman" w:hAnsi="Times New Roman" w:cs="Times New Roman"/>
          <w:bCs/>
          <w:color w:val="auto"/>
        </w:rPr>
        <w:t xml:space="preserve"> </w:t>
      </w:r>
      <w:r w:rsidRPr="00B705D7">
        <w:rPr>
          <w:rFonts w:ascii="Times New Roman" w:hAnsi="Times New Roman" w:cs="Times New Roman"/>
          <w:bCs/>
          <w:color w:val="auto"/>
        </w:rPr>
        <w:t xml:space="preserve">If attendance is not required, subject to the terms of the </w:t>
      </w:r>
      <w:r w:rsidR="00191903" w:rsidRPr="00B705D7">
        <w:rPr>
          <w:rFonts w:ascii="Times New Roman" w:hAnsi="Times New Roman" w:cs="Times New Roman"/>
          <w:bCs/>
          <w:color w:val="auto"/>
        </w:rPr>
        <w:t>p</w:t>
      </w:r>
      <w:r w:rsidRPr="00B705D7">
        <w:rPr>
          <w:rFonts w:ascii="Times New Roman" w:hAnsi="Times New Roman" w:cs="Times New Roman"/>
          <w:bCs/>
          <w:color w:val="auto"/>
        </w:rPr>
        <w:t xml:space="preserve">roposed </w:t>
      </w:r>
      <w:r w:rsidR="00191903" w:rsidRPr="00B705D7">
        <w:rPr>
          <w:rFonts w:ascii="Times New Roman" w:hAnsi="Times New Roman" w:cs="Times New Roman"/>
          <w:bCs/>
          <w:color w:val="auto"/>
        </w:rPr>
        <w:t>c</w:t>
      </w:r>
      <w:r w:rsidRPr="00B705D7">
        <w:rPr>
          <w:rFonts w:ascii="Times New Roman" w:hAnsi="Times New Roman" w:cs="Times New Roman"/>
          <w:bCs/>
          <w:color w:val="auto"/>
        </w:rPr>
        <w:t xml:space="preserve">onsent </w:t>
      </w:r>
      <w:r w:rsidR="00191903" w:rsidRPr="00B705D7">
        <w:rPr>
          <w:rFonts w:ascii="Times New Roman" w:hAnsi="Times New Roman" w:cs="Times New Roman"/>
          <w:bCs/>
          <w:color w:val="auto"/>
        </w:rPr>
        <w:t>o</w:t>
      </w:r>
      <w:r w:rsidRPr="00B705D7">
        <w:rPr>
          <w:rFonts w:ascii="Times New Roman" w:hAnsi="Times New Roman" w:cs="Times New Roman"/>
          <w:bCs/>
          <w:color w:val="auto"/>
        </w:rPr>
        <w:t>rders, the Judge in C</w:t>
      </w:r>
      <w:r w:rsidR="00180FFD" w:rsidRPr="00B705D7">
        <w:rPr>
          <w:rFonts w:ascii="Times New Roman" w:hAnsi="Times New Roman" w:cs="Times New Roman"/>
          <w:bCs/>
          <w:color w:val="auto"/>
        </w:rPr>
        <w:t>harge will proceed to make the O</w:t>
      </w:r>
      <w:r w:rsidRPr="00B705D7">
        <w:rPr>
          <w:rFonts w:ascii="Times New Roman" w:hAnsi="Times New Roman" w:cs="Times New Roman"/>
          <w:bCs/>
          <w:color w:val="auto"/>
        </w:rPr>
        <w:t xml:space="preserve">rders on the papers.  Authenticated Orders will be made available for collection by prior arrangement. </w:t>
      </w:r>
    </w:p>
    <w:p w14:paraId="7C735A41" w14:textId="77777777" w:rsidR="00505D97" w:rsidRPr="00B705D7" w:rsidRDefault="006939ED" w:rsidP="006939ED">
      <w:pPr>
        <w:pStyle w:val="Default"/>
        <w:numPr>
          <w:ilvl w:val="0"/>
          <w:numId w:val="1"/>
        </w:numPr>
        <w:spacing w:after="240"/>
        <w:ind w:left="0" w:firstLine="0"/>
        <w:rPr>
          <w:rFonts w:ascii="Times New Roman" w:hAnsi="Times New Roman" w:cs="Times New Roman"/>
          <w:b/>
          <w:bCs/>
          <w:color w:val="auto"/>
        </w:rPr>
      </w:pPr>
      <w:r w:rsidRPr="00B705D7">
        <w:rPr>
          <w:rFonts w:ascii="Times New Roman" w:hAnsi="Times New Roman" w:cs="Times New Roman"/>
          <w:b/>
          <w:bCs/>
          <w:color w:val="auto"/>
        </w:rPr>
        <w:t>List Contacts</w:t>
      </w:r>
    </w:p>
    <w:p w14:paraId="705A60FA" w14:textId="77777777" w:rsidR="002F0ED6" w:rsidRPr="00B705D7" w:rsidRDefault="002F0ED6" w:rsidP="006939ED">
      <w:pPr>
        <w:pStyle w:val="ListParagraph"/>
        <w:ind w:left="0"/>
        <w:jc w:val="both"/>
      </w:pPr>
      <w:r w:rsidRPr="00B705D7">
        <w:t xml:space="preserve">All communications regarding the List should be made directly to the Associate </w:t>
      </w:r>
      <w:r w:rsidR="006C3DD9">
        <w:t>(contact details available on the Court’s website).</w:t>
      </w:r>
      <w:r w:rsidR="006C3DD9" w:rsidRPr="00B705D7" w:rsidDel="006C3DD9">
        <w:t xml:space="preserve"> </w:t>
      </w:r>
    </w:p>
    <w:p w14:paraId="56475047" w14:textId="77777777" w:rsidR="00CF7D1E" w:rsidRPr="00B705D7" w:rsidRDefault="00CF7D1E" w:rsidP="006939ED">
      <w:pPr>
        <w:pStyle w:val="ListParagraph"/>
        <w:ind w:left="0"/>
        <w:jc w:val="both"/>
      </w:pPr>
      <w:r w:rsidRPr="00B705D7">
        <w:t xml:space="preserve">For urgent enquiries regarding the List, please contact the Practice Court Coordinator on </w:t>
      </w:r>
      <w:r w:rsidR="00B46001" w:rsidRPr="00B705D7">
        <w:t>9603 9288 or</w:t>
      </w:r>
      <w:r w:rsidRPr="00B705D7">
        <w:t xml:space="preserve"> </w:t>
      </w:r>
      <w:hyperlink r:id="rId12" w:history="1">
        <w:r w:rsidRPr="00B705D7">
          <w:rPr>
            <w:rStyle w:val="Hyperlink"/>
          </w:rPr>
          <w:t>practicecourt@supremecourt.vic.gov.au</w:t>
        </w:r>
      </w:hyperlink>
      <w:r w:rsidRPr="00B705D7">
        <w:t>.</w:t>
      </w:r>
    </w:p>
    <w:p w14:paraId="08DF9E92" w14:textId="77777777" w:rsidR="00CF7D1E" w:rsidRPr="00B705D7" w:rsidRDefault="00CF7D1E" w:rsidP="006939ED">
      <w:pPr>
        <w:pStyle w:val="ListParagraph"/>
        <w:ind w:left="0"/>
        <w:jc w:val="both"/>
      </w:pPr>
    </w:p>
    <w:p w14:paraId="05D2F44D" w14:textId="77777777" w:rsidR="00CF7D1E" w:rsidRPr="00B705D7" w:rsidRDefault="00CF7D1E" w:rsidP="00CF7D1E">
      <w:pPr>
        <w:pStyle w:val="Default"/>
        <w:spacing w:after="240"/>
        <w:ind w:left="1080"/>
        <w:rPr>
          <w:rFonts w:ascii="Times New Roman" w:hAnsi="Times New Roman" w:cs="Times New Roman"/>
          <w:bCs/>
          <w:color w:val="auto"/>
        </w:rPr>
      </w:pPr>
    </w:p>
    <w:p w14:paraId="08F2D65D" w14:textId="77777777" w:rsidR="00281610" w:rsidRPr="00B705D7" w:rsidRDefault="00281610" w:rsidP="00281610">
      <w:pPr>
        <w:ind w:left="-567"/>
        <w:rPr>
          <w:sz w:val="26"/>
        </w:rPr>
      </w:pPr>
    </w:p>
    <w:p w14:paraId="67165D96" w14:textId="7EED064F" w:rsidR="009C3A6D" w:rsidRDefault="00AC1831" w:rsidP="00AC1831">
      <w:pPr>
        <w:spacing w:after="160" w:line="259" w:lineRule="auto"/>
        <w:jc w:val="right"/>
      </w:pPr>
      <w:r>
        <w:t xml:space="preserve">Vivienne </w:t>
      </w:r>
      <w:proofErr w:type="spellStart"/>
      <w:r>
        <w:t>Macgillivray</w:t>
      </w:r>
      <w:proofErr w:type="spellEnd"/>
    </w:p>
    <w:p w14:paraId="7C8E6CB3" w14:textId="26DF98F7" w:rsidR="00AC1831" w:rsidRDefault="00AC1831" w:rsidP="00AC1831">
      <w:pPr>
        <w:spacing w:after="160" w:line="259" w:lineRule="auto"/>
        <w:jc w:val="right"/>
      </w:pPr>
      <w:r>
        <w:t>Executive Associate to the Chief Justice</w:t>
      </w:r>
    </w:p>
    <w:p w14:paraId="0760C7DA" w14:textId="6566E4E2" w:rsidR="00AC1831" w:rsidRPr="00B705D7" w:rsidRDefault="00AC1831" w:rsidP="00AC1831">
      <w:pPr>
        <w:spacing w:after="160" w:line="259" w:lineRule="auto"/>
        <w:jc w:val="right"/>
      </w:pPr>
      <w:r>
        <w:t>18 March 2016</w:t>
      </w:r>
    </w:p>
    <w:sectPr w:rsidR="00AC1831" w:rsidRPr="00B705D7" w:rsidSect="00DC6DF2">
      <w:headerReference w:type="default" r:id="rId13"/>
      <w:pgSz w:w="11906" w:h="16838"/>
      <w:pgMar w:top="1440" w:right="991"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50F3C" w14:textId="77777777" w:rsidR="00746B5D" w:rsidRDefault="00746B5D" w:rsidP="00F83449">
      <w:r>
        <w:separator/>
      </w:r>
    </w:p>
  </w:endnote>
  <w:endnote w:type="continuationSeparator" w:id="0">
    <w:p w14:paraId="7D46557F" w14:textId="77777777" w:rsidR="00746B5D" w:rsidRDefault="00746B5D" w:rsidP="00F83449">
      <w:r>
        <w:continuationSeparator/>
      </w:r>
    </w:p>
  </w:endnote>
  <w:endnote w:type="continuationNotice" w:id="1">
    <w:p w14:paraId="3971560E" w14:textId="77777777" w:rsidR="00746B5D" w:rsidRDefault="00746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71FFA" w14:textId="77777777" w:rsidR="00746B5D" w:rsidRDefault="00746B5D" w:rsidP="00F83449">
      <w:r>
        <w:separator/>
      </w:r>
    </w:p>
  </w:footnote>
  <w:footnote w:type="continuationSeparator" w:id="0">
    <w:p w14:paraId="17D27252" w14:textId="77777777" w:rsidR="00746B5D" w:rsidRDefault="00746B5D" w:rsidP="00F83449">
      <w:r>
        <w:continuationSeparator/>
      </w:r>
    </w:p>
  </w:footnote>
  <w:footnote w:type="continuationNotice" w:id="1">
    <w:p w14:paraId="38BC340B" w14:textId="77777777" w:rsidR="00746B5D" w:rsidRDefault="00746B5D"/>
  </w:footnote>
  <w:footnote w:id="2">
    <w:p w14:paraId="272557C6" w14:textId="77777777" w:rsidR="00280161" w:rsidRPr="00181175" w:rsidRDefault="00280161" w:rsidP="00280161">
      <w:pPr>
        <w:pStyle w:val="FootnoteText"/>
      </w:pPr>
      <w:r w:rsidRPr="006C3DD9">
        <w:rPr>
          <w:rStyle w:val="FootnoteReference"/>
          <w:color w:val="000000" w:themeColor="text1"/>
        </w:rPr>
        <w:footnoteRef/>
      </w:r>
      <w:r w:rsidRPr="006C3DD9">
        <w:rPr>
          <w:color w:val="000000" w:themeColor="text1"/>
        </w:rPr>
        <w:t xml:space="preserve"> Conviction based applications may also be made to the Court as constituted when sentencing a relevant person</w:t>
      </w:r>
      <w:r w:rsidR="00D5308A">
        <w:rPr>
          <w:color w:val="000000" w:themeColor="text1"/>
        </w:rPr>
        <w:t>.  Conviction based orders</w:t>
      </w:r>
      <w:r w:rsidRPr="006C3DD9">
        <w:rPr>
          <w:color w:val="000000" w:themeColor="text1"/>
        </w:rPr>
        <w:t>, such as forfeiture an</w:t>
      </w:r>
      <w:r w:rsidR="00E6578C">
        <w:rPr>
          <w:color w:val="000000" w:themeColor="text1"/>
        </w:rPr>
        <w:t>d pecuniary orders are frequently</w:t>
      </w:r>
      <w:r w:rsidRPr="006C3DD9">
        <w:rPr>
          <w:color w:val="000000" w:themeColor="text1"/>
        </w:rPr>
        <w:t xml:space="preserve"> appropriately and efficiently dealt with</w:t>
      </w:r>
      <w:r w:rsidR="00D5308A">
        <w:rPr>
          <w:color w:val="000000" w:themeColor="text1"/>
        </w:rPr>
        <w:t xml:space="preserve"> and made</w:t>
      </w:r>
      <w:r w:rsidRPr="006C3DD9">
        <w:rPr>
          <w:color w:val="000000" w:themeColor="text1"/>
        </w:rPr>
        <w:t xml:space="preserve"> by the sentencing judge.  The establishment of the List will not affect this practice in the majority of cases, but where appropriate conviction based applications may also be</w:t>
      </w:r>
      <w:r w:rsidR="00181175">
        <w:rPr>
          <w:color w:val="000000" w:themeColor="text1"/>
        </w:rPr>
        <w:t xml:space="preserve"> initiated in or</w:t>
      </w:r>
      <w:r w:rsidRPr="006C3DD9">
        <w:rPr>
          <w:color w:val="000000" w:themeColor="text1"/>
        </w:rPr>
        <w:t xml:space="preserve"> transferred to the List.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81CD7" w14:textId="77777777" w:rsidR="00F83449" w:rsidRDefault="00F83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36C1"/>
    <w:multiLevelType w:val="hybridMultilevel"/>
    <w:tmpl w:val="1DAEE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077EC9"/>
    <w:multiLevelType w:val="hybridMultilevel"/>
    <w:tmpl w:val="5F66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C0465E"/>
    <w:multiLevelType w:val="hybridMultilevel"/>
    <w:tmpl w:val="AAC49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5C30B0"/>
    <w:multiLevelType w:val="hybridMultilevel"/>
    <w:tmpl w:val="3940C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6E5388"/>
    <w:multiLevelType w:val="hybridMultilevel"/>
    <w:tmpl w:val="A51C8E9C"/>
    <w:lvl w:ilvl="0" w:tplc="0C090019">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nsid w:val="450D5552"/>
    <w:multiLevelType w:val="hybridMultilevel"/>
    <w:tmpl w:val="EC32F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5C2F7C"/>
    <w:multiLevelType w:val="hybridMultilevel"/>
    <w:tmpl w:val="EEA240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6C25533"/>
    <w:multiLevelType w:val="hybridMultilevel"/>
    <w:tmpl w:val="F4FE79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2F54CC2"/>
    <w:multiLevelType w:val="hybridMultilevel"/>
    <w:tmpl w:val="E500DEC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3681182"/>
    <w:multiLevelType w:val="hybridMultilevel"/>
    <w:tmpl w:val="19A645DC"/>
    <w:lvl w:ilvl="0" w:tplc="7EAC01CA">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ABB1313"/>
    <w:multiLevelType w:val="hybridMultilevel"/>
    <w:tmpl w:val="EB9C4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5"/>
  </w:num>
  <w:num w:numId="6">
    <w:abstractNumId w:val="7"/>
  </w:num>
  <w:num w:numId="7">
    <w:abstractNumId w:val="1"/>
  </w:num>
  <w:num w:numId="8">
    <w:abstractNumId w:val="2"/>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10"/>
    <w:rsid w:val="00011826"/>
    <w:rsid w:val="000679DF"/>
    <w:rsid w:val="000965A4"/>
    <w:rsid w:val="000D5AD5"/>
    <w:rsid w:val="00125E73"/>
    <w:rsid w:val="0014670D"/>
    <w:rsid w:val="00162192"/>
    <w:rsid w:val="0017106E"/>
    <w:rsid w:val="00180FFD"/>
    <w:rsid w:val="00181175"/>
    <w:rsid w:val="00191903"/>
    <w:rsid w:val="00280161"/>
    <w:rsid w:val="00281610"/>
    <w:rsid w:val="002E3EEC"/>
    <w:rsid w:val="002F0ED6"/>
    <w:rsid w:val="00307BD4"/>
    <w:rsid w:val="00315F52"/>
    <w:rsid w:val="00355044"/>
    <w:rsid w:val="003A4536"/>
    <w:rsid w:val="003E3A37"/>
    <w:rsid w:val="003F6149"/>
    <w:rsid w:val="00402C55"/>
    <w:rsid w:val="0041032A"/>
    <w:rsid w:val="0043619B"/>
    <w:rsid w:val="00505D97"/>
    <w:rsid w:val="00521C4E"/>
    <w:rsid w:val="00525468"/>
    <w:rsid w:val="005F1888"/>
    <w:rsid w:val="006672E9"/>
    <w:rsid w:val="006939ED"/>
    <w:rsid w:val="006C159D"/>
    <w:rsid w:val="006C29EF"/>
    <w:rsid w:val="006C3DD9"/>
    <w:rsid w:val="006E1E36"/>
    <w:rsid w:val="007020E7"/>
    <w:rsid w:val="007201ED"/>
    <w:rsid w:val="00746B5D"/>
    <w:rsid w:val="00776F18"/>
    <w:rsid w:val="007B68AF"/>
    <w:rsid w:val="00893C04"/>
    <w:rsid w:val="00896D8D"/>
    <w:rsid w:val="008E63F9"/>
    <w:rsid w:val="009225FF"/>
    <w:rsid w:val="00960948"/>
    <w:rsid w:val="00983B62"/>
    <w:rsid w:val="00994CCE"/>
    <w:rsid w:val="009C3A6D"/>
    <w:rsid w:val="009C6543"/>
    <w:rsid w:val="009C6AC6"/>
    <w:rsid w:val="00A51441"/>
    <w:rsid w:val="00A712FB"/>
    <w:rsid w:val="00A73AD4"/>
    <w:rsid w:val="00AC1831"/>
    <w:rsid w:val="00AD178F"/>
    <w:rsid w:val="00B46001"/>
    <w:rsid w:val="00B705D7"/>
    <w:rsid w:val="00BB22BD"/>
    <w:rsid w:val="00BC7E1F"/>
    <w:rsid w:val="00BD4962"/>
    <w:rsid w:val="00C34994"/>
    <w:rsid w:val="00C34A95"/>
    <w:rsid w:val="00CE076F"/>
    <w:rsid w:val="00CF7D1E"/>
    <w:rsid w:val="00D5308A"/>
    <w:rsid w:val="00D71DD7"/>
    <w:rsid w:val="00DB2D21"/>
    <w:rsid w:val="00DF5CBF"/>
    <w:rsid w:val="00E26023"/>
    <w:rsid w:val="00E42624"/>
    <w:rsid w:val="00E60945"/>
    <w:rsid w:val="00E6578C"/>
    <w:rsid w:val="00E7749A"/>
    <w:rsid w:val="00E82B14"/>
    <w:rsid w:val="00EB222B"/>
    <w:rsid w:val="00F12109"/>
    <w:rsid w:val="00F42178"/>
    <w:rsid w:val="00F83449"/>
    <w:rsid w:val="00FE1946"/>
    <w:rsid w:val="00FF31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72E53A"/>
  <w15:chartTrackingRefBased/>
  <w15:docId w15:val="{D6369347-8055-409E-A61D-A20D4448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610"/>
    <w:pPr>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468"/>
    <w:pPr>
      <w:autoSpaceDE w:val="0"/>
      <w:autoSpaceDN w:val="0"/>
      <w:adjustRightInd w:val="0"/>
      <w:spacing w:after="0" w:line="240" w:lineRule="auto"/>
    </w:pPr>
    <w:rPr>
      <w:rFonts w:ascii="Book Antiqua" w:eastAsia="Calibri" w:hAnsi="Book Antiqua" w:cs="Book Antiqua"/>
      <w:color w:val="000000"/>
      <w:sz w:val="24"/>
      <w:szCs w:val="24"/>
      <w:lang w:eastAsia="en-AU"/>
    </w:rPr>
  </w:style>
  <w:style w:type="paragraph" w:styleId="ListParagraph">
    <w:name w:val="List Paragraph"/>
    <w:basedOn w:val="Normal"/>
    <w:uiPriority w:val="34"/>
    <w:qFormat/>
    <w:rsid w:val="00525468"/>
    <w:pPr>
      <w:ind w:left="720"/>
      <w:contextualSpacing/>
    </w:pPr>
  </w:style>
  <w:style w:type="character" w:styleId="Hyperlink">
    <w:name w:val="Hyperlink"/>
    <w:basedOn w:val="DefaultParagraphFont"/>
    <w:uiPriority w:val="99"/>
    <w:unhideWhenUsed/>
    <w:rsid w:val="00CF7D1E"/>
    <w:rPr>
      <w:color w:val="0563C1" w:themeColor="hyperlink"/>
      <w:u w:val="single"/>
    </w:rPr>
  </w:style>
  <w:style w:type="paragraph" w:styleId="BalloonText">
    <w:name w:val="Balloon Text"/>
    <w:basedOn w:val="Normal"/>
    <w:link w:val="BalloonTextChar"/>
    <w:uiPriority w:val="99"/>
    <w:semiHidden/>
    <w:unhideWhenUsed/>
    <w:rsid w:val="00125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E73"/>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83449"/>
    <w:pPr>
      <w:tabs>
        <w:tab w:val="center" w:pos="4513"/>
        <w:tab w:val="right" w:pos="9026"/>
      </w:tabs>
    </w:pPr>
  </w:style>
  <w:style w:type="character" w:customStyle="1" w:styleId="HeaderChar">
    <w:name w:val="Header Char"/>
    <w:basedOn w:val="DefaultParagraphFont"/>
    <w:link w:val="Header"/>
    <w:uiPriority w:val="99"/>
    <w:rsid w:val="00F83449"/>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F83449"/>
    <w:pPr>
      <w:tabs>
        <w:tab w:val="center" w:pos="4513"/>
        <w:tab w:val="right" w:pos="9026"/>
      </w:tabs>
    </w:pPr>
  </w:style>
  <w:style w:type="character" w:customStyle="1" w:styleId="FooterChar">
    <w:name w:val="Footer Char"/>
    <w:basedOn w:val="DefaultParagraphFont"/>
    <w:link w:val="Footer"/>
    <w:uiPriority w:val="99"/>
    <w:rsid w:val="00F83449"/>
    <w:rPr>
      <w:rFonts w:ascii="Times New Roman" w:eastAsia="Times New Roman" w:hAnsi="Times New Roman" w:cs="Times New Roman"/>
      <w:sz w:val="24"/>
      <w:szCs w:val="20"/>
      <w:lang w:eastAsia="en-AU"/>
    </w:rPr>
  </w:style>
  <w:style w:type="paragraph" w:styleId="Revision">
    <w:name w:val="Revision"/>
    <w:hidden/>
    <w:uiPriority w:val="99"/>
    <w:semiHidden/>
    <w:rsid w:val="009C6AC6"/>
    <w:pPr>
      <w:spacing w:after="0" w:line="240" w:lineRule="auto"/>
    </w:pPr>
    <w:rPr>
      <w:rFonts w:ascii="Times New Roman" w:eastAsia="Times New Roman" w:hAnsi="Times New Roman" w:cs="Times New Roman"/>
      <w:sz w:val="24"/>
      <w:szCs w:val="20"/>
      <w:lang w:eastAsia="en-AU"/>
    </w:rPr>
  </w:style>
  <w:style w:type="paragraph" w:styleId="FootnoteText">
    <w:name w:val="footnote text"/>
    <w:basedOn w:val="Normal"/>
    <w:link w:val="FootnoteTextChar"/>
    <w:uiPriority w:val="99"/>
    <w:semiHidden/>
    <w:unhideWhenUsed/>
    <w:rsid w:val="00180FFD"/>
    <w:rPr>
      <w:sz w:val="20"/>
    </w:rPr>
  </w:style>
  <w:style w:type="character" w:customStyle="1" w:styleId="FootnoteTextChar">
    <w:name w:val="Footnote Text Char"/>
    <w:basedOn w:val="DefaultParagraphFont"/>
    <w:link w:val="FootnoteText"/>
    <w:uiPriority w:val="99"/>
    <w:semiHidden/>
    <w:rsid w:val="00180FF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180FFD"/>
    <w:rPr>
      <w:vertAlign w:val="superscript"/>
    </w:rPr>
  </w:style>
  <w:style w:type="table" w:styleId="TableGrid">
    <w:name w:val="Table Grid"/>
    <w:basedOn w:val="TableNormal"/>
    <w:uiPriority w:val="39"/>
    <w:rsid w:val="00162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acticecourt@supremecourt.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d35400e-913e-4289-a6bb-c9c808f4167f">
      <UserInfo>
        <DisplayName>Stuart Moran</DisplayName>
        <AccountId>18</AccountId>
        <AccountType/>
      </UserInfo>
      <UserInfo>
        <DisplayName>Justice J Forrest</DisplayName>
        <AccountId>40</AccountId>
        <AccountType/>
      </UserInfo>
      <UserInfo>
        <DisplayName>Holly Jager</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9ac97028dde544b343e0236c0d54656b">
  <xsd:schema xmlns:xsd="http://www.w3.org/2001/XMLSchema" xmlns:xs="http://www.w3.org/2001/XMLSchema" xmlns:p="http://schemas.microsoft.com/office/2006/metadata/properties" xmlns:ns2="3d35400e-913e-4289-a6bb-c9c808f4167f" targetNamespace="http://schemas.microsoft.com/office/2006/metadata/properties" ma:root="true" ma:fieldsID="01aeda179ac0cc6525c922d80427c1c9"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1AA3-3043-4028-8605-AE4E0E8E40CF}">
  <ds:schemaRefs>
    <ds:schemaRef ds:uri="http://schemas.microsoft.com/sharepoint/v3/contenttype/forms"/>
  </ds:schemaRefs>
</ds:datastoreItem>
</file>

<file path=customXml/itemProps2.xml><?xml version="1.0" encoding="utf-8"?>
<ds:datastoreItem xmlns:ds="http://schemas.openxmlformats.org/officeDocument/2006/customXml" ds:itemID="{92E5F12D-7B09-4123-BB70-69716B95214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d35400e-913e-4289-a6bb-c9c808f4167f"/>
    <ds:schemaRef ds:uri="http://www.w3.org/XML/1998/namespace"/>
  </ds:schemaRefs>
</ds:datastoreItem>
</file>

<file path=customXml/itemProps3.xml><?xml version="1.0" encoding="utf-8"?>
<ds:datastoreItem xmlns:ds="http://schemas.openxmlformats.org/officeDocument/2006/customXml" ds:itemID="{B4BFD734-848E-48F7-98E7-5AC847810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4EF92-9A74-4432-BE41-CA309827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Jager</dc:creator>
  <cp:keywords/>
  <dc:description/>
  <cp:lastModifiedBy>Kerry Helmers</cp:lastModifiedBy>
  <cp:revision>5</cp:revision>
  <cp:lastPrinted>2016-03-04T00:44:00Z</cp:lastPrinted>
  <dcterms:created xsi:type="dcterms:W3CDTF">2016-03-18T02:26:00Z</dcterms:created>
  <dcterms:modified xsi:type="dcterms:W3CDTF">2016-03-23T00:10:00Z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0x0101009926EC1D92A87A4492BE89A594A6FF4A</vt:lpwstr>
  </property>
</Properties>
</file>