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02" w:rsidRPr="00C15C68" w:rsidRDefault="009D587E" w:rsidP="009D587E">
      <w:pPr>
        <w:autoSpaceDE w:val="0"/>
        <w:autoSpaceDN w:val="0"/>
        <w:adjustRightInd w:val="0"/>
        <w:rPr>
          <w:b/>
          <w:bCs/>
          <w:color w:val="000000"/>
        </w:rPr>
      </w:pPr>
      <w:r>
        <w:rPr>
          <w:b/>
          <w:bCs/>
          <w:noProof/>
          <w:color w:val="000000"/>
          <w:sz w:val="44"/>
          <w:szCs w:val="44"/>
        </w:rPr>
        <w:drawing>
          <wp:anchor distT="0" distB="0" distL="114300" distR="114300" simplePos="0" relativeHeight="251657728" behindDoc="0" locked="0" layoutInCell="1" allowOverlap="0" wp14:anchorId="1E41093C" wp14:editId="400C16CB">
            <wp:simplePos x="0" y="0"/>
            <wp:positionH relativeFrom="column">
              <wp:posOffset>2071370</wp:posOffset>
            </wp:positionH>
            <wp:positionV relativeFrom="paragraph">
              <wp:posOffset>-220980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336" w:rsidRPr="00C15C68" w:rsidRDefault="00D85336" w:rsidP="009D587E">
      <w:pPr>
        <w:autoSpaceDE w:val="0"/>
        <w:autoSpaceDN w:val="0"/>
        <w:adjustRightInd w:val="0"/>
        <w:rPr>
          <w:b/>
          <w:bCs/>
          <w:color w:val="000000"/>
        </w:rPr>
      </w:pPr>
    </w:p>
    <w:p w:rsidR="00D85336" w:rsidRPr="00C15C68" w:rsidRDefault="00D85336" w:rsidP="009D587E">
      <w:pPr>
        <w:autoSpaceDE w:val="0"/>
        <w:autoSpaceDN w:val="0"/>
        <w:adjustRightInd w:val="0"/>
        <w:rPr>
          <w:b/>
          <w:bCs/>
          <w:color w:val="000000"/>
        </w:rPr>
      </w:pPr>
    </w:p>
    <w:p w:rsidR="00D85336" w:rsidRPr="00C15C68" w:rsidRDefault="00D85336" w:rsidP="009D587E">
      <w:pPr>
        <w:autoSpaceDE w:val="0"/>
        <w:autoSpaceDN w:val="0"/>
        <w:adjustRightInd w:val="0"/>
        <w:rPr>
          <w:b/>
          <w:bCs/>
          <w:color w:val="000000"/>
        </w:rPr>
      </w:pPr>
    </w:p>
    <w:p w:rsidR="009D587E" w:rsidRPr="00F42F94" w:rsidRDefault="009D587E" w:rsidP="009D587E">
      <w:pPr>
        <w:autoSpaceDE w:val="0"/>
        <w:autoSpaceDN w:val="0"/>
        <w:adjustRightInd w:val="0"/>
        <w:spacing w:line="360" w:lineRule="auto"/>
        <w:rPr>
          <w:b/>
          <w:bCs/>
          <w:color w:val="000000"/>
        </w:rPr>
      </w:pPr>
    </w:p>
    <w:p w:rsidR="009D587E" w:rsidRPr="00F42F94" w:rsidRDefault="009D587E" w:rsidP="009D587E">
      <w:pPr>
        <w:widowControl w:val="0"/>
        <w:suppressLineNumbers/>
        <w:suppressAutoHyphens/>
        <w:autoSpaceDE w:val="0"/>
        <w:autoSpaceDN w:val="0"/>
        <w:adjustRightInd w:val="0"/>
        <w:spacing w:line="360" w:lineRule="auto"/>
        <w:rPr>
          <w:b/>
          <w:bCs/>
          <w:color w:val="000000"/>
        </w:rPr>
      </w:pPr>
    </w:p>
    <w:p w:rsidR="009D587E" w:rsidRPr="009D587E" w:rsidRDefault="009D587E" w:rsidP="009D587E">
      <w:pPr>
        <w:widowControl w:val="0"/>
        <w:suppressLineNumbers/>
        <w:suppressAutoHyphens/>
        <w:autoSpaceDE w:val="0"/>
        <w:autoSpaceDN w:val="0"/>
        <w:adjustRightInd w:val="0"/>
        <w:jc w:val="center"/>
        <w:rPr>
          <w:b/>
          <w:bCs/>
          <w:color w:val="000000"/>
          <w:sz w:val="44"/>
          <w:szCs w:val="44"/>
        </w:rPr>
      </w:pPr>
      <w:r w:rsidRPr="009D587E">
        <w:rPr>
          <w:b/>
          <w:bCs/>
          <w:color w:val="000000"/>
          <w:sz w:val="44"/>
          <w:szCs w:val="44"/>
        </w:rPr>
        <w:t>Supreme Court of Victoria</w:t>
      </w:r>
    </w:p>
    <w:p w:rsidR="009D587E" w:rsidRPr="009D587E" w:rsidRDefault="009D587E" w:rsidP="009D587E">
      <w:pPr>
        <w:widowControl w:val="0"/>
        <w:suppressLineNumbers/>
        <w:suppressAutoHyphens/>
        <w:autoSpaceDE w:val="0"/>
        <w:autoSpaceDN w:val="0"/>
        <w:adjustRightInd w:val="0"/>
        <w:jc w:val="center"/>
        <w:rPr>
          <w:b/>
          <w:color w:val="000000"/>
          <w:sz w:val="36"/>
          <w:szCs w:val="36"/>
        </w:rPr>
      </w:pPr>
      <w:r w:rsidRPr="009D587E">
        <w:rPr>
          <w:b/>
          <w:color w:val="000000"/>
          <w:sz w:val="36"/>
          <w:szCs w:val="36"/>
        </w:rPr>
        <w:t>Common Law Division</w:t>
      </w:r>
    </w:p>
    <w:p w:rsidR="009D587E" w:rsidRPr="00F42F94" w:rsidRDefault="009D587E" w:rsidP="009D587E">
      <w:pPr>
        <w:widowControl w:val="0"/>
        <w:suppressLineNumbers/>
        <w:suppressAutoHyphens/>
        <w:autoSpaceDE w:val="0"/>
        <w:autoSpaceDN w:val="0"/>
        <w:adjustRightInd w:val="0"/>
        <w:spacing w:line="360" w:lineRule="auto"/>
        <w:jc w:val="center"/>
        <w:rPr>
          <w:b/>
          <w:color w:val="000000"/>
          <w:u w:val="single"/>
        </w:rPr>
      </w:pPr>
    </w:p>
    <w:p w:rsidR="009D587E" w:rsidRPr="009D587E" w:rsidRDefault="009D587E" w:rsidP="009D587E">
      <w:pPr>
        <w:widowControl w:val="0"/>
        <w:suppressLineNumbers/>
        <w:suppressAutoHyphens/>
        <w:autoSpaceDE w:val="0"/>
        <w:autoSpaceDN w:val="0"/>
        <w:adjustRightInd w:val="0"/>
        <w:spacing w:line="360" w:lineRule="auto"/>
        <w:jc w:val="center"/>
        <w:rPr>
          <w:b/>
          <w:color w:val="000000"/>
          <w:sz w:val="28"/>
        </w:rPr>
      </w:pPr>
      <w:r w:rsidRPr="009D587E">
        <w:rPr>
          <w:b/>
          <w:color w:val="000000"/>
          <w:sz w:val="28"/>
        </w:rPr>
        <w:t>Practice Note No.</w:t>
      </w:r>
      <w:r w:rsidRPr="009D587E" w:rsidDel="00FD6D10">
        <w:rPr>
          <w:b/>
          <w:color w:val="000000"/>
          <w:sz w:val="28"/>
        </w:rPr>
        <w:t xml:space="preserve"> </w:t>
      </w:r>
      <w:r w:rsidRPr="009D587E">
        <w:rPr>
          <w:b/>
          <w:color w:val="000000"/>
          <w:sz w:val="28"/>
        </w:rPr>
        <w:t>9 of 2015</w:t>
      </w:r>
    </w:p>
    <w:p w:rsidR="009D587E" w:rsidRPr="009D587E" w:rsidRDefault="009D587E" w:rsidP="009D587E">
      <w:pPr>
        <w:widowControl w:val="0"/>
        <w:suppressLineNumbers/>
        <w:suppressAutoHyphens/>
        <w:autoSpaceDE w:val="0"/>
        <w:autoSpaceDN w:val="0"/>
        <w:adjustRightInd w:val="0"/>
        <w:spacing w:line="360" w:lineRule="auto"/>
        <w:jc w:val="center"/>
        <w:rPr>
          <w:b/>
          <w:color w:val="000000"/>
          <w:sz w:val="28"/>
        </w:rPr>
      </w:pPr>
      <w:r w:rsidRPr="009D587E">
        <w:rPr>
          <w:b/>
          <w:color w:val="000000"/>
          <w:sz w:val="28"/>
        </w:rPr>
        <w:t>Judicial Review and Appeals List</w:t>
      </w:r>
    </w:p>
    <w:p w:rsidR="009D587E" w:rsidRPr="00F42F94" w:rsidRDefault="009D587E" w:rsidP="009D587E">
      <w:pPr>
        <w:widowControl w:val="0"/>
        <w:suppressLineNumbers/>
        <w:suppressAutoHyphens/>
        <w:autoSpaceDE w:val="0"/>
        <w:autoSpaceDN w:val="0"/>
        <w:adjustRightInd w:val="0"/>
        <w:spacing w:line="360" w:lineRule="auto"/>
        <w:rPr>
          <w:color w:val="000000"/>
        </w:rPr>
      </w:pPr>
    </w:p>
    <w:p w:rsidR="009D587E" w:rsidRPr="00F42F94" w:rsidRDefault="009D587E" w:rsidP="007D332E">
      <w:pPr>
        <w:pStyle w:val="Heading1"/>
      </w:pPr>
      <w:r w:rsidRPr="00F42F94">
        <w:t>1.</w:t>
      </w:r>
      <w:r w:rsidRPr="00F42F94">
        <w:tab/>
        <w:t>INTRODUCTION</w:t>
      </w:r>
    </w:p>
    <w:p w:rsidR="009D587E" w:rsidRPr="00F42F94" w:rsidRDefault="009D587E" w:rsidP="009D587E">
      <w:pPr>
        <w:widowControl w:val="0"/>
        <w:suppressLineNumbers/>
        <w:suppressAutoHyphens/>
        <w:spacing w:line="360" w:lineRule="auto"/>
      </w:pPr>
    </w:p>
    <w:p w:rsidR="009D587E" w:rsidRPr="00F42F94" w:rsidRDefault="009D587E" w:rsidP="009D587E">
      <w:pPr>
        <w:widowControl w:val="0"/>
        <w:suppressLineNumbers/>
        <w:suppressAutoHyphens/>
        <w:spacing w:line="360" w:lineRule="auto"/>
        <w:ind w:left="720" w:hanging="720"/>
      </w:pPr>
      <w:r w:rsidRPr="00F42F94">
        <w:t>1.1</w:t>
      </w:r>
      <w:r w:rsidRPr="00F42F94">
        <w:tab/>
        <w:t xml:space="preserve">This Practice Note takes effect from 1 January 2015.  It replaces </w:t>
      </w:r>
      <w:r w:rsidRPr="00F42F94">
        <w:rPr>
          <w:i/>
        </w:rPr>
        <w:t>Practice Note No. 4 of 2009 – Judicial Review and Appeals List</w:t>
      </w:r>
      <w:r w:rsidRPr="00F42F94">
        <w:t>.  It overtakes</w:t>
      </w:r>
      <w:r w:rsidRPr="00F42F94">
        <w:rPr>
          <w:i/>
        </w:rPr>
        <w:t xml:space="preserve"> Notice to the Profession 2009 – Judicial Review and Appeals List</w:t>
      </w:r>
      <w:r w:rsidRPr="00F42F94">
        <w:t xml:space="preserve"> and</w:t>
      </w:r>
      <w:r w:rsidRPr="00F42F94">
        <w:rPr>
          <w:i/>
        </w:rPr>
        <w:t xml:space="preserve"> Notice to the Profession 2012 – Judicial Review and Appeals List</w:t>
      </w:r>
      <w:r w:rsidRPr="00F42F94">
        <w:t>.  It provides updated guidance on the operation of the Judicial Review and Appeals List (</w:t>
      </w:r>
      <w:r w:rsidRPr="00F42F94">
        <w:rPr>
          <w:b/>
          <w:i/>
        </w:rPr>
        <w:t>JRA</w:t>
      </w:r>
      <w:r w:rsidRPr="00F42F94">
        <w:t xml:space="preserve"> </w:t>
      </w:r>
      <w:r w:rsidRPr="00F42F94">
        <w:rPr>
          <w:b/>
          <w:i/>
        </w:rPr>
        <w:t>List</w:t>
      </w:r>
      <w:r w:rsidRPr="00F42F94">
        <w:t>), a specialist case management list within the Trial Division of the Court.</w:t>
      </w:r>
    </w:p>
    <w:p w:rsidR="009D587E" w:rsidRPr="00F42F94" w:rsidRDefault="009D587E" w:rsidP="009D587E">
      <w:pPr>
        <w:widowControl w:val="0"/>
        <w:suppressLineNumbers/>
        <w:suppressAutoHyphens/>
        <w:spacing w:line="360" w:lineRule="auto"/>
        <w:ind w:left="720" w:hanging="720"/>
      </w:pPr>
    </w:p>
    <w:p w:rsidR="009D587E" w:rsidRPr="00F42F94" w:rsidRDefault="009D587E" w:rsidP="009D587E">
      <w:pPr>
        <w:widowControl w:val="0"/>
        <w:suppressLineNumbers/>
        <w:suppressAutoHyphens/>
        <w:spacing w:line="360" w:lineRule="auto"/>
        <w:ind w:left="720" w:hanging="720"/>
      </w:pPr>
      <w:r w:rsidRPr="00F42F94">
        <w:t>1.2</w:t>
      </w:r>
      <w:r w:rsidRPr="00F42F94">
        <w:tab/>
        <w:t xml:space="preserve">The Judges in Charge of the JRA List are Justices </w:t>
      </w:r>
      <w:proofErr w:type="spellStart"/>
      <w:r w:rsidRPr="00F42F94">
        <w:t>Cavanough</w:t>
      </w:r>
      <w:proofErr w:type="spellEnd"/>
      <w:r w:rsidRPr="00F42F94">
        <w:t xml:space="preserve"> and </w:t>
      </w:r>
      <w:proofErr w:type="spellStart"/>
      <w:r w:rsidRPr="00F42F94">
        <w:t>Ginnane</w:t>
      </w:r>
      <w:proofErr w:type="spellEnd"/>
      <w:r w:rsidRPr="00F42F94">
        <w:t>.  Their Honours are assisted by the associate judges of the Court, who conduct the pre-trial management of proceedings in the JRA List.</w:t>
      </w:r>
    </w:p>
    <w:p w:rsidR="009D587E" w:rsidRPr="00F42F94" w:rsidRDefault="009D587E" w:rsidP="009D587E">
      <w:pPr>
        <w:widowControl w:val="0"/>
        <w:suppressLineNumbers/>
        <w:suppressAutoHyphens/>
        <w:spacing w:line="360" w:lineRule="auto"/>
        <w:ind w:left="720" w:hanging="720"/>
      </w:pPr>
    </w:p>
    <w:p w:rsidR="009D587E" w:rsidRPr="00F42F94" w:rsidRDefault="009D587E" w:rsidP="007D332E">
      <w:pPr>
        <w:widowControl w:val="0"/>
        <w:suppressLineNumbers/>
        <w:suppressAutoHyphens/>
        <w:spacing w:line="360" w:lineRule="auto"/>
        <w:ind w:left="720" w:hanging="720"/>
      </w:pPr>
      <w:r w:rsidRPr="00F42F94">
        <w:t>1.3</w:t>
      </w:r>
      <w:r w:rsidRPr="00F42F94">
        <w:tab/>
        <w:t xml:space="preserve">Invariably, procedure in the JRA List will be affected by relevant statutory provisions and/or rules of court.  Enactments of potential relevance include, in particular, the </w:t>
      </w:r>
      <w:r w:rsidRPr="00F42F94">
        <w:rPr>
          <w:i/>
        </w:rPr>
        <w:t>Administrative Law Act 1978</w:t>
      </w:r>
      <w:r w:rsidRPr="00F42F94">
        <w:t xml:space="preserve">, Order 56 or Order 58 (Part 3) of the </w:t>
      </w:r>
      <w:r w:rsidRPr="00F42F94">
        <w:rPr>
          <w:i/>
        </w:rPr>
        <w:t xml:space="preserve">Supreme Court (General Civil Procedure) Rules 2005 </w:t>
      </w:r>
      <w:r w:rsidRPr="00F42F94">
        <w:t>(</w:t>
      </w:r>
      <w:r w:rsidRPr="00F42F94">
        <w:rPr>
          <w:b/>
          <w:i/>
        </w:rPr>
        <w:t>Chapter I Rules</w:t>
      </w:r>
      <w:r w:rsidRPr="00F42F94">
        <w:t>),</w:t>
      </w:r>
      <w:r w:rsidRPr="00F42F94">
        <w:rPr>
          <w:b/>
        </w:rPr>
        <w:t xml:space="preserve"> </w:t>
      </w:r>
      <w:r w:rsidRPr="00F42F94">
        <w:t xml:space="preserve">Order 4 of the </w:t>
      </w:r>
      <w:r w:rsidRPr="00F42F94">
        <w:rPr>
          <w:i/>
        </w:rPr>
        <w:t xml:space="preserve">Supreme Court (Miscellaneous Civil Proceedings) Rules 2008 </w:t>
      </w:r>
      <w:r w:rsidRPr="00F42F94">
        <w:t>(</w:t>
      </w:r>
      <w:r w:rsidRPr="00F42F94">
        <w:rPr>
          <w:b/>
          <w:i/>
        </w:rPr>
        <w:t>Chapter II Rules</w:t>
      </w:r>
      <w:r w:rsidRPr="00F42F94">
        <w:t xml:space="preserve">) or Order 3A of the </w:t>
      </w:r>
      <w:r w:rsidRPr="00F42F94">
        <w:rPr>
          <w:i/>
        </w:rPr>
        <w:t xml:space="preserve">Supreme Court (Criminal Procedure) Rules 2008 </w:t>
      </w:r>
      <w:r w:rsidRPr="00F42F94">
        <w:t>(</w:t>
      </w:r>
      <w:r w:rsidRPr="00F42F94">
        <w:rPr>
          <w:b/>
          <w:i/>
        </w:rPr>
        <w:t>Chapter VI Rules</w:t>
      </w:r>
      <w:r w:rsidRPr="00F42F94">
        <w:t>).  Nothing in this Practice Note is intended to derogate from any applicable requirements of any Act or of the Rules of Court.</w:t>
      </w:r>
    </w:p>
    <w:p w:rsidR="009D587E" w:rsidRPr="00F42F94" w:rsidRDefault="009D587E" w:rsidP="007D332E">
      <w:pPr>
        <w:pStyle w:val="Heading1"/>
      </w:pPr>
      <w:r w:rsidRPr="00F42F94">
        <w:lastRenderedPageBreak/>
        <w:t>2.</w:t>
      </w:r>
      <w:r w:rsidRPr="00F42F94">
        <w:tab/>
        <w:t>PROCEEDINGS SUITABLE FOR INCLUSION IN THE JRA LIST</w:t>
      </w:r>
    </w:p>
    <w:p w:rsidR="009D587E" w:rsidRPr="00F42F94" w:rsidRDefault="009D587E" w:rsidP="009D587E">
      <w:pPr>
        <w:keepNext/>
        <w:keepLines/>
        <w:widowControl w:val="0"/>
        <w:suppressLineNumbers/>
        <w:suppressAutoHyphens/>
        <w:spacing w:line="360" w:lineRule="auto"/>
        <w:ind w:left="720" w:hanging="720"/>
      </w:pPr>
    </w:p>
    <w:p w:rsidR="009D587E" w:rsidRPr="00F42F94" w:rsidRDefault="009D587E" w:rsidP="009D587E">
      <w:pPr>
        <w:keepNext/>
        <w:keepLines/>
        <w:widowControl w:val="0"/>
        <w:suppressLineNumbers/>
        <w:suppressAutoHyphens/>
        <w:spacing w:line="360" w:lineRule="auto"/>
        <w:ind w:left="720" w:hanging="720"/>
      </w:pPr>
      <w:r w:rsidRPr="00F42F94">
        <w:t>2.1</w:t>
      </w:r>
      <w:r w:rsidRPr="00F42F94">
        <w:tab/>
        <w:t>Subject to paragraph 2.3, the JRA List covers proceedings in the Trial Division of the Court relating to the conduct or decisions of lower courts, tribunals and other external persons or bodies, being proceedings in the Trial Division in the nature of judicial review or being statutory appeals to the Trial Division (usually limited to questions of law) or referrals of questions of law.</w:t>
      </w:r>
    </w:p>
    <w:p w:rsidR="009D587E" w:rsidRPr="00F42F94" w:rsidRDefault="009D587E" w:rsidP="009D587E">
      <w:pPr>
        <w:widowControl w:val="0"/>
        <w:suppressLineNumbers/>
        <w:suppressAutoHyphens/>
        <w:spacing w:line="360" w:lineRule="auto"/>
        <w:ind w:left="720" w:hanging="720"/>
      </w:pPr>
    </w:p>
    <w:p w:rsidR="009D587E" w:rsidRPr="00F42F94" w:rsidRDefault="009D587E" w:rsidP="009D587E">
      <w:pPr>
        <w:widowControl w:val="0"/>
        <w:suppressLineNumbers/>
        <w:suppressAutoHyphens/>
        <w:spacing w:line="360" w:lineRule="auto"/>
        <w:ind w:left="720" w:hanging="720"/>
      </w:pPr>
      <w:r w:rsidRPr="00F42F94">
        <w:t>2.2</w:t>
      </w:r>
      <w:r w:rsidRPr="00F42F94">
        <w:tab/>
        <w:t>Without limiting the generality of paragraph 2.1 but subject to paragraph 2.3, the following proceedings should be initiated in the JRA List:</w:t>
      </w:r>
    </w:p>
    <w:p w:rsidR="009D587E" w:rsidRPr="00F42F94" w:rsidRDefault="009D587E" w:rsidP="009D587E">
      <w:pPr>
        <w:widowControl w:val="0"/>
        <w:numPr>
          <w:ilvl w:val="0"/>
          <w:numId w:val="18"/>
        </w:numPr>
        <w:suppressLineNumbers/>
        <w:suppressAutoHyphens/>
        <w:spacing w:line="360" w:lineRule="auto"/>
      </w:pPr>
      <w:r w:rsidRPr="00F42F94">
        <w:t xml:space="preserve">Judicial review applications made pursuant to the </w:t>
      </w:r>
      <w:r w:rsidRPr="00F42F94">
        <w:rPr>
          <w:i/>
          <w:iCs/>
        </w:rPr>
        <w:t>Administrative Law Act 1978</w:t>
      </w:r>
      <w:r w:rsidRPr="00F42F94">
        <w:t xml:space="preserve"> (</w:t>
      </w:r>
      <w:r w:rsidRPr="00F42F94">
        <w:rPr>
          <w:b/>
          <w:i/>
        </w:rPr>
        <w:t>ALA</w:t>
      </w:r>
      <w:r w:rsidRPr="00F42F94">
        <w:t>) or Order 56 of the Chapter I Rules;</w:t>
      </w:r>
    </w:p>
    <w:p w:rsidR="009D587E" w:rsidRPr="00F42F94" w:rsidRDefault="009D587E" w:rsidP="009D587E">
      <w:pPr>
        <w:widowControl w:val="0"/>
        <w:numPr>
          <w:ilvl w:val="0"/>
          <w:numId w:val="18"/>
        </w:numPr>
        <w:suppressLineNumbers/>
        <w:suppressAutoHyphens/>
        <w:spacing w:line="360" w:lineRule="auto"/>
      </w:pPr>
      <w:r w:rsidRPr="00F42F94">
        <w:t>Appeals from a final order of the Magistrates’ Court on a question of law</w:t>
      </w:r>
      <w:r w:rsidRPr="00F42F94">
        <w:rPr>
          <w:iCs/>
        </w:rPr>
        <w:t xml:space="preserve"> </w:t>
      </w:r>
      <w:r w:rsidRPr="00F42F94">
        <w:t xml:space="preserve">pursuant to section 109 of the </w:t>
      </w:r>
      <w:r w:rsidRPr="00F42F94">
        <w:rPr>
          <w:i/>
          <w:iCs/>
        </w:rPr>
        <w:t>Magistrates’ Court Act 1989</w:t>
      </w:r>
      <w:r w:rsidRPr="00F42F94">
        <w:t xml:space="preserve"> or section 272 of the </w:t>
      </w:r>
      <w:r w:rsidRPr="00F42F94">
        <w:rPr>
          <w:i/>
          <w:iCs/>
        </w:rPr>
        <w:t>Criminal Procedure Act 2009</w:t>
      </w:r>
      <w:r w:rsidRPr="00F42F94">
        <w:t>;</w:t>
      </w:r>
    </w:p>
    <w:p w:rsidR="009D587E" w:rsidRPr="00F42F94" w:rsidRDefault="009D587E" w:rsidP="009D587E">
      <w:pPr>
        <w:widowControl w:val="0"/>
        <w:numPr>
          <w:ilvl w:val="0"/>
          <w:numId w:val="18"/>
        </w:numPr>
        <w:suppressLineNumbers/>
        <w:suppressAutoHyphens/>
        <w:spacing w:line="360" w:lineRule="auto"/>
      </w:pPr>
      <w:r w:rsidRPr="00F42F94">
        <w:t>Appeals from an order of the Victorian Civil and Administrative Tribunal</w:t>
      </w:r>
      <w:r w:rsidRPr="00F42F94">
        <w:rPr>
          <w:iCs/>
        </w:rPr>
        <w:t xml:space="preserve"> </w:t>
      </w:r>
      <w:r w:rsidRPr="00F42F94">
        <w:t>(</w:t>
      </w:r>
      <w:r w:rsidRPr="00F42F94">
        <w:rPr>
          <w:b/>
          <w:i/>
        </w:rPr>
        <w:t>VCAT</w:t>
      </w:r>
      <w:r w:rsidRPr="00F42F94">
        <w:t xml:space="preserve">) on a question of law pursuant to section 148 of the </w:t>
      </w:r>
      <w:r w:rsidRPr="00F42F94">
        <w:rPr>
          <w:i/>
          <w:iCs/>
        </w:rPr>
        <w:t>Victorian Civil and Administrative Tribunal Act 1998</w:t>
      </w:r>
      <w:r w:rsidRPr="00F42F94">
        <w:t>;</w:t>
      </w:r>
    </w:p>
    <w:p w:rsidR="009D587E" w:rsidRPr="00F42F94" w:rsidRDefault="009D587E" w:rsidP="009D587E">
      <w:pPr>
        <w:widowControl w:val="0"/>
        <w:numPr>
          <w:ilvl w:val="0"/>
          <w:numId w:val="18"/>
        </w:numPr>
        <w:suppressLineNumbers/>
        <w:suppressAutoHyphens/>
        <w:spacing w:line="360" w:lineRule="auto"/>
      </w:pPr>
      <w:r w:rsidRPr="00F42F94">
        <w:t xml:space="preserve">Appeals from a final order of the Children’s Court on a question of law pursuant to section 329 or section 427 of the </w:t>
      </w:r>
      <w:r w:rsidRPr="00F42F94">
        <w:rPr>
          <w:i/>
          <w:iCs/>
        </w:rPr>
        <w:t>Children, Youth and Families Act 2005</w:t>
      </w:r>
      <w:r w:rsidRPr="00F42F94">
        <w:t>; and</w:t>
      </w:r>
    </w:p>
    <w:p w:rsidR="009D587E" w:rsidRPr="00F42F94" w:rsidRDefault="009D587E" w:rsidP="009D587E">
      <w:pPr>
        <w:widowControl w:val="0"/>
        <w:numPr>
          <w:ilvl w:val="0"/>
          <w:numId w:val="18"/>
        </w:numPr>
        <w:suppressLineNumbers/>
        <w:suppressAutoHyphens/>
        <w:spacing w:line="360" w:lineRule="auto"/>
      </w:pPr>
      <w:r w:rsidRPr="00F42F94">
        <w:t xml:space="preserve">Referrals for the determination of a question of law under section 33 of the </w:t>
      </w:r>
      <w:r w:rsidRPr="00F42F94">
        <w:rPr>
          <w:i/>
          <w:iCs/>
        </w:rPr>
        <w:t>Charter of Human Rights and</w:t>
      </w:r>
      <w:r w:rsidRPr="00F42F94">
        <w:t xml:space="preserve"> </w:t>
      </w:r>
      <w:r w:rsidRPr="00F42F94">
        <w:rPr>
          <w:i/>
          <w:iCs/>
        </w:rPr>
        <w:t>Responsibilities Act 2006</w:t>
      </w:r>
      <w:r w:rsidRPr="00F42F94">
        <w:t>.</w:t>
      </w:r>
      <w:r w:rsidRPr="00F42F94">
        <w:rPr>
          <w:rStyle w:val="FootnoteReference"/>
        </w:rPr>
        <w:footnoteReference w:id="2"/>
      </w:r>
    </w:p>
    <w:p w:rsidR="009D587E" w:rsidRPr="00F42F94" w:rsidRDefault="009D587E" w:rsidP="009D587E">
      <w:pPr>
        <w:widowControl w:val="0"/>
        <w:suppressLineNumbers/>
        <w:suppressAutoHyphens/>
        <w:autoSpaceDE w:val="0"/>
        <w:autoSpaceDN w:val="0"/>
        <w:adjustRightInd w:val="0"/>
        <w:spacing w:line="360" w:lineRule="auto"/>
      </w:pPr>
    </w:p>
    <w:p w:rsidR="009D587E" w:rsidRPr="00F42F94" w:rsidRDefault="009D587E" w:rsidP="009D587E">
      <w:pPr>
        <w:widowControl w:val="0"/>
        <w:suppressLineNumbers/>
        <w:suppressAutoHyphens/>
        <w:autoSpaceDE w:val="0"/>
        <w:autoSpaceDN w:val="0"/>
        <w:adjustRightInd w:val="0"/>
        <w:spacing w:line="360" w:lineRule="auto"/>
        <w:ind w:left="720" w:hanging="720"/>
      </w:pPr>
      <w:r w:rsidRPr="00F42F94">
        <w:t>2.3</w:t>
      </w:r>
      <w:r w:rsidRPr="00F42F94">
        <w:tab/>
        <w:t xml:space="preserve">Inclusion in the JRA List is not appropriate for proceedings which fall within another specialist case management list of the Court.  For example, appeals from the Land Valuation List or the Planning and Environment List of VCAT are managed in the </w:t>
      </w:r>
      <w:r w:rsidRPr="00F42F94">
        <w:rPr>
          <w:b/>
        </w:rPr>
        <w:t>Valuation, Compensation and Planning List</w:t>
      </w:r>
      <w:r w:rsidRPr="00F42F94">
        <w:t xml:space="preserve">, and should not be initiated in the JRA List: see </w:t>
      </w:r>
      <w:r w:rsidRPr="00F42F94">
        <w:rPr>
          <w:i/>
        </w:rPr>
        <w:t>Practice Note No. 8 of 2015</w:t>
      </w:r>
      <w:r w:rsidRPr="00F42F94">
        <w:t xml:space="preserve">.  Likewise, appeals from VCAT in taxation matters are managed in the </w:t>
      </w:r>
      <w:r w:rsidRPr="00F42F94">
        <w:rPr>
          <w:b/>
        </w:rPr>
        <w:t>Taxation List</w:t>
      </w:r>
      <w:r w:rsidRPr="00F42F94">
        <w:t xml:space="preserve">.  Similarly, appeals from commercial arbitrators under the </w:t>
      </w:r>
      <w:r w:rsidRPr="00F42F94">
        <w:rPr>
          <w:i/>
        </w:rPr>
        <w:t xml:space="preserve">Commercial </w:t>
      </w:r>
      <w:r w:rsidRPr="00F42F94">
        <w:rPr>
          <w:i/>
        </w:rPr>
        <w:lastRenderedPageBreak/>
        <w:t>Arbitration Act 2011</w:t>
      </w:r>
      <w:r w:rsidRPr="00F42F94">
        <w:t xml:space="preserve"> or corresponding legislation are managed in the </w:t>
      </w:r>
      <w:r w:rsidRPr="00F42F94">
        <w:rPr>
          <w:b/>
        </w:rPr>
        <w:t>Arbitration List</w:t>
      </w:r>
      <w:r w:rsidRPr="00F42F94">
        <w:t>.</w:t>
      </w:r>
    </w:p>
    <w:p w:rsidR="009D587E" w:rsidRPr="00F42F94" w:rsidRDefault="009D587E" w:rsidP="009D587E">
      <w:pPr>
        <w:widowControl w:val="0"/>
        <w:suppressLineNumbers/>
        <w:suppressAutoHyphens/>
        <w:spacing w:line="360" w:lineRule="auto"/>
        <w:ind w:left="720" w:hanging="720"/>
      </w:pPr>
    </w:p>
    <w:p w:rsidR="009D587E" w:rsidRPr="00F42F94" w:rsidRDefault="009D587E" w:rsidP="007D332E">
      <w:pPr>
        <w:pStyle w:val="Heading1"/>
      </w:pPr>
      <w:r w:rsidRPr="00F42F94">
        <w:t>3.</w:t>
      </w:r>
      <w:r w:rsidRPr="00F42F94">
        <w:tab/>
        <w:t>PROCEDURE FOR ENTRY INTO THE JRA LIST</w:t>
      </w:r>
    </w:p>
    <w:p w:rsidR="009D587E" w:rsidRPr="00F42F94" w:rsidRDefault="009D587E" w:rsidP="009D587E">
      <w:pPr>
        <w:widowControl w:val="0"/>
        <w:suppressLineNumbers/>
        <w:suppressAutoHyphens/>
        <w:spacing w:line="360" w:lineRule="auto"/>
        <w:rPr>
          <w:b/>
        </w:rPr>
      </w:pPr>
    </w:p>
    <w:p w:rsidR="009D587E" w:rsidRPr="00F42F94" w:rsidRDefault="009D587E" w:rsidP="009D587E">
      <w:pPr>
        <w:widowControl w:val="0"/>
        <w:suppressLineNumbers/>
        <w:suppressAutoHyphens/>
        <w:spacing w:line="360" w:lineRule="auto"/>
        <w:ind w:left="720" w:hanging="720"/>
      </w:pPr>
      <w:r w:rsidRPr="00F42F94">
        <w:t>3.1</w:t>
      </w:r>
      <w:r w:rsidRPr="00F42F94">
        <w:tab/>
        <w:t>Where a proceeding is intended to be initiated in the JRA List, the heading of the originating process should be endorsed “Judicial Review and Appeals List”.  The heading of all subsequent documents filed in the proceeding should also be endorsed “Judicial Review and Appeals List”.</w:t>
      </w:r>
    </w:p>
    <w:p w:rsidR="009D587E" w:rsidRPr="00F42F94" w:rsidRDefault="009D587E" w:rsidP="009D587E">
      <w:pPr>
        <w:widowControl w:val="0"/>
        <w:suppressLineNumbers/>
        <w:suppressAutoHyphens/>
        <w:spacing w:line="360" w:lineRule="auto"/>
        <w:ind w:left="720" w:hanging="720"/>
      </w:pPr>
    </w:p>
    <w:p w:rsidR="009D587E" w:rsidRPr="00F42F94" w:rsidRDefault="009D587E" w:rsidP="009D587E">
      <w:pPr>
        <w:widowControl w:val="0"/>
        <w:suppressLineNumbers/>
        <w:suppressAutoHyphens/>
        <w:spacing w:line="360" w:lineRule="auto"/>
        <w:ind w:left="720" w:hanging="720"/>
      </w:pPr>
      <w:r w:rsidRPr="00F42F94">
        <w:t>3.2</w:t>
      </w:r>
      <w:r w:rsidRPr="00F42F94">
        <w:tab/>
        <w:t>A proceeding not initiated in the JRA List may be transferred into the List on application or on the Court’s own motion if it appears to be suitable to be managed in the List.</w:t>
      </w:r>
      <w:r w:rsidRPr="00F42F94">
        <w:rPr>
          <w:rStyle w:val="FootnoteReference"/>
        </w:rPr>
        <w:footnoteReference w:id="3"/>
      </w:r>
    </w:p>
    <w:p w:rsidR="009D587E" w:rsidRPr="00F42F94" w:rsidRDefault="009D587E" w:rsidP="009D587E">
      <w:pPr>
        <w:widowControl w:val="0"/>
        <w:suppressLineNumbers/>
        <w:suppressAutoHyphens/>
        <w:spacing w:line="360" w:lineRule="auto"/>
        <w:ind w:left="720" w:hanging="720"/>
      </w:pPr>
    </w:p>
    <w:p w:rsidR="009D587E" w:rsidRPr="00F42F94" w:rsidRDefault="009D587E" w:rsidP="009D587E">
      <w:pPr>
        <w:widowControl w:val="0"/>
        <w:suppressLineNumbers/>
        <w:suppressAutoHyphens/>
        <w:spacing w:line="360" w:lineRule="auto"/>
        <w:ind w:left="720" w:hanging="720"/>
      </w:pPr>
      <w:r w:rsidRPr="00F42F94">
        <w:t>3.3</w:t>
      </w:r>
      <w:r w:rsidRPr="00F42F94">
        <w:tab/>
        <w:t>Conversely, a proceeding initiated in the JRA List may be transferred out of the List on application or on the Court’s own motion if it appears to the Court that it is appropriate to have the proceeding managed in a different list.</w:t>
      </w:r>
    </w:p>
    <w:p w:rsidR="009D587E" w:rsidRPr="00F42F94" w:rsidRDefault="009D587E" w:rsidP="009D587E">
      <w:pPr>
        <w:widowControl w:val="0"/>
        <w:suppressLineNumbers/>
        <w:suppressAutoHyphens/>
        <w:spacing w:line="360" w:lineRule="auto"/>
      </w:pPr>
    </w:p>
    <w:p w:rsidR="009D587E" w:rsidRPr="00F42F94" w:rsidRDefault="009D587E" w:rsidP="009D587E">
      <w:pPr>
        <w:widowControl w:val="0"/>
        <w:suppressLineNumbers/>
        <w:suppressAutoHyphens/>
        <w:spacing w:line="360" w:lineRule="auto"/>
        <w:ind w:left="720" w:hanging="720"/>
      </w:pPr>
      <w:r w:rsidRPr="00F42F94">
        <w:t>3.4</w:t>
      </w:r>
      <w:r w:rsidRPr="00F42F94">
        <w:tab/>
        <w:t>No additional fees will be payable for the initiation of a proceeding in the JRA List or for a transfer into the List.</w:t>
      </w:r>
    </w:p>
    <w:p w:rsidR="009D587E" w:rsidRPr="00F42F94" w:rsidRDefault="009D587E" w:rsidP="009D587E">
      <w:pPr>
        <w:widowControl w:val="0"/>
        <w:suppressLineNumbers/>
        <w:suppressAutoHyphens/>
        <w:spacing w:line="360" w:lineRule="auto"/>
      </w:pPr>
    </w:p>
    <w:p w:rsidR="009D587E" w:rsidRPr="00F42F94" w:rsidRDefault="009D587E" w:rsidP="007D332E">
      <w:pPr>
        <w:pStyle w:val="Heading1"/>
      </w:pPr>
      <w:r w:rsidRPr="00F42F94">
        <w:t>4.</w:t>
      </w:r>
      <w:r w:rsidRPr="00F42F94">
        <w:tab/>
        <w:t>AFFIDAVITS</w:t>
      </w:r>
    </w:p>
    <w:p w:rsidR="009D587E" w:rsidRPr="00F42F94" w:rsidRDefault="009D587E" w:rsidP="009D587E">
      <w:pPr>
        <w:keepNext/>
        <w:spacing w:line="360" w:lineRule="auto"/>
      </w:pPr>
    </w:p>
    <w:p w:rsidR="009D587E" w:rsidRPr="00F42F94" w:rsidRDefault="009D587E" w:rsidP="009D587E">
      <w:pPr>
        <w:keepNext/>
        <w:spacing w:line="360" w:lineRule="auto"/>
        <w:ind w:left="720" w:hanging="720"/>
      </w:pPr>
      <w:r w:rsidRPr="00F42F94">
        <w:t>4.1</w:t>
      </w:r>
      <w:r w:rsidRPr="00F42F94">
        <w:tab/>
        <w:t>The appropriate manner of commencing and conducting a proceeding in the JRA List will vary according to the applicable statutory provisions and/or Court Rules and according to whether or not leave to appeal or an extension of time is required.</w:t>
      </w:r>
      <w:r w:rsidRPr="00F42F94">
        <w:rPr>
          <w:rStyle w:val="FootnoteReference"/>
        </w:rPr>
        <w:footnoteReference w:id="4"/>
      </w:r>
      <w:r w:rsidRPr="00F42F94">
        <w:t xml:space="preserve">  However, almost always, the proceeding will be heard and determined on affidavit and the moving party will be required to file and serve an affidavit in support of the claim at an early stage.</w:t>
      </w:r>
    </w:p>
    <w:p w:rsidR="009D587E" w:rsidRPr="00F42F94" w:rsidRDefault="009D587E" w:rsidP="009D587E">
      <w:pPr>
        <w:widowControl w:val="0"/>
        <w:suppressLineNumbers/>
        <w:suppressAutoHyphens/>
        <w:spacing w:line="360" w:lineRule="auto"/>
        <w:ind w:left="720" w:hanging="720"/>
      </w:pPr>
    </w:p>
    <w:p w:rsidR="009D587E" w:rsidRPr="00F42F94" w:rsidRDefault="009D587E" w:rsidP="009D587E">
      <w:pPr>
        <w:widowControl w:val="0"/>
        <w:suppressLineNumbers/>
        <w:suppressAutoHyphens/>
        <w:spacing w:line="360" w:lineRule="auto"/>
        <w:ind w:left="720" w:hanging="720"/>
      </w:pPr>
      <w:r w:rsidRPr="00F42F94">
        <w:lastRenderedPageBreak/>
        <w:t>4.2</w:t>
      </w:r>
      <w:r w:rsidRPr="00F42F94">
        <w:tab/>
        <w:t>Affidavits and exhibits of any party should be limited to what is necessary for the proper hearing and determination of the proceeding.  With limited exceptions, it will be inappropriate to refer to or to exhibit material that was not before the court, tribunal or other external person or body concerned.</w:t>
      </w:r>
    </w:p>
    <w:p w:rsidR="009D587E" w:rsidRPr="00F42F94" w:rsidRDefault="009D587E" w:rsidP="009D587E">
      <w:pPr>
        <w:widowControl w:val="0"/>
        <w:suppressLineNumbers/>
        <w:suppressAutoHyphens/>
        <w:spacing w:line="360" w:lineRule="auto"/>
      </w:pPr>
    </w:p>
    <w:p w:rsidR="009D587E" w:rsidRPr="00F42F94" w:rsidRDefault="009D587E" w:rsidP="007D332E">
      <w:pPr>
        <w:pStyle w:val="Heading1"/>
      </w:pPr>
      <w:r w:rsidRPr="00F42F94">
        <w:t>5.</w:t>
      </w:r>
      <w:r w:rsidRPr="00F42F94">
        <w:tab/>
        <w:t>PRE-TRIAL MANAGEMENT</w:t>
      </w:r>
    </w:p>
    <w:p w:rsidR="009D587E" w:rsidRPr="00F42F94" w:rsidRDefault="009D587E" w:rsidP="009D587E">
      <w:pPr>
        <w:widowControl w:val="0"/>
        <w:suppressLineNumbers/>
        <w:suppressAutoHyphens/>
        <w:autoSpaceDE w:val="0"/>
        <w:autoSpaceDN w:val="0"/>
        <w:adjustRightInd w:val="0"/>
        <w:spacing w:line="360" w:lineRule="auto"/>
        <w:ind w:left="720" w:hanging="720"/>
      </w:pPr>
    </w:p>
    <w:p w:rsidR="009D587E" w:rsidRPr="00F42F94" w:rsidRDefault="009D587E" w:rsidP="009D587E">
      <w:pPr>
        <w:widowControl w:val="0"/>
        <w:suppressLineNumbers/>
        <w:suppressAutoHyphens/>
        <w:autoSpaceDE w:val="0"/>
        <w:autoSpaceDN w:val="0"/>
        <w:adjustRightInd w:val="0"/>
        <w:spacing w:line="360" w:lineRule="auto"/>
        <w:ind w:left="720" w:hanging="720"/>
        <w:rPr>
          <w:i/>
        </w:rPr>
      </w:pPr>
      <w:r w:rsidRPr="00F42F94">
        <w:rPr>
          <w:i/>
        </w:rPr>
        <w:t>First Hearing</w:t>
      </w:r>
    </w:p>
    <w:p w:rsidR="009D587E" w:rsidRPr="00F42F94" w:rsidRDefault="009D587E" w:rsidP="009D587E">
      <w:pPr>
        <w:widowControl w:val="0"/>
        <w:suppressLineNumbers/>
        <w:suppressAutoHyphens/>
        <w:autoSpaceDE w:val="0"/>
        <w:autoSpaceDN w:val="0"/>
        <w:adjustRightInd w:val="0"/>
        <w:spacing w:line="360" w:lineRule="auto"/>
        <w:ind w:left="720" w:hanging="720"/>
      </w:pPr>
    </w:p>
    <w:p w:rsidR="009D587E" w:rsidRPr="00F42F94" w:rsidRDefault="009D587E" w:rsidP="009D587E">
      <w:pPr>
        <w:widowControl w:val="0"/>
        <w:suppressLineNumbers/>
        <w:suppressAutoHyphens/>
        <w:autoSpaceDE w:val="0"/>
        <w:autoSpaceDN w:val="0"/>
        <w:adjustRightInd w:val="0"/>
        <w:spacing w:line="360" w:lineRule="auto"/>
        <w:ind w:left="720" w:hanging="720"/>
      </w:pPr>
      <w:r w:rsidRPr="00F42F94">
        <w:t>5.1</w:t>
      </w:r>
      <w:r w:rsidRPr="00F42F94">
        <w:tab/>
        <w:t xml:space="preserve">Generally, the first hearing in a proceeding in the JRA List will be before an associate judge sitting in the Associate Judges’ Court 2.  In arranging and preparing for this hearing, parties should follow the procedures set out in </w:t>
      </w:r>
      <w:r w:rsidRPr="00F42F94">
        <w:rPr>
          <w:i/>
        </w:rPr>
        <w:t>Notice to the Profession – Applications in Associate Judges’ Practice Court (Court 2)</w:t>
      </w:r>
      <w:r w:rsidRPr="00F42F94">
        <w:t>.  All enquiries should be directed to the Court 2 Listings Coordinator (</w:t>
      </w:r>
      <w:hyperlink r:id="rId15" w:history="1">
        <w:r w:rsidR="007D332E" w:rsidRPr="008B4E65">
          <w:rPr>
            <w:rStyle w:val="Hyperlink"/>
            <w:b/>
          </w:rPr>
          <w:t>court2applications@supremecourt.vic.gov.au</w:t>
        </w:r>
      </w:hyperlink>
      <w:r w:rsidR="007D332E">
        <w:rPr>
          <w:b/>
        </w:rPr>
        <w:t xml:space="preserve"> </w:t>
      </w:r>
      <w:r w:rsidRPr="00F42F94">
        <w:t xml:space="preserve">or </w:t>
      </w:r>
      <w:r w:rsidR="007D332E">
        <w:rPr>
          <w:b/>
        </w:rPr>
        <w:t>03</w:t>
      </w:r>
      <w:r w:rsidRPr="00F42F94">
        <w:rPr>
          <w:b/>
        </w:rPr>
        <w:t xml:space="preserve"> 9603 9288</w:t>
      </w:r>
      <w:r w:rsidR="007D332E">
        <w:t>)</w:t>
      </w:r>
      <w:r w:rsidRPr="00F42F94">
        <w:t>.</w:t>
      </w:r>
    </w:p>
    <w:p w:rsidR="009D587E" w:rsidRPr="00F42F94" w:rsidRDefault="009D587E" w:rsidP="009D587E">
      <w:pPr>
        <w:widowControl w:val="0"/>
        <w:suppressLineNumbers/>
        <w:suppressAutoHyphens/>
        <w:autoSpaceDE w:val="0"/>
        <w:autoSpaceDN w:val="0"/>
        <w:adjustRightInd w:val="0"/>
        <w:spacing w:line="360" w:lineRule="auto"/>
        <w:ind w:left="720" w:hanging="720"/>
      </w:pPr>
    </w:p>
    <w:p w:rsidR="009D587E" w:rsidRPr="00F42F94" w:rsidRDefault="009D587E" w:rsidP="009D587E">
      <w:pPr>
        <w:widowControl w:val="0"/>
        <w:suppressLineNumbers/>
        <w:suppressAutoHyphens/>
        <w:spacing w:line="360" w:lineRule="auto"/>
        <w:ind w:left="720" w:hanging="720"/>
      </w:pPr>
      <w:r w:rsidRPr="00F42F94">
        <w:t>5.2</w:t>
      </w:r>
      <w:r w:rsidRPr="00F42F94">
        <w:tab/>
        <w:t xml:space="preserve">At the first hearing, the associate judge may, if appropriate, hear any </w:t>
      </w:r>
      <w:bookmarkStart w:id="0" w:name="_GoBack"/>
      <w:bookmarkEnd w:id="0"/>
      <w:r w:rsidRPr="00F42F94">
        <w:t>application for leave to appeal, for an extension of time or for summary determination of the proceeding.  Alternatively, such applications may be adjourned to be heard by that associate judge at a later date or may be referred to a judge for consideration together with the substantive proceeding.  In particular, an application for leave to appeal may be referred to the judge who would hear the substantive appeal pursuant to one of the expedition rules, such as rule 4.14 of the Chapter II Rules or rule 3A.08 of the Chapter VI Rules.</w:t>
      </w:r>
    </w:p>
    <w:p w:rsidR="009D587E" w:rsidRPr="00F42F94" w:rsidRDefault="009D587E" w:rsidP="009D587E">
      <w:pPr>
        <w:widowControl w:val="0"/>
        <w:suppressLineNumbers/>
        <w:suppressAutoHyphens/>
        <w:autoSpaceDE w:val="0"/>
        <w:autoSpaceDN w:val="0"/>
        <w:adjustRightInd w:val="0"/>
        <w:spacing w:line="360" w:lineRule="auto"/>
        <w:ind w:left="720" w:hanging="720"/>
      </w:pPr>
    </w:p>
    <w:p w:rsidR="009D587E" w:rsidRPr="00F42F94" w:rsidRDefault="009D587E" w:rsidP="009D587E">
      <w:pPr>
        <w:widowControl w:val="0"/>
        <w:suppressLineNumbers/>
        <w:suppressAutoHyphens/>
        <w:autoSpaceDE w:val="0"/>
        <w:autoSpaceDN w:val="0"/>
        <w:adjustRightInd w:val="0"/>
        <w:spacing w:line="360" w:lineRule="auto"/>
        <w:ind w:left="720" w:hanging="720"/>
      </w:pPr>
      <w:r w:rsidRPr="00F42F94">
        <w:t>5.3</w:t>
      </w:r>
      <w:r w:rsidRPr="00F42F94">
        <w:tab/>
        <w:t xml:space="preserve">Directions given at the first hearing will vary depending on the nature of the particular proceeding.  Where appropriate, the parties are encouraged to prepare proposed consent orders in advance of the first hearing, with a view to obtaining orders by consent without the need for an appearance.  The parties should email minutes of consent to </w:t>
      </w:r>
      <w:hyperlink r:id="rId16" w:history="1">
        <w:r w:rsidR="007D332E" w:rsidRPr="008B4E65">
          <w:rPr>
            <w:rStyle w:val="Hyperlink"/>
            <w:b/>
          </w:rPr>
          <w:t>court2applications@supremecourt.vic.gov.au</w:t>
        </w:r>
      </w:hyperlink>
      <w:r w:rsidR="007D332E">
        <w:t>,</w:t>
      </w:r>
      <w:r w:rsidRPr="00F42F94">
        <w:t xml:space="preserve"> by 4.00pm on the day prior to the first hearing.  Any proposed orders should be in the form set out in </w:t>
      </w:r>
      <w:r w:rsidRPr="00F42F94">
        <w:rPr>
          <w:b/>
        </w:rPr>
        <w:t>Schedule 1</w:t>
      </w:r>
      <w:r w:rsidRPr="00F42F94">
        <w:t xml:space="preserve">, with amendment as required, and should be sent in both Word </w:t>
      </w:r>
      <w:r w:rsidRPr="00F42F94">
        <w:lastRenderedPageBreak/>
        <w:t>and signed PDF format.  Parties are required to appear at the first hearing unless otherwise advised by the Court.</w:t>
      </w:r>
    </w:p>
    <w:p w:rsidR="009D587E" w:rsidRPr="00F42F94" w:rsidRDefault="009D587E" w:rsidP="009D587E">
      <w:pPr>
        <w:widowControl w:val="0"/>
        <w:suppressLineNumbers/>
        <w:suppressAutoHyphens/>
        <w:spacing w:line="360" w:lineRule="auto"/>
        <w:ind w:left="720" w:hanging="720"/>
      </w:pPr>
    </w:p>
    <w:p w:rsidR="009D587E" w:rsidRPr="00F42F94" w:rsidRDefault="009D587E" w:rsidP="009D587E">
      <w:pPr>
        <w:widowControl w:val="0"/>
        <w:suppressLineNumbers/>
        <w:suppressAutoHyphens/>
        <w:spacing w:line="360" w:lineRule="auto"/>
        <w:ind w:left="720" w:hanging="720"/>
        <w:rPr>
          <w:i/>
        </w:rPr>
      </w:pPr>
      <w:r w:rsidRPr="00F42F94">
        <w:rPr>
          <w:i/>
        </w:rPr>
        <w:t>Trial Date</w:t>
      </w:r>
    </w:p>
    <w:p w:rsidR="009D587E" w:rsidRPr="00F42F94" w:rsidRDefault="009D587E" w:rsidP="009D587E">
      <w:pPr>
        <w:widowControl w:val="0"/>
        <w:suppressLineNumbers/>
        <w:suppressAutoHyphens/>
        <w:spacing w:line="360" w:lineRule="auto"/>
        <w:ind w:left="720" w:hanging="720"/>
      </w:pPr>
    </w:p>
    <w:p w:rsidR="009D587E" w:rsidRPr="00F42F94" w:rsidRDefault="009D587E" w:rsidP="009D587E">
      <w:pPr>
        <w:widowControl w:val="0"/>
        <w:suppressLineNumbers/>
        <w:suppressAutoHyphens/>
        <w:spacing w:line="360" w:lineRule="auto"/>
        <w:ind w:left="720" w:hanging="720"/>
      </w:pPr>
      <w:r w:rsidRPr="00F42F94">
        <w:t>5.4</w:t>
      </w:r>
      <w:r w:rsidRPr="00F42F94">
        <w:tab/>
        <w:t>Shortly after directions are made for trial, an associate judge will fix a trial date for the proceeding.  The fixing of a trial date will generally take place administratively without the need for an appearance.</w:t>
      </w:r>
    </w:p>
    <w:p w:rsidR="009D587E" w:rsidRPr="00F42F94" w:rsidRDefault="009D587E" w:rsidP="009D587E">
      <w:pPr>
        <w:widowControl w:val="0"/>
        <w:suppressLineNumbers/>
        <w:suppressAutoHyphens/>
        <w:spacing w:line="360" w:lineRule="auto"/>
        <w:ind w:left="720" w:hanging="720"/>
      </w:pPr>
    </w:p>
    <w:p w:rsidR="009D587E" w:rsidRPr="00F42F94" w:rsidRDefault="009D587E" w:rsidP="009D587E">
      <w:pPr>
        <w:widowControl w:val="0"/>
        <w:suppressLineNumbers/>
        <w:suppressAutoHyphens/>
        <w:spacing w:line="360" w:lineRule="auto"/>
        <w:ind w:left="720" w:hanging="720"/>
        <w:rPr>
          <w:i/>
        </w:rPr>
      </w:pPr>
      <w:r w:rsidRPr="00F42F94">
        <w:rPr>
          <w:i/>
        </w:rPr>
        <w:t>Interlocutory Applications</w:t>
      </w:r>
    </w:p>
    <w:p w:rsidR="009D587E" w:rsidRPr="00F42F94" w:rsidRDefault="009D587E" w:rsidP="009D587E">
      <w:pPr>
        <w:widowControl w:val="0"/>
        <w:suppressLineNumbers/>
        <w:suppressAutoHyphens/>
        <w:spacing w:line="360" w:lineRule="auto"/>
        <w:ind w:left="720" w:hanging="720"/>
      </w:pPr>
    </w:p>
    <w:p w:rsidR="009D587E" w:rsidRPr="00F42F94" w:rsidRDefault="009D587E" w:rsidP="009D587E">
      <w:pPr>
        <w:widowControl w:val="0"/>
        <w:suppressLineNumbers/>
        <w:suppressAutoHyphens/>
        <w:spacing w:line="360" w:lineRule="auto"/>
        <w:ind w:left="720" w:hanging="720"/>
      </w:pPr>
      <w:r w:rsidRPr="00F42F94">
        <w:t>5.5</w:t>
      </w:r>
      <w:r w:rsidRPr="00F42F94">
        <w:tab/>
        <w:t>Interlocutory applications in proceedings not yet fixed for trial are generally heard by an associate judge in Court 2, at the first hearing or thereafter as appropriate.  Interlocutory applications in proceedings which are fixed for trial are heard by the associate judge responsible for pre-trial applications.  In either case, parties should contact the Court 2 Listings Coordinator (</w:t>
      </w:r>
      <w:r w:rsidRPr="00F42F94">
        <w:rPr>
          <w:b/>
        </w:rPr>
        <w:t>court2applications@ supremecourt.vic.gov.au</w:t>
      </w:r>
      <w:r w:rsidRPr="00F42F94">
        <w:t xml:space="preserve"> or </w:t>
      </w:r>
      <w:r w:rsidRPr="00F42F94">
        <w:rPr>
          <w:b/>
        </w:rPr>
        <w:t>(03) 9603 9288</w:t>
      </w:r>
      <w:r w:rsidRPr="00F42F94">
        <w:t>) to obtain a suitable hearing date.</w:t>
      </w:r>
    </w:p>
    <w:p w:rsidR="009D587E" w:rsidRPr="00F42F94" w:rsidRDefault="009D587E" w:rsidP="009D587E">
      <w:pPr>
        <w:widowControl w:val="0"/>
        <w:suppressLineNumbers/>
        <w:suppressAutoHyphens/>
        <w:spacing w:line="360" w:lineRule="auto"/>
        <w:ind w:left="720" w:hanging="720"/>
      </w:pPr>
    </w:p>
    <w:p w:rsidR="009D587E" w:rsidRPr="00F42F94" w:rsidRDefault="009D587E" w:rsidP="009D587E">
      <w:pPr>
        <w:widowControl w:val="0"/>
        <w:suppressLineNumbers/>
        <w:suppressAutoHyphens/>
        <w:spacing w:line="360" w:lineRule="auto"/>
        <w:ind w:left="720"/>
      </w:pPr>
      <w:r w:rsidRPr="00F42F94">
        <w:rPr>
          <w:i/>
        </w:rPr>
        <w:t>Appeals from Associate Judges</w:t>
      </w:r>
    </w:p>
    <w:p w:rsidR="009D587E" w:rsidRPr="00F42F94" w:rsidRDefault="009D587E" w:rsidP="009D587E">
      <w:pPr>
        <w:widowControl w:val="0"/>
        <w:suppressLineNumbers/>
        <w:suppressAutoHyphens/>
        <w:spacing w:line="360" w:lineRule="auto"/>
      </w:pPr>
    </w:p>
    <w:p w:rsidR="009D587E" w:rsidRPr="00F42F94" w:rsidRDefault="009D587E" w:rsidP="009D587E">
      <w:pPr>
        <w:widowControl w:val="0"/>
        <w:suppressLineNumbers/>
        <w:suppressAutoHyphens/>
        <w:spacing w:line="360" w:lineRule="auto"/>
        <w:ind w:left="720" w:hanging="720"/>
      </w:pPr>
      <w:r w:rsidRPr="00F42F94">
        <w:t>5.6</w:t>
      </w:r>
      <w:r w:rsidRPr="00F42F94">
        <w:tab/>
        <w:t xml:space="preserve">The procedure for any appeal from an order made by an associate judge in relation to any proceeding in the JRA List is governed by </w:t>
      </w:r>
      <w:r w:rsidRPr="00F42F94">
        <w:rPr>
          <w:i/>
        </w:rPr>
        <w:t>Practice Note No 4 of 2012 – Appeals from Associate Judges to a Judge of the Trial Division</w:t>
      </w:r>
      <w:r w:rsidRPr="00F42F94">
        <w:t>.</w:t>
      </w:r>
    </w:p>
    <w:p w:rsidR="009D587E" w:rsidRPr="00F42F94" w:rsidRDefault="009D587E" w:rsidP="009D587E">
      <w:pPr>
        <w:widowControl w:val="0"/>
        <w:suppressLineNumbers/>
        <w:suppressAutoHyphens/>
        <w:spacing w:line="360" w:lineRule="auto"/>
        <w:ind w:left="720" w:hanging="720"/>
        <w:contextualSpacing/>
        <w:rPr>
          <w:b/>
        </w:rPr>
      </w:pPr>
    </w:p>
    <w:p w:rsidR="009D587E" w:rsidRPr="00F42F94" w:rsidRDefault="009D587E" w:rsidP="007D332E">
      <w:pPr>
        <w:pStyle w:val="Heading1"/>
      </w:pPr>
      <w:r w:rsidRPr="00F42F94">
        <w:t>6.</w:t>
      </w:r>
      <w:r w:rsidRPr="00F42F94">
        <w:tab/>
        <w:t>CONSENT ORDERS SETTING ASIDE A DECISION OR REMITTING A MATTER</w:t>
      </w:r>
    </w:p>
    <w:p w:rsidR="009D587E" w:rsidRPr="00F42F94" w:rsidRDefault="009D587E" w:rsidP="009D587E">
      <w:pPr>
        <w:widowControl w:val="0"/>
        <w:suppressLineNumbers/>
        <w:suppressAutoHyphens/>
        <w:autoSpaceDE w:val="0"/>
        <w:autoSpaceDN w:val="0"/>
        <w:adjustRightInd w:val="0"/>
        <w:spacing w:line="360" w:lineRule="auto"/>
        <w:ind w:left="720" w:hanging="720"/>
        <w:contextualSpacing/>
      </w:pPr>
    </w:p>
    <w:p w:rsidR="009D587E" w:rsidRPr="00F42F94" w:rsidRDefault="009D587E" w:rsidP="009D587E">
      <w:pPr>
        <w:widowControl w:val="0"/>
        <w:suppressLineNumbers/>
        <w:suppressAutoHyphens/>
        <w:autoSpaceDE w:val="0"/>
        <w:autoSpaceDN w:val="0"/>
        <w:adjustRightInd w:val="0"/>
        <w:spacing w:line="360" w:lineRule="auto"/>
        <w:ind w:left="720" w:hanging="720"/>
        <w:contextualSpacing/>
      </w:pPr>
      <w:r w:rsidRPr="00F42F94">
        <w:t xml:space="preserve">6.1 </w:t>
      </w:r>
      <w:r w:rsidRPr="00F42F94">
        <w:tab/>
        <w:t xml:space="preserve">Where proposed consent orders would set aside or vary a decision under review or appeal or would involve the remittal of any matter or would otherwise affect the conduct or the result of a proceeding or matter before an external decision-maker, judicial power is engaged in relation to the functions of a public authority, and the Court may need to consider for itself whether the </w:t>
      </w:r>
      <w:r w:rsidRPr="00F42F94">
        <w:lastRenderedPageBreak/>
        <w:t>orders should be made, particularly where the proceeding or matter affected is executive or administrative in nature.</w:t>
      </w:r>
      <w:r w:rsidRPr="00F42F94">
        <w:rPr>
          <w:rStyle w:val="FootnoteReference"/>
        </w:rPr>
        <w:footnoteReference w:id="5"/>
      </w:r>
      <w:r w:rsidRPr="00F42F94">
        <w:t xml:space="preserve">  Where orders of such a kind are sought “on the papers”, a joint memorandum explaining the legal justification for the proposed orders must be provided to the Court.  The Court may nevertheless require the attendance of practitioners.  Even if satisfied that the proposed consent orders are appropriate, the Court may consider it necessary to publish reasons for the making of the orders or at least to direct that a copy of the joint memorandum be served on the decision-maker affected together with a copy of the orders made.</w:t>
      </w:r>
      <w:r w:rsidRPr="00F42F94">
        <w:rPr>
          <w:rStyle w:val="FootnoteReference"/>
        </w:rPr>
        <w:footnoteReference w:id="6"/>
      </w:r>
    </w:p>
    <w:p w:rsidR="009D587E" w:rsidRPr="00F42F94" w:rsidRDefault="009D587E" w:rsidP="009D587E">
      <w:pPr>
        <w:widowControl w:val="0"/>
        <w:suppressLineNumbers/>
        <w:suppressAutoHyphens/>
        <w:spacing w:line="360" w:lineRule="auto"/>
        <w:ind w:left="720" w:hanging="720"/>
        <w:rPr>
          <w:b/>
        </w:rPr>
      </w:pPr>
    </w:p>
    <w:p w:rsidR="009D587E" w:rsidRPr="00F42F94" w:rsidRDefault="009D587E" w:rsidP="007D332E">
      <w:pPr>
        <w:pStyle w:val="Heading1"/>
      </w:pPr>
      <w:r w:rsidRPr="00F42F94">
        <w:t>7.</w:t>
      </w:r>
      <w:r w:rsidRPr="00F42F94">
        <w:tab/>
        <w:t>COURT BOOKS AND BOOKS OF AUTHORITIES</w:t>
      </w:r>
    </w:p>
    <w:p w:rsidR="009D587E" w:rsidRPr="00F42F94" w:rsidRDefault="009D587E" w:rsidP="009D587E">
      <w:pPr>
        <w:widowControl w:val="0"/>
        <w:suppressLineNumbers/>
        <w:suppressAutoHyphens/>
        <w:spacing w:line="360" w:lineRule="auto"/>
        <w:ind w:left="720" w:hanging="720"/>
        <w:rPr>
          <w:b/>
        </w:rPr>
      </w:pPr>
    </w:p>
    <w:p w:rsidR="009D587E" w:rsidRPr="00F42F94" w:rsidRDefault="009D587E" w:rsidP="009D587E">
      <w:pPr>
        <w:widowControl w:val="0"/>
        <w:suppressLineNumbers/>
        <w:suppressAutoHyphens/>
        <w:spacing w:line="360" w:lineRule="auto"/>
        <w:ind w:left="720" w:hanging="720"/>
      </w:pPr>
      <w:r w:rsidRPr="00F42F94">
        <w:t>7.1</w:t>
      </w:r>
      <w:r w:rsidRPr="00F42F94">
        <w:tab/>
        <w:t>A court book is required for any proceeding in the JRA List.</w:t>
      </w:r>
    </w:p>
    <w:p w:rsidR="009D587E" w:rsidRPr="00F42F94" w:rsidRDefault="009D587E" w:rsidP="009D587E">
      <w:pPr>
        <w:widowControl w:val="0"/>
        <w:suppressLineNumbers/>
        <w:suppressAutoHyphens/>
        <w:spacing w:line="360" w:lineRule="auto"/>
        <w:ind w:left="720" w:hanging="720"/>
      </w:pPr>
    </w:p>
    <w:p w:rsidR="009D587E" w:rsidRPr="00F42F94" w:rsidRDefault="009D587E" w:rsidP="009D587E">
      <w:pPr>
        <w:widowControl w:val="0"/>
        <w:suppressLineNumbers/>
        <w:suppressAutoHyphens/>
        <w:spacing w:line="360" w:lineRule="auto"/>
        <w:ind w:left="720" w:hanging="720"/>
      </w:pPr>
      <w:r w:rsidRPr="00F42F94">
        <w:t>7.2</w:t>
      </w:r>
      <w:r w:rsidRPr="00F42F94">
        <w:tab/>
        <w:t>The purpose of the court book is to provide to the Court and the parties an accessible bundle of copy documents which will be used at the substantive hearing of the proceeding.</w:t>
      </w:r>
    </w:p>
    <w:p w:rsidR="009D587E" w:rsidRPr="00F42F94" w:rsidRDefault="009D587E" w:rsidP="009D587E">
      <w:pPr>
        <w:widowControl w:val="0"/>
        <w:suppressLineNumbers/>
        <w:suppressAutoHyphens/>
        <w:spacing w:line="360" w:lineRule="auto"/>
        <w:ind w:left="720" w:hanging="720"/>
      </w:pPr>
    </w:p>
    <w:p w:rsidR="009D587E" w:rsidRPr="00F42F94" w:rsidRDefault="009D587E" w:rsidP="009D587E">
      <w:pPr>
        <w:widowControl w:val="0"/>
        <w:suppressLineNumbers/>
        <w:suppressAutoHyphens/>
        <w:spacing w:line="360" w:lineRule="auto"/>
        <w:ind w:left="720" w:hanging="720"/>
      </w:pPr>
      <w:r w:rsidRPr="00F42F94">
        <w:t>7.3</w:t>
      </w:r>
      <w:r w:rsidRPr="00F42F94">
        <w:tab/>
        <w:t>Practitioners will be expected to agree upon the contents of the court book.</w:t>
      </w:r>
    </w:p>
    <w:p w:rsidR="009D587E" w:rsidRPr="00F42F94" w:rsidRDefault="009D587E" w:rsidP="009D587E">
      <w:pPr>
        <w:widowControl w:val="0"/>
        <w:suppressLineNumbers/>
        <w:suppressAutoHyphens/>
        <w:spacing w:line="360" w:lineRule="auto"/>
        <w:ind w:left="720" w:hanging="720"/>
      </w:pPr>
    </w:p>
    <w:p w:rsidR="009D587E" w:rsidRPr="00F42F94" w:rsidRDefault="009D587E" w:rsidP="009D587E">
      <w:pPr>
        <w:widowControl w:val="0"/>
        <w:suppressLineNumbers/>
        <w:suppressAutoHyphens/>
        <w:spacing w:line="360" w:lineRule="auto"/>
        <w:ind w:left="720" w:hanging="720"/>
      </w:pPr>
      <w:r w:rsidRPr="00F42F94">
        <w:t>7.4</w:t>
      </w:r>
      <w:r w:rsidRPr="00F42F94">
        <w:tab/>
        <w:t xml:space="preserve">As a general principle, the court book should include copies of all documents which a party reasonably expects will be relevant to the Court’s decision.  Copies of the official record of the conduct or decision under review or appeal (where available) or a statement of the conduct or decision, and copies of critical documents relating to it, including any relevant statement of reasons, must be included.  In addition, the court book should generally include the originating process in the JRA proceeding itself, all affidavits (including exhibits) which bear substantively upon the JRA proceeding (as finally amended), key orders made in the JRA proceeding and the written </w:t>
      </w:r>
      <w:r w:rsidRPr="00F42F94">
        <w:lastRenderedPageBreak/>
        <w:t>submissions of the parties filed in the JRA proceeding.</w:t>
      </w:r>
    </w:p>
    <w:p w:rsidR="009D587E" w:rsidRPr="00F42F94" w:rsidRDefault="009D587E" w:rsidP="009D587E">
      <w:pPr>
        <w:widowControl w:val="0"/>
        <w:suppressLineNumbers/>
        <w:suppressAutoHyphens/>
        <w:spacing w:line="360" w:lineRule="auto"/>
        <w:ind w:left="720" w:hanging="720"/>
      </w:pPr>
    </w:p>
    <w:p w:rsidR="009D587E" w:rsidRPr="00F42F94" w:rsidRDefault="009D587E" w:rsidP="009D587E">
      <w:pPr>
        <w:widowControl w:val="0"/>
        <w:suppressLineNumbers/>
        <w:suppressAutoHyphens/>
        <w:spacing w:line="360" w:lineRule="auto"/>
        <w:ind w:left="720" w:hanging="720"/>
      </w:pPr>
      <w:r w:rsidRPr="00F42F94">
        <w:t>7.5</w:t>
      </w:r>
      <w:r w:rsidRPr="00F42F94">
        <w:tab/>
        <w:t>Unnecessary or duplicated documents are not to be included.  However, if it appears that a necessary document has been omitted from the court book, the tender of that document in evidence at the hearing will not be rejected for that reason.</w:t>
      </w:r>
    </w:p>
    <w:p w:rsidR="009D587E" w:rsidRPr="00F42F94" w:rsidRDefault="009D587E" w:rsidP="009D587E">
      <w:pPr>
        <w:widowControl w:val="0"/>
        <w:suppressLineNumbers/>
        <w:suppressAutoHyphens/>
        <w:spacing w:line="360" w:lineRule="auto"/>
        <w:ind w:left="720" w:hanging="720"/>
      </w:pPr>
    </w:p>
    <w:p w:rsidR="009D587E" w:rsidRPr="00F42F94" w:rsidRDefault="009D587E" w:rsidP="009D587E">
      <w:pPr>
        <w:widowControl w:val="0"/>
        <w:suppressLineNumbers/>
        <w:suppressAutoHyphens/>
        <w:spacing w:line="360" w:lineRule="auto"/>
        <w:ind w:left="720" w:hanging="720"/>
      </w:pPr>
      <w:r w:rsidRPr="00F42F94">
        <w:t>7.6</w:t>
      </w:r>
      <w:r w:rsidRPr="00F42F94">
        <w:tab/>
        <w:t>The court book should contain copies of documents only and not original documents.</w:t>
      </w:r>
    </w:p>
    <w:p w:rsidR="009D587E" w:rsidRPr="00F42F94" w:rsidRDefault="009D587E" w:rsidP="009D587E">
      <w:pPr>
        <w:widowControl w:val="0"/>
        <w:suppressLineNumbers/>
        <w:suppressAutoHyphens/>
        <w:spacing w:line="360" w:lineRule="auto"/>
        <w:ind w:left="720" w:hanging="720"/>
      </w:pPr>
    </w:p>
    <w:p w:rsidR="009D587E" w:rsidRPr="00F42F94" w:rsidRDefault="009D587E" w:rsidP="009D587E">
      <w:pPr>
        <w:widowControl w:val="0"/>
        <w:suppressLineNumbers/>
        <w:suppressAutoHyphens/>
        <w:spacing w:line="360" w:lineRule="auto"/>
        <w:ind w:left="720" w:hanging="720"/>
      </w:pPr>
      <w:r w:rsidRPr="00F42F94">
        <w:t>7.7</w:t>
      </w:r>
      <w:r w:rsidRPr="00F42F94">
        <w:tab/>
        <w:t>A document in the court book may be tendered as authentic without formal proof unless a party objects.  If a party intends to object to the authenticity of a document, it should notify all other parties as soon as practicable.</w:t>
      </w:r>
    </w:p>
    <w:p w:rsidR="009D587E" w:rsidRPr="00F42F94" w:rsidRDefault="009D587E" w:rsidP="009D587E">
      <w:pPr>
        <w:widowControl w:val="0"/>
        <w:suppressLineNumbers/>
        <w:suppressAutoHyphens/>
        <w:spacing w:line="360" w:lineRule="auto"/>
        <w:ind w:left="720" w:hanging="720"/>
      </w:pPr>
    </w:p>
    <w:p w:rsidR="009D587E" w:rsidRPr="00F42F94" w:rsidRDefault="009D587E" w:rsidP="009D587E">
      <w:pPr>
        <w:widowControl w:val="0"/>
        <w:suppressLineNumbers/>
        <w:suppressAutoHyphens/>
        <w:spacing w:line="360" w:lineRule="auto"/>
        <w:ind w:left="720" w:hanging="720"/>
      </w:pPr>
      <w:r w:rsidRPr="00F42F94">
        <w:t>7.8</w:t>
      </w:r>
      <w:r w:rsidRPr="00F42F94">
        <w:tab/>
        <w:t>Generally:</w:t>
      </w:r>
    </w:p>
    <w:p w:rsidR="009D587E" w:rsidRPr="00F42F94" w:rsidRDefault="009D587E" w:rsidP="009D587E">
      <w:pPr>
        <w:widowControl w:val="0"/>
        <w:numPr>
          <w:ilvl w:val="0"/>
          <w:numId w:val="33"/>
        </w:numPr>
        <w:suppressLineNumbers/>
        <w:suppressAutoHyphens/>
        <w:spacing w:line="360" w:lineRule="auto"/>
      </w:pPr>
      <w:r w:rsidRPr="00F42F94">
        <w:t>the court book should contain an index of its contents and each page of the court book should be paginated;</w:t>
      </w:r>
    </w:p>
    <w:p w:rsidR="009D587E" w:rsidRPr="00F42F94" w:rsidRDefault="009D587E" w:rsidP="009D587E">
      <w:pPr>
        <w:widowControl w:val="0"/>
        <w:numPr>
          <w:ilvl w:val="0"/>
          <w:numId w:val="33"/>
        </w:numPr>
        <w:suppressLineNumbers/>
        <w:suppressAutoHyphens/>
        <w:spacing w:line="360" w:lineRule="auto"/>
      </w:pPr>
      <w:r w:rsidRPr="00F42F94">
        <w:t>the index should list the documents in chronological order; and</w:t>
      </w:r>
    </w:p>
    <w:p w:rsidR="009D587E" w:rsidRPr="00F42F94" w:rsidRDefault="009D587E" w:rsidP="009D587E">
      <w:pPr>
        <w:widowControl w:val="0"/>
        <w:numPr>
          <w:ilvl w:val="0"/>
          <w:numId w:val="33"/>
        </w:numPr>
        <w:suppressLineNumbers/>
        <w:suppressAutoHyphens/>
        <w:spacing w:line="360" w:lineRule="auto"/>
      </w:pPr>
      <w:r w:rsidRPr="00F42F94">
        <w:t>the index should include at least the following descriptive fields or categories:</w:t>
      </w:r>
    </w:p>
    <w:p w:rsidR="009D587E" w:rsidRPr="00F42F94" w:rsidRDefault="009D587E" w:rsidP="009D587E">
      <w:pPr>
        <w:widowControl w:val="0"/>
        <w:numPr>
          <w:ilvl w:val="2"/>
          <w:numId w:val="34"/>
        </w:numPr>
        <w:suppressLineNumbers/>
        <w:suppressAutoHyphens/>
        <w:spacing w:line="360" w:lineRule="auto"/>
      </w:pPr>
      <w:r w:rsidRPr="00F42F94">
        <w:t>court book number (which must run sequentially from beginning to end);</w:t>
      </w:r>
    </w:p>
    <w:p w:rsidR="009D587E" w:rsidRPr="00F42F94" w:rsidRDefault="009D587E" w:rsidP="009D587E">
      <w:pPr>
        <w:widowControl w:val="0"/>
        <w:numPr>
          <w:ilvl w:val="2"/>
          <w:numId w:val="34"/>
        </w:numPr>
        <w:suppressLineNumbers/>
        <w:suppressAutoHyphens/>
        <w:spacing w:line="360" w:lineRule="auto"/>
      </w:pPr>
      <w:r w:rsidRPr="00F42F94">
        <w:t>document date;</w:t>
      </w:r>
    </w:p>
    <w:p w:rsidR="009D587E" w:rsidRPr="00F42F94" w:rsidRDefault="009D587E" w:rsidP="009D587E">
      <w:pPr>
        <w:widowControl w:val="0"/>
        <w:numPr>
          <w:ilvl w:val="2"/>
          <w:numId w:val="34"/>
        </w:numPr>
        <w:suppressLineNumbers/>
        <w:suppressAutoHyphens/>
        <w:spacing w:line="360" w:lineRule="auto"/>
      </w:pPr>
      <w:r w:rsidRPr="00F42F94">
        <w:t>document description;</w:t>
      </w:r>
    </w:p>
    <w:p w:rsidR="009D587E" w:rsidRPr="00F42F94" w:rsidRDefault="009D587E" w:rsidP="009D587E">
      <w:pPr>
        <w:widowControl w:val="0"/>
        <w:numPr>
          <w:ilvl w:val="2"/>
          <w:numId w:val="34"/>
        </w:numPr>
        <w:suppressLineNumbers/>
        <w:suppressAutoHyphens/>
        <w:spacing w:line="360" w:lineRule="auto"/>
      </w:pPr>
      <w:r w:rsidRPr="00F42F94">
        <w:t>document source or provenance;</w:t>
      </w:r>
    </w:p>
    <w:p w:rsidR="009D587E" w:rsidRPr="00F42F94" w:rsidRDefault="009D587E" w:rsidP="009D587E">
      <w:pPr>
        <w:widowControl w:val="0"/>
        <w:numPr>
          <w:ilvl w:val="2"/>
          <w:numId w:val="34"/>
        </w:numPr>
        <w:suppressLineNumbers/>
        <w:suppressAutoHyphens/>
        <w:spacing w:line="360" w:lineRule="auto"/>
      </w:pPr>
      <w:r w:rsidRPr="00F42F94">
        <w:t>court book page number at which the document commences; and</w:t>
      </w:r>
    </w:p>
    <w:p w:rsidR="009D587E" w:rsidRPr="00F42F94" w:rsidRDefault="009D587E" w:rsidP="009D587E">
      <w:pPr>
        <w:widowControl w:val="0"/>
        <w:numPr>
          <w:ilvl w:val="2"/>
          <w:numId w:val="34"/>
        </w:numPr>
        <w:suppressLineNumbers/>
        <w:suppressAutoHyphens/>
        <w:spacing w:line="360" w:lineRule="auto"/>
      </w:pPr>
      <w:r w:rsidRPr="00F42F94">
        <w:t>court book page number at which the document ends.</w:t>
      </w:r>
    </w:p>
    <w:p w:rsidR="009D587E" w:rsidRPr="00F42F94" w:rsidRDefault="009D587E" w:rsidP="009D587E">
      <w:pPr>
        <w:widowControl w:val="0"/>
        <w:suppressLineNumbers/>
        <w:suppressAutoHyphens/>
        <w:spacing w:line="360" w:lineRule="auto"/>
        <w:ind w:left="720" w:hanging="720"/>
        <w:rPr>
          <w:b/>
        </w:rPr>
      </w:pPr>
    </w:p>
    <w:p w:rsidR="009D587E" w:rsidRPr="00F42F94" w:rsidRDefault="009D587E" w:rsidP="009D587E">
      <w:pPr>
        <w:widowControl w:val="0"/>
        <w:suppressLineNumbers/>
        <w:suppressAutoHyphens/>
        <w:spacing w:line="360" w:lineRule="auto"/>
        <w:ind w:left="720" w:hanging="720"/>
      </w:pPr>
      <w:r w:rsidRPr="00F42F94">
        <w:t>7.9</w:t>
      </w:r>
      <w:r w:rsidRPr="00F42F94">
        <w:tab/>
        <w:t xml:space="preserve">The Court will generally order that a single joint book of authorities be prepared by the plaintiff/applicant/appellant for the use of the judge, following an exchange of lists of authorities between the parties.  Where only a short part of a lengthy authority is relied upon, that part should be identified in the index of authorities and the parties should use their discretion as to the part or </w:t>
      </w:r>
      <w:r w:rsidRPr="00F42F94">
        <w:lastRenderedPageBreak/>
        <w:t>parts to be included in the book of authorities.</w:t>
      </w:r>
    </w:p>
    <w:p w:rsidR="009D587E" w:rsidRPr="00F42F94" w:rsidRDefault="009D587E" w:rsidP="009D587E">
      <w:pPr>
        <w:widowControl w:val="0"/>
        <w:suppressLineNumbers/>
        <w:suppressAutoHyphens/>
        <w:spacing w:line="360" w:lineRule="auto"/>
        <w:ind w:left="720" w:hanging="720"/>
        <w:rPr>
          <w:b/>
        </w:rPr>
      </w:pPr>
    </w:p>
    <w:p w:rsidR="009D587E" w:rsidRPr="00F42F94" w:rsidRDefault="009D587E" w:rsidP="007D332E">
      <w:pPr>
        <w:pStyle w:val="Heading1"/>
      </w:pPr>
      <w:r w:rsidRPr="00F42F94">
        <w:t>8.</w:t>
      </w:r>
      <w:r w:rsidRPr="00F42F94">
        <w:tab/>
        <w:t>COMMUNICATIONS WITH THE COURT</w:t>
      </w:r>
    </w:p>
    <w:p w:rsidR="009D587E" w:rsidRPr="00F42F94" w:rsidRDefault="009D587E" w:rsidP="009D587E">
      <w:pPr>
        <w:widowControl w:val="0"/>
        <w:suppressLineNumbers/>
        <w:suppressAutoHyphens/>
        <w:spacing w:line="360" w:lineRule="auto"/>
        <w:ind w:left="720" w:hanging="720"/>
        <w:rPr>
          <w:b/>
        </w:rPr>
      </w:pPr>
    </w:p>
    <w:p w:rsidR="009D587E" w:rsidRPr="00F42F94" w:rsidRDefault="009D587E" w:rsidP="009D587E">
      <w:pPr>
        <w:widowControl w:val="0"/>
        <w:suppressLineNumbers/>
        <w:suppressAutoHyphens/>
        <w:spacing w:line="360" w:lineRule="auto"/>
        <w:ind w:left="720" w:hanging="720"/>
      </w:pPr>
      <w:r w:rsidRPr="00F42F94">
        <w:t>8.1</w:t>
      </w:r>
      <w:r w:rsidRPr="00F42F94">
        <w:tab/>
        <w:t>At all stages of the proceeding, communications with the Court should be by email with a copy to all other parties, and should be confined to uncontroversial matters.</w:t>
      </w:r>
    </w:p>
    <w:p w:rsidR="009D587E" w:rsidRPr="00F42F94" w:rsidRDefault="009D587E" w:rsidP="009D587E">
      <w:pPr>
        <w:widowControl w:val="0"/>
        <w:suppressLineNumbers/>
        <w:suppressAutoHyphens/>
        <w:spacing w:line="360" w:lineRule="auto"/>
        <w:ind w:left="720" w:hanging="720"/>
      </w:pPr>
    </w:p>
    <w:p w:rsidR="009D587E" w:rsidRPr="00F42F94" w:rsidRDefault="009D587E" w:rsidP="009D587E">
      <w:pPr>
        <w:widowControl w:val="0"/>
        <w:suppressLineNumbers/>
        <w:suppressAutoHyphens/>
        <w:spacing w:line="360" w:lineRule="auto"/>
        <w:ind w:left="720" w:hanging="720"/>
      </w:pPr>
      <w:r w:rsidRPr="00F42F94">
        <w:t>8.2</w:t>
      </w:r>
      <w:r w:rsidRPr="00F42F94">
        <w:tab/>
        <w:t xml:space="preserve">Communications should be directed to </w:t>
      </w:r>
      <w:hyperlink r:id="rId17" w:history="1">
        <w:r w:rsidR="007D332E" w:rsidRPr="008B4E65">
          <w:rPr>
            <w:rStyle w:val="Hyperlink"/>
            <w:b/>
          </w:rPr>
          <w:t>court2applications@supremecourt.vic.gov.au</w:t>
        </w:r>
      </w:hyperlink>
      <w:r w:rsidR="007D332E">
        <w:rPr>
          <w:b/>
        </w:rPr>
        <w:t xml:space="preserve"> </w:t>
      </w:r>
      <w:r w:rsidRPr="00F42F94">
        <w:rPr>
          <w:b/>
        </w:rPr>
        <w:t xml:space="preserve"> </w:t>
      </w:r>
      <w:r w:rsidRPr="00F42F94">
        <w:t>(prior to the case being allocated to a trial judge) or to the associate to the trial judge (once allocated). Contact details for all associates are on the Court website.</w:t>
      </w:r>
    </w:p>
    <w:p w:rsidR="009D587E" w:rsidRPr="00F42F94" w:rsidRDefault="009D587E" w:rsidP="009D587E">
      <w:pPr>
        <w:widowControl w:val="0"/>
        <w:suppressLineNumbers/>
        <w:suppressAutoHyphens/>
        <w:spacing w:line="360" w:lineRule="auto"/>
        <w:ind w:left="720" w:hanging="720"/>
      </w:pPr>
    </w:p>
    <w:p w:rsidR="009D587E" w:rsidRPr="00F42F94" w:rsidRDefault="009D587E" w:rsidP="009D587E">
      <w:pPr>
        <w:widowControl w:val="0"/>
        <w:suppressLineNumbers/>
        <w:suppressAutoHyphens/>
        <w:spacing w:line="360" w:lineRule="auto"/>
        <w:ind w:left="720" w:hanging="720"/>
      </w:pPr>
      <w:r w:rsidRPr="00F42F94">
        <w:t>_______</w:t>
      </w:r>
    </w:p>
    <w:p w:rsidR="009D587E" w:rsidRPr="00F42F94" w:rsidRDefault="009D587E" w:rsidP="007D332E">
      <w:pPr>
        <w:widowControl w:val="0"/>
        <w:suppressLineNumbers/>
        <w:suppressAutoHyphens/>
        <w:spacing w:line="360" w:lineRule="auto"/>
        <w:ind w:left="720" w:hanging="720"/>
        <w:jc w:val="right"/>
      </w:pPr>
    </w:p>
    <w:p w:rsidR="009D587E" w:rsidRPr="00F42F94" w:rsidRDefault="009D587E" w:rsidP="007D332E">
      <w:pPr>
        <w:widowControl w:val="0"/>
        <w:suppressLineNumbers/>
        <w:suppressAutoHyphens/>
        <w:spacing w:line="360" w:lineRule="auto"/>
        <w:ind w:left="720" w:hanging="720"/>
        <w:jc w:val="right"/>
      </w:pPr>
      <w:r w:rsidRPr="00F42F94">
        <w:t xml:space="preserve">Vivienne </w:t>
      </w:r>
      <w:proofErr w:type="spellStart"/>
      <w:r w:rsidRPr="00F42F94">
        <w:t>Macgillivray</w:t>
      </w:r>
      <w:proofErr w:type="spellEnd"/>
    </w:p>
    <w:p w:rsidR="009D587E" w:rsidRPr="00F42F94" w:rsidRDefault="009D587E" w:rsidP="007D332E">
      <w:pPr>
        <w:widowControl w:val="0"/>
        <w:suppressLineNumbers/>
        <w:suppressAutoHyphens/>
        <w:spacing w:line="360" w:lineRule="auto"/>
        <w:ind w:left="720" w:hanging="720"/>
        <w:jc w:val="right"/>
      </w:pPr>
      <w:r w:rsidRPr="00F42F94">
        <w:t>Executive Associate to the Chief Justice</w:t>
      </w:r>
    </w:p>
    <w:p w:rsidR="009D587E" w:rsidRPr="00F42F94" w:rsidRDefault="009D587E" w:rsidP="007D332E">
      <w:pPr>
        <w:widowControl w:val="0"/>
        <w:suppressLineNumbers/>
        <w:suppressAutoHyphens/>
        <w:spacing w:line="360" w:lineRule="auto"/>
        <w:ind w:left="720" w:hanging="720"/>
        <w:jc w:val="right"/>
        <w:rPr>
          <w:b/>
        </w:rPr>
      </w:pPr>
      <w:r w:rsidRPr="00F42F94">
        <w:t>28 November 2014</w:t>
      </w:r>
    </w:p>
    <w:p w:rsidR="009D587E" w:rsidRPr="00F42F94" w:rsidRDefault="009D587E" w:rsidP="009D587E">
      <w:pPr>
        <w:widowControl w:val="0"/>
        <w:suppressLineNumbers/>
        <w:suppressAutoHyphens/>
        <w:rPr>
          <w:b/>
          <w:u w:val="single"/>
        </w:rPr>
      </w:pPr>
    </w:p>
    <w:p w:rsidR="009D587E" w:rsidRPr="00F42F94" w:rsidRDefault="009D587E" w:rsidP="007D332E">
      <w:pPr>
        <w:widowControl w:val="0"/>
        <w:suppressLineNumbers/>
        <w:suppressAutoHyphens/>
        <w:jc w:val="center"/>
        <w:rPr>
          <w:b/>
        </w:rPr>
      </w:pPr>
      <w:r w:rsidRPr="00F42F94">
        <w:rPr>
          <w:b/>
          <w:u w:val="single"/>
        </w:rPr>
        <w:br w:type="page"/>
      </w:r>
      <w:r w:rsidRPr="00F42F94">
        <w:rPr>
          <w:b/>
        </w:rPr>
        <w:lastRenderedPageBreak/>
        <w:t>SCHEDULE 1</w:t>
      </w:r>
    </w:p>
    <w:p w:rsidR="009D587E" w:rsidRPr="00F42F94" w:rsidRDefault="009D587E" w:rsidP="007D332E">
      <w:pPr>
        <w:widowControl w:val="0"/>
        <w:suppressLineNumbers/>
        <w:suppressAutoHyphens/>
        <w:jc w:val="center"/>
        <w:rPr>
          <w:b/>
        </w:rPr>
      </w:pPr>
      <w:r w:rsidRPr="00F42F94">
        <w:rPr>
          <w:b/>
        </w:rPr>
        <w:t>Judicial Review and Appeals List</w:t>
      </w:r>
    </w:p>
    <w:p w:rsidR="009D587E" w:rsidRPr="00F42F94" w:rsidRDefault="009D587E" w:rsidP="007D332E">
      <w:pPr>
        <w:widowControl w:val="0"/>
        <w:suppressLineNumbers/>
        <w:suppressAutoHyphens/>
        <w:jc w:val="center"/>
        <w:rPr>
          <w:b/>
        </w:rPr>
      </w:pPr>
      <w:r w:rsidRPr="00F42F94">
        <w:rPr>
          <w:b/>
        </w:rPr>
        <w:t>Standard directions</w:t>
      </w:r>
    </w:p>
    <w:p w:rsidR="009D587E" w:rsidRPr="00F42F94" w:rsidRDefault="009D587E" w:rsidP="009D587E">
      <w:pPr>
        <w:widowControl w:val="0"/>
        <w:suppressLineNumbers/>
        <w:suppressAutoHyphens/>
        <w:rPr>
          <w:b/>
          <w:u w:val="single"/>
        </w:rPr>
      </w:pPr>
    </w:p>
    <w:p w:rsidR="009D587E" w:rsidRPr="00F42F94" w:rsidRDefault="009D587E" w:rsidP="009D587E">
      <w:pPr>
        <w:widowControl w:val="0"/>
        <w:suppressLineNumbers/>
        <w:suppressAutoHyphens/>
        <w:autoSpaceDE w:val="0"/>
        <w:autoSpaceDN w:val="0"/>
        <w:adjustRightInd w:val="0"/>
        <w:spacing w:line="360" w:lineRule="auto"/>
        <w:contextualSpacing/>
        <w:rPr>
          <w:bCs/>
        </w:rPr>
      </w:pPr>
      <w:r w:rsidRPr="00F42F94">
        <w:rPr>
          <w:b/>
          <w:bCs/>
        </w:rPr>
        <w:t>Leave to appeal</w:t>
      </w:r>
      <w:r w:rsidRPr="00F42F94">
        <w:rPr>
          <w:bCs/>
        </w:rPr>
        <w:t>*</w:t>
      </w:r>
    </w:p>
    <w:p w:rsidR="009D587E" w:rsidRPr="00F42F94" w:rsidRDefault="009D587E" w:rsidP="009D587E">
      <w:pPr>
        <w:widowControl w:val="0"/>
        <w:suppressLineNumbers/>
        <w:suppressAutoHyphens/>
        <w:autoSpaceDE w:val="0"/>
        <w:autoSpaceDN w:val="0"/>
        <w:adjustRightInd w:val="0"/>
        <w:spacing w:line="360" w:lineRule="auto"/>
        <w:ind w:left="720" w:hanging="720"/>
        <w:contextualSpacing/>
      </w:pPr>
      <w:r w:rsidRPr="00F42F94">
        <w:t xml:space="preserve">1. </w:t>
      </w:r>
      <w:r w:rsidRPr="00F42F94">
        <w:tab/>
        <w:t>The applicant/appellant have leave to appeal against the decision/order of [</w:t>
      </w:r>
      <w:r w:rsidRPr="00F42F94">
        <w:rPr>
          <w:i/>
        </w:rPr>
        <w:t>insert name of decision-maker</w:t>
      </w:r>
      <w:r w:rsidRPr="00F42F94">
        <w:t>] in [</w:t>
      </w:r>
      <w:r w:rsidRPr="00F42F94">
        <w:rPr>
          <w:i/>
        </w:rPr>
        <w:t>insert name of court or tribunal or other external body</w:t>
      </w:r>
      <w:r w:rsidRPr="00F42F94">
        <w:t>] proceeding [</w:t>
      </w:r>
      <w:r w:rsidRPr="00F42F94">
        <w:rPr>
          <w:i/>
        </w:rPr>
        <w:t>insert proceeding reference number</w:t>
      </w:r>
      <w:r w:rsidRPr="00F42F94">
        <w:t>] made on [</w:t>
      </w:r>
      <w:r w:rsidRPr="00F42F94">
        <w:rPr>
          <w:i/>
        </w:rPr>
        <w:t>insert</w:t>
      </w:r>
      <w:r w:rsidRPr="00F42F94">
        <w:t xml:space="preserve"> </w:t>
      </w:r>
      <w:r w:rsidRPr="00F42F94">
        <w:rPr>
          <w:i/>
        </w:rPr>
        <w:t>date</w:t>
      </w:r>
      <w:r w:rsidRPr="00F42F94">
        <w:t xml:space="preserve">] in respect of the following questions of law: [ </w:t>
      </w:r>
      <w:r w:rsidRPr="00F42F94">
        <w:tab/>
        <w:t xml:space="preserve">  ].</w:t>
      </w:r>
    </w:p>
    <w:p w:rsidR="009D587E" w:rsidRPr="00F42F94" w:rsidRDefault="009D587E" w:rsidP="009D587E">
      <w:pPr>
        <w:widowControl w:val="0"/>
        <w:suppressLineNumbers/>
        <w:suppressAutoHyphens/>
        <w:autoSpaceDE w:val="0"/>
        <w:autoSpaceDN w:val="0"/>
        <w:adjustRightInd w:val="0"/>
        <w:spacing w:line="360" w:lineRule="auto"/>
        <w:contextualSpacing/>
        <w:rPr>
          <w:bCs/>
        </w:rPr>
      </w:pPr>
      <w:r w:rsidRPr="00F42F94">
        <w:rPr>
          <w:b/>
          <w:bCs/>
        </w:rPr>
        <w:t>Extension of time</w:t>
      </w:r>
      <w:r w:rsidRPr="00F42F94">
        <w:rPr>
          <w:bCs/>
        </w:rPr>
        <w:t>*</w:t>
      </w:r>
    </w:p>
    <w:p w:rsidR="009D587E" w:rsidRPr="00F42F94" w:rsidRDefault="009D587E" w:rsidP="009D587E">
      <w:pPr>
        <w:widowControl w:val="0"/>
        <w:suppressLineNumbers/>
        <w:suppressAutoHyphens/>
        <w:autoSpaceDE w:val="0"/>
        <w:autoSpaceDN w:val="0"/>
        <w:adjustRightInd w:val="0"/>
        <w:spacing w:line="360" w:lineRule="auto"/>
        <w:ind w:left="720" w:hanging="720"/>
        <w:contextualSpacing/>
        <w:rPr>
          <w:i/>
          <w:iCs/>
        </w:rPr>
      </w:pPr>
      <w:r w:rsidRPr="00F42F94">
        <w:t xml:space="preserve">2. </w:t>
      </w:r>
      <w:r w:rsidRPr="00F42F94">
        <w:tab/>
        <w:t>Time be extended pursuant to [</w:t>
      </w:r>
      <w:r w:rsidRPr="00F42F94">
        <w:rPr>
          <w:i/>
        </w:rPr>
        <w:t>insert relevant provision</w:t>
      </w:r>
      <w:r w:rsidRPr="00F42F94">
        <w:t>] so far as necessary to authorise the commencement by</w:t>
      </w:r>
      <w:r w:rsidRPr="00F42F94">
        <w:rPr>
          <w:i/>
          <w:iCs/>
        </w:rPr>
        <w:t xml:space="preserve"> </w:t>
      </w:r>
      <w:r w:rsidRPr="00F42F94">
        <w:t>the plaintiff/applicant/appellant of this proceeding.</w:t>
      </w:r>
    </w:p>
    <w:p w:rsidR="009D587E" w:rsidRPr="00F42F94" w:rsidRDefault="009D587E" w:rsidP="009D587E">
      <w:pPr>
        <w:widowControl w:val="0"/>
        <w:suppressLineNumbers/>
        <w:suppressAutoHyphens/>
        <w:autoSpaceDE w:val="0"/>
        <w:autoSpaceDN w:val="0"/>
        <w:adjustRightInd w:val="0"/>
        <w:spacing w:line="360" w:lineRule="auto"/>
        <w:contextualSpacing/>
        <w:rPr>
          <w:bCs/>
        </w:rPr>
      </w:pPr>
      <w:r w:rsidRPr="00F42F94">
        <w:rPr>
          <w:b/>
          <w:bCs/>
        </w:rPr>
        <w:t>Leave to amend</w:t>
      </w:r>
      <w:r w:rsidRPr="00F42F94">
        <w:rPr>
          <w:bCs/>
        </w:rPr>
        <w:t>*</w:t>
      </w:r>
    </w:p>
    <w:p w:rsidR="009D587E" w:rsidRPr="00F42F94" w:rsidRDefault="009D587E" w:rsidP="009D587E">
      <w:pPr>
        <w:widowControl w:val="0"/>
        <w:suppressLineNumbers/>
        <w:suppressAutoHyphens/>
        <w:autoSpaceDE w:val="0"/>
        <w:autoSpaceDN w:val="0"/>
        <w:adjustRightInd w:val="0"/>
        <w:spacing w:line="360" w:lineRule="auto"/>
        <w:ind w:left="720" w:hanging="720"/>
        <w:contextualSpacing/>
      </w:pPr>
      <w:r w:rsidRPr="00F42F94">
        <w:t xml:space="preserve">3. </w:t>
      </w:r>
      <w:r w:rsidRPr="00F42F94">
        <w:tab/>
        <w:t>The plaintiff/applicant/appellant have leave to file and serve an amended application/notice of appeal/originating motion by 4.00pm on [e.g. first directions hearing + 2 weeks].</w:t>
      </w:r>
    </w:p>
    <w:p w:rsidR="009D587E" w:rsidRPr="00F42F94" w:rsidRDefault="009D587E" w:rsidP="009D587E">
      <w:pPr>
        <w:widowControl w:val="0"/>
        <w:suppressLineNumbers/>
        <w:suppressAutoHyphens/>
        <w:autoSpaceDE w:val="0"/>
        <w:autoSpaceDN w:val="0"/>
        <w:adjustRightInd w:val="0"/>
        <w:spacing w:line="360" w:lineRule="auto"/>
        <w:ind w:left="720" w:hanging="720"/>
        <w:contextualSpacing/>
      </w:pPr>
      <w:r w:rsidRPr="00F42F94">
        <w:rPr>
          <w:b/>
          <w:bCs/>
        </w:rPr>
        <w:t>Affidavits</w:t>
      </w:r>
    </w:p>
    <w:p w:rsidR="009D587E" w:rsidRPr="00F42F94" w:rsidRDefault="009D587E" w:rsidP="009D587E">
      <w:pPr>
        <w:widowControl w:val="0"/>
        <w:suppressLineNumbers/>
        <w:suppressAutoHyphens/>
        <w:autoSpaceDE w:val="0"/>
        <w:autoSpaceDN w:val="0"/>
        <w:adjustRightInd w:val="0"/>
        <w:spacing w:line="360" w:lineRule="auto"/>
        <w:ind w:left="720" w:hanging="720"/>
        <w:contextualSpacing/>
      </w:pPr>
      <w:r w:rsidRPr="00F42F94">
        <w:t xml:space="preserve">4. </w:t>
      </w:r>
      <w:r w:rsidRPr="00F42F94">
        <w:tab/>
        <w:t>The plaintiff/applicant/appellant file and serve any further affidavits upon which he/she/it intends to rely by 4.00pm on [e.g. first directions hearing + 4 weeks].</w:t>
      </w:r>
    </w:p>
    <w:p w:rsidR="009D587E" w:rsidRPr="00F42F94" w:rsidRDefault="009D587E" w:rsidP="009D587E">
      <w:pPr>
        <w:widowControl w:val="0"/>
        <w:suppressLineNumbers/>
        <w:suppressAutoHyphens/>
        <w:autoSpaceDE w:val="0"/>
        <w:autoSpaceDN w:val="0"/>
        <w:adjustRightInd w:val="0"/>
        <w:spacing w:line="360" w:lineRule="auto"/>
        <w:ind w:left="720" w:hanging="720"/>
        <w:contextualSpacing/>
      </w:pPr>
      <w:r w:rsidRPr="00F42F94">
        <w:t xml:space="preserve">5. </w:t>
      </w:r>
      <w:r w:rsidRPr="00F42F94">
        <w:tab/>
        <w:t>The defendant/respondent file and serve any affidavits upon which he/she/it intends to rely by 4.00pm on [e.g. first directions hearing + 6 weeks].</w:t>
      </w:r>
    </w:p>
    <w:p w:rsidR="009D587E" w:rsidRPr="00F42F94" w:rsidRDefault="009D587E" w:rsidP="009D587E">
      <w:pPr>
        <w:widowControl w:val="0"/>
        <w:suppressLineNumbers/>
        <w:suppressAutoHyphens/>
        <w:autoSpaceDE w:val="0"/>
        <w:autoSpaceDN w:val="0"/>
        <w:adjustRightInd w:val="0"/>
        <w:spacing w:line="360" w:lineRule="auto"/>
        <w:contextualSpacing/>
        <w:rPr>
          <w:bCs/>
        </w:rPr>
      </w:pPr>
      <w:r w:rsidRPr="00F42F94">
        <w:rPr>
          <w:b/>
          <w:bCs/>
        </w:rPr>
        <w:t>Adjournment of directions hearing/summons</w:t>
      </w:r>
      <w:r w:rsidRPr="00F42F94">
        <w:rPr>
          <w:bCs/>
        </w:rPr>
        <w:t>*</w:t>
      </w:r>
    </w:p>
    <w:p w:rsidR="009D587E" w:rsidRPr="00F42F94" w:rsidRDefault="009D587E" w:rsidP="009D587E">
      <w:pPr>
        <w:widowControl w:val="0"/>
        <w:suppressLineNumbers/>
        <w:suppressAutoHyphens/>
        <w:autoSpaceDE w:val="0"/>
        <w:autoSpaceDN w:val="0"/>
        <w:adjustRightInd w:val="0"/>
        <w:spacing w:line="360" w:lineRule="auto"/>
        <w:ind w:left="720" w:hanging="720"/>
        <w:contextualSpacing/>
      </w:pPr>
      <w:r w:rsidRPr="00F42F94">
        <w:t xml:space="preserve">6. </w:t>
      </w:r>
      <w:r w:rsidRPr="00F42F94">
        <w:tab/>
        <w:t>The directions hearing/summons filed [</w:t>
      </w:r>
      <w:r w:rsidRPr="00F42F94">
        <w:rPr>
          <w:i/>
        </w:rPr>
        <w:t>insert date of filing of summons</w:t>
      </w:r>
      <w:r w:rsidRPr="00F42F94">
        <w:t>] be adjourned to the Associate Judges’ Court 2 at 10.30am on [</w:t>
      </w:r>
      <w:r w:rsidRPr="00F42F94">
        <w:rPr>
          <w:i/>
        </w:rPr>
        <w:t>insert date</w:t>
      </w:r>
      <w:r w:rsidRPr="00F42F94">
        <w:t>].</w:t>
      </w:r>
    </w:p>
    <w:p w:rsidR="009D587E" w:rsidRPr="00F42F94" w:rsidRDefault="009D587E" w:rsidP="009D587E">
      <w:pPr>
        <w:widowControl w:val="0"/>
        <w:suppressLineNumbers/>
        <w:suppressAutoHyphens/>
        <w:autoSpaceDE w:val="0"/>
        <w:autoSpaceDN w:val="0"/>
        <w:adjustRightInd w:val="0"/>
        <w:spacing w:line="360" w:lineRule="auto"/>
        <w:contextualSpacing/>
        <w:rPr>
          <w:b/>
          <w:bCs/>
        </w:rPr>
      </w:pPr>
      <w:r w:rsidRPr="00F42F94">
        <w:rPr>
          <w:b/>
          <w:bCs/>
        </w:rPr>
        <w:t>Submissions and lists of authorities</w:t>
      </w:r>
    </w:p>
    <w:p w:rsidR="009D587E" w:rsidRPr="00F42F94" w:rsidRDefault="009D587E" w:rsidP="009D587E">
      <w:pPr>
        <w:widowControl w:val="0"/>
        <w:suppressLineNumbers/>
        <w:suppressAutoHyphens/>
        <w:autoSpaceDE w:val="0"/>
        <w:autoSpaceDN w:val="0"/>
        <w:adjustRightInd w:val="0"/>
        <w:spacing w:line="360" w:lineRule="auto"/>
        <w:ind w:left="720" w:hanging="720"/>
        <w:contextualSpacing/>
      </w:pPr>
      <w:r w:rsidRPr="00F42F94">
        <w:t xml:space="preserve">7. </w:t>
      </w:r>
      <w:r w:rsidRPr="00F42F94">
        <w:tab/>
        <w:t>The plaintiff/applicant/appellant file and serve a written outline of submissions and list of authorities by 4.00pm on [e.g. first directions hearing + 8 weeks].</w:t>
      </w:r>
    </w:p>
    <w:p w:rsidR="009D587E" w:rsidRPr="00F42F94" w:rsidRDefault="009D587E" w:rsidP="009D587E">
      <w:pPr>
        <w:widowControl w:val="0"/>
        <w:suppressLineNumbers/>
        <w:suppressAutoHyphens/>
        <w:autoSpaceDE w:val="0"/>
        <w:autoSpaceDN w:val="0"/>
        <w:adjustRightInd w:val="0"/>
        <w:spacing w:line="360" w:lineRule="auto"/>
        <w:ind w:left="720" w:hanging="720"/>
        <w:contextualSpacing/>
      </w:pPr>
      <w:r w:rsidRPr="00F42F94">
        <w:t xml:space="preserve">8. </w:t>
      </w:r>
      <w:r w:rsidRPr="00F42F94">
        <w:tab/>
        <w:t>The defendant/respondent file and serve a written outline of submissions in response and a list of authorities, and serve copies of all authorities not also relied upon by the plaintiff/applicant/appellant, by 4.00pm on [e.g. first directions hearing + 10 weeks].</w:t>
      </w:r>
    </w:p>
    <w:p w:rsidR="009D587E" w:rsidRPr="00F42F94" w:rsidRDefault="009D587E" w:rsidP="009D587E">
      <w:pPr>
        <w:widowControl w:val="0"/>
        <w:suppressLineNumbers/>
        <w:suppressAutoHyphens/>
        <w:autoSpaceDE w:val="0"/>
        <w:autoSpaceDN w:val="0"/>
        <w:adjustRightInd w:val="0"/>
        <w:spacing w:line="360" w:lineRule="auto"/>
        <w:ind w:left="720" w:hanging="720"/>
        <w:contextualSpacing/>
      </w:pPr>
      <w:r w:rsidRPr="00F42F94">
        <w:t xml:space="preserve">9. </w:t>
      </w:r>
      <w:r w:rsidRPr="00F42F94">
        <w:tab/>
        <w:t xml:space="preserve">The plaintiff/applicant/appellant file and serve a written outline of submissions in reply and any additions to the list of authorities by 4.00pm on [e.g. first </w:t>
      </w:r>
      <w:r w:rsidRPr="00F42F94">
        <w:lastRenderedPageBreak/>
        <w:t>directions hearing + 12 weeks].</w:t>
      </w:r>
    </w:p>
    <w:p w:rsidR="009D587E" w:rsidRPr="00F42F94" w:rsidRDefault="009D587E" w:rsidP="009D587E">
      <w:pPr>
        <w:widowControl w:val="0"/>
        <w:suppressLineNumbers/>
        <w:suppressAutoHyphens/>
        <w:autoSpaceDE w:val="0"/>
        <w:autoSpaceDN w:val="0"/>
        <w:adjustRightInd w:val="0"/>
        <w:spacing w:line="360" w:lineRule="auto"/>
        <w:contextualSpacing/>
        <w:rPr>
          <w:b/>
          <w:bCs/>
        </w:rPr>
      </w:pPr>
      <w:r w:rsidRPr="00F42F94">
        <w:rPr>
          <w:b/>
          <w:bCs/>
        </w:rPr>
        <w:t>Court book</w:t>
      </w:r>
    </w:p>
    <w:p w:rsidR="009D587E" w:rsidRPr="00F42F94" w:rsidRDefault="009D587E" w:rsidP="009D587E">
      <w:pPr>
        <w:widowControl w:val="0"/>
        <w:suppressLineNumbers/>
        <w:suppressAutoHyphens/>
        <w:autoSpaceDE w:val="0"/>
        <w:autoSpaceDN w:val="0"/>
        <w:adjustRightInd w:val="0"/>
        <w:spacing w:line="360" w:lineRule="auto"/>
        <w:ind w:left="720" w:hanging="720"/>
        <w:contextualSpacing/>
      </w:pPr>
      <w:r w:rsidRPr="00F42F94">
        <w:t xml:space="preserve">10. </w:t>
      </w:r>
      <w:r w:rsidRPr="00F42F94">
        <w:tab/>
        <w:t>The plaintiff/applicant/appellant file and serve a court book and a combined book of authorities by 4.00pm on [e.g. first directions hearing + 12 weeks].</w:t>
      </w:r>
    </w:p>
    <w:p w:rsidR="009D587E" w:rsidRPr="00F42F94" w:rsidRDefault="009D587E" w:rsidP="009D587E">
      <w:pPr>
        <w:widowControl w:val="0"/>
        <w:suppressLineNumbers/>
        <w:suppressAutoHyphens/>
        <w:autoSpaceDE w:val="0"/>
        <w:autoSpaceDN w:val="0"/>
        <w:adjustRightInd w:val="0"/>
        <w:spacing w:line="360" w:lineRule="auto"/>
        <w:ind w:left="720" w:hanging="720"/>
        <w:contextualSpacing/>
      </w:pPr>
      <w:r w:rsidRPr="00F42F94">
        <w:t xml:space="preserve">11. </w:t>
      </w:r>
      <w:r w:rsidRPr="00F42F94">
        <w:tab/>
        <w:t>Original exhibits to all affidavits filed are to be made available to the Court at the hearing.</w:t>
      </w:r>
    </w:p>
    <w:p w:rsidR="009D587E" w:rsidRPr="00F42F94" w:rsidRDefault="009D587E" w:rsidP="009D587E">
      <w:pPr>
        <w:widowControl w:val="0"/>
        <w:suppressLineNumbers/>
        <w:suppressAutoHyphens/>
        <w:autoSpaceDE w:val="0"/>
        <w:autoSpaceDN w:val="0"/>
        <w:adjustRightInd w:val="0"/>
        <w:spacing w:line="360" w:lineRule="auto"/>
        <w:contextualSpacing/>
        <w:rPr>
          <w:b/>
          <w:bCs/>
        </w:rPr>
      </w:pPr>
      <w:r w:rsidRPr="00F42F94">
        <w:rPr>
          <w:b/>
          <w:bCs/>
        </w:rPr>
        <w:t>Hearing</w:t>
      </w:r>
    </w:p>
    <w:p w:rsidR="009D587E" w:rsidRPr="00F42F94" w:rsidRDefault="009D587E" w:rsidP="009D587E">
      <w:pPr>
        <w:widowControl w:val="0"/>
        <w:suppressLineNumbers/>
        <w:suppressAutoHyphens/>
        <w:autoSpaceDE w:val="0"/>
        <w:autoSpaceDN w:val="0"/>
        <w:adjustRightInd w:val="0"/>
        <w:spacing w:line="360" w:lineRule="auto"/>
        <w:ind w:left="720" w:hanging="720"/>
        <w:contextualSpacing/>
      </w:pPr>
      <w:r w:rsidRPr="00F42F94">
        <w:t>12.</w:t>
      </w:r>
      <w:r w:rsidRPr="00F42F94">
        <w:tab/>
        <w:t>The Notice of Trial shall be in Form 48B.</w:t>
      </w:r>
    </w:p>
    <w:p w:rsidR="009D587E" w:rsidRPr="00F42F94" w:rsidRDefault="009D587E" w:rsidP="009D587E">
      <w:pPr>
        <w:widowControl w:val="0"/>
        <w:suppressLineNumbers/>
        <w:suppressAutoHyphens/>
        <w:autoSpaceDE w:val="0"/>
        <w:autoSpaceDN w:val="0"/>
        <w:adjustRightInd w:val="0"/>
        <w:spacing w:line="360" w:lineRule="auto"/>
        <w:ind w:left="720" w:hanging="720"/>
        <w:contextualSpacing/>
      </w:pPr>
      <w:r w:rsidRPr="00F42F94">
        <w:t>13.</w:t>
      </w:r>
      <w:r w:rsidRPr="00F42F94">
        <w:tab/>
        <w:t>The proceeding be referred to the Listing Associate Judge to be listed for trial on an estimate of [</w:t>
      </w:r>
      <w:r w:rsidRPr="00F42F94">
        <w:tab/>
        <w:t xml:space="preserve">   ] day(s), not before [e.g. first directions hearing + 13 weeks].</w:t>
      </w:r>
    </w:p>
    <w:p w:rsidR="009D587E" w:rsidRPr="00F42F94" w:rsidRDefault="009D587E" w:rsidP="009D587E">
      <w:pPr>
        <w:widowControl w:val="0"/>
        <w:suppressLineNumbers/>
        <w:suppressAutoHyphens/>
        <w:autoSpaceDE w:val="0"/>
        <w:autoSpaceDN w:val="0"/>
        <w:adjustRightInd w:val="0"/>
        <w:spacing w:line="360" w:lineRule="auto"/>
        <w:contextualSpacing/>
        <w:rPr>
          <w:b/>
          <w:bCs/>
        </w:rPr>
      </w:pPr>
      <w:r w:rsidRPr="00F42F94">
        <w:rPr>
          <w:b/>
          <w:bCs/>
        </w:rPr>
        <w:t>Costs</w:t>
      </w:r>
    </w:p>
    <w:p w:rsidR="009D587E" w:rsidRPr="00F42F94" w:rsidRDefault="009D587E" w:rsidP="009D587E">
      <w:pPr>
        <w:widowControl w:val="0"/>
        <w:suppressLineNumbers/>
        <w:suppressAutoHyphens/>
        <w:autoSpaceDE w:val="0"/>
        <w:autoSpaceDN w:val="0"/>
        <w:adjustRightInd w:val="0"/>
        <w:spacing w:line="360" w:lineRule="auto"/>
        <w:ind w:left="720" w:hanging="720"/>
        <w:contextualSpacing/>
      </w:pPr>
      <w:r w:rsidRPr="00F42F94">
        <w:t xml:space="preserve">14. </w:t>
      </w:r>
      <w:r w:rsidRPr="00F42F94">
        <w:tab/>
        <w:t>Costs be reserved/The costs of the parties be costs in the proceeding.</w:t>
      </w:r>
    </w:p>
    <w:p w:rsidR="009D587E" w:rsidRPr="00F42F94" w:rsidRDefault="009D587E" w:rsidP="009D587E">
      <w:pPr>
        <w:widowControl w:val="0"/>
        <w:suppressLineNumbers/>
        <w:suppressAutoHyphens/>
        <w:autoSpaceDE w:val="0"/>
        <w:autoSpaceDN w:val="0"/>
        <w:adjustRightInd w:val="0"/>
        <w:spacing w:line="360" w:lineRule="auto"/>
        <w:contextualSpacing/>
        <w:rPr>
          <w:b/>
          <w:bCs/>
        </w:rPr>
      </w:pPr>
      <w:r w:rsidRPr="00F42F94">
        <w:rPr>
          <w:b/>
          <w:bCs/>
        </w:rPr>
        <w:t>Liberty to apply</w:t>
      </w:r>
    </w:p>
    <w:p w:rsidR="009D587E" w:rsidRPr="00F42F94" w:rsidRDefault="009D587E" w:rsidP="009D587E">
      <w:pPr>
        <w:widowControl w:val="0"/>
        <w:suppressLineNumbers/>
        <w:suppressAutoHyphens/>
        <w:autoSpaceDE w:val="0"/>
        <w:autoSpaceDN w:val="0"/>
        <w:adjustRightInd w:val="0"/>
        <w:spacing w:line="360" w:lineRule="auto"/>
        <w:ind w:left="720" w:hanging="720"/>
        <w:contextualSpacing/>
      </w:pPr>
      <w:r w:rsidRPr="00F42F94">
        <w:t xml:space="preserve">15. </w:t>
      </w:r>
      <w:r w:rsidRPr="00F42F94">
        <w:tab/>
        <w:t>The parties have liberty to apply.</w:t>
      </w:r>
    </w:p>
    <w:p w:rsidR="009D587E" w:rsidRPr="00F42F94" w:rsidRDefault="009D587E" w:rsidP="009D587E">
      <w:pPr>
        <w:widowControl w:val="0"/>
        <w:suppressLineNumbers/>
        <w:suppressAutoHyphens/>
        <w:autoSpaceDE w:val="0"/>
        <w:autoSpaceDN w:val="0"/>
        <w:adjustRightInd w:val="0"/>
        <w:spacing w:line="360" w:lineRule="auto"/>
        <w:ind w:left="720" w:hanging="720"/>
        <w:contextualSpacing/>
      </w:pPr>
    </w:p>
    <w:p w:rsidR="009D587E" w:rsidRPr="00F42F94" w:rsidRDefault="009D587E" w:rsidP="009D587E">
      <w:pPr>
        <w:widowControl w:val="0"/>
        <w:suppressLineNumbers/>
        <w:suppressAutoHyphens/>
        <w:autoSpaceDE w:val="0"/>
        <w:autoSpaceDN w:val="0"/>
        <w:adjustRightInd w:val="0"/>
        <w:spacing w:line="360" w:lineRule="auto"/>
        <w:ind w:left="720" w:hanging="720"/>
        <w:contextualSpacing/>
      </w:pPr>
      <w:r w:rsidRPr="00F42F94">
        <w:t>*</w:t>
      </w:r>
      <w:r w:rsidRPr="00F42F94">
        <w:rPr>
          <w:i/>
        </w:rPr>
        <w:t>Omit if inapplicable.</w:t>
      </w:r>
    </w:p>
    <w:p w:rsidR="003E2DED" w:rsidRPr="00C15C68" w:rsidRDefault="003E2DED" w:rsidP="009D587E">
      <w:pPr>
        <w:spacing w:line="360" w:lineRule="auto"/>
        <w:ind w:left="720" w:hanging="720"/>
      </w:pPr>
    </w:p>
    <w:sectPr w:rsidR="003E2DED" w:rsidRPr="00C15C68">
      <w:headerReference w:type="default" r:id="rId18"/>
      <w:foot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DF4" w:rsidRDefault="00670DF4">
      <w:r>
        <w:separator/>
      </w:r>
    </w:p>
  </w:endnote>
  <w:endnote w:type="continuationSeparator" w:id="0">
    <w:p w:rsidR="00670DF4" w:rsidRDefault="00670DF4">
      <w:r>
        <w:continuationSeparator/>
      </w:r>
    </w:p>
  </w:endnote>
  <w:endnote w:type="continuationNotice" w:id="1">
    <w:p w:rsidR="00670DF4" w:rsidRDefault="00670D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2C" w:rsidRDefault="0047702C">
    <w:pPr>
      <w:pStyle w:val="Footer"/>
      <w:jc w:val="right"/>
    </w:pPr>
    <w:r>
      <w:fldChar w:fldCharType="begin"/>
    </w:r>
    <w:r>
      <w:instrText xml:space="preserve"> PAGE   \* MERGEFORMAT </w:instrText>
    </w:r>
    <w:r>
      <w:fldChar w:fldCharType="separate"/>
    </w:r>
    <w:r w:rsidR="007D332E">
      <w:rPr>
        <w:noProof/>
      </w:rPr>
      <w:t>1</w:t>
    </w:r>
    <w:r>
      <w:rPr>
        <w:noProof/>
      </w:rPr>
      <w:fldChar w:fldCharType="end"/>
    </w:r>
  </w:p>
  <w:p w:rsidR="0047702C" w:rsidRDefault="00477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DF4" w:rsidRDefault="00670DF4">
      <w:r>
        <w:separator/>
      </w:r>
    </w:p>
  </w:footnote>
  <w:footnote w:type="continuationSeparator" w:id="0">
    <w:p w:rsidR="00670DF4" w:rsidRDefault="00670DF4">
      <w:r>
        <w:continuationSeparator/>
      </w:r>
    </w:p>
  </w:footnote>
  <w:footnote w:type="continuationNotice" w:id="1">
    <w:p w:rsidR="00670DF4" w:rsidRDefault="00670DF4"/>
  </w:footnote>
  <w:footnote w:id="2">
    <w:p w:rsidR="009D587E" w:rsidRPr="006C6C84" w:rsidRDefault="009D587E" w:rsidP="009D587E">
      <w:pPr>
        <w:pStyle w:val="FootnoteText"/>
        <w:widowControl w:val="0"/>
        <w:suppressLineNumbers/>
        <w:suppressAutoHyphens/>
        <w:ind w:left="720" w:hanging="720"/>
        <w:rPr>
          <w:rFonts w:ascii="Book Antiqua" w:hAnsi="Book Antiqua"/>
        </w:rPr>
      </w:pPr>
      <w:r w:rsidRPr="006C6C84">
        <w:rPr>
          <w:rStyle w:val="FootnoteReference"/>
          <w:rFonts w:ascii="Book Antiqua" w:hAnsi="Book Antiqua"/>
        </w:rPr>
        <w:footnoteRef/>
      </w:r>
      <w:r w:rsidRPr="006C6C84">
        <w:rPr>
          <w:rFonts w:ascii="Book Antiqua" w:hAnsi="Book Antiqua"/>
        </w:rPr>
        <w:t xml:space="preserve"> </w:t>
      </w:r>
      <w:r w:rsidRPr="006C6C84">
        <w:rPr>
          <w:rFonts w:ascii="Book Antiqua" w:hAnsi="Book Antiqua"/>
        </w:rPr>
        <w:tab/>
        <w:t xml:space="preserve">See also Order 23 of the Chapter II Rules and Practice </w:t>
      </w:r>
      <w:r w:rsidRPr="006C6C84">
        <w:rPr>
          <w:rFonts w:ascii="Book Antiqua" w:hAnsi="Book Antiqua"/>
          <w:i/>
        </w:rPr>
        <w:t>Note No. 3 of 2008 – Notification of Matters Arising under the Charter of Human Rights and Responsibilities Act 2006</w:t>
      </w:r>
      <w:r w:rsidRPr="006C6C84">
        <w:rPr>
          <w:rFonts w:ascii="Book Antiqua" w:hAnsi="Book Antiqua"/>
        </w:rPr>
        <w:t>.</w:t>
      </w:r>
    </w:p>
  </w:footnote>
  <w:footnote w:id="3">
    <w:p w:rsidR="009D587E" w:rsidRPr="006C6C84" w:rsidRDefault="009D587E" w:rsidP="009D587E">
      <w:pPr>
        <w:pStyle w:val="FootnoteText"/>
        <w:widowControl w:val="0"/>
        <w:suppressLineNumbers/>
        <w:suppressAutoHyphens/>
        <w:ind w:left="720" w:hanging="720"/>
        <w:rPr>
          <w:rFonts w:ascii="Book Antiqua" w:hAnsi="Book Antiqua"/>
        </w:rPr>
      </w:pPr>
      <w:r w:rsidRPr="006C6C84">
        <w:rPr>
          <w:rStyle w:val="FootnoteReference"/>
          <w:rFonts w:ascii="Book Antiqua" w:hAnsi="Book Antiqua"/>
        </w:rPr>
        <w:footnoteRef/>
      </w:r>
      <w:r w:rsidRPr="006C6C84">
        <w:rPr>
          <w:rFonts w:ascii="Book Antiqua" w:hAnsi="Book Antiqua"/>
        </w:rPr>
        <w:t xml:space="preserve"> </w:t>
      </w:r>
      <w:r w:rsidRPr="006C6C84">
        <w:rPr>
          <w:rFonts w:ascii="Book Antiqua" w:hAnsi="Book Antiqua"/>
        </w:rPr>
        <w:tab/>
        <w:t>An example may be a proceeding commenced by writ which is or turns out to be, in substance, in the nature of  an application for a judicial review.</w:t>
      </w:r>
    </w:p>
  </w:footnote>
  <w:footnote w:id="4">
    <w:p w:rsidR="009D587E" w:rsidRPr="006C6C84" w:rsidRDefault="009D587E" w:rsidP="009D587E">
      <w:pPr>
        <w:pStyle w:val="FootnoteText"/>
        <w:rPr>
          <w:rFonts w:ascii="Book Antiqua" w:hAnsi="Book Antiqua"/>
        </w:rPr>
      </w:pPr>
      <w:r w:rsidRPr="006C6C84">
        <w:rPr>
          <w:rStyle w:val="FootnoteReference"/>
          <w:rFonts w:ascii="Book Antiqua" w:hAnsi="Book Antiqua"/>
        </w:rPr>
        <w:footnoteRef/>
      </w:r>
      <w:r w:rsidRPr="006C6C84">
        <w:rPr>
          <w:rFonts w:ascii="Book Antiqua" w:hAnsi="Book Antiqua"/>
        </w:rPr>
        <w:t xml:space="preserve"> </w:t>
      </w:r>
      <w:r w:rsidRPr="006C6C84">
        <w:rPr>
          <w:rFonts w:ascii="Book Antiqua" w:hAnsi="Book Antiqua"/>
        </w:rPr>
        <w:tab/>
        <w:t xml:space="preserve">The most common form of commencement is by originating motion.  </w:t>
      </w:r>
    </w:p>
  </w:footnote>
  <w:footnote w:id="5">
    <w:p w:rsidR="009D587E" w:rsidRPr="006C6C84" w:rsidRDefault="009D587E" w:rsidP="009D587E">
      <w:pPr>
        <w:pStyle w:val="FootnoteText"/>
        <w:ind w:left="720" w:hanging="720"/>
        <w:rPr>
          <w:rFonts w:ascii="Book Antiqua" w:hAnsi="Book Antiqua"/>
        </w:rPr>
      </w:pPr>
      <w:r w:rsidRPr="006C6C84">
        <w:rPr>
          <w:rStyle w:val="FootnoteReference"/>
          <w:rFonts w:ascii="Book Antiqua" w:hAnsi="Book Antiqua"/>
        </w:rPr>
        <w:footnoteRef/>
      </w:r>
      <w:r w:rsidRPr="006C6C84">
        <w:rPr>
          <w:rFonts w:ascii="Book Antiqua" w:hAnsi="Book Antiqua"/>
        </w:rPr>
        <w:t xml:space="preserve"> </w:t>
      </w:r>
      <w:r w:rsidRPr="006C6C84">
        <w:rPr>
          <w:rFonts w:ascii="Book Antiqua" w:hAnsi="Book Antiqua"/>
        </w:rPr>
        <w:tab/>
        <w:t xml:space="preserve">See </w:t>
      </w:r>
      <w:r w:rsidRPr="006C6C84">
        <w:rPr>
          <w:rFonts w:ascii="Book Antiqua" w:hAnsi="Book Antiqua"/>
          <w:i/>
        </w:rPr>
        <w:t xml:space="preserve">Irwin v Military Rehabilitation and Compensation Commission </w:t>
      </w:r>
      <w:r w:rsidRPr="006C6C84">
        <w:rPr>
          <w:rFonts w:ascii="Book Antiqua" w:hAnsi="Book Antiqua"/>
        </w:rPr>
        <w:t xml:space="preserve">(2009) 174 FCR 574 at 577 [12]-[16] and cases there cited, especially </w:t>
      </w:r>
      <w:proofErr w:type="spellStart"/>
      <w:r w:rsidRPr="006C6C84">
        <w:rPr>
          <w:rFonts w:ascii="Book Antiqua" w:hAnsi="Book Antiqua"/>
          <w:i/>
        </w:rPr>
        <w:t>Kovalev</w:t>
      </w:r>
      <w:proofErr w:type="spellEnd"/>
      <w:r w:rsidRPr="006C6C84">
        <w:rPr>
          <w:rFonts w:ascii="Book Antiqua" w:hAnsi="Book Antiqua"/>
          <w:i/>
        </w:rPr>
        <w:t xml:space="preserve"> v Minister for Immigration and Multicultural Affairs </w:t>
      </w:r>
      <w:r w:rsidRPr="006C6C84">
        <w:rPr>
          <w:rFonts w:ascii="Book Antiqua" w:hAnsi="Book Antiqua"/>
        </w:rPr>
        <w:t>(1999) 100 FCR 323.</w:t>
      </w:r>
    </w:p>
  </w:footnote>
  <w:footnote w:id="6">
    <w:p w:rsidR="009D587E" w:rsidRPr="006C6C84" w:rsidRDefault="009D587E" w:rsidP="009D587E">
      <w:pPr>
        <w:pStyle w:val="FootnoteText"/>
        <w:rPr>
          <w:rFonts w:ascii="Book Antiqua" w:hAnsi="Book Antiqua"/>
        </w:rPr>
      </w:pPr>
      <w:r w:rsidRPr="006C6C84">
        <w:rPr>
          <w:rStyle w:val="FootnoteReference"/>
          <w:rFonts w:ascii="Book Antiqua" w:hAnsi="Book Antiqua"/>
        </w:rPr>
        <w:footnoteRef/>
      </w:r>
      <w:r w:rsidRPr="006C6C84">
        <w:rPr>
          <w:rFonts w:ascii="Book Antiqua" w:hAnsi="Book Antiqua"/>
        </w:rPr>
        <w:t xml:space="preserve"> </w:t>
      </w:r>
      <w:r w:rsidRPr="006C6C84">
        <w:rPr>
          <w:rFonts w:ascii="Book Antiqua" w:hAnsi="Book Antiqua"/>
        </w:rPr>
        <w:tab/>
        <w:t xml:space="preserve">See the cases referred to in the previous footnote.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2C" w:rsidRDefault="00477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92039"/>
    <w:multiLevelType w:val="hybridMultilevel"/>
    <w:tmpl w:val="CE6C99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89F147E"/>
    <w:multiLevelType w:val="multilevel"/>
    <w:tmpl w:val="E2DA6160"/>
    <w:lvl w:ilvl="0">
      <w:start w:val="1"/>
      <w:numFmt w:val="decimal"/>
      <w:pStyle w:val="Num1"/>
      <w:lvlText w:val="%1."/>
      <w:lvlJc w:val="left"/>
      <w:pPr>
        <w:tabs>
          <w:tab w:val="num" w:pos="1287"/>
        </w:tabs>
        <w:ind w:left="1287" w:hanging="360"/>
      </w:pPr>
      <w:rPr>
        <w:rFonts w:hint="default"/>
      </w:rPr>
    </w:lvl>
    <w:lvl w:ilvl="1">
      <w:start w:val="1"/>
      <w:numFmt w:val="lowerLetter"/>
      <w:pStyle w:val="Num2"/>
      <w:lvlText w:val="(%2)"/>
      <w:lvlJc w:val="left"/>
      <w:pPr>
        <w:tabs>
          <w:tab w:val="num" w:pos="1647"/>
        </w:tabs>
        <w:ind w:left="1647" w:hanging="360"/>
      </w:pPr>
      <w:rPr>
        <w:rFonts w:hint="default"/>
      </w:rPr>
    </w:lvl>
    <w:lvl w:ilvl="2">
      <w:start w:val="1"/>
      <w:numFmt w:val="lowerRoman"/>
      <w:pStyle w:val="Indent1"/>
      <w:lvlText w:val="(%3)"/>
      <w:lvlJc w:val="left"/>
      <w:pPr>
        <w:tabs>
          <w:tab w:val="num" w:pos="2007"/>
        </w:tabs>
        <w:ind w:left="2007" w:hanging="360"/>
      </w:pPr>
      <w:rPr>
        <w:rFonts w:hint="default"/>
      </w:rPr>
    </w:lvl>
    <w:lvl w:ilvl="3">
      <w:start w:val="1"/>
      <w:numFmt w:val="decimal"/>
      <w:lvlText w:val="(%4)"/>
      <w:lvlJc w:val="left"/>
      <w:pPr>
        <w:tabs>
          <w:tab w:val="num" w:pos="2367"/>
        </w:tabs>
        <w:ind w:left="2367" w:hanging="360"/>
      </w:pPr>
      <w:rPr>
        <w:rFonts w:hint="default"/>
      </w:rPr>
    </w:lvl>
    <w:lvl w:ilvl="4">
      <w:start w:val="1"/>
      <w:numFmt w:val="lowerLetter"/>
      <w:lvlText w:val="(%5)"/>
      <w:lvlJc w:val="left"/>
      <w:pPr>
        <w:tabs>
          <w:tab w:val="num" w:pos="2727"/>
        </w:tabs>
        <w:ind w:left="2727" w:hanging="360"/>
      </w:pPr>
      <w:rPr>
        <w:rFonts w:hint="default"/>
      </w:rPr>
    </w:lvl>
    <w:lvl w:ilvl="5">
      <w:start w:val="1"/>
      <w:numFmt w:val="lowerRoman"/>
      <w:lvlText w:val="(%6)"/>
      <w:lvlJc w:val="left"/>
      <w:pPr>
        <w:tabs>
          <w:tab w:val="num" w:pos="3087"/>
        </w:tabs>
        <w:ind w:left="3087" w:hanging="360"/>
      </w:pPr>
      <w:rPr>
        <w:rFonts w:hint="default"/>
      </w:rPr>
    </w:lvl>
    <w:lvl w:ilvl="6">
      <w:start w:val="1"/>
      <w:numFmt w:val="decimal"/>
      <w:lvlText w:val="%7."/>
      <w:lvlJc w:val="left"/>
      <w:pPr>
        <w:tabs>
          <w:tab w:val="num" w:pos="3447"/>
        </w:tabs>
        <w:ind w:left="3447" w:hanging="360"/>
      </w:pPr>
      <w:rPr>
        <w:rFonts w:hint="default"/>
      </w:rPr>
    </w:lvl>
    <w:lvl w:ilvl="7">
      <w:start w:val="1"/>
      <w:numFmt w:val="lowerLetter"/>
      <w:lvlText w:val="%8."/>
      <w:lvlJc w:val="left"/>
      <w:pPr>
        <w:tabs>
          <w:tab w:val="num" w:pos="3807"/>
        </w:tabs>
        <w:ind w:left="3807" w:hanging="360"/>
      </w:pPr>
      <w:rPr>
        <w:rFonts w:hint="default"/>
      </w:rPr>
    </w:lvl>
    <w:lvl w:ilvl="8">
      <w:start w:val="1"/>
      <w:numFmt w:val="lowerRoman"/>
      <w:lvlText w:val="%9."/>
      <w:lvlJc w:val="left"/>
      <w:pPr>
        <w:tabs>
          <w:tab w:val="num" w:pos="4167"/>
        </w:tabs>
        <w:ind w:left="4167" w:hanging="360"/>
      </w:pPr>
      <w:rPr>
        <w:rFonts w:hint="default"/>
      </w:rPr>
    </w:lvl>
  </w:abstractNum>
  <w:abstractNum w:abstractNumId="8">
    <w:nsid w:val="28BA1288"/>
    <w:multiLevelType w:val="hybridMultilevel"/>
    <w:tmpl w:val="61509EFC"/>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2A960717"/>
    <w:multiLevelType w:val="hybridMultilevel"/>
    <w:tmpl w:val="0AD0287E"/>
    <w:lvl w:ilvl="0" w:tplc="646012FE">
      <w:start w:val="1"/>
      <w:numFmt w:val="decimal"/>
      <w:lvlText w:val="%1."/>
      <w:lvlJc w:val="left"/>
      <w:pPr>
        <w:tabs>
          <w:tab w:val="num" w:pos="702"/>
        </w:tabs>
        <w:ind w:left="702" w:hanging="705"/>
      </w:pPr>
      <w:rPr>
        <w:rFonts w:hint="default"/>
      </w:rPr>
    </w:lvl>
    <w:lvl w:ilvl="1" w:tplc="0C090019">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tentative="1">
      <w:start w:val="1"/>
      <w:numFmt w:val="decimal"/>
      <w:lvlText w:val="%4."/>
      <w:lvlJc w:val="left"/>
      <w:pPr>
        <w:tabs>
          <w:tab w:val="num" w:pos="2517"/>
        </w:tabs>
        <w:ind w:left="2517" w:hanging="360"/>
      </w:pPr>
    </w:lvl>
    <w:lvl w:ilvl="4" w:tplc="0C090019" w:tentative="1">
      <w:start w:val="1"/>
      <w:numFmt w:val="lowerLetter"/>
      <w:lvlText w:val="%5."/>
      <w:lvlJc w:val="left"/>
      <w:pPr>
        <w:tabs>
          <w:tab w:val="num" w:pos="3237"/>
        </w:tabs>
        <w:ind w:left="3237" w:hanging="360"/>
      </w:pPr>
    </w:lvl>
    <w:lvl w:ilvl="5" w:tplc="0C09001B" w:tentative="1">
      <w:start w:val="1"/>
      <w:numFmt w:val="lowerRoman"/>
      <w:lvlText w:val="%6."/>
      <w:lvlJc w:val="right"/>
      <w:pPr>
        <w:tabs>
          <w:tab w:val="num" w:pos="3957"/>
        </w:tabs>
        <w:ind w:left="3957" w:hanging="180"/>
      </w:pPr>
    </w:lvl>
    <w:lvl w:ilvl="6" w:tplc="0C09000F" w:tentative="1">
      <w:start w:val="1"/>
      <w:numFmt w:val="decimal"/>
      <w:lvlText w:val="%7."/>
      <w:lvlJc w:val="left"/>
      <w:pPr>
        <w:tabs>
          <w:tab w:val="num" w:pos="4677"/>
        </w:tabs>
        <w:ind w:left="4677" w:hanging="360"/>
      </w:pPr>
    </w:lvl>
    <w:lvl w:ilvl="7" w:tplc="0C090019" w:tentative="1">
      <w:start w:val="1"/>
      <w:numFmt w:val="lowerLetter"/>
      <w:lvlText w:val="%8."/>
      <w:lvlJc w:val="left"/>
      <w:pPr>
        <w:tabs>
          <w:tab w:val="num" w:pos="5397"/>
        </w:tabs>
        <w:ind w:left="5397" w:hanging="360"/>
      </w:pPr>
    </w:lvl>
    <w:lvl w:ilvl="8" w:tplc="0C09001B" w:tentative="1">
      <w:start w:val="1"/>
      <w:numFmt w:val="lowerRoman"/>
      <w:lvlText w:val="%9."/>
      <w:lvlJc w:val="right"/>
      <w:pPr>
        <w:tabs>
          <w:tab w:val="num" w:pos="6117"/>
        </w:tabs>
        <w:ind w:left="6117" w:hanging="180"/>
      </w:pPr>
    </w:lvl>
  </w:abstractNum>
  <w:abstractNum w:abstractNumId="1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1">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77F4907"/>
    <w:multiLevelType w:val="hybridMultilevel"/>
    <w:tmpl w:val="93E07596"/>
    <w:lvl w:ilvl="0" w:tplc="0C090017">
      <w:start w:val="1"/>
      <w:numFmt w:val="lowerLetter"/>
      <w:lvlText w:val="%1)"/>
      <w:lvlJc w:val="left"/>
      <w:pPr>
        <w:tabs>
          <w:tab w:val="num" w:pos="1440"/>
        </w:tabs>
        <w:ind w:left="1440" w:hanging="360"/>
      </w:pPr>
      <w:rPr>
        <w:rFont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3">
    <w:nsid w:val="3DE241A6"/>
    <w:multiLevelType w:val="hybridMultilevel"/>
    <w:tmpl w:val="5F5E37D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3DE8280B"/>
    <w:multiLevelType w:val="hybridMultilevel"/>
    <w:tmpl w:val="F502E44E"/>
    <w:lvl w:ilvl="0" w:tplc="CABC3304">
      <w:start w:val="1"/>
      <w:numFmt w:val="lowerRoman"/>
      <w:lvlText w:val="%1."/>
      <w:lvlJc w:val="right"/>
      <w:pPr>
        <w:ind w:left="324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45D259DC"/>
    <w:multiLevelType w:val="hybridMultilevel"/>
    <w:tmpl w:val="97B21B2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48703211"/>
    <w:multiLevelType w:val="hybridMultilevel"/>
    <w:tmpl w:val="646606D6"/>
    <w:lvl w:ilvl="0" w:tplc="646012FE">
      <w:start w:val="1"/>
      <w:numFmt w:val="decimal"/>
      <w:lvlText w:val="%1."/>
      <w:lvlJc w:val="left"/>
      <w:pPr>
        <w:tabs>
          <w:tab w:val="num" w:pos="702"/>
        </w:tabs>
        <w:ind w:left="702" w:hanging="705"/>
      </w:pPr>
      <w:rPr>
        <w:rFonts w:hint="default"/>
      </w:rPr>
    </w:lvl>
    <w:lvl w:ilvl="1" w:tplc="0C090019">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tentative="1">
      <w:start w:val="1"/>
      <w:numFmt w:val="decimal"/>
      <w:lvlText w:val="%4."/>
      <w:lvlJc w:val="left"/>
      <w:pPr>
        <w:tabs>
          <w:tab w:val="num" w:pos="2517"/>
        </w:tabs>
        <w:ind w:left="2517" w:hanging="360"/>
      </w:pPr>
    </w:lvl>
    <w:lvl w:ilvl="4" w:tplc="0C090019" w:tentative="1">
      <w:start w:val="1"/>
      <w:numFmt w:val="lowerLetter"/>
      <w:lvlText w:val="%5."/>
      <w:lvlJc w:val="left"/>
      <w:pPr>
        <w:tabs>
          <w:tab w:val="num" w:pos="3237"/>
        </w:tabs>
        <w:ind w:left="3237" w:hanging="360"/>
      </w:pPr>
    </w:lvl>
    <w:lvl w:ilvl="5" w:tplc="0C09001B" w:tentative="1">
      <w:start w:val="1"/>
      <w:numFmt w:val="lowerRoman"/>
      <w:lvlText w:val="%6."/>
      <w:lvlJc w:val="right"/>
      <w:pPr>
        <w:tabs>
          <w:tab w:val="num" w:pos="3957"/>
        </w:tabs>
        <w:ind w:left="3957" w:hanging="180"/>
      </w:pPr>
    </w:lvl>
    <w:lvl w:ilvl="6" w:tplc="0C09000F" w:tentative="1">
      <w:start w:val="1"/>
      <w:numFmt w:val="decimal"/>
      <w:lvlText w:val="%7."/>
      <w:lvlJc w:val="left"/>
      <w:pPr>
        <w:tabs>
          <w:tab w:val="num" w:pos="4677"/>
        </w:tabs>
        <w:ind w:left="4677" w:hanging="360"/>
      </w:pPr>
    </w:lvl>
    <w:lvl w:ilvl="7" w:tplc="0C090019" w:tentative="1">
      <w:start w:val="1"/>
      <w:numFmt w:val="lowerLetter"/>
      <w:lvlText w:val="%8."/>
      <w:lvlJc w:val="left"/>
      <w:pPr>
        <w:tabs>
          <w:tab w:val="num" w:pos="5397"/>
        </w:tabs>
        <w:ind w:left="5397" w:hanging="360"/>
      </w:pPr>
    </w:lvl>
    <w:lvl w:ilvl="8" w:tplc="0C09001B" w:tentative="1">
      <w:start w:val="1"/>
      <w:numFmt w:val="lowerRoman"/>
      <w:lvlText w:val="%9."/>
      <w:lvlJc w:val="right"/>
      <w:pPr>
        <w:tabs>
          <w:tab w:val="num" w:pos="6117"/>
        </w:tabs>
        <w:ind w:left="6117" w:hanging="180"/>
      </w:pPr>
    </w:lvl>
  </w:abstractNum>
  <w:abstractNum w:abstractNumId="19">
    <w:nsid w:val="4B3F0537"/>
    <w:multiLevelType w:val="hybridMultilevel"/>
    <w:tmpl w:val="97B21B2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51087915"/>
    <w:multiLevelType w:val="hybridMultilevel"/>
    <w:tmpl w:val="BD447C6A"/>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5AC4672C"/>
    <w:multiLevelType w:val="hybridMultilevel"/>
    <w:tmpl w:val="9572B464"/>
    <w:lvl w:ilvl="0" w:tplc="DC5C2EB2">
      <w:start w:val="1"/>
      <w:numFmt w:val="lowerLetter"/>
      <w:lvlText w:val="%1)"/>
      <w:lvlJc w:val="left"/>
      <w:pPr>
        <w:ind w:left="1440" w:hanging="360"/>
      </w:pPr>
      <w:rPr>
        <w:rFonts w:hint="default"/>
      </w:rPr>
    </w:lvl>
    <w:lvl w:ilvl="1" w:tplc="59AA2DD8">
      <w:start w:val="9"/>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4">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64DB7BC3"/>
    <w:multiLevelType w:val="hybridMultilevel"/>
    <w:tmpl w:val="8A60F51E"/>
    <w:lvl w:ilvl="0" w:tplc="646012FE">
      <w:start w:val="1"/>
      <w:numFmt w:val="decimal"/>
      <w:lvlText w:val="%1."/>
      <w:lvlJc w:val="left"/>
      <w:pPr>
        <w:tabs>
          <w:tab w:val="num" w:pos="702"/>
        </w:tabs>
        <w:ind w:left="702" w:hanging="705"/>
      </w:pPr>
      <w:rPr>
        <w:rFonts w:hint="default"/>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tentative="1">
      <w:start w:val="1"/>
      <w:numFmt w:val="decimal"/>
      <w:lvlText w:val="%4."/>
      <w:lvlJc w:val="left"/>
      <w:pPr>
        <w:tabs>
          <w:tab w:val="num" w:pos="2517"/>
        </w:tabs>
        <w:ind w:left="2517" w:hanging="360"/>
      </w:pPr>
    </w:lvl>
    <w:lvl w:ilvl="4" w:tplc="0C090019" w:tentative="1">
      <w:start w:val="1"/>
      <w:numFmt w:val="lowerLetter"/>
      <w:lvlText w:val="%5."/>
      <w:lvlJc w:val="left"/>
      <w:pPr>
        <w:tabs>
          <w:tab w:val="num" w:pos="3237"/>
        </w:tabs>
        <w:ind w:left="3237" w:hanging="360"/>
      </w:pPr>
    </w:lvl>
    <w:lvl w:ilvl="5" w:tplc="0C09001B" w:tentative="1">
      <w:start w:val="1"/>
      <w:numFmt w:val="lowerRoman"/>
      <w:lvlText w:val="%6."/>
      <w:lvlJc w:val="right"/>
      <w:pPr>
        <w:tabs>
          <w:tab w:val="num" w:pos="3957"/>
        </w:tabs>
        <w:ind w:left="3957" w:hanging="180"/>
      </w:pPr>
    </w:lvl>
    <w:lvl w:ilvl="6" w:tplc="0C09000F" w:tentative="1">
      <w:start w:val="1"/>
      <w:numFmt w:val="decimal"/>
      <w:lvlText w:val="%7."/>
      <w:lvlJc w:val="left"/>
      <w:pPr>
        <w:tabs>
          <w:tab w:val="num" w:pos="4677"/>
        </w:tabs>
        <w:ind w:left="4677" w:hanging="360"/>
      </w:pPr>
    </w:lvl>
    <w:lvl w:ilvl="7" w:tplc="0C090019" w:tentative="1">
      <w:start w:val="1"/>
      <w:numFmt w:val="lowerLetter"/>
      <w:lvlText w:val="%8."/>
      <w:lvlJc w:val="left"/>
      <w:pPr>
        <w:tabs>
          <w:tab w:val="num" w:pos="5397"/>
        </w:tabs>
        <w:ind w:left="5397" w:hanging="360"/>
      </w:pPr>
    </w:lvl>
    <w:lvl w:ilvl="8" w:tplc="0C09001B" w:tentative="1">
      <w:start w:val="1"/>
      <w:numFmt w:val="lowerRoman"/>
      <w:lvlText w:val="%9."/>
      <w:lvlJc w:val="right"/>
      <w:pPr>
        <w:tabs>
          <w:tab w:val="num" w:pos="6117"/>
        </w:tabs>
        <w:ind w:left="6117" w:hanging="180"/>
      </w:pPr>
    </w:lvl>
  </w:abstractNum>
  <w:abstractNum w:abstractNumId="26">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9">
    <w:nsid w:val="6D6E6CEB"/>
    <w:multiLevelType w:val="multilevel"/>
    <w:tmpl w:val="A800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3A4F5D"/>
    <w:multiLevelType w:val="hybridMultilevel"/>
    <w:tmpl w:val="E452B13C"/>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31">
    <w:nsid w:val="70AF381F"/>
    <w:multiLevelType w:val="hybridMultilevel"/>
    <w:tmpl w:val="77CA111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7D6F5119"/>
    <w:multiLevelType w:val="hybridMultilevel"/>
    <w:tmpl w:val="FFE6DE46"/>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10"/>
  </w:num>
  <w:num w:numId="3">
    <w:abstractNumId w:val="23"/>
  </w:num>
  <w:num w:numId="4">
    <w:abstractNumId w:val="33"/>
  </w:num>
  <w:num w:numId="5">
    <w:abstractNumId w:val="5"/>
  </w:num>
  <w:num w:numId="6">
    <w:abstractNumId w:val="26"/>
  </w:num>
  <w:num w:numId="7">
    <w:abstractNumId w:val="27"/>
  </w:num>
  <w:num w:numId="8">
    <w:abstractNumId w:val="16"/>
  </w:num>
  <w:num w:numId="9">
    <w:abstractNumId w:val="2"/>
  </w:num>
  <w:num w:numId="10">
    <w:abstractNumId w:val="15"/>
  </w:num>
  <w:num w:numId="11">
    <w:abstractNumId w:val="21"/>
  </w:num>
  <w:num w:numId="12">
    <w:abstractNumId w:val="24"/>
  </w:num>
  <w:num w:numId="13">
    <w:abstractNumId w:val="4"/>
  </w:num>
  <w:num w:numId="14">
    <w:abstractNumId w:val="3"/>
  </w:num>
  <w:num w:numId="15">
    <w:abstractNumId w:val="11"/>
  </w:num>
  <w:num w:numId="16">
    <w:abstractNumId w:val="0"/>
  </w:num>
  <w:num w:numId="17">
    <w:abstractNumId w:val="6"/>
  </w:num>
  <w:num w:numId="18">
    <w:abstractNumId w:val="12"/>
  </w:num>
  <w:num w:numId="19">
    <w:abstractNumId w:val="8"/>
  </w:num>
  <w:num w:numId="20">
    <w:abstractNumId w:val="13"/>
  </w:num>
  <w:num w:numId="21">
    <w:abstractNumId w:val="1"/>
  </w:num>
  <w:num w:numId="22">
    <w:abstractNumId w:val="31"/>
  </w:num>
  <w:num w:numId="23">
    <w:abstractNumId w:val="32"/>
  </w:num>
  <w:num w:numId="24">
    <w:abstractNumId w:val="20"/>
  </w:num>
  <w:num w:numId="25">
    <w:abstractNumId w:val="29"/>
  </w:num>
  <w:num w:numId="26">
    <w:abstractNumId w:val="30"/>
  </w:num>
  <w:num w:numId="27">
    <w:abstractNumId w:val="18"/>
  </w:num>
  <w:num w:numId="28">
    <w:abstractNumId w:val="9"/>
  </w:num>
  <w:num w:numId="29">
    <w:abstractNumId w:val="19"/>
  </w:num>
  <w:num w:numId="30">
    <w:abstractNumId w:val="25"/>
  </w:num>
  <w:num w:numId="31">
    <w:abstractNumId w:val="17"/>
  </w:num>
  <w:num w:numId="32">
    <w:abstractNumId w:val="7"/>
  </w:num>
  <w:num w:numId="33">
    <w:abstractNumId w:val="2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36"/>
    <w:rsid w:val="00000850"/>
    <w:rsid w:val="00007DBA"/>
    <w:rsid w:val="000118DD"/>
    <w:rsid w:val="0001288E"/>
    <w:rsid w:val="000128D0"/>
    <w:rsid w:val="00013D3B"/>
    <w:rsid w:val="00014B10"/>
    <w:rsid w:val="00022A4C"/>
    <w:rsid w:val="00025863"/>
    <w:rsid w:val="00025D9D"/>
    <w:rsid w:val="000266B4"/>
    <w:rsid w:val="0003306E"/>
    <w:rsid w:val="00034D85"/>
    <w:rsid w:val="00035057"/>
    <w:rsid w:val="00036894"/>
    <w:rsid w:val="00037D26"/>
    <w:rsid w:val="00043448"/>
    <w:rsid w:val="00055F43"/>
    <w:rsid w:val="000566C3"/>
    <w:rsid w:val="00067F68"/>
    <w:rsid w:val="00070CA2"/>
    <w:rsid w:val="00070D66"/>
    <w:rsid w:val="00071A96"/>
    <w:rsid w:val="00073139"/>
    <w:rsid w:val="00073769"/>
    <w:rsid w:val="00077863"/>
    <w:rsid w:val="00081A41"/>
    <w:rsid w:val="00095BA5"/>
    <w:rsid w:val="000A1DE7"/>
    <w:rsid w:val="000A27D1"/>
    <w:rsid w:val="000A3A37"/>
    <w:rsid w:val="000A4F62"/>
    <w:rsid w:val="000A553C"/>
    <w:rsid w:val="000A6B76"/>
    <w:rsid w:val="000B2E54"/>
    <w:rsid w:val="000B5F50"/>
    <w:rsid w:val="000C0998"/>
    <w:rsid w:val="000C1777"/>
    <w:rsid w:val="000C2CE1"/>
    <w:rsid w:val="000C4A41"/>
    <w:rsid w:val="000C5F4B"/>
    <w:rsid w:val="000C75E1"/>
    <w:rsid w:val="000D07F1"/>
    <w:rsid w:val="000D0AB0"/>
    <w:rsid w:val="000D3250"/>
    <w:rsid w:val="000D5E28"/>
    <w:rsid w:val="000D7A64"/>
    <w:rsid w:val="000E12FA"/>
    <w:rsid w:val="000F3B18"/>
    <w:rsid w:val="000F6EA7"/>
    <w:rsid w:val="00100006"/>
    <w:rsid w:val="00101EC5"/>
    <w:rsid w:val="00125C07"/>
    <w:rsid w:val="00133A51"/>
    <w:rsid w:val="00140683"/>
    <w:rsid w:val="00143136"/>
    <w:rsid w:val="00144DAA"/>
    <w:rsid w:val="00145C92"/>
    <w:rsid w:val="00145D28"/>
    <w:rsid w:val="0015063E"/>
    <w:rsid w:val="0015455E"/>
    <w:rsid w:val="00155A8E"/>
    <w:rsid w:val="0015650D"/>
    <w:rsid w:val="00161CA2"/>
    <w:rsid w:val="001716EF"/>
    <w:rsid w:val="00171E00"/>
    <w:rsid w:val="00173C5E"/>
    <w:rsid w:val="0017758E"/>
    <w:rsid w:val="0018061B"/>
    <w:rsid w:val="001913C5"/>
    <w:rsid w:val="00194089"/>
    <w:rsid w:val="00194A80"/>
    <w:rsid w:val="001A5036"/>
    <w:rsid w:val="001A5B39"/>
    <w:rsid w:val="001A667F"/>
    <w:rsid w:val="001A7651"/>
    <w:rsid w:val="001B3484"/>
    <w:rsid w:val="001B4283"/>
    <w:rsid w:val="001B7E2C"/>
    <w:rsid w:val="001C116C"/>
    <w:rsid w:val="001C2F4B"/>
    <w:rsid w:val="001E18BD"/>
    <w:rsid w:val="00207053"/>
    <w:rsid w:val="00217758"/>
    <w:rsid w:val="00217E88"/>
    <w:rsid w:val="002218C5"/>
    <w:rsid w:val="0022666D"/>
    <w:rsid w:val="00233272"/>
    <w:rsid w:val="0023426A"/>
    <w:rsid w:val="00234B7B"/>
    <w:rsid w:val="00241A4E"/>
    <w:rsid w:val="00247F50"/>
    <w:rsid w:val="0026005D"/>
    <w:rsid w:val="00265BF9"/>
    <w:rsid w:val="00271B59"/>
    <w:rsid w:val="00275A5A"/>
    <w:rsid w:val="0028130B"/>
    <w:rsid w:val="002A0521"/>
    <w:rsid w:val="002B0403"/>
    <w:rsid w:val="002B465A"/>
    <w:rsid w:val="002C1134"/>
    <w:rsid w:val="002C426A"/>
    <w:rsid w:val="002C4974"/>
    <w:rsid w:val="002D0AB0"/>
    <w:rsid w:val="002D0FD3"/>
    <w:rsid w:val="002D1A54"/>
    <w:rsid w:val="002D23D8"/>
    <w:rsid w:val="002E0F6B"/>
    <w:rsid w:val="002E6B43"/>
    <w:rsid w:val="002E7FD2"/>
    <w:rsid w:val="002F1755"/>
    <w:rsid w:val="002F4D7F"/>
    <w:rsid w:val="00300F4B"/>
    <w:rsid w:val="00302981"/>
    <w:rsid w:val="00305761"/>
    <w:rsid w:val="00306CF1"/>
    <w:rsid w:val="00307B60"/>
    <w:rsid w:val="00310655"/>
    <w:rsid w:val="00310A32"/>
    <w:rsid w:val="00311051"/>
    <w:rsid w:val="003166D1"/>
    <w:rsid w:val="00321C75"/>
    <w:rsid w:val="0032286C"/>
    <w:rsid w:val="0032333E"/>
    <w:rsid w:val="00334DD3"/>
    <w:rsid w:val="00340257"/>
    <w:rsid w:val="00340B94"/>
    <w:rsid w:val="0034260E"/>
    <w:rsid w:val="00350055"/>
    <w:rsid w:val="003500B9"/>
    <w:rsid w:val="003508E0"/>
    <w:rsid w:val="00353E4C"/>
    <w:rsid w:val="00356593"/>
    <w:rsid w:val="00357A0D"/>
    <w:rsid w:val="00362AA2"/>
    <w:rsid w:val="00365BBD"/>
    <w:rsid w:val="00365D0E"/>
    <w:rsid w:val="00367AD0"/>
    <w:rsid w:val="003709F4"/>
    <w:rsid w:val="00377999"/>
    <w:rsid w:val="00381991"/>
    <w:rsid w:val="00386C9F"/>
    <w:rsid w:val="00387DB3"/>
    <w:rsid w:val="00391CA0"/>
    <w:rsid w:val="003945D8"/>
    <w:rsid w:val="00396EF2"/>
    <w:rsid w:val="00397AAE"/>
    <w:rsid w:val="003A7A5A"/>
    <w:rsid w:val="003A7E6C"/>
    <w:rsid w:val="003B0F93"/>
    <w:rsid w:val="003B7248"/>
    <w:rsid w:val="003C10F8"/>
    <w:rsid w:val="003C343E"/>
    <w:rsid w:val="003C5C64"/>
    <w:rsid w:val="003C62F1"/>
    <w:rsid w:val="003D00ED"/>
    <w:rsid w:val="003D6D44"/>
    <w:rsid w:val="003E2DED"/>
    <w:rsid w:val="003E4D6B"/>
    <w:rsid w:val="003E6152"/>
    <w:rsid w:val="003F0D9C"/>
    <w:rsid w:val="00404CB0"/>
    <w:rsid w:val="00414B77"/>
    <w:rsid w:val="0042138B"/>
    <w:rsid w:val="00434BEE"/>
    <w:rsid w:val="004361F0"/>
    <w:rsid w:val="00441431"/>
    <w:rsid w:val="00454495"/>
    <w:rsid w:val="00455D46"/>
    <w:rsid w:val="00461361"/>
    <w:rsid w:val="004617E2"/>
    <w:rsid w:val="00471414"/>
    <w:rsid w:val="00474F94"/>
    <w:rsid w:val="0047702C"/>
    <w:rsid w:val="00482EBE"/>
    <w:rsid w:val="00483F1E"/>
    <w:rsid w:val="004912F2"/>
    <w:rsid w:val="00492363"/>
    <w:rsid w:val="00492476"/>
    <w:rsid w:val="00494220"/>
    <w:rsid w:val="004946BD"/>
    <w:rsid w:val="0049669C"/>
    <w:rsid w:val="00496F08"/>
    <w:rsid w:val="004B2A72"/>
    <w:rsid w:val="004B5756"/>
    <w:rsid w:val="004B6E9A"/>
    <w:rsid w:val="004C1FFA"/>
    <w:rsid w:val="004C29B1"/>
    <w:rsid w:val="004D1112"/>
    <w:rsid w:val="004E1038"/>
    <w:rsid w:val="004E1052"/>
    <w:rsid w:val="004E10CA"/>
    <w:rsid w:val="004E284B"/>
    <w:rsid w:val="004F61E8"/>
    <w:rsid w:val="004F7E81"/>
    <w:rsid w:val="0050429E"/>
    <w:rsid w:val="00506B52"/>
    <w:rsid w:val="00512025"/>
    <w:rsid w:val="005123B0"/>
    <w:rsid w:val="005158D2"/>
    <w:rsid w:val="005278A1"/>
    <w:rsid w:val="00541EAB"/>
    <w:rsid w:val="00547600"/>
    <w:rsid w:val="00550871"/>
    <w:rsid w:val="00552BDA"/>
    <w:rsid w:val="005534A5"/>
    <w:rsid w:val="00553534"/>
    <w:rsid w:val="00554A65"/>
    <w:rsid w:val="0055503D"/>
    <w:rsid w:val="00561105"/>
    <w:rsid w:val="0056389E"/>
    <w:rsid w:val="00565B62"/>
    <w:rsid w:val="0056656E"/>
    <w:rsid w:val="00571E15"/>
    <w:rsid w:val="00575849"/>
    <w:rsid w:val="005825BE"/>
    <w:rsid w:val="00593530"/>
    <w:rsid w:val="005A291A"/>
    <w:rsid w:val="005A386C"/>
    <w:rsid w:val="005A4134"/>
    <w:rsid w:val="005A59BA"/>
    <w:rsid w:val="005A68BF"/>
    <w:rsid w:val="005B499F"/>
    <w:rsid w:val="005B5CFE"/>
    <w:rsid w:val="005B7E00"/>
    <w:rsid w:val="005C49DF"/>
    <w:rsid w:val="005C542A"/>
    <w:rsid w:val="005C7F57"/>
    <w:rsid w:val="005D3383"/>
    <w:rsid w:val="005E04B4"/>
    <w:rsid w:val="005E3BB5"/>
    <w:rsid w:val="005E5273"/>
    <w:rsid w:val="005E704A"/>
    <w:rsid w:val="005F02B1"/>
    <w:rsid w:val="005F067C"/>
    <w:rsid w:val="00607B05"/>
    <w:rsid w:val="006124C3"/>
    <w:rsid w:val="006135A6"/>
    <w:rsid w:val="00613FA8"/>
    <w:rsid w:val="00625C50"/>
    <w:rsid w:val="0062755D"/>
    <w:rsid w:val="00634832"/>
    <w:rsid w:val="00635413"/>
    <w:rsid w:val="00636D64"/>
    <w:rsid w:val="00637EE8"/>
    <w:rsid w:val="006513DD"/>
    <w:rsid w:val="00655347"/>
    <w:rsid w:val="006613C4"/>
    <w:rsid w:val="00666E4A"/>
    <w:rsid w:val="006676CA"/>
    <w:rsid w:val="00670DF4"/>
    <w:rsid w:val="006710C3"/>
    <w:rsid w:val="006763E3"/>
    <w:rsid w:val="00676B57"/>
    <w:rsid w:val="00676CE9"/>
    <w:rsid w:val="0067716A"/>
    <w:rsid w:val="0068364B"/>
    <w:rsid w:val="00686402"/>
    <w:rsid w:val="0069029C"/>
    <w:rsid w:val="00691BC6"/>
    <w:rsid w:val="006921D0"/>
    <w:rsid w:val="00695864"/>
    <w:rsid w:val="006A12D8"/>
    <w:rsid w:val="006A29AF"/>
    <w:rsid w:val="006A34BA"/>
    <w:rsid w:val="006A383F"/>
    <w:rsid w:val="006A386D"/>
    <w:rsid w:val="006A74CE"/>
    <w:rsid w:val="006C55DA"/>
    <w:rsid w:val="006D3FA2"/>
    <w:rsid w:val="006E6E2F"/>
    <w:rsid w:val="006F0255"/>
    <w:rsid w:val="006F0430"/>
    <w:rsid w:val="006F3E76"/>
    <w:rsid w:val="006F3FAF"/>
    <w:rsid w:val="006F5F1C"/>
    <w:rsid w:val="006F6748"/>
    <w:rsid w:val="007006DF"/>
    <w:rsid w:val="00702016"/>
    <w:rsid w:val="00704897"/>
    <w:rsid w:val="007107C6"/>
    <w:rsid w:val="00715F27"/>
    <w:rsid w:val="00720BE1"/>
    <w:rsid w:val="00722648"/>
    <w:rsid w:val="00734E4D"/>
    <w:rsid w:val="00737442"/>
    <w:rsid w:val="00741D9B"/>
    <w:rsid w:val="007453B3"/>
    <w:rsid w:val="0074724C"/>
    <w:rsid w:val="00750736"/>
    <w:rsid w:val="0075230A"/>
    <w:rsid w:val="00752628"/>
    <w:rsid w:val="00755325"/>
    <w:rsid w:val="00756FE4"/>
    <w:rsid w:val="00767B98"/>
    <w:rsid w:val="00780A47"/>
    <w:rsid w:val="00780F23"/>
    <w:rsid w:val="00785BA1"/>
    <w:rsid w:val="007951CA"/>
    <w:rsid w:val="00796E2E"/>
    <w:rsid w:val="007A0780"/>
    <w:rsid w:val="007A1449"/>
    <w:rsid w:val="007A1D8C"/>
    <w:rsid w:val="007A2D3D"/>
    <w:rsid w:val="007B3902"/>
    <w:rsid w:val="007C6118"/>
    <w:rsid w:val="007D0506"/>
    <w:rsid w:val="007D1D95"/>
    <w:rsid w:val="007D332E"/>
    <w:rsid w:val="007E24CA"/>
    <w:rsid w:val="007E2608"/>
    <w:rsid w:val="007E5564"/>
    <w:rsid w:val="007F0D68"/>
    <w:rsid w:val="007F1253"/>
    <w:rsid w:val="007F7938"/>
    <w:rsid w:val="007F7C28"/>
    <w:rsid w:val="007F7F97"/>
    <w:rsid w:val="00802FC4"/>
    <w:rsid w:val="00804B57"/>
    <w:rsid w:val="008119D2"/>
    <w:rsid w:val="0082465E"/>
    <w:rsid w:val="0082476F"/>
    <w:rsid w:val="00831D0F"/>
    <w:rsid w:val="00833DE9"/>
    <w:rsid w:val="00834079"/>
    <w:rsid w:val="00835C7C"/>
    <w:rsid w:val="00836099"/>
    <w:rsid w:val="008429C5"/>
    <w:rsid w:val="008434C3"/>
    <w:rsid w:val="00845023"/>
    <w:rsid w:val="00850A46"/>
    <w:rsid w:val="008515EE"/>
    <w:rsid w:val="00854FD4"/>
    <w:rsid w:val="00856DAB"/>
    <w:rsid w:val="0086055D"/>
    <w:rsid w:val="008620E5"/>
    <w:rsid w:val="00872BAD"/>
    <w:rsid w:val="00880069"/>
    <w:rsid w:val="0088136E"/>
    <w:rsid w:val="008846D6"/>
    <w:rsid w:val="00892D21"/>
    <w:rsid w:val="00892FF7"/>
    <w:rsid w:val="008942F1"/>
    <w:rsid w:val="008B0EC2"/>
    <w:rsid w:val="008B1575"/>
    <w:rsid w:val="008B31F9"/>
    <w:rsid w:val="008B3490"/>
    <w:rsid w:val="008B47EA"/>
    <w:rsid w:val="008C027C"/>
    <w:rsid w:val="008C41FA"/>
    <w:rsid w:val="008E2F41"/>
    <w:rsid w:val="008E5278"/>
    <w:rsid w:val="00900F73"/>
    <w:rsid w:val="0091164B"/>
    <w:rsid w:val="00916516"/>
    <w:rsid w:val="0092369B"/>
    <w:rsid w:val="009251C5"/>
    <w:rsid w:val="00934959"/>
    <w:rsid w:val="009349A0"/>
    <w:rsid w:val="00940734"/>
    <w:rsid w:val="00940F44"/>
    <w:rsid w:val="00941002"/>
    <w:rsid w:val="00947689"/>
    <w:rsid w:val="0095377B"/>
    <w:rsid w:val="00955CBF"/>
    <w:rsid w:val="009579B5"/>
    <w:rsid w:val="0096128D"/>
    <w:rsid w:val="00961DC1"/>
    <w:rsid w:val="00963A32"/>
    <w:rsid w:val="00970632"/>
    <w:rsid w:val="00975561"/>
    <w:rsid w:val="0098076E"/>
    <w:rsid w:val="00984A84"/>
    <w:rsid w:val="00987FD8"/>
    <w:rsid w:val="00990B3C"/>
    <w:rsid w:val="00993D8D"/>
    <w:rsid w:val="009956C6"/>
    <w:rsid w:val="00996F81"/>
    <w:rsid w:val="009A16DD"/>
    <w:rsid w:val="009A45B0"/>
    <w:rsid w:val="009B3159"/>
    <w:rsid w:val="009B5906"/>
    <w:rsid w:val="009B7708"/>
    <w:rsid w:val="009C3906"/>
    <w:rsid w:val="009C393F"/>
    <w:rsid w:val="009C6B44"/>
    <w:rsid w:val="009D1753"/>
    <w:rsid w:val="009D587E"/>
    <w:rsid w:val="009E55A8"/>
    <w:rsid w:val="009E5E09"/>
    <w:rsid w:val="009E714C"/>
    <w:rsid w:val="009F27F0"/>
    <w:rsid w:val="00A00F9E"/>
    <w:rsid w:val="00A02D5F"/>
    <w:rsid w:val="00A03CC1"/>
    <w:rsid w:val="00A04BF1"/>
    <w:rsid w:val="00A13D3C"/>
    <w:rsid w:val="00A1734D"/>
    <w:rsid w:val="00A222B3"/>
    <w:rsid w:val="00A25FDD"/>
    <w:rsid w:val="00A41EF6"/>
    <w:rsid w:val="00A64EE1"/>
    <w:rsid w:val="00A67FC3"/>
    <w:rsid w:val="00A715A8"/>
    <w:rsid w:val="00A7773B"/>
    <w:rsid w:val="00A82237"/>
    <w:rsid w:val="00A86757"/>
    <w:rsid w:val="00A9278B"/>
    <w:rsid w:val="00A933C3"/>
    <w:rsid w:val="00A937DF"/>
    <w:rsid w:val="00AA0705"/>
    <w:rsid w:val="00AA1BA4"/>
    <w:rsid w:val="00AB61BD"/>
    <w:rsid w:val="00AB6B2D"/>
    <w:rsid w:val="00AB6B88"/>
    <w:rsid w:val="00AC2F4D"/>
    <w:rsid w:val="00AE3CE5"/>
    <w:rsid w:val="00AF29CC"/>
    <w:rsid w:val="00AF72F1"/>
    <w:rsid w:val="00AF7BEA"/>
    <w:rsid w:val="00B0217A"/>
    <w:rsid w:val="00B02685"/>
    <w:rsid w:val="00B03FB3"/>
    <w:rsid w:val="00B210B9"/>
    <w:rsid w:val="00B2533E"/>
    <w:rsid w:val="00B26EE9"/>
    <w:rsid w:val="00B27212"/>
    <w:rsid w:val="00B31D34"/>
    <w:rsid w:val="00B323E2"/>
    <w:rsid w:val="00B366E1"/>
    <w:rsid w:val="00B37F5F"/>
    <w:rsid w:val="00B40971"/>
    <w:rsid w:val="00B41CB2"/>
    <w:rsid w:val="00B426FA"/>
    <w:rsid w:val="00B4335D"/>
    <w:rsid w:val="00B43CA5"/>
    <w:rsid w:val="00B445A4"/>
    <w:rsid w:val="00B50C4E"/>
    <w:rsid w:val="00B50EBD"/>
    <w:rsid w:val="00B53468"/>
    <w:rsid w:val="00B57556"/>
    <w:rsid w:val="00B6220E"/>
    <w:rsid w:val="00B6773A"/>
    <w:rsid w:val="00B84551"/>
    <w:rsid w:val="00B86CFD"/>
    <w:rsid w:val="00B91665"/>
    <w:rsid w:val="00B92511"/>
    <w:rsid w:val="00BA467D"/>
    <w:rsid w:val="00BA4AA3"/>
    <w:rsid w:val="00BA536E"/>
    <w:rsid w:val="00BB025F"/>
    <w:rsid w:val="00BB1CFE"/>
    <w:rsid w:val="00BB3539"/>
    <w:rsid w:val="00BB6A06"/>
    <w:rsid w:val="00BC63FD"/>
    <w:rsid w:val="00BC7826"/>
    <w:rsid w:val="00BD299C"/>
    <w:rsid w:val="00BD4C37"/>
    <w:rsid w:val="00BD4E3C"/>
    <w:rsid w:val="00BD53FE"/>
    <w:rsid w:val="00BE1071"/>
    <w:rsid w:val="00BE5E45"/>
    <w:rsid w:val="00BE6133"/>
    <w:rsid w:val="00BF2411"/>
    <w:rsid w:val="00BF5F87"/>
    <w:rsid w:val="00BF6922"/>
    <w:rsid w:val="00BF764E"/>
    <w:rsid w:val="00BF7CB2"/>
    <w:rsid w:val="00BF7EB5"/>
    <w:rsid w:val="00C02583"/>
    <w:rsid w:val="00C02F5C"/>
    <w:rsid w:val="00C03C6C"/>
    <w:rsid w:val="00C15C68"/>
    <w:rsid w:val="00C16227"/>
    <w:rsid w:val="00C16789"/>
    <w:rsid w:val="00C25E34"/>
    <w:rsid w:val="00C27E6B"/>
    <w:rsid w:val="00C310B9"/>
    <w:rsid w:val="00C342D5"/>
    <w:rsid w:val="00C348B0"/>
    <w:rsid w:val="00C401CD"/>
    <w:rsid w:val="00C4035A"/>
    <w:rsid w:val="00C53183"/>
    <w:rsid w:val="00C55128"/>
    <w:rsid w:val="00C56BF0"/>
    <w:rsid w:val="00C56DF5"/>
    <w:rsid w:val="00C570CC"/>
    <w:rsid w:val="00C60BB4"/>
    <w:rsid w:val="00C65F24"/>
    <w:rsid w:val="00C752A5"/>
    <w:rsid w:val="00C96FB5"/>
    <w:rsid w:val="00C979D7"/>
    <w:rsid w:val="00CB2437"/>
    <w:rsid w:val="00CB2EDD"/>
    <w:rsid w:val="00CC2810"/>
    <w:rsid w:val="00CC6705"/>
    <w:rsid w:val="00CD791D"/>
    <w:rsid w:val="00CE0037"/>
    <w:rsid w:val="00CE4442"/>
    <w:rsid w:val="00CE44A3"/>
    <w:rsid w:val="00CE46FB"/>
    <w:rsid w:val="00CE520C"/>
    <w:rsid w:val="00CF07B3"/>
    <w:rsid w:val="00CF18F8"/>
    <w:rsid w:val="00CF4BEC"/>
    <w:rsid w:val="00CF5F3A"/>
    <w:rsid w:val="00CF6054"/>
    <w:rsid w:val="00CF6947"/>
    <w:rsid w:val="00D005FF"/>
    <w:rsid w:val="00D00C1F"/>
    <w:rsid w:val="00D16016"/>
    <w:rsid w:val="00D1679C"/>
    <w:rsid w:val="00D226B3"/>
    <w:rsid w:val="00D23C64"/>
    <w:rsid w:val="00D244E3"/>
    <w:rsid w:val="00D246E6"/>
    <w:rsid w:val="00D25933"/>
    <w:rsid w:val="00D26B29"/>
    <w:rsid w:val="00D3340C"/>
    <w:rsid w:val="00D44645"/>
    <w:rsid w:val="00D54B74"/>
    <w:rsid w:val="00D55E46"/>
    <w:rsid w:val="00D62946"/>
    <w:rsid w:val="00D62C14"/>
    <w:rsid w:val="00D636CD"/>
    <w:rsid w:val="00D66FF2"/>
    <w:rsid w:val="00D71E39"/>
    <w:rsid w:val="00D73AE4"/>
    <w:rsid w:val="00D77D53"/>
    <w:rsid w:val="00D809E3"/>
    <w:rsid w:val="00D85336"/>
    <w:rsid w:val="00D86A6A"/>
    <w:rsid w:val="00D87FD1"/>
    <w:rsid w:val="00D961E3"/>
    <w:rsid w:val="00DA1E21"/>
    <w:rsid w:val="00DA284A"/>
    <w:rsid w:val="00DB304D"/>
    <w:rsid w:val="00DB6F51"/>
    <w:rsid w:val="00DB7EBE"/>
    <w:rsid w:val="00DC0370"/>
    <w:rsid w:val="00DC1D8A"/>
    <w:rsid w:val="00DC24A7"/>
    <w:rsid w:val="00DC5BE7"/>
    <w:rsid w:val="00DC66BB"/>
    <w:rsid w:val="00DD1823"/>
    <w:rsid w:val="00DE2909"/>
    <w:rsid w:val="00DE6424"/>
    <w:rsid w:val="00DE6CBB"/>
    <w:rsid w:val="00DF032B"/>
    <w:rsid w:val="00DF1F28"/>
    <w:rsid w:val="00DF4878"/>
    <w:rsid w:val="00DF52D4"/>
    <w:rsid w:val="00E05506"/>
    <w:rsid w:val="00E0551B"/>
    <w:rsid w:val="00E1106C"/>
    <w:rsid w:val="00E15CF5"/>
    <w:rsid w:val="00E16169"/>
    <w:rsid w:val="00E20381"/>
    <w:rsid w:val="00E2055A"/>
    <w:rsid w:val="00E23A7E"/>
    <w:rsid w:val="00E25646"/>
    <w:rsid w:val="00E2776C"/>
    <w:rsid w:val="00E35F0B"/>
    <w:rsid w:val="00E52E8C"/>
    <w:rsid w:val="00E54AD4"/>
    <w:rsid w:val="00E61AA5"/>
    <w:rsid w:val="00E62BC4"/>
    <w:rsid w:val="00E66EDC"/>
    <w:rsid w:val="00E74D52"/>
    <w:rsid w:val="00E86A05"/>
    <w:rsid w:val="00E87D76"/>
    <w:rsid w:val="00E90334"/>
    <w:rsid w:val="00EA0DB8"/>
    <w:rsid w:val="00EA141C"/>
    <w:rsid w:val="00EA2EB9"/>
    <w:rsid w:val="00EA6CDF"/>
    <w:rsid w:val="00EC046C"/>
    <w:rsid w:val="00EC4A6A"/>
    <w:rsid w:val="00EC6B3A"/>
    <w:rsid w:val="00ED25C1"/>
    <w:rsid w:val="00ED61FE"/>
    <w:rsid w:val="00EE6009"/>
    <w:rsid w:val="00EF1683"/>
    <w:rsid w:val="00EF2F58"/>
    <w:rsid w:val="00EF5C7D"/>
    <w:rsid w:val="00F0621A"/>
    <w:rsid w:val="00F07C59"/>
    <w:rsid w:val="00F14188"/>
    <w:rsid w:val="00F24E6E"/>
    <w:rsid w:val="00F25EF5"/>
    <w:rsid w:val="00F33797"/>
    <w:rsid w:val="00F43EC5"/>
    <w:rsid w:val="00F521A3"/>
    <w:rsid w:val="00F52A10"/>
    <w:rsid w:val="00F630C6"/>
    <w:rsid w:val="00F80F7B"/>
    <w:rsid w:val="00F83227"/>
    <w:rsid w:val="00F92CBA"/>
    <w:rsid w:val="00FA51CA"/>
    <w:rsid w:val="00FA7259"/>
    <w:rsid w:val="00FA7381"/>
    <w:rsid w:val="00FA7B26"/>
    <w:rsid w:val="00FB60BC"/>
    <w:rsid w:val="00FC350B"/>
    <w:rsid w:val="00FC4A80"/>
    <w:rsid w:val="00FC697E"/>
    <w:rsid w:val="00FC7E16"/>
    <w:rsid w:val="00FD0B7E"/>
    <w:rsid w:val="00FD2962"/>
    <w:rsid w:val="00FD2DBF"/>
    <w:rsid w:val="00FD41F1"/>
    <w:rsid w:val="00FD4655"/>
    <w:rsid w:val="00FD6D10"/>
    <w:rsid w:val="00FE13F6"/>
    <w:rsid w:val="00FE2DE4"/>
    <w:rsid w:val="00FE6711"/>
    <w:rsid w:val="00FE744B"/>
    <w:rsid w:val="00FF1DE7"/>
    <w:rsid w:val="00FF32AD"/>
    <w:rsid w:val="00FF6D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336"/>
    <w:rPr>
      <w:sz w:val="24"/>
      <w:szCs w:val="24"/>
    </w:rPr>
  </w:style>
  <w:style w:type="paragraph" w:styleId="Heading1">
    <w:name w:val="heading 1"/>
    <w:basedOn w:val="Normal"/>
    <w:next w:val="Normal"/>
    <w:link w:val="Heading1Char"/>
    <w:autoRedefine/>
    <w:qFormat/>
    <w:rsid w:val="00C15C68"/>
    <w:pPr>
      <w:keepNext/>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link w:val="FootnoteTextChar"/>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uiPriority w:val="99"/>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C15C68"/>
    <w:rPr>
      <w:b/>
      <w:bCs/>
      <w:kern w:val="32"/>
      <w:sz w:val="24"/>
      <w:szCs w:val="32"/>
    </w:rPr>
  </w:style>
  <w:style w:type="paragraph" w:customStyle="1" w:styleId="Default">
    <w:name w:val="Default"/>
    <w:rsid w:val="00940F44"/>
    <w:pPr>
      <w:autoSpaceDE w:val="0"/>
      <w:autoSpaceDN w:val="0"/>
      <w:adjustRightInd w:val="0"/>
    </w:pPr>
    <w:rPr>
      <w:color w:val="000000"/>
      <w:sz w:val="24"/>
      <w:szCs w:val="24"/>
    </w:rPr>
  </w:style>
  <w:style w:type="paragraph" w:customStyle="1" w:styleId="Num1">
    <w:name w:val="Num 1"/>
    <w:rsid w:val="00F83227"/>
    <w:pPr>
      <w:numPr>
        <w:numId w:val="32"/>
      </w:numPr>
      <w:tabs>
        <w:tab w:val="left" w:pos="567"/>
      </w:tabs>
      <w:spacing w:before="120" w:after="120" w:line="360" w:lineRule="auto"/>
      <w:ind w:left="567" w:hanging="567"/>
    </w:pPr>
    <w:rPr>
      <w:rFonts w:ascii="Book Antiqua" w:hAnsi="Book Antiqua" w:cs="Arial"/>
      <w:sz w:val="24"/>
      <w:lang w:eastAsia="en-US"/>
    </w:rPr>
  </w:style>
  <w:style w:type="paragraph" w:customStyle="1" w:styleId="Num2">
    <w:name w:val="Num 2"/>
    <w:rsid w:val="00F83227"/>
    <w:pPr>
      <w:numPr>
        <w:ilvl w:val="1"/>
        <w:numId w:val="32"/>
      </w:numPr>
      <w:tabs>
        <w:tab w:val="left" w:pos="1134"/>
      </w:tabs>
      <w:spacing w:before="120" w:after="120" w:line="360" w:lineRule="auto"/>
      <w:ind w:left="1134" w:hanging="567"/>
    </w:pPr>
    <w:rPr>
      <w:rFonts w:ascii="Book Antiqua" w:hAnsi="Book Antiqua" w:cs="Arial"/>
      <w:sz w:val="24"/>
      <w:lang w:eastAsia="en-US"/>
    </w:rPr>
  </w:style>
  <w:style w:type="paragraph" w:customStyle="1" w:styleId="Num3">
    <w:name w:val="Num 3"/>
    <w:rsid w:val="00F83227"/>
    <w:pPr>
      <w:tabs>
        <w:tab w:val="left" w:pos="1701"/>
        <w:tab w:val="num" w:pos="2007"/>
        <w:tab w:val="num" w:pos="2160"/>
      </w:tabs>
      <w:spacing w:before="120" w:after="120" w:line="360" w:lineRule="auto"/>
      <w:ind w:left="1701" w:hanging="567"/>
    </w:pPr>
    <w:rPr>
      <w:rFonts w:ascii="Book Antiqua" w:hAnsi="Book Antiqua" w:cs="Arial"/>
      <w:sz w:val="24"/>
      <w:lang w:eastAsia="en-US"/>
    </w:rPr>
  </w:style>
  <w:style w:type="paragraph" w:customStyle="1" w:styleId="Indent1">
    <w:name w:val="Indent 1"/>
    <w:rsid w:val="00F83227"/>
    <w:pPr>
      <w:numPr>
        <w:ilvl w:val="2"/>
        <w:numId w:val="32"/>
      </w:numPr>
      <w:tabs>
        <w:tab w:val="clear" w:pos="2007"/>
      </w:tabs>
      <w:spacing w:before="120" w:after="120" w:line="360" w:lineRule="auto"/>
      <w:ind w:left="567" w:firstLine="0"/>
    </w:pPr>
    <w:rPr>
      <w:rFonts w:ascii="Arial" w:hAnsi="Arial" w:cs="Arial"/>
      <w:sz w:val="24"/>
      <w:lang w:eastAsia="en-US"/>
    </w:rPr>
  </w:style>
  <w:style w:type="character" w:customStyle="1" w:styleId="FootnoteTextChar">
    <w:name w:val="Footnote Text Char"/>
    <w:basedOn w:val="DefaultParagraphFont"/>
    <w:link w:val="FootnoteText"/>
    <w:semiHidden/>
    <w:rsid w:val="009D5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336"/>
    <w:rPr>
      <w:sz w:val="24"/>
      <w:szCs w:val="24"/>
    </w:rPr>
  </w:style>
  <w:style w:type="paragraph" w:styleId="Heading1">
    <w:name w:val="heading 1"/>
    <w:basedOn w:val="Normal"/>
    <w:next w:val="Normal"/>
    <w:link w:val="Heading1Char"/>
    <w:autoRedefine/>
    <w:qFormat/>
    <w:rsid w:val="00C15C68"/>
    <w:pPr>
      <w:keepNext/>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link w:val="FootnoteTextChar"/>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uiPriority w:val="99"/>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C15C68"/>
    <w:rPr>
      <w:b/>
      <w:bCs/>
      <w:kern w:val="32"/>
      <w:sz w:val="24"/>
      <w:szCs w:val="32"/>
    </w:rPr>
  </w:style>
  <w:style w:type="paragraph" w:customStyle="1" w:styleId="Default">
    <w:name w:val="Default"/>
    <w:rsid w:val="00940F44"/>
    <w:pPr>
      <w:autoSpaceDE w:val="0"/>
      <w:autoSpaceDN w:val="0"/>
      <w:adjustRightInd w:val="0"/>
    </w:pPr>
    <w:rPr>
      <w:color w:val="000000"/>
      <w:sz w:val="24"/>
      <w:szCs w:val="24"/>
    </w:rPr>
  </w:style>
  <w:style w:type="paragraph" w:customStyle="1" w:styleId="Num1">
    <w:name w:val="Num 1"/>
    <w:rsid w:val="00F83227"/>
    <w:pPr>
      <w:numPr>
        <w:numId w:val="32"/>
      </w:numPr>
      <w:tabs>
        <w:tab w:val="left" w:pos="567"/>
      </w:tabs>
      <w:spacing w:before="120" w:after="120" w:line="360" w:lineRule="auto"/>
      <w:ind w:left="567" w:hanging="567"/>
    </w:pPr>
    <w:rPr>
      <w:rFonts w:ascii="Book Antiqua" w:hAnsi="Book Antiqua" w:cs="Arial"/>
      <w:sz w:val="24"/>
      <w:lang w:eastAsia="en-US"/>
    </w:rPr>
  </w:style>
  <w:style w:type="paragraph" w:customStyle="1" w:styleId="Num2">
    <w:name w:val="Num 2"/>
    <w:rsid w:val="00F83227"/>
    <w:pPr>
      <w:numPr>
        <w:ilvl w:val="1"/>
        <w:numId w:val="32"/>
      </w:numPr>
      <w:tabs>
        <w:tab w:val="left" w:pos="1134"/>
      </w:tabs>
      <w:spacing w:before="120" w:after="120" w:line="360" w:lineRule="auto"/>
      <w:ind w:left="1134" w:hanging="567"/>
    </w:pPr>
    <w:rPr>
      <w:rFonts w:ascii="Book Antiqua" w:hAnsi="Book Antiqua" w:cs="Arial"/>
      <w:sz w:val="24"/>
      <w:lang w:eastAsia="en-US"/>
    </w:rPr>
  </w:style>
  <w:style w:type="paragraph" w:customStyle="1" w:styleId="Num3">
    <w:name w:val="Num 3"/>
    <w:rsid w:val="00F83227"/>
    <w:pPr>
      <w:tabs>
        <w:tab w:val="left" w:pos="1701"/>
        <w:tab w:val="num" w:pos="2007"/>
        <w:tab w:val="num" w:pos="2160"/>
      </w:tabs>
      <w:spacing w:before="120" w:after="120" w:line="360" w:lineRule="auto"/>
      <w:ind w:left="1701" w:hanging="567"/>
    </w:pPr>
    <w:rPr>
      <w:rFonts w:ascii="Book Antiqua" w:hAnsi="Book Antiqua" w:cs="Arial"/>
      <w:sz w:val="24"/>
      <w:lang w:eastAsia="en-US"/>
    </w:rPr>
  </w:style>
  <w:style w:type="paragraph" w:customStyle="1" w:styleId="Indent1">
    <w:name w:val="Indent 1"/>
    <w:rsid w:val="00F83227"/>
    <w:pPr>
      <w:numPr>
        <w:ilvl w:val="2"/>
        <w:numId w:val="32"/>
      </w:numPr>
      <w:tabs>
        <w:tab w:val="clear" w:pos="2007"/>
      </w:tabs>
      <w:spacing w:before="120" w:after="120" w:line="360" w:lineRule="auto"/>
      <w:ind w:left="567" w:firstLine="0"/>
    </w:pPr>
    <w:rPr>
      <w:rFonts w:ascii="Arial" w:hAnsi="Arial" w:cs="Arial"/>
      <w:sz w:val="24"/>
      <w:lang w:eastAsia="en-US"/>
    </w:rPr>
  </w:style>
  <w:style w:type="character" w:customStyle="1" w:styleId="FootnoteTextChar">
    <w:name w:val="Footnote Text Char"/>
    <w:basedOn w:val="DefaultParagraphFont"/>
    <w:link w:val="FootnoteText"/>
    <w:semiHidden/>
    <w:rsid w:val="009D5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06431653">
      <w:bodyDiv w:val="1"/>
      <w:marLeft w:val="0"/>
      <w:marRight w:val="0"/>
      <w:marTop w:val="0"/>
      <w:marBottom w:val="0"/>
      <w:divBdr>
        <w:top w:val="none" w:sz="0" w:space="0" w:color="auto"/>
        <w:left w:val="none" w:sz="0" w:space="0" w:color="auto"/>
        <w:bottom w:val="none" w:sz="0" w:space="0" w:color="auto"/>
        <w:right w:val="none" w:sz="0" w:space="0" w:color="auto"/>
      </w:divBdr>
      <w:divsChild>
        <w:div w:id="1521042971">
          <w:marLeft w:val="0"/>
          <w:marRight w:val="0"/>
          <w:marTop w:val="0"/>
          <w:marBottom w:val="0"/>
          <w:divBdr>
            <w:top w:val="none" w:sz="0" w:space="0" w:color="auto"/>
            <w:left w:val="none" w:sz="0" w:space="0" w:color="auto"/>
            <w:bottom w:val="none" w:sz="0" w:space="0" w:color="auto"/>
            <w:right w:val="none" w:sz="0" w:space="0" w:color="auto"/>
          </w:divBdr>
          <w:divsChild>
            <w:div w:id="1363435949">
              <w:marLeft w:val="0"/>
              <w:marRight w:val="0"/>
              <w:marTop w:val="0"/>
              <w:marBottom w:val="0"/>
              <w:divBdr>
                <w:top w:val="none" w:sz="0" w:space="0" w:color="auto"/>
                <w:left w:val="none" w:sz="0" w:space="0" w:color="auto"/>
                <w:bottom w:val="none" w:sz="0" w:space="0" w:color="auto"/>
                <w:right w:val="none" w:sz="0" w:space="0" w:color="auto"/>
              </w:divBdr>
              <w:divsChild>
                <w:div w:id="19896266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16575590">
      <w:bodyDiv w:val="1"/>
      <w:marLeft w:val="0"/>
      <w:marRight w:val="0"/>
      <w:marTop w:val="0"/>
      <w:marBottom w:val="0"/>
      <w:divBdr>
        <w:top w:val="none" w:sz="0" w:space="0" w:color="auto"/>
        <w:left w:val="none" w:sz="0" w:space="0" w:color="auto"/>
        <w:bottom w:val="none" w:sz="0" w:space="0" w:color="auto"/>
        <w:right w:val="none" w:sz="0" w:space="0" w:color="auto"/>
      </w:divBdr>
      <w:divsChild>
        <w:div w:id="1158375337">
          <w:marLeft w:val="0"/>
          <w:marRight w:val="0"/>
          <w:marTop w:val="0"/>
          <w:marBottom w:val="0"/>
          <w:divBdr>
            <w:top w:val="none" w:sz="0" w:space="0" w:color="auto"/>
            <w:left w:val="none" w:sz="0" w:space="0" w:color="auto"/>
            <w:bottom w:val="none" w:sz="0" w:space="0" w:color="auto"/>
            <w:right w:val="none" w:sz="0" w:space="0" w:color="auto"/>
          </w:divBdr>
          <w:divsChild>
            <w:div w:id="453910045">
              <w:marLeft w:val="0"/>
              <w:marRight w:val="0"/>
              <w:marTop w:val="0"/>
              <w:marBottom w:val="0"/>
              <w:divBdr>
                <w:top w:val="none" w:sz="0" w:space="0" w:color="auto"/>
                <w:left w:val="none" w:sz="0" w:space="0" w:color="auto"/>
                <w:bottom w:val="none" w:sz="0" w:space="0" w:color="auto"/>
                <w:right w:val="none" w:sz="0" w:space="0" w:color="auto"/>
              </w:divBdr>
              <w:divsChild>
                <w:div w:id="1745407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court2applications@supremecourt.vic.gov.au" TargetMode="External"/><Relationship Id="rId2" Type="http://schemas.openxmlformats.org/officeDocument/2006/relationships/customXml" Target="../customXml/item2.xml"/><Relationship Id="rId16" Type="http://schemas.openxmlformats.org/officeDocument/2006/relationships/hyperlink" Target="mailto:court2applications@supremecourt.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court2applications@supremecourt.vic.gov.au"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9B0D7E09265A419F03B6951BDD7ED6" ma:contentTypeVersion="1" ma:contentTypeDescription="Create a new document." ma:contentTypeScope="" ma:versionID="848a964f34604051caabb44acb1cc8b2">
  <xsd:schema xmlns:xsd="http://www.w3.org/2001/XMLSchema" xmlns:xs="http://www.w3.org/2001/XMLSchema" xmlns:p="http://schemas.microsoft.com/office/2006/metadata/properties" xmlns:ns3="079f852e-5e1f-442b-8157-bcfa9a404e25" targetNamespace="http://schemas.microsoft.com/office/2006/metadata/properties" ma:root="true" ma:fieldsID="44cf692a4a842114386482213bcd6353" ns3:_="">
    <xsd:import namespace="079f852e-5e1f-442b-8157-bcfa9a404e2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f852e-5e1f-442b-8157-bcfa9a404e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9D92C-853C-4498-9536-600FE6546CC1}">
  <ds:schemaRefs>
    <ds:schemaRef ds:uri="http://schemas.microsoft.com/office/2006/metadata/longProperties"/>
  </ds:schemaRefs>
</ds:datastoreItem>
</file>

<file path=customXml/itemProps2.xml><?xml version="1.0" encoding="utf-8"?>
<ds:datastoreItem xmlns:ds="http://schemas.openxmlformats.org/officeDocument/2006/customXml" ds:itemID="{FEA99E7F-2431-461D-ACBF-E1E42796F734}">
  <ds:schemaRefs>
    <ds:schemaRef ds:uri="http://schemas.microsoft.com/sharepoint/v3/contenttype/forms"/>
  </ds:schemaRefs>
</ds:datastoreItem>
</file>

<file path=customXml/itemProps3.xml><?xml version="1.0" encoding="utf-8"?>
<ds:datastoreItem xmlns:ds="http://schemas.openxmlformats.org/officeDocument/2006/customXml" ds:itemID="{4E891472-842D-4E4F-8752-F1636490F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f852e-5e1f-442b-8157-bcfa9a404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E42D75-9ECC-44F6-8DE8-9A4FF83FD8DF}">
  <ds:schemaRefs>
    <ds:schemaRef ds:uri="http://purl.org/dc/terms/"/>
    <ds:schemaRef ds:uri="http://purl.org/dc/elements/1.1/"/>
    <ds:schemaRef ds:uri="http://schemas.microsoft.com/office/2006/metadata/properties"/>
    <ds:schemaRef ds:uri="079f852e-5e1f-442b-8157-bcfa9a404e25"/>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D639D719-F599-434A-8D25-50AD12EC9303}">
  <ds:schemaRefs>
    <ds:schemaRef ds:uri="http://schemas.openxmlformats.org/officeDocument/2006/bibliography"/>
  </ds:schemaRefs>
</ds:datastoreItem>
</file>

<file path=customXml/itemProps6.xml><?xml version="1.0" encoding="utf-8"?>
<ds:datastoreItem xmlns:ds="http://schemas.openxmlformats.org/officeDocument/2006/customXml" ds:itemID="{25305E5B-0C76-4ED4-9D6F-2E93B7149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2409</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Practice Note No. 4 of 2015 Major Torts List</vt:lpstr>
    </vt:vector>
  </TitlesOfParts>
  <Company>Supreme Court of Victoria </Company>
  <LinksUpToDate>false</LinksUpToDate>
  <CharactersWithSpaces>14947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4 of 2015 Major Torts List</dc:title>
  <dc:subject/>
  <dc:creator>Supreme Court of Victoria </dc:creator>
  <cp:keywords/>
  <dc:description/>
  <cp:lastModifiedBy>Freya Dougan</cp:lastModifiedBy>
  <cp:revision>3</cp:revision>
  <cp:lastPrinted>2014-10-08T23:52:00Z</cp:lastPrinted>
  <dcterms:created xsi:type="dcterms:W3CDTF">2014-12-08T05:18:00Z</dcterms:created>
  <dcterms:modified xsi:type="dcterms:W3CDTF">2014-12-08T05:21:00Z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