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02" w:rsidRPr="00FB599A" w:rsidRDefault="007B3902" w:rsidP="00D8533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85336" w:rsidRPr="00FB599A" w:rsidRDefault="00D85336" w:rsidP="00D8533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85336" w:rsidRPr="00FB599A" w:rsidRDefault="00D85336" w:rsidP="00D8533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85336" w:rsidRPr="00FB599A" w:rsidRDefault="00D85336" w:rsidP="00D8533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F72F1" w:rsidRPr="00FB599A" w:rsidRDefault="007D0DC7" w:rsidP="00D8533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1933575</wp:posOffset>
            </wp:positionH>
            <wp:positionV relativeFrom="paragraph">
              <wp:posOffset>-868680</wp:posOffset>
            </wp:positionV>
            <wp:extent cx="1323340" cy="1189355"/>
            <wp:effectExtent l="0" t="0" r="0" b="0"/>
            <wp:wrapSquare wrapText="bothSides"/>
            <wp:docPr id="2" name="Picture 3" descr="Description: SCV_R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SCV_Red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B59" w:rsidRPr="00FB599A" w:rsidRDefault="00271B59" w:rsidP="00271B59">
      <w:pPr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  <w:r w:rsidRPr="00FB599A">
        <w:rPr>
          <w:b/>
          <w:bCs/>
          <w:color w:val="000000"/>
          <w:sz w:val="44"/>
          <w:szCs w:val="44"/>
        </w:rPr>
        <w:t xml:space="preserve">Supreme Court of </w:t>
      </w:r>
      <w:smartTag w:uri="urn:schemas-microsoft-com:office:smarttags" w:element="place">
        <w:smartTag w:uri="urn:schemas-microsoft-com:office:smarttags" w:element="State">
          <w:r w:rsidRPr="00FB599A">
            <w:rPr>
              <w:b/>
              <w:bCs/>
              <w:color w:val="000000"/>
              <w:sz w:val="44"/>
              <w:szCs w:val="44"/>
            </w:rPr>
            <w:t>Victoria</w:t>
          </w:r>
        </w:smartTag>
      </w:smartTag>
    </w:p>
    <w:p w:rsidR="00271B59" w:rsidRPr="00FB599A" w:rsidRDefault="00271B59" w:rsidP="00271B59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2"/>
        </w:rPr>
      </w:pPr>
      <w:r w:rsidRPr="00FB599A">
        <w:rPr>
          <w:b/>
          <w:color w:val="000000"/>
          <w:sz w:val="36"/>
          <w:szCs w:val="32"/>
        </w:rPr>
        <w:t>Common Law Division</w:t>
      </w:r>
    </w:p>
    <w:p w:rsidR="00271B59" w:rsidRPr="00FB599A" w:rsidRDefault="00271B59" w:rsidP="00271B59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u w:val="single"/>
        </w:rPr>
      </w:pPr>
    </w:p>
    <w:p w:rsidR="00271B59" w:rsidRPr="00FB599A" w:rsidRDefault="00271B59" w:rsidP="00271B59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</w:rPr>
      </w:pPr>
      <w:r w:rsidRPr="00FB599A">
        <w:rPr>
          <w:b/>
          <w:color w:val="000000"/>
          <w:sz w:val="28"/>
        </w:rPr>
        <w:t>Practice Note No.</w:t>
      </w:r>
      <w:r w:rsidRPr="00FB599A" w:rsidDel="00FD6D10">
        <w:rPr>
          <w:b/>
          <w:color w:val="000000"/>
          <w:sz w:val="28"/>
        </w:rPr>
        <w:t xml:space="preserve"> </w:t>
      </w:r>
      <w:r w:rsidR="00500C70" w:rsidRPr="00FB599A">
        <w:rPr>
          <w:b/>
          <w:color w:val="000000"/>
          <w:sz w:val="28"/>
        </w:rPr>
        <w:t>7 of 2015</w:t>
      </w:r>
    </w:p>
    <w:p w:rsidR="00271B59" w:rsidRPr="00FB599A" w:rsidRDefault="00C93ADB" w:rsidP="00271B59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</w:rPr>
      </w:pPr>
      <w:r w:rsidRPr="00FB599A">
        <w:rPr>
          <w:b/>
          <w:color w:val="000000"/>
          <w:sz w:val="28"/>
        </w:rPr>
        <w:t>Testators Family Maintenance</w:t>
      </w:r>
      <w:r w:rsidR="00271B59" w:rsidRPr="00FB599A">
        <w:rPr>
          <w:b/>
          <w:color w:val="000000"/>
          <w:sz w:val="28"/>
        </w:rPr>
        <w:t xml:space="preserve"> List</w:t>
      </w:r>
    </w:p>
    <w:p w:rsidR="00D85336" w:rsidRPr="00FB599A" w:rsidRDefault="00D85336" w:rsidP="00D85336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8515EE" w:rsidRPr="00FB599A" w:rsidRDefault="00951129" w:rsidP="00FB599A">
      <w:pPr>
        <w:pStyle w:val="Heading1"/>
      </w:pPr>
      <w:r w:rsidRPr="00FB599A">
        <w:t xml:space="preserve">1. </w:t>
      </w:r>
      <w:r w:rsidRPr="00FB599A">
        <w:tab/>
      </w:r>
      <w:r w:rsidR="00C02583" w:rsidRPr="00FB599A">
        <w:t>INTRODUCTION</w:t>
      </w:r>
    </w:p>
    <w:p w:rsidR="00C02583" w:rsidRPr="00FB599A" w:rsidRDefault="00C02583" w:rsidP="00C02583">
      <w:pPr>
        <w:spacing w:line="360" w:lineRule="auto"/>
        <w:jc w:val="both"/>
      </w:pPr>
    </w:p>
    <w:p w:rsidR="00C93ADB" w:rsidRPr="00FB599A" w:rsidRDefault="00951129" w:rsidP="00951129">
      <w:pPr>
        <w:spacing w:line="360" w:lineRule="auto"/>
        <w:ind w:left="720" w:hanging="720"/>
        <w:jc w:val="both"/>
      </w:pPr>
      <w:r w:rsidRPr="00FB599A">
        <w:t>1.1</w:t>
      </w:r>
      <w:r w:rsidRPr="00FB599A">
        <w:tab/>
      </w:r>
      <w:r w:rsidR="00C93ADB" w:rsidRPr="00FB599A">
        <w:t>This Practice Note establishes the Testators Family Maintenance</w:t>
      </w:r>
      <w:r w:rsidRPr="00FB599A">
        <w:t xml:space="preserve"> List </w:t>
      </w:r>
      <w:r w:rsidR="00C93ADB" w:rsidRPr="00FB599A">
        <w:t>(</w:t>
      </w:r>
      <w:r w:rsidR="00C93ADB" w:rsidRPr="00FB599A">
        <w:rPr>
          <w:b/>
          <w:i/>
        </w:rPr>
        <w:t>List</w:t>
      </w:r>
      <w:r w:rsidR="00C93ADB" w:rsidRPr="00FB599A">
        <w:t>) as a specialist case management list within the Common Law Division of the Supreme Court of Victoria (</w:t>
      </w:r>
      <w:r w:rsidR="00C93ADB" w:rsidRPr="00FB599A">
        <w:rPr>
          <w:b/>
          <w:i/>
        </w:rPr>
        <w:t>Court</w:t>
      </w:r>
      <w:r w:rsidR="00C93ADB" w:rsidRPr="00FB599A">
        <w:t>). The procedures set out in this Practice</w:t>
      </w:r>
      <w:r w:rsidR="00A34E7E" w:rsidRPr="00FB599A">
        <w:t xml:space="preserve"> Note will apply from 1 January 2015</w:t>
      </w:r>
      <w:r w:rsidR="00C93ADB" w:rsidRPr="00FB599A">
        <w:t xml:space="preserve"> to relevant proceedings commenced in the Trial Division of the Court.</w:t>
      </w:r>
    </w:p>
    <w:p w:rsidR="00C02583" w:rsidRPr="00FB599A" w:rsidRDefault="00C02583" w:rsidP="00C02583">
      <w:pPr>
        <w:spacing w:line="360" w:lineRule="auto"/>
        <w:ind w:left="720" w:hanging="720"/>
        <w:jc w:val="both"/>
      </w:pPr>
    </w:p>
    <w:p w:rsidR="00C02583" w:rsidRPr="00FB599A" w:rsidRDefault="00C02583" w:rsidP="00305761">
      <w:pPr>
        <w:spacing w:line="360" w:lineRule="auto"/>
        <w:ind w:left="720" w:hanging="720"/>
        <w:jc w:val="both"/>
      </w:pPr>
      <w:r w:rsidRPr="00FB599A">
        <w:t>1.2</w:t>
      </w:r>
      <w:r w:rsidRPr="00FB599A">
        <w:tab/>
        <w:t>The Judge</w:t>
      </w:r>
      <w:r w:rsidR="008846D6" w:rsidRPr="00FB599A">
        <w:t xml:space="preserve"> </w:t>
      </w:r>
      <w:r w:rsidRPr="00FB599A">
        <w:t>in</w:t>
      </w:r>
      <w:r w:rsidR="008846D6" w:rsidRPr="00FB599A">
        <w:t xml:space="preserve"> </w:t>
      </w:r>
      <w:r w:rsidR="00796E2E" w:rsidRPr="00FB599A">
        <w:t xml:space="preserve">Charge of the </w:t>
      </w:r>
      <w:r w:rsidRPr="00FB599A">
        <w:t xml:space="preserve">List </w:t>
      </w:r>
      <w:r w:rsidR="008F374F" w:rsidRPr="00FB599A">
        <w:t>(</w:t>
      </w:r>
      <w:r w:rsidR="008F374F" w:rsidRPr="00FB599A">
        <w:rPr>
          <w:b/>
          <w:i/>
        </w:rPr>
        <w:t>Judge in Charge</w:t>
      </w:r>
      <w:r w:rsidR="008F374F" w:rsidRPr="00FB599A">
        <w:t xml:space="preserve">) </w:t>
      </w:r>
      <w:r w:rsidR="00996F81" w:rsidRPr="00FB599A">
        <w:t>is</w:t>
      </w:r>
      <w:r w:rsidR="007A1449" w:rsidRPr="00FB599A">
        <w:t xml:space="preserve"> Justice </w:t>
      </w:r>
      <w:r w:rsidR="00C93ADB" w:rsidRPr="00FB599A">
        <w:t>McMillan</w:t>
      </w:r>
      <w:r w:rsidR="008846D6" w:rsidRPr="00FB599A">
        <w:t>.</w:t>
      </w:r>
      <w:r w:rsidR="00D31383" w:rsidRPr="00FB599A">
        <w:t xml:space="preserve"> P</w:t>
      </w:r>
      <w:r w:rsidR="008F374F" w:rsidRPr="00FB599A">
        <w:t xml:space="preserve">roceedings in the List </w:t>
      </w:r>
      <w:r w:rsidR="00D31383" w:rsidRPr="00FB599A">
        <w:t>are managed</w:t>
      </w:r>
      <w:r w:rsidR="008F374F" w:rsidRPr="00FB599A">
        <w:t xml:space="preserve"> by</w:t>
      </w:r>
      <w:r w:rsidRPr="00FB599A">
        <w:t xml:space="preserve"> </w:t>
      </w:r>
      <w:r w:rsidR="00852240" w:rsidRPr="00FB599A">
        <w:t>the associate judges</w:t>
      </w:r>
      <w:r w:rsidR="00C46B03" w:rsidRPr="00FB599A">
        <w:t xml:space="preserve"> of the Court.</w:t>
      </w:r>
    </w:p>
    <w:p w:rsidR="007B25DF" w:rsidRPr="00FB599A" w:rsidRDefault="007B25DF" w:rsidP="00C02583">
      <w:pPr>
        <w:spacing w:line="360" w:lineRule="auto"/>
        <w:ind w:left="720" w:hanging="720"/>
        <w:jc w:val="both"/>
      </w:pPr>
    </w:p>
    <w:p w:rsidR="00C02583" w:rsidRPr="00FB599A" w:rsidRDefault="00C02583" w:rsidP="00FB599A">
      <w:pPr>
        <w:pStyle w:val="Heading1"/>
      </w:pPr>
      <w:r w:rsidRPr="00FB599A">
        <w:t>2.</w:t>
      </w:r>
      <w:r w:rsidRPr="00FB599A">
        <w:tab/>
      </w:r>
      <w:r w:rsidR="00C46B03" w:rsidRPr="00FB599A">
        <w:t>PROCEEDINGS</w:t>
      </w:r>
      <w:r w:rsidR="00BC0021" w:rsidRPr="00FB599A">
        <w:t xml:space="preserve"> APPROPRIATE FOR </w:t>
      </w:r>
      <w:r w:rsidRPr="00FB599A">
        <w:t>INCLUSION IN THE LIST</w:t>
      </w:r>
    </w:p>
    <w:p w:rsidR="00C02583" w:rsidRPr="00FB599A" w:rsidRDefault="00C02583" w:rsidP="00C02583">
      <w:pPr>
        <w:spacing w:line="360" w:lineRule="auto"/>
        <w:ind w:left="720" w:hanging="720"/>
        <w:jc w:val="both"/>
      </w:pPr>
    </w:p>
    <w:p w:rsidR="007A1449" w:rsidRPr="00FB599A" w:rsidRDefault="00C02583" w:rsidP="00E32833">
      <w:pPr>
        <w:spacing w:line="360" w:lineRule="auto"/>
        <w:ind w:left="720" w:hanging="720"/>
        <w:jc w:val="both"/>
      </w:pPr>
      <w:r w:rsidRPr="00FB599A">
        <w:t>2.1</w:t>
      </w:r>
      <w:r w:rsidRPr="00FB599A">
        <w:tab/>
      </w:r>
      <w:r w:rsidR="0022239F" w:rsidRPr="00FB599A">
        <w:t>All</w:t>
      </w:r>
      <w:r w:rsidR="00E32833" w:rsidRPr="00FB599A">
        <w:t xml:space="preserve"> application</w:t>
      </w:r>
      <w:r w:rsidR="0022239F" w:rsidRPr="00FB599A">
        <w:t>s for</w:t>
      </w:r>
      <w:r w:rsidR="00E32833" w:rsidRPr="00FB599A">
        <w:t xml:space="preserve"> further provision out of a deceased estate under Part IV of the </w:t>
      </w:r>
      <w:r w:rsidR="00E32833" w:rsidRPr="00FB599A">
        <w:rPr>
          <w:i/>
        </w:rPr>
        <w:t xml:space="preserve">Administration and Probate Act 1958 </w:t>
      </w:r>
      <w:r w:rsidR="0092684B" w:rsidRPr="00FB599A">
        <w:rPr>
          <w:i/>
        </w:rPr>
        <w:t>(</w:t>
      </w:r>
      <w:r w:rsidR="0092684B" w:rsidRPr="00FB599A">
        <w:rPr>
          <w:b/>
          <w:i/>
        </w:rPr>
        <w:t>TFM Application</w:t>
      </w:r>
      <w:r w:rsidR="0092684B" w:rsidRPr="00FB599A">
        <w:rPr>
          <w:i/>
        </w:rPr>
        <w:t xml:space="preserve">) </w:t>
      </w:r>
      <w:r w:rsidR="00E32833" w:rsidRPr="00FB599A">
        <w:t>should be initiated in the List.</w:t>
      </w:r>
    </w:p>
    <w:p w:rsidR="00E32833" w:rsidRPr="00FB599A" w:rsidRDefault="00E32833" w:rsidP="007E2608">
      <w:pPr>
        <w:spacing w:line="360" w:lineRule="auto"/>
        <w:jc w:val="both"/>
      </w:pPr>
    </w:p>
    <w:p w:rsidR="00470A4D" w:rsidRPr="00FB599A" w:rsidRDefault="00E32833" w:rsidP="00DC24A7">
      <w:pPr>
        <w:spacing w:line="360" w:lineRule="auto"/>
        <w:ind w:left="720" w:hanging="720"/>
        <w:jc w:val="both"/>
      </w:pPr>
      <w:r w:rsidRPr="00FB599A">
        <w:t>2.2</w:t>
      </w:r>
      <w:r w:rsidR="00DC24A7" w:rsidRPr="00FB599A">
        <w:tab/>
      </w:r>
      <w:r w:rsidR="00470A4D" w:rsidRPr="00FB599A">
        <w:t xml:space="preserve">However, where the majority of witnesses or parties reside in regional Victoria, the proceeding should be </w:t>
      </w:r>
      <w:r w:rsidR="00661C73" w:rsidRPr="00FB599A">
        <w:t>initiated in</w:t>
      </w:r>
      <w:r w:rsidR="00470A4D" w:rsidRPr="00FB599A">
        <w:t xml:space="preserve"> the </w:t>
      </w:r>
      <w:r w:rsidR="00470A4D" w:rsidRPr="00FB599A">
        <w:rPr>
          <w:b/>
        </w:rPr>
        <w:t>Civil Circuit List</w:t>
      </w:r>
      <w:r w:rsidR="00470A4D" w:rsidRPr="00FB599A">
        <w:t xml:space="preserve"> (see </w:t>
      </w:r>
      <w:r w:rsidR="00470A4D" w:rsidRPr="00FB599A">
        <w:rPr>
          <w:i/>
        </w:rPr>
        <w:t xml:space="preserve">Practice Note No. </w:t>
      </w:r>
      <w:r w:rsidR="00686E5B">
        <w:rPr>
          <w:i/>
        </w:rPr>
        <w:t>1</w:t>
      </w:r>
      <w:bookmarkStart w:id="0" w:name="_GoBack"/>
      <w:bookmarkEnd w:id="0"/>
      <w:r w:rsidR="00470A4D" w:rsidRPr="00FB599A">
        <w:rPr>
          <w:i/>
        </w:rPr>
        <w:t xml:space="preserve"> of 2015</w:t>
      </w:r>
      <w:r w:rsidR="00470A4D" w:rsidRPr="00FB599A">
        <w:t>).</w:t>
      </w:r>
    </w:p>
    <w:p w:rsidR="008F374F" w:rsidRPr="00FB599A" w:rsidRDefault="008F374F" w:rsidP="00DC24A7">
      <w:pPr>
        <w:spacing w:line="360" w:lineRule="auto"/>
        <w:ind w:left="720" w:hanging="720"/>
        <w:jc w:val="both"/>
      </w:pPr>
    </w:p>
    <w:p w:rsidR="00BC0021" w:rsidRPr="00FB599A" w:rsidRDefault="00BC0021" w:rsidP="00FB599A">
      <w:pPr>
        <w:pStyle w:val="Heading1"/>
      </w:pPr>
      <w:r w:rsidRPr="00FB599A">
        <w:lastRenderedPageBreak/>
        <w:t>3.</w:t>
      </w:r>
      <w:r w:rsidRPr="00FB599A">
        <w:tab/>
        <w:t>PROCEDURE FOR ENTRY INTO THE LIST</w:t>
      </w:r>
    </w:p>
    <w:p w:rsidR="00BC0021" w:rsidRPr="00FB599A" w:rsidRDefault="00BC0021" w:rsidP="00DC24A7">
      <w:pPr>
        <w:spacing w:line="360" w:lineRule="auto"/>
        <w:ind w:left="720" w:hanging="720"/>
        <w:jc w:val="both"/>
      </w:pPr>
    </w:p>
    <w:p w:rsidR="00DC24A7" w:rsidRPr="00FB599A" w:rsidRDefault="00BC0021" w:rsidP="00DC24A7">
      <w:pPr>
        <w:spacing w:line="360" w:lineRule="auto"/>
        <w:ind w:left="720" w:hanging="720"/>
        <w:jc w:val="both"/>
      </w:pPr>
      <w:r w:rsidRPr="00FB599A">
        <w:t>3.1</w:t>
      </w:r>
      <w:r w:rsidR="00470A4D" w:rsidRPr="00FB599A">
        <w:tab/>
      </w:r>
      <w:r w:rsidR="00F329CD" w:rsidRPr="00FB599A">
        <w:t>TFM Applications</w:t>
      </w:r>
      <w:r w:rsidR="00DC24A7" w:rsidRPr="00FB599A">
        <w:t xml:space="preserve"> should be initiated in the List by endorsing the heading of </w:t>
      </w:r>
      <w:r w:rsidR="00796E2E" w:rsidRPr="00FB599A">
        <w:t>t</w:t>
      </w:r>
      <w:r w:rsidR="001F002A" w:rsidRPr="00FB599A">
        <w:t>he originating motion</w:t>
      </w:r>
      <w:r w:rsidR="00796E2E" w:rsidRPr="00FB599A">
        <w:t xml:space="preserve"> “</w:t>
      </w:r>
      <w:r w:rsidR="00E32833" w:rsidRPr="00FB599A">
        <w:t>Testators Family Maintenance List</w:t>
      </w:r>
      <w:r w:rsidR="00DC24A7" w:rsidRPr="00FB599A">
        <w:t xml:space="preserve">”. The heading of all subsequent documents filed in the proceeding </w:t>
      </w:r>
      <w:r w:rsidR="00796E2E" w:rsidRPr="00FB599A">
        <w:t>should also be endorsed “</w:t>
      </w:r>
      <w:r w:rsidR="00E32833" w:rsidRPr="00FB599A">
        <w:t>Testators Family Maintenance List</w:t>
      </w:r>
      <w:r w:rsidR="00DC24A7" w:rsidRPr="00FB599A">
        <w:t>”.</w:t>
      </w:r>
    </w:p>
    <w:p w:rsidR="00DC24A7" w:rsidRPr="00FB599A" w:rsidRDefault="00DC24A7" w:rsidP="001913C5">
      <w:pPr>
        <w:spacing w:line="360" w:lineRule="auto"/>
        <w:ind w:left="720" w:hanging="720"/>
        <w:jc w:val="both"/>
      </w:pPr>
    </w:p>
    <w:p w:rsidR="00DC24A7" w:rsidRPr="00FB599A" w:rsidRDefault="00BC0021" w:rsidP="00DC24A7">
      <w:pPr>
        <w:spacing w:line="360" w:lineRule="auto"/>
        <w:ind w:left="720" w:hanging="720"/>
        <w:jc w:val="both"/>
      </w:pPr>
      <w:r w:rsidRPr="00FB599A">
        <w:t>3.2</w:t>
      </w:r>
      <w:r w:rsidR="00DC24A7" w:rsidRPr="00FB599A">
        <w:tab/>
        <w:t xml:space="preserve">If </w:t>
      </w:r>
      <w:r w:rsidR="00EF5C7D" w:rsidRPr="00FB599A">
        <w:t>at any time after the initiation</w:t>
      </w:r>
      <w:r w:rsidR="00DC24A7" w:rsidRPr="00FB599A">
        <w:t xml:space="preserve"> of a proceeding it appea</w:t>
      </w:r>
      <w:r w:rsidR="00796E2E" w:rsidRPr="00FB599A">
        <w:t xml:space="preserve">rs to the Court that it is </w:t>
      </w:r>
      <w:r w:rsidR="00DC24A7" w:rsidRPr="00FB599A">
        <w:t xml:space="preserve">appropriate to have the proceeding </w:t>
      </w:r>
      <w:r w:rsidR="00AB0023" w:rsidRPr="00FB599A">
        <w:t>managed</w:t>
      </w:r>
      <w:r w:rsidR="00DC24A7" w:rsidRPr="00FB599A">
        <w:t xml:space="preserve"> in the List, the proceeding may be transferred </w:t>
      </w:r>
      <w:r w:rsidR="004F61E8" w:rsidRPr="00FB599A">
        <w:t>in</w:t>
      </w:r>
      <w:r w:rsidR="00DC24A7" w:rsidRPr="00FB599A">
        <w:t>to the List</w:t>
      </w:r>
      <w:r w:rsidR="00DF4878" w:rsidRPr="00FB599A">
        <w:t xml:space="preserve"> on the Court’s own motion</w:t>
      </w:r>
      <w:r w:rsidR="00DC24A7" w:rsidRPr="00FB599A">
        <w:t>.</w:t>
      </w:r>
    </w:p>
    <w:p w:rsidR="00796E2E" w:rsidRPr="00FB599A" w:rsidRDefault="00796E2E" w:rsidP="00DC24A7">
      <w:pPr>
        <w:spacing w:line="360" w:lineRule="auto"/>
        <w:ind w:left="720" w:hanging="720"/>
        <w:jc w:val="both"/>
      </w:pPr>
    </w:p>
    <w:p w:rsidR="00796E2E" w:rsidRPr="00FB599A" w:rsidRDefault="00BC0021" w:rsidP="00DC24A7">
      <w:pPr>
        <w:spacing w:line="360" w:lineRule="auto"/>
        <w:ind w:left="720" w:hanging="720"/>
        <w:jc w:val="both"/>
      </w:pPr>
      <w:r w:rsidRPr="00FB599A">
        <w:t>3.3</w:t>
      </w:r>
      <w:r w:rsidR="00796E2E" w:rsidRPr="00FB599A">
        <w:tab/>
        <w:t xml:space="preserve">Conversely, a proceeding initiated in the List </w:t>
      </w:r>
      <w:r w:rsidR="004F61E8" w:rsidRPr="00FB599A">
        <w:t xml:space="preserve">may be transferred out of the List on the Court’s own motion if it appears to the Court that it is appropriate to have the proceeding </w:t>
      </w:r>
      <w:r w:rsidR="00AB0023" w:rsidRPr="00FB599A">
        <w:t>managed</w:t>
      </w:r>
      <w:r w:rsidR="00D31383" w:rsidRPr="00FB599A">
        <w:t xml:space="preserve"> in a different</w:t>
      </w:r>
      <w:r w:rsidR="004F61E8" w:rsidRPr="00FB599A">
        <w:t xml:space="preserve"> list.</w:t>
      </w:r>
    </w:p>
    <w:p w:rsidR="00014B10" w:rsidRPr="00FB599A" w:rsidRDefault="00014B10" w:rsidP="00CB2EDD">
      <w:pPr>
        <w:spacing w:line="360" w:lineRule="auto"/>
        <w:jc w:val="both"/>
      </w:pPr>
    </w:p>
    <w:p w:rsidR="00CB2EDD" w:rsidRPr="00FB599A" w:rsidRDefault="00BC0021" w:rsidP="00CF5F3A">
      <w:pPr>
        <w:spacing w:line="360" w:lineRule="auto"/>
        <w:ind w:left="720" w:hanging="720"/>
        <w:jc w:val="both"/>
      </w:pPr>
      <w:r w:rsidRPr="00FB599A">
        <w:t>3.4</w:t>
      </w:r>
      <w:r w:rsidR="00CB2EDD" w:rsidRPr="00FB599A">
        <w:tab/>
        <w:t xml:space="preserve">No additional fees will be payable for the inclusion of </w:t>
      </w:r>
      <w:r w:rsidR="004F61E8" w:rsidRPr="00FB599A">
        <w:t>a proceeding</w:t>
      </w:r>
      <w:r w:rsidR="00CB2EDD" w:rsidRPr="00FB599A">
        <w:t xml:space="preserve"> in the List.</w:t>
      </w:r>
    </w:p>
    <w:p w:rsidR="00CB2EDD" w:rsidRPr="00FB599A" w:rsidRDefault="00CB2EDD" w:rsidP="00CB2EDD">
      <w:pPr>
        <w:spacing w:line="360" w:lineRule="auto"/>
        <w:jc w:val="both"/>
      </w:pPr>
    </w:p>
    <w:p w:rsidR="00E32833" w:rsidRPr="00FB599A" w:rsidRDefault="00BC0021" w:rsidP="00FB599A">
      <w:pPr>
        <w:pStyle w:val="Heading1"/>
      </w:pPr>
      <w:r w:rsidRPr="00FB599A">
        <w:t>4</w:t>
      </w:r>
      <w:r w:rsidR="00CB2EDD" w:rsidRPr="00FB599A">
        <w:t>.</w:t>
      </w:r>
      <w:r w:rsidR="00CB2EDD" w:rsidRPr="00FB599A">
        <w:tab/>
      </w:r>
      <w:r w:rsidR="006E4F49" w:rsidRPr="00FB599A">
        <w:t>INITIATING DOCUMENTS</w:t>
      </w:r>
    </w:p>
    <w:p w:rsidR="00E32833" w:rsidRPr="00FB599A" w:rsidRDefault="00E32833" w:rsidP="00E32833">
      <w:pPr>
        <w:spacing w:line="360" w:lineRule="auto"/>
        <w:ind w:left="720" w:hanging="720"/>
        <w:contextualSpacing/>
        <w:jc w:val="both"/>
      </w:pPr>
    </w:p>
    <w:p w:rsidR="00E32833" w:rsidRPr="00FB599A" w:rsidRDefault="00BC0021" w:rsidP="00E32833">
      <w:pPr>
        <w:spacing w:line="360" w:lineRule="auto"/>
        <w:ind w:left="720" w:hanging="720"/>
        <w:contextualSpacing/>
        <w:jc w:val="both"/>
      </w:pPr>
      <w:r w:rsidRPr="00FB599A">
        <w:t>4</w:t>
      </w:r>
      <w:r w:rsidR="00E32833" w:rsidRPr="00FB599A">
        <w:t>.1</w:t>
      </w:r>
      <w:r w:rsidR="00E32833" w:rsidRPr="00FB599A">
        <w:tab/>
      </w:r>
      <w:r w:rsidR="00F329CD" w:rsidRPr="00FB599A">
        <w:t>The originating motion initiating the TFM Application should include</w:t>
      </w:r>
      <w:r w:rsidR="0092684B" w:rsidRPr="00FB599A">
        <w:t xml:space="preserve"> the following information</w:t>
      </w:r>
      <w:r w:rsidR="00E32833" w:rsidRPr="00FB599A">
        <w:t>:</w:t>
      </w:r>
    </w:p>
    <w:p w:rsidR="00E32833" w:rsidRPr="00FB599A" w:rsidRDefault="00E32833" w:rsidP="00E32833">
      <w:pPr>
        <w:numPr>
          <w:ilvl w:val="0"/>
          <w:numId w:val="19"/>
        </w:numPr>
        <w:spacing w:line="360" w:lineRule="auto"/>
        <w:contextualSpacing/>
        <w:jc w:val="both"/>
      </w:pPr>
      <w:r w:rsidRPr="00FB599A">
        <w:t>The date of the death of the deceased in respect of whose estate the application is made;</w:t>
      </w:r>
    </w:p>
    <w:p w:rsidR="00E32833" w:rsidRPr="00FB599A" w:rsidRDefault="0092684B" w:rsidP="00E32833">
      <w:pPr>
        <w:numPr>
          <w:ilvl w:val="0"/>
          <w:numId w:val="19"/>
        </w:numPr>
        <w:spacing w:line="360" w:lineRule="auto"/>
        <w:contextualSpacing/>
        <w:jc w:val="both"/>
      </w:pPr>
      <w:r w:rsidRPr="00FB599A">
        <w:t>The date of the will (</w:t>
      </w:r>
      <w:r w:rsidR="00E32833" w:rsidRPr="00FB599A">
        <w:t>if any</w:t>
      </w:r>
      <w:r w:rsidRPr="00FB599A">
        <w:t>)</w:t>
      </w:r>
      <w:r w:rsidR="00E32833" w:rsidRPr="00FB599A">
        <w:t xml:space="preserve">; </w:t>
      </w:r>
    </w:p>
    <w:p w:rsidR="00E32833" w:rsidRPr="00FB599A" w:rsidRDefault="00E32833" w:rsidP="00E32833">
      <w:pPr>
        <w:numPr>
          <w:ilvl w:val="0"/>
          <w:numId w:val="19"/>
        </w:numPr>
        <w:spacing w:line="360" w:lineRule="auto"/>
        <w:contextualSpacing/>
        <w:jc w:val="both"/>
      </w:pPr>
      <w:r w:rsidRPr="00FB599A">
        <w:t>The date of grant of probate of the will, or of letters of administration of the estate, of the deceased;</w:t>
      </w:r>
    </w:p>
    <w:p w:rsidR="00E32833" w:rsidRPr="00FB599A" w:rsidRDefault="00E32833" w:rsidP="00E32833">
      <w:pPr>
        <w:numPr>
          <w:ilvl w:val="0"/>
          <w:numId w:val="19"/>
        </w:numPr>
        <w:spacing w:line="360" w:lineRule="auto"/>
        <w:contextualSpacing/>
        <w:jc w:val="both"/>
      </w:pPr>
      <w:r w:rsidRPr="00FB599A">
        <w:t xml:space="preserve">The relationship of the plaintiff to the deceased; </w:t>
      </w:r>
      <w:r w:rsidR="0092684B" w:rsidRPr="00FB599A">
        <w:t>and</w:t>
      </w:r>
    </w:p>
    <w:p w:rsidR="00E32833" w:rsidRPr="00FB599A" w:rsidRDefault="00E32833" w:rsidP="00E32833">
      <w:pPr>
        <w:numPr>
          <w:ilvl w:val="0"/>
          <w:numId w:val="19"/>
        </w:numPr>
        <w:spacing w:line="360" w:lineRule="auto"/>
        <w:contextualSpacing/>
        <w:jc w:val="both"/>
      </w:pPr>
      <w:r w:rsidRPr="00FB599A">
        <w:t>The value of the estate as set out in the inventory of assets.</w:t>
      </w:r>
    </w:p>
    <w:p w:rsidR="006E4F49" w:rsidRPr="00FB599A" w:rsidRDefault="006E4F49" w:rsidP="006E4F49">
      <w:pPr>
        <w:pStyle w:val="NormalWeb"/>
        <w:spacing w:after="0" w:line="360" w:lineRule="auto"/>
        <w:contextualSpacing/>
        <w:rPr>
          <w:sz w:val="24"/>
          <w:szCs w:val="24"/>
        </w:rPr>
      </w:pPr>
    </w:p>
    <w:p w:rsidR="006E4F49" w:rsidRPr="00FB599A" w:rsidRDefault="00BC0021" w:rsidP="006E4F49">
      <w:pPr>
        <w:pStyle w:val="NormalWeb"/>
        <w:spacing w:after="0" w:line="360" w:lineRule="auto"/>
        <w:ind w:left="720" w:hanging="720"/>
        <w:contextualSpacing/>
        <w:rPr>
          <w:sz w:val="24"/>
          <w:szCs w:val="24"/>
        </w:rPr>
      </w:pPr>
      <w:r w:rsidRPr="00FB599A">
        <w:rPr>
          <w:sz w:val="24"/>
          <w:szCs w:val="24"/>
        </w:rPr>
        <w:t>4</w:t>
      </w:r>
      <w:r w:rsidR="006E4F49" w:rsidRPr="00FB599A">
        <w:rPr>
          <w:sz w:val="24"/>
          <w:szCs w:val="24"/>
        </w:rPr>
        <w:t>.2</w:t>
      </w:r>
      <w:r w:rsidR="006E4F49" w:rsidRPr="00FB599A">
        <w:rPr>
          <w:sz w:val="24"/>
          <w:szCs w:val="24"/>
        </w:rPr>
        <w:tab/>
        <w:t xml:space="preserve"> Solicitors with conduct of proceedings in the List are reminded of the certification requirements pursuant to Part 4.1 of the </w:t>
      </w:r>
      <w:r w:rsidR="006E4F49" w:rsidRPr="00FB599A">
        <w:rPr>
          <w:i/>
          <w:sz w:val="24"/>
          <w:szCs w:val="24"/>
        </w:rPr>
        <w:t>Civil Procedure Act 2010</w:t>
      </w:r>
      <w:r w:rsidR="006E4F49" w:rsidRPr="00FB599A">
        <w:rPr>
          <w:sz w:val="24"/>
          <w:szCs w:val="24"/>
        </w:rPr>
        <w:t xml:space="preserve">. </w:t>
      </w:r>
    </w:p>
    <w:p w:rsidR="00E32833" w:rsidRPr="00FB599A" w:rsidRDefault="00E32833" w:rsidP="00CB2EDD">
      <w:pPr>
        <w:spacing w:line="360" w:lineRule="auto"/>
        <w:ind w:left="720" w:hanging="720"/>
        <w:jc w:val="both"/>
        <w:rPr>
          <w:b/>
        </w:rPr>
      </w:pPr>
    </w:p>
    <w:p w:rsidR="00CB2EDD" w:rsidRPr="00FB599A" w:rsidRDefault="00BC0021" w:rsidP="00FB599A">
      <w:pPr>
        <w:pStyle w:val="Heading1"/>
      </w:pPr>
      <w:r w:rsidRPr="00FB599A">
        <w:lastRenderedPageBreak/>
        <w:t>5</w:t>
      </w:r>
      <w:r w:rsidR="00462341" w:rsidRPr="00FB599A">
        <w:t>.</w:t>
      </w:r>
      <w:r w:rsidR="00462341" w:rsidRPr="00FB599A">
        <w:tab/>
      </w:r>
      <w:r w:rsidR="00CB2EDD" w:rsidRPr="00FB599A">
        <w:t xml:space="preserve">FIRST DIRECTIONS HEARING </w:t>
      </w:r>
    </w:p>
    <w:p w:rsidR="00CB2EDD" w:rsidRPr="00FB599A" w:rsidRDefault="00CB2EDD" w:rsidP="00CB2EDD">
      <w:pPr>
        <w:spacing w:line="360" w:lineRule="auto"/>
        <w:ind w:left="720" w:hanging="720"/>
        <w:jc w:val="both"/>
      </w:pPr>
    </w:p>
    <w:p w:rsidR="00462341" w:rsidRPr="00FB599A" w:rsidRDefault="00BC0021" w:rsidP="0092684B">
      <w:pPr>
        <w:spacing w:line="360" w:lineRule="auto"/>
        <w:ind w:left="720" w:hanging="720"/>
        <w:jc w:val="both"/>
      </w:pPr>
      <w:r w:rsidRPr="00FB599A">
        <w:t>5</w:t>
      </w:r>
      <w:r w:rsidR="00CB2EDD" w:rsidRPr="00FB599A">
        <w:t>.1</w:t>
      </w:r>
      <w:r w:rsidR="00CB2EDD" w:rsidRPr="00FB599A">
        <w:tab/>
      </w:r>
      <w:r w:rsidR="0092684B" w:rsidRPr="00FB599A">
        <w:t xml:space="preserve">Pursuant to rule 16.06 of the </w:t>
      </w:r>
      <w:r w:rsidR="0092684B" w:rsidRPr="00FB599A">
        <w:rPr>
          <w:i/>
        </w:rPr>
        <w:t>Supreme Court (Miscellaneous Civil Proceedings) Rules 2008 (</w:t>
      </w:r>
      <w:r w:rsidR="0092684B" w:rsidRPr="00FB599A">
        <w:rPr>
          <w:b/>
          <w:i/>
        </w:rPr>
        <w:t>Rules</w:t>
      </w:r>
      <w:r w:rsidR="0092684B" w:rsidRPr="00FB599A">
        <w:rPr>
          <w:i/>
        </w:rPr>
        <w:t>)</w:t>
      </w:r>
      <w:r w:rsidR="0092684B" w:rsidRPr="00FB599A">
        <w:t>, the plaintiff should issue a summons for a first directions hearing within seven days after the time limited for an appearance. D</w:t>
      </w:r>
      <w:r w:rsidR="00462341" w:rsidRPr="00FB599A">
        <w:t>irecti</w:t>
      </w:r>
      <w:r w:rsidR="0092684B" w:rsidRPr="00FB599A">
        <w:t>ons hearings</w:t>
      </w:r>
      <w:r w:rsidR="00462341" w:rsidRPr="00FB599A">
        <w:t xml:space="preserve"> </w:t>
      </w:r>
      <w:r w:rsidR="0092684B" w:rsidRPr="00FB599A">
        <w:t xml:space="preserve">in TFM Applications </w:t>
      </w:r>
      <w:r w:rsidR="00462341" w:rsidRPr="00FB599A">
        <w:t>are held</w:t>
      </w:r>
      <w:r w:rsidR="000118D6" w:rsidRPr="00FB599A">
        <w:t xml:space="preserve"> on every second Tuesday</w:t>
      </w:r>
      <w:r w:rsidR="00462341" w:rsidRPr="00FB599A">
        <w:t xml:space="preserve"> </w:t>
      </w:r>
      <w:r w:rsidR="000118D6" w:rsidRPr="00FB599A">
        <w:t>d</w:t>
      </w:r>
      <w:r w:rsidR="0092684B" w:rsidRPr="00FB599A">
        <w:t>uring the Court sitting terms</w:t>
      </w:r>
      <w:r w:rsidR="0093758C" w:rsidRPr="00FB599A">
        <w:t xml:space="preserve"> (</w:t>
      </w:r>
      <w:r w:rsidR="0093758C" w:rsidRPr="00FB599A">
        <w:rPr>
          <w:b/>
          <w:i/>
        </w:rPr>
        <w:t>List directions</w:t>
      </w:r>
      <w:r w:rsidR="00D31383" w:rsidRPr="00FB599A">
        <w:rPr>
          <w:b/>
          <w:i/>
        </w:rPr>
        <w:t xml:space="preserve"> day</w:t>
      </w:r>
      <w:r w:rsidR="0093758C" w:rsidRPr="00FB599A">
        <w:t>)</w:t>
      </w:r>
      <w:r w:rsidR="00462341" w:rsidRPr="00FB599A">
        <w:t xml:space="preserve">.  </w:t>
      </w:r>
    </w:p>
    <w:p w:rsidR="00462341" w:rsidRPr="00FB599A" w:rsidRDefault="00462341" w:rsidP="00462341">
      <w:pPr>
        <w:spacing w:line="360" w:lineRule="auto"/>
        <w:ind w:left="720" w:hanging="720"/>
        <w:jc w:val="both"/>
      </w:pPr>
    </w:p>
    <w:p w:rsidR="00462341" w:rsidRPr="00FB599A" w:rsidRDefault="00BC0021" w:rsidP="007C3A8C">
      <w:pPr>
        <w:spacing w:line="360" w:lineRule="auto"/>
        <w:ind w:left="720" w:hanging="720"/>
        <w:jc w:val="both"/>
      </w:pPr>
      <w:r w:rsidRPr="00FB599A">
        <w:t>5</w:t>
      </w:r>
      <w:r w:rsidR="00462341" w:rsidRPr="00FB599A">
        <w:t>.2</w:t>
      </w:r>
      <w:r w:rsidR="00462341" w:rsidRPr="00FB599A">
        <w:tab/>
        <w:t>Prior to the first directions hearing, the plaintiff must file and serve:</w:t>
      </w:r>
    </w:p>
    <w:p w:rsidR="00F329CD" w:rsidRPr="00FB599A" w:rsidRDefault="00F329CD" w:rsidP="00462341">
      <w:pPr>
        <w:numPr>
          <w:ilvl w:val="0"/>
          <w:numId w:val="20"/>
        </w:numPr>
        <w:spacing w:line="360" w:lineRule="auto"/>
        <w:jc w:val="both"/>
      </w:pPr>
      <w:r w:rsidRPr="00FB599A">
        <w:t>Either:</w:t>
      </w:r>
    </w:p>
    <w:p w:rsidR="007C3A8C" w:rsidRPr="00FB599A" w:rsidRDefault="007C3A8C" w:rsidP="0093758C">
      <w:pPr>
        <w:numPr>
          <w:ilvl w:val="1"/>
          <w:numId w:val="31"/>
        </w:numPr>
        <w:spacing w:line="360" w:lineRule="auto"/>
        <w:jc w:val="both"/>
      </w:pPr>
      <w:r w:rsidRPr="00FB599A">
        <w:t>Where the value</w:t>
      </w:r>
      <w:r w:rsidR="00F329CD" w:rsidRPr="00FB599A">
        <w:t xml:space="preserve"> of the estate exceeds $500,000 –</w:t>
      </w:r>
      <w:r w:rsidRPr="00FB599A">
        <w:t xml:space="preserve"> an</w:t>
      </w:r>
      <w:r w:rsidR="00462341" w:rsidRPr="00FB599A">
        <w:t xml:space="preserve"> affidavit of the plaintiff </w:t>
      </w:r>
      <w:r w:rsidRPr="00FB599A">
        <w:t xml:space="preserve">including the matters set out in </w:t>
      </w:r>
      <w:r w:rsidRPr="00FB599A">
        <w:rPr>
          <w:b/>
        </w:rPr>
        <w:t>Schedule 1</w:t>
      </w:r>
      <w:r w:rsidRPr="00FB599A">
        <w:t>;</w:t>
      </w:r>
      <w:r w:rsidR="00F329CD" w:rsidRPr="00FB599A">
        <w:t xml:space="preserve"> or</w:t>
      </w:r>
    </w:p>
    <w:p w:rsidR="00462341" w:rsidRPr="00FB599A" w:rsidRDefault="00462341" w:rsidP="0093758C">
      <w:pPr>
        <w:numPr>
          <w:ilvl w:val="1"/>
          <w:numId w:val="31"/>
        </w:numPr>
        <w:spacing w:line="360" w:lineRule="auto"/>
        <w:jc w:val="both"/>
      </w:pPr>
      <w:r w:rsidRPr="00FB599A">
        <w:t>Where the value of the e</w:t>
      </w:r>
      <w:r w:rsidR="00F329CD" w:rsidRPr="00FB599A">
        <w:t xml:space="preserve">state is less than $500,000 – </w:t>
      </w:r>
      <w:r w:rsidRPr="00FB599A">
        <w:t xml:space="preserve">a position statement </w:t>
      </w:r>
      <w:r w:rsidR="007C3A8C" w:rsidRPr="00FB599A">
        <w:t xml:space="preserve">including the matters set out in </w:t>
      </w:r>
      <w:r w:rsidR="007C3A8C" w:rsidRPr="00FB599A">
        <w:rPr>
          <w:b/>
        </w:rPr>
        <w:t>Schedule 1</w:t>
      </w:r>
      <w:r w:rsidRPr="00FB599A">
        <w:t>; and</w:t>
      </w:r>
    </w:p>
    <w:p w:rsidR="00462341" w:rsidRPr="00FB599A" w:rsidRDefault="00462341" w:rsidP="00462341">
      <w:pPr>
        <w:numPr>
          <w:ilvl w:val="0"/>
          <w:numId w:val="20"/>
        </w:numPr>
        <w:spacing w:line="360" w:lineRule="auto"/>
        <w:jc w:val="both"/>
      </w:pPr>
      <w:r w:rsidRPr="00FB599A">
        <w:t xml:space="preserve">An affidavit of the plaintiff’s solicitor estimating the costs and disbursements calculated on the standard basis up to and including </w:t>
      </w:r>
      <w:r w:rsidR="007C3A8C" w:rsidRPr="00FB599A">
        <w:t xml:space="preserve">the </w:t>
      </w:r>
      <w:r w:rsidRPr="00FB599A">
        <w:t xml:space="preserve">completion of mediation. </w:t>
      </w:r>
    </w:p>
    <w:p w:rsidR="009F1D8F" w:rsidRPr="00FB599A" w:rsidRDefault="009F1D8F" w:rsidP="009F1D8F">
      <w:pPr>
        <w:spacing w:line="360" w:lineRule="auto"/>
        <w:jc w:val="both"/>
      </w:pPr>
    </w:p>
    <w:p w:rsidR="00D31383" w:rsidRPr="00FB599A" w:rsidRDefault="00D31383" w:rsidP="00D31383">
      <w:pPr>
        <w:spacing w:line="360" w:lineRule="auto"/>
        <w:ind w:left="720" w:hanging="720"/>
        <w:jc w:val="both"/>
      </w:pPr>
      <w:r w:rsidRPr="00FB599A">
        <w:t>5.3</w:t>
      </w:r>
      <w:r w:rsidRPr="00FB599A">
        <w:tab/>
        <w:t xml:space="preserve">Parties are expected to confer in advance of the first directions hearing for the purpose of providing the Court with a timetable for the interlocutory progress of the proceeding. A pro forma set of directions is at </w:t>
      </w:r>
      <w:r w:rsidRPr="00FB599A">
        <w:rPr>
          <w:b/>
        </w:rPr>
        <w:t>Schedule 2</w:t>
      </w:r>
      <w:r w:rsidRPr="00FB599A">
        <w:t>.</w:t>
      </w:r>
    </w:p>
    <w:p w:rsidR="00D31383" w:rsidRPr="00FB599A" w:rsidRDefault="00D31383" w:rsidP="00462341">
      <w:pPr>
        <w:spacing w:line="360" w:lineRule="auto"/>
        <w:jc w:val="both"/>
      </w:pPr>
    </w:p>
    <w:p w:rsidR="00F329CD" w:rsidRPr="00FB599A" w:rsidRDefault="00BC0021" w:rsidP="00462341">
      <w:pPr>
        <w:spacing w:line="360" w:lineRule="auto"/>
        <w:ind w:left="720" w:hanging="720"/>
        <w:jc w:val="both"/>
      </w:pPr>
      <w:r w:rsidRPr="00FB599A">
        <w:t>5</w:t>
      </w:r>
      <w:r w:rsidR="00D31383" w:rsidRPr="00FB599A">
        <w:t>.4</w:t>
      </w:r>
      <w:r w:rsidR="00462341" w:rsidRPr="00FB599A">
        <w:tab/>
      </w:r>
      <w:r w:rsidR="00F329CD" w:rsidRPr="00FB599A">
        <w:t>Attendance at a</w:t>
      </w:r>
      <w:r w:rsidR="007C3A8C" w:rsidRPr="00FB599A">
        <w:t xml:space="preserve"> first directions hea</w:t>
      </w:r>
      <w:r w:rsidR="00F329CD" w:rsidRPr="00FB599A">
        <w:t>ring is required by all parties. Orders</w:t>
      </w:r>
      <w:r w:rsidR="00A5551B" w:rsidRPr="00FB599A">
        <w:t xml:space="preserve"> will not be made </w:t>
      </w:r>
      <w:r w:rsidR="007C3A8C" w:rsidRPr="00FB599A">
        <w:t>on the pap</w:t>
      </w:r>
      <w:r w:rsidR="00F329CD" w:rsidRPr="00FB599A">
        <w:t>e</w:t>
      </w:r>
      <w:r w:rsidR="00A5551B" w:rsidRPr="00FB599A">
        <w:t>rs</w:t>
      </w:r>
      <w:r w:rsidR="00F329CD" w:rsidRPr="00FB599A">
        <w:t xml:space="preserve"> in advance of the hearing.</w:t>
      </w:r>
    </w:p>
    <w:p w:rsidR="00F329CD" w:rsidRPr="00FB599A" w:rsidRDefault="00F329CD" w:rsidP="005F02B1">
      <w:pPr>
        <w:spacing w:line="360" w:lineRule="auto"/>
        <w:ind w:left="720" w:hanging="720"/>
        <w:jc w:val="both"/>
      </w:pPr>
    </w:p>
    <w:p w:rsidR="00933F05" w:rsidRPr="00FB599A" w:rsidRDefault="00BC0021" w:rsidP="00965444">
      <w:pPr>
        <w:spacing w:line="360" w:lineRule="auto"/>
        <w:ind w:left="720" w:hanging="720"/>
        <w:contextualSpacing/>
        <w:jc w:val="both"/>
      </w:pPr>
      <w:r w:rsidRPr="00FB599A">
        <w:t>5</w:t>
      </w:r>
      <w:r w:rsidR="00965444" w:rsidRPr="00FB599A">
        <w:t>.5</w:t>
      </w:r>
      <w:r w:rsidR="00965444" w:rsidRPr="00FB599A">
        <w:tab/>
      </w:r>
      <w:r w:rsidR="00933F05" w:rsidRPr="00FB599A">
        <w:t>At the first directions hearing, the p</w:t>
      </w:r>
      <w:r w:rsidR="00F40BF2" w:rsidRPr="00FB599A">
        <w:t>laintiff is expected to specify</w:t>
      </w:r>
      <w:r w:rsidR="00933F05" w:rsidRPr="00FB599A">
        <w:t xml:space="preserve"> the extent of further provision sought</w:t>
      </w:r>
      <w:r w:rsidR="00E6312A" w:rsidRPr="00FB599A">
        <w:t xml:space="preserve"> from the e</w:t>
      </w:r>
      <w:r w:rsidR="00EA62F0" w:rsidRPr="00FB599A">
        <w:t>state</w:t>
      </w:r>
      <w:r w:rsidR="00933F05" w:rsidRPr="00FB599A">
        <w:t>.</w:t>
      </w:r>
    </w:p>
    <w:p w:rsidR="00933F05" w:rsidRPr="00FB599A" w:rsidRDefault="00933F05" w:rsidP="00965444">
      <w:pPr>
        <w:spacing w:line="360" w:lineRule="auto"/>
        <w:ind w:left="720" w:hanging="720"/>
        <w:contextualSpacing/>
        <w:jc w:val="both"/>
      </w:pPr>
    </w:p>
    <w:p w:rsidR="00965444" w:rsidRPr="00FB599A" w:rsidRDefault="00933F05" w:rsidP="00965444">
      <w:pPr>
        <w:spacing w:line="360" w:lineRule="auto"/>
        <w:ind w:left="720" w:hanging="720"/>
        <w:contextualSpacing/>
        <w:jc w:val="both"/>
      </w:pPr>
      <w:r w:rsidRPr="00FB599A">
        <w:t>5.6</w:t>
      </w:r>
      <w:r w:rsidRPr="00FB599A">
        <w:tab/>
      </w:r>
      <w:r w:rsidR="00965444" w:rsidRPr="00FB599A">
        <w:t xml:space="preserve">At the first directions hearing, the Court may make directions requiring the executor or administrator to file an affidavit: </w:t>
      </w:r>
    </w:p>
    <w:p w:rsidR="00965444" w:rsidRPr="00FB599A" w:rsidRDefault="00965444" w:rsidP="00965444">
      <w:pPr>
        <w:numPr>
          <w:ilvl w:val="0"/>
          <w:numId w:val="22"/>
        </w:numPr>
        <w:spacing w:line="360" w:lineRule="auto"/>
        <w:contextualSpacing/>
        <w:jc w:val="both"/>
      </w:pPr>
      <w:r w:rsidRPr="00FB599A">
        <w:t xml:space="preserve">Including a copy of the deceased’s will, </w:t>
      </w:r>
      <w:r w:rsidR="00F40BF2" w:rsidRPr="00FB599A">
        <w:t>grant of</w:t>
      </w:r>
      <w:r w:rsidRPr="00FB599A">
        <w:t xml:space="preserve"> probate or letters of administration and the inventory of assets; and</w:t>
      </w:r>
    </w:p>
    <w:p w:rsidR="00965444" w:rsidRPr="00FB599A" w:rsidRDefault="00965444" w:rsidP="00965444">
      <w:pPr>
        <w:numPr>
          <w:ilvl w:val="0"/>
          <w:numId w:val="22"/>
        </w:numPr>
        <w:spacing w:line="360" w:lineRule="auto"/>
        <w:contextualSpacing/>
        <w:jc w:val="both"/>
      </w:pPr>
      <w:r w:rsidRPr="00FB599A">
        <w:t xml:space="preserve">Identifying every person who, in the opinion of the executor or administrator, is or may be: </w:t>
      </w:r>
    </w:p>
    <w:p w:rsidR="00965444" w:rsidRPr="00FB599A" w:rsidRDefault="00965444" w:rsidP="00965444">
      <w:pPr>
        <w:numPr>
          <w:ilvl w:val="1"/>
          <w:numId w:val="23"/>
        </w:numPr>
        <w:spacing w:line="360" w:lineRule="auto"/>
        <w:contextualSpacing/>
        <w:jc w:val="both"/>
      </w:pPr>
      <w:r w:rsidRPr="00FB599A">
        <w:lastRenderedPageBreak/>
        <w:t xml:space="preserve">a person entitled to make a TFM Application; </w:t>
      </w:r>
    </w:p>
    <w:p w:rsidR="00965444" w:rsidRPr="00FB599A" w:rsidRDefault="00965444" w:rsidP="00965444">
      <w:pPr>
        <w:numPr>
          <w:ilvl w:val="1"/>
          <w:numId w:val="23"/>
        </w:numPr>
        <w:spacing w:line="360" w:lineRule="auto"/>
        <w:contextualSpacing/>
        <w:jc w:val="both"/>
      </w:pPr>
      <w:r w:rsidRPr="00FB599A">
        <w:t xml:space="preserve">a beneficiary under the estate; or </w:t>
      </w:r>
    </w:p>
    <w:p w:rsidR="00965444" w:rsidRPr="00FB599A" w:rsidRDefault="00965444" w:rsidP="00965444">
      <w:pPr>
        <w:numPr>
          <w:ilvl w:val="1"/>
          <w:numId w:val="23"/>
        </w:numPr>
        <w:spacing w:line="360" w:lineRule="auto"/>
        <w:contextualSpacing/>
        <w:jc w:val="both"/>
      </w:pPr>
      <w:proofErr w:type="gramStart"/>
      <w:r w:rsidRPr="00FB599A">
        <w:t>a</w:t>
      </w:r>
      <w:proofErr w:type="gramEnd"/>
      <w:r w:rsidRPr="00FB599A">
        <w:t xml:space="preserve"> person holding property of the deceased</w:t>
      </w:r>
      <w:r w:rsidR="00D31383" w:rsidRPr="00FB599A">
        <w:t>,</w:t>
      </w:r>
      <w:r w:rsidRPr="00FB599A">
        <w:t xml:space="preserve"> as trustee or otherwise.  </w:t>
      </w:r>
    </w:p>
    <w:p w:rsidR="00965444" w:rsidRPr="00FB599A" w:rsidRDefault="00965444" w:rsidP="005F02B1">
      <w:pPr>
        <w:spacing w:line="360" w:lineRule="auto"/>
        <w:ind w:left="720" w:hanging="720"/>
        <w:jc w:val="both"/>
      </w:pPr>
    </w:p>
    <w:p w:rsidR="00965444" w:rsidRPr="00FB599A" w:rsidRDefault="00BC0021" w:rsidP="00965444">
      <w:pPr>
        <w:spacing w:line="360" w:lineRule="auto"/>
        <w:ind w:left="720" w:hanging="720"/>
        <w:jc w:val="both"/>
      </w:pPr>
      <w:r w:rsidRPr="00FB599A">
        <w:t>5</w:t>
      </w:r>
      <w:r w:rsidR="00933F05" w:rsidRPr="00FB599A">
        <w:t>.7</w:t>
      </w:r>
      <w:r w:rsidR="00462341" w:rsidRPr="00FB599A">
        <w:tab/>
      </w:r>
      <w:r w:rsidR="00965444" w:rsidRPr="00FB599A">
        <w:t>At the first directions hearing, the Court may make an order capping the costs that may be recovered by a party in circumstances including</w:t>
      </w:r>
      <w:r w:rsidR="00D31383" w:rsidRPr="00FB599A">
        <w:t xml:space="preserve"> cases where</w:t>
      </w:r>
      <w:r w:rsidR="00965444" w:rsidRPr="00FB599A">
        <w:t xml:space="preserve"> the net distributable val</w:t>
      </w:r>
      <w:r w:rsidR="00F40BF2" w:rsidRPr="00FB599A">
        <w:t>u</w:t>
      </w:r>
      <w:r w:rsidR="00965444" w:rsidRPr="00FB599A">
        <w:t>e of the estate (excluding the costs of the proc</w:t>
      </w:r>
      <w:r w:rsidR="00F40BF2" w:rsidRPr="00FB599A">
        <w:t>eeding</w:t>
      </w:r>
      <w:r w:rsidR="00965444" w:rsidRPr="00FB599A">
        <w:t>) is less than $500,000.</w:t>
      </w:r>
    </w:p>
    <w:p w:rsidR="00965444" w:rsidRPr="00FB599A" w:rsidRDefault="00965444" w:rsidP="00462341">
      <w:pPr>
        <w:spacing w:line="360" w:lineRule="auto"/>
        <w:ind w:left="720" w:hanging="720"/>
        <w:jc w:val="both"/>
      </w:pPr>
    </w:p>
    <w:p w:rsidR="009C7FE0" w:rsidRPr="00FB599A" w:rsidRDefault="00BC0021" w:rsidP="00462341">
      <w:pPr>
        <w:spacing w:line="360" w:lineRule="auto"/>
        <w:ind w:left="720" w:hanging="720"/>
        <w:jc w:val="both"/>
      </w:pPr>
      <w:r w:rsidRPr="00FB599A">
        <w:t>5</w:t>
      </w:r>
      <w:r w:rsidR="00933F05" w:rsidRPr="00FB599A">
        <w:t>.8</w:t>
      </w:r>
      <w:r w:rsidR="00965444" w:rsidRPr="00FB599A">
        <w:tab/>
      </w:r>
      <w:r w:rsidR="009C7FE0" w:rsidRPr="00FB599A">
        <w:t xml:space="preserve">Following the first directions hearing, parties are encouraged to contact the TFM Associate </w:t>
      </w:r>
      <w:r w:rsidR="00A5551B" w:rsidRPr="00FB599A">
        <w:t>(</w:t>
      </w:r>
      <w:hyperlink r:id="rId9" w:history="1">
        <w:r w:rsidR="00047181" w:rsidRPr="008B4E65">
          <w:rPr>
            <w:rStyle w:val="Hyperlink"/>
            <w:b/>
          </w:rPr>
          <w:t>tfm@supremecourt.vic.gov.au</w:t>
        </w:r>
      </w:hyperlink>
      <w:r w:rsidR="00047181">
        <w:rPr>
          <w:b/>
        </w:rPr>
        <w:t>)</w:t>
      </w:r>
      <w:r w:rsidR="0093758C" w:rsidRPr="00FB599A">
        <w:t xml:space="preserve"> </w:t>
      </w:r>
      <w:r w:rsidR="009C7FE0" w:rsidRPr="00FB599A">
        <w:t>if they seek further orders by consent. Orders will be made on</w:t>
      </w:r>
      <w:r w:rsidR="000118D6" w:rsidRPr="00FB599A">
        <w:t xml:space="preserve"> t</w:t>
      </w:r>
      <w:r w:rsidR="0093758C" w:rsidRPr="00FB599A">
        <w:t>he papers where appropriate, h</w:t>
      </w:r>
      <w:r w:rsidR="00A5551B" w:rsidRPr="00FB599A">
        <w:t>owever</w:t>
      </w:r>
      <w:r w:rsidR="00D31383" w:rsidRPr="00FB599A">
        <w:t xml:space="preserve"> minutes of consent that include</w:t>
      </w:r>
      <w:r w:rsidR="009C7FE0" w:rsidRPr="00FB599A">
        <w:t xml:space="preserve"> the signature of a litigant in person will not be </w:t>
      </w:r>
      <w:r w:rsidR="000118D6" w:rsidRPr="00FB599A">
        <w:t>accepted</w:t>
      </w:r>
      <w:r w:rsidR="009C7FE0" w:rsidRPr="00FB599A">
        <w:t xml:space="preserve">. </w:t>
      </w:r>
    </w:p>
    <w:p w:rsidR="00D31383" w:rsidRPr="00FB599A" w:rsidRDefault="00D31383" w:rsidP="00FB599A">
      <w:pPr>
        <w:spacing w:line="360" w:lineRule="auto"/>
        <w:jc w:val="both"/>
      </w:pPr>
    </w:p>
    <w:p w:rsidR="00462341" w:rsidRPr="00FB599A" w:rsidRDefault="00BC0021" w:rsidP="00FB599A">
      <w:pPr>
        <w:pStyle w:val="Heading1"/>
      </w:pPr>
      <w:r w:rsidRPr="00FB599A">
        <w:t>6</w:t>
      </w:r>
      <w:r w:rsidR="000C2CE1" w:rsidRPr="00FB599A">
        <w:t>.</w:t>
      </w:r>
      <w:r w:rsidR="000C2CE1" w:rsidRPr="00FB599A">
        <w:tab/>
      </w:r>
      <w:r w:rsidR="00462341" w:rsidRPr="00FB599A">
        <w:t>INTERLOCUTORY APPLICATIONS</w:t>
      </w:r>
    </w:p>
    <w:p w:rsidR="00462341" w:rsidRPr="00FB599A" w:rsidRDefault="00462341" w:rsidP="00462341">
      <w:pPr>
        <w:spacing w:line="360" w:lineRule="auto"/>
        <w:ind w:left="720" w:hanging="720"/>
        <w:jc w:val="both"/>
        <w:rPr>
          <w:b/>
        </w:rPr>
      </w:pPr>
    </w:p>
    <w:p w:rsidR="00E6312A" w:rsidRPr="00FB599A" w:rsidRDefault="00BC0021" w:rsidP="00462341">
      <w:pPr>
        <w:spacing w:line="360" w:lineRule="auto"/>
        <w:ind w:left="720" w:hanging="720"/>
        <w:jc w:val="both"/>
      </w:pPr>
      <w:r w:rsidRPr="00FB599A">
        <w:t>6</w:t>
      </w:r>
      <w:r w:rsidR="00462341" w:rsidRPr="00FB599A">
        <w:t>.1</w:t>
      </w:r>
      <w:r w:rsidR="00462341" w:rsidRPr="00FB599A">
        <w:tab/>
      </w:r>
      <w:r w:rsidR="009C7FE0" w:rsidRPr="00FB599A">
        <w:t>All i</w:t>
      </w:r>
      <w:r w:rsidR="00462341" w:rsidRPr="00FB599A">
        <w:t xml:space="preserve">nterlocutory </w:t>
      </w:r>
      <w:r w:rsidR="009C7FE0" w:rsidRPr="00FB599A">
        <w:t xml:space="preserve">applications should be made </w:t>
      </w:r>
      <w:r w:rsidR="00462341" w:rsidRPr="00FB599A">
        <w:t>by summons</w:t>
      </w:r>
      <w:r w:rsidR="009C7FE0" w:rsidRPr="00FB599A">
        <w:t>,</w:t>
      </w:r>
      <w:r w:rsidR="00462341" w:rsidRPr="00FB599A">
        <w:t xml:space="preserve"> returnable in the</w:t>
      </w:r>
      <w:r w:rsidR="00852240" w:rsidRPr="00FB599A">
        <w:t xml:space="preserve"> Associate Judge</w:t>
      </w:r>
      <w:r w:rsidR="00A92079" w:rsidRPr="00FB599A">
        <w:t>s’ Court 2</w:t>
      </w:r>
      <w:r w:rsidR="00462341" w:rsidRPr="00FB599A">
        <w:t>.</w:t>
      </w:r>
      <w:r w:rsidR="009C7FE0" w:rsidRPr="00FB599A">
        <w:t xml:space="preserve"> Interlocutory applications will not</w:t>
      </w:r>
      <w:r w:rsidR="00C46B03" w:rsidRPr="00FB599A">
        <w:t>, as a general rule,</w:t>
      </w:r>
      <w:r w:rsidR="009C7FE0" w:rsidRPr="00FB599A">
        <w:t xml:space="preserve"> be heard during the fortnightly </w:t>
      </w:r>
      <w:r w:rsidR="0093758C" w:rsidRPr="00FB599A">
        <w:t>List directions</w:t>
      </w:r>
      <w:r w:rsidR="00D31383" w:rsidRPr="00FB599A">
        <w:t xml:space="preserve"> hearings</w:t>
      </w:r>
      <w:r w:rsidR="00E6312A" w:rsidRPr="00FB599A">
        <w:t>.</w:t>
      </w:r>
    </w:p>
    <w:p w:rsidR="00E6312A" w:rsidRPr="00FB599A" w:rsidRDefault="00E6312A" w:rsidP="00462341">
      <w:pPr>
        <w:spacing w:line="360" w:lineRule="auto"/>
        <w:ind w:left="720" w:hanging="720"/>
        <w:jc w:val="both"/>
      </w:pPr>
    </w:p>
    <w:p w:rsidR="00462341" w:rsidRPr="00FB599A" w:rsidRDefault="00E6312A" w:rsidP="00462341">
      <w:pPr>
        <w:spacing w:line="360" w:lineRule="auto"/>
        <w:ind w:left="720" w:hanging="720"/>
        <w:jc w:val="both"/>
      </w:pPr>
      <w:r w:rsidRPr="00FB599A">
        <w:t>6.2</w:t>
      </w:r>
      <w:r w:rsidRPr="00FB599A">
        <w:tab/>
      </w:r>
      <w:r w:rsidR="00852240" w:rsidRPr="00FB599A">
        <w:t>An associate judge</w:t>
      </w:r>
      <w:r w:rsidR="00C46B03" w:rsidRPr="00FB599A">
        <w:t xml:space="preserve"> may refer any </w:t>
      </w:r>
      <w:r w:rsidRPr="00FB599A">
        <w:t xml:space="preserve">interlocutory </w:t>
      </w:r>
      <w:r w:rsidR="00C46B03" w:rsidRPr="00FB599A">
        <w:t>application to the Judge in Charge.</w:t>
      </w:r>
    </w:p>
    <w:p w:rsidR="0093758C" w:rsidRPr="00FB599A" w:rsidRDefault="0093758C" w:rsidP="00CB2EDD">
      <w:pPr>
        <w:spacing w:line="360" w:lineRule="auto"/>
        <w:ind w:left="720" w:hanging="720"/>
        <w:jc w:val="both"/>
        <w:rPr>
          <w:b/>
        </w:rPr>
      </w:pPr>
    </w:p>
    <w:p w:rsidR="000C2CE1" w:rsidRPr="00FB599A" w:rsidRDefault="00BC0021" w:rsidP="00FB599A">
      <w:pPr>
        <w:pStyle w:val="Heading1"/>
      </w:pPr>
      <w:r w:rsidRPr="00FB599A">
        <w:t>7</w:t>
      </w:r>
      <w:r w:rsidR="00462341" w:rsidRPr="00FB599A">
        <w:t>.</w:t>
      </w:r>
      <w:r w:rsidR="00462341" w:rsidRPr="00FB599A">
        <w:tab/>
        <w:t>MEDIATION</w:t>
      </w:r>
    </w:p>
    <w:p w:rsidR="000C2CE1" w:rsidRPr="00FB599A" w:rsidRDefault="000C2CE1" w:rsidP="00CB2EDD">
      <w:pPr>
        <w:spacing w:line="360" w:lineRule="auto"/>
        <w:ind w:left="720" w:hanging="720"/>
        <w:jc w:val="both"/>
      </w:pPr>
    </w:p>
    <w:p w:rsidR="00462341" w:rsidRPr="00FB599A" w:rsidRDefault="00BC0021" w:rsidP="009C7FE0">
      <w:pPr>
        <w:spacing w:line="360" w:lineRule="auto"/>
        <w:ind w:left="720" w:hanging="720"/>
        <w:jc w:val="both"/>
      </w:pPr>
      <w:r w:rsidRPr="00FB599A">
        <w:t>7</w:t>
      </w:r>
      <w:r w:rsidR="00A42D61" w:rsidRPr="00FB599A">
        <w:t>.1</w:t>
      </w:r>
      <w:r w:rsidR="00A42D61" w:rsidRPr="00FB599A">
        <w:tab/>
        <w:t>Unless</w:t>
      </w:r>
      <w:r w:rsidR="00462341" w:rsidRPr="00FB599A">
        <w:t xml:space="preserve"> otherwise</w:t>
      </w:r>
      <w:r w:rsidR="00A42D61" w:rsidRPr="00FB599A">
        <w:t xml:space="preserve"> ordered</w:t>
      </w:r>
      <w:r w:rsidR="00462341" w:rsidRPr="00FB599A">
        <w:t xml:space="preserve">, all TFM </w:t>
      </w:r>
      <w:r w:rsidR="00196627" w:rsidRPr="00FB599A">
        <w:t>Applications</w:t>
      </w:r>
      <w:r w:rsidR="00462341" w:rsidRPr="00FB599A">
        <w:t xml:space="preserve"> </w:t>
      </w:r>
      <w:r w:rsidR="00196627" w:rsidRPr="00FB599A">
        <w:t xml:space="preserve">will be </w:t>
      </w:r>
      <w:r w:rsidR="00A42D61" w:rsidRPr="00FB599A">
        <w:t xml:space="preserve">referred to </w:t>
      </w:r>
      <w:r w:rsidR="00196627" w:rsidRPr="00FB599A">
        <w:t>mediation.</w:t>
      </w:r>
    </w:p>
    <w:p w:rsidR="009C7FE0" w:rsidRPr="00FB599A" w:rsidRDefault="009C7FE0" w:rsidP="009C7FE0">
      <w:pPr>
        <w:spacing w:line="360" w:lineRule="auto"/>
        <w:ind w:left="720" w:hanging="720"/>
        <w:jc w:val="both"/>
      </w:pPr>
    </w:p>
    <w:p w:rsidR="009C7FE0" w:rsidRPr="00FB599A" w:rsidRDefault="00BC0021" w:rsidP="009C7FE0">
      <w:pPr>
        <w:spacing w:line="360" w:lineRule="auto"/>
        <w:ind w:left="720" w:hanging="720"/>
        <w:jc w:val="both"/>
      </w:pPr>
      <w:r w:rsidRPr="00FB599A">
        <w:t>7</w:t>
      </w:r>
      <w:r w:rsidR="00C46B03" w:rsidRPr="00FB599A">
        <w:t>.2</w:t>
      </w:r>
      <w:r w:rsidR="009C7FE0" w:rsidRPr="00FB599A">
        <w:tab/>
        <w:t>Where the value of the</w:t>
      </w:r>
      <w:r w:rsidR="00F40BF2" w:rsidRPr="00FB599A">
        <w:t xml:space="preserve"> estate is less than $500,000</w:t>
      </w:r>
      <w:r w:rsidR="009C7FE0" w:rsidRPr="00FB599A">
        <w:t>, the Court may m</w:t>
      </w:r>
      <w:r w:rsidR="00852240" w:rsidRPr="00FB599A">
        <w:t>ake available an a</w:t>
      </w:r>
      <w:r w:rsidR="00A42D61" w:rsidRPr="00FB599A">
        <w:t xml:space="preserve">ssociate </w:t>
      </w:r>
      <w:r w:rsidR="00852240" w:rsidRPr="00FB599A">
        <w:t>judge or judicial r</w:t>
      </w:r>
      <w:r w:rsidR="009C7FE0" w:rsidRPr="00FB599A">
        <w:t xml:space="preserve">egistrar to undertake a judicial mediation at no cost to the parties. </w:t>
      </w:r>
    </w:p>
    <w:p w:rsidR="009C7FE0" w:rsidRPr="00FB599A" w:rsidRDefault="009C7FE0" w:rsidP="00CB2EDD">
      <w:pPr>
        <w:spacing w:line="360" w:lineRule="auto"/>
        <w:ind w:left="720" w:hanging="720"/>
        <w:jc w:val="both"/>
      </w:pPr>
    </w:p>
    <w:p w:rsidR="006E4F49" w:rsidRPr="00FB599A" w:rsidRDefault="00BC0021" w:rsidP="00FB599A">
      <w:pPr>
        <w:pStyle w:val="Heading1"/>
      </w:pPr>
      <w:r w:rsidRPr="00FB599A">
        <w:lastRenderedPageBreak/>
        <w:t>8</w:t>
      </w:r>
      <w:r w:rsidR="00A42D61" w:rsidRPr="00FB599A">
        <w:t>.</w:t>
      </w:r>
      <w:r w:rsidR="00A42D61" w:rsidRPr="00FB599A">
        <w:tab/>
        <w:t>OVERARCHING OBLIGATIONS</w:t>
      </w:r>
    </w:p>
    <w:p w:rsidR="00A42D61" w:rsidRPr="00FB599A" w:rsidRDefault="00A42D61" w:rsidP="00A42D61">
      <w:pPr>
        <w:spacing w:line="360" w:lineRule="auto"/>
        <w:ind w:left="720" w:hanging="720"/>
        <w:jc w:val="both"/>
      </w:pPr>
    </w:p>
    <w:p w:rsidR="00A42D61" w:rsidRPr="00FB599A" w:rsidRDefault="00BC0021" w:rsidP="00A42D61">
      <w:pPr>
        <w:spacing w:line="360" w:lineRule="auto"/>
        <w:ind w:left="720" w:hanging="720"/>
        <w:jc w:val="both"/>
      </w:pPr>
      <w:r w:rsidRPr="00FB599A">
        <w:t>8</w:t>
      </w:r>
      <w:r w:rsidR="00A42D61" w:rsidRPr="00FB599A">
        <w:t>.1</w:t>
      </w:r>
      <w:r w:rsidR="00A42D61" w:rsidRPr="00FB599A">
        <w:tab/>
        <w:t>With reference to the overa</w:t>
      </w:r>
      <w:r w:rsidR="00965444" w:rsidRPr="00FB599A">
        <w:t>rching obligations set out in</w:t>
      </w:r>
      <w:r w:rsidR="00A42D61" w:rsidRPr="00FB599A">
        <w:t xml:space="preserve"> Part 2.3 of the </w:t>
      </w:r>
      <w:r w:rsidR="00A42D61" w:rsidRPr="00FB599A">
        <w:rPr>
          <w:i/>
        </w:rPr>
        <w:t>Civil Procedure Act 2010</w:t>
      </w:r>
      <w:r w:rsidR="00A42D61" w:rsidRPr="00FB599A">
        <w:t>, in all TFM Applications the Court expects that:</w:t>
      </w:r>
    </w:p>
    <w:p w:rsidR="00A42D61" w:rsidRPr="00FB599A" w:rsidRDefault="00A42D61" w:rsidP="00A42D61">
      <w:pPr>
        <w:numPr>
          <w:ilvl w:val="0"/>
          <w:numId w:val="32"/>
        </w:numPr>
        <w:spacing w:line="360" w:lineRule="auto"/>
        <w:jc w:val="both"/>
      </w:pPr>
      <w:r w:rsidRPr="00FB599A">
        <w:t>Each party not appearing in person shall be represe</w:t>
      </w:r>
      <w:r w:rsidR="00E6312A" w:rsidRPr="00FB599A">
        <w:t>nted at all</w:t>
      </w:r>
      <w:r w:rsidR="00965444" w:rsidRPr="00FB599A">
        <w:t xml:space="preserve"> hearings by a </w:t>
      </w:r>
      <w:r w:rsidRPr="00FB599A">
        <w:t>practitioner familiar with the s</w:t>
      </w:r>
      <w:r w:rsidR="00D31383" w:rsidRPr="00FB599A">
        <w:t>ubject matter of the proceeding</w:t>
      </w:r>
      <w:r w:rsidRPr="00FB599A">
        <w:t xml:space="preserve"> and with instructions sufficient to enable all ap</w:t>
      </w:r>
      <w:r w:rsidR="001F2EC9" w:rsidRPr="00FB599A">
        <w:t>propriate orders</w:t>
      </w:r>
      <w:r w:rsidR="00E6312A" w:rsidRPr="00FB599A">
        <w:t xml:space="preserve"> to be made;</w:t>
      </w:r>
    </w:p>
    <w:p w:rsidR="00965444" w:rsidRPr="00FB599A" w:rsidRDefault="00965444" w:rsidP="00965444">
      <w:pPr>
        <w:numPr>
          <w:ilvl w:val="0"/>
          <w:numId w:val="32"/>
        </w:numPr>
        <w:spacing w:line="360" w:lineRule="auto"/>
        <w:jc w:val="both"/>
      </w:pPr>
      <w:r w:rsidRPr="00FB599A">
        <w:t xml:space="preserve">The resources of the estate and of the Court will not be used in a manner that is out of proportion to the size of the estate and </w:t>
      </w:r>
      <w:r w:rsidR="00E6312A" w:rsidRPr="00FB599A">
        <w:t>the provision that may be made;</w:t>
      </w:r>
    </w:p>
    <w:p w:rsidR="00965444" w:rsidRPr="00FB599A" w:rsidRDefault="00965444" w:rsidP="00965444">
      <w:pPr>
        <w:numPr>
          <w:ilvl w:val="0"/>
          <w:numId w:val="32"/>
        </w:numPr>
        <w:spacing w:line="360" w:lineRule="auto"/>
        <w:jc w:val="both"/>
      </w:pPr>
      <w:r w:rsidRPr="00FB599A">
        <w:t>Practitioners will use reasonable endeavours to:</w:t>
      </w:r>
    </w:p>
    <w:p w:rsidR="00965444" w:rsidRPr="00FB599A" w:rsidRDefault="00965444" w:rsidP="00E6312A">
      <w:pPr>
        <w:numPr>
          <w:ilvl w:val="1"/>
          <w:numId w:val="36"/>
        </w:numPr>
        <w:spacing w:line="360" w:lineRule="auto"/>
        <w:jc w:val="both"/>
      </w:pPr>
      <w:r w:rsidRPr="00FB599A">
        <w:t>Resolve by a</w:t>
      </w:r>
      <w:r w:rsidR="00D31383" w:rsidRPr="00FB599A">
        <w:t>greement any issues in dispute</w:t>
      </w:r>
      <w:r w:rsidRPr="00FB599A">
        <w:t>; and</w:t>
      </w:r>
    </w:p>
    <w:p w:rsidR="00965444" w:rsidRPr="00FB599A" w:rsidRDefault="00965444" w:rsidP="00E6312A">
      <w:pPr>
        <w:numPr>
          <w:ilvl w:val="1"/>
          <w:numId w:val="36"/>
        </w:numPr>
        <w:spacing w:line="360" w:lineRule="auto"/>
        <w:jc w:val="both"/>
      </w:pPr>
      <w:r w:rsidRPr="00FB599A">
        <w:t xml:space="preserve">Narrow the scope of </w:t>
      </w:r>
      <w:r w:rsidR="00E6312A" w:rsidRPr="00FB599A">
        <w:t>the remaining issues in dispute;</w:t>
      </w:r>
    </w:p>
    <w:p w:rsidR="00A42D61" w:rsidRPr="00FB599A" w:rsidRDefault="00965444" w:rsidP="00A42D61">
      <w:pPr>
        <w:numPr>
          <w:ilvl w:val="0"/>
          <w:numId w:val="32"/>
        </w:numPr>
        <w:spacing w:line="360" w:lineRule="auto"/>
        <w:jc w:val="both"/>
      </w:pPr>
      <w:r w:rsidRPr="00FB599A">
        <w:t xml:space="preserve">Practitioners will confer as to the number of witnesses to be called, and whether </w:t>
      </w:r>
      <w:r w:rsidR="00E6312A" w:rsidRPr="00FB599A">
        <w:t>expert evidence is to be called; and</w:t>
      </w:r>
    </w:p>
    <w:p w:rsidR="00965444" w:rsidRPr="00FB599A" w:rsidRDefault="00965444" w:rsidP="00A42D61">
      <w:pPr>
        <w:numPr>
          <w:ilvl w:val="0"/>
          <w:numId w:val="32"/>
        </w:numPr>
        <w:spacing w:line="360" w:lineRule="auto"/>
        <w:jc w:val="both"/>
      </w:pPr>
      <w:r w:rsidRPr="00FB599A">
        <w:t xml:space="preserve">Where the </w:t>
      </w:r>
      <w:r w:rsidR="00852240" w:rsidRPr="00FB599A">
        <w:t>proceeding</w:t>
      </w:r>
      <w:r w:rsidRPr="00FB599A">
        <w:t xml:space="preserve"> is to be determined on affidavit material alone, practitioners will confer as to any objections to the evidence.</w:t>
      </w:r>
    </w:p>
    <w:p w:rsidR="00AD0B04" w:rsidRPr="00FB599A" w:rsidRDefault="00AD0B04" w:rsidP="00AD0B04">
      <w:pPr>
        <w:spacing w:line="360" w:lineRule="auto"/>
        <w:ind w:left="1440" w:hanging="720"/>
        <w:jc w:val="both"/>
      </w:pPr>
    </w:p>
    <w:p w:rsidR="00462341" w:rsidRPr="00FB599A" w:rsidRDefault="00BC0021" w:rsidP="00FB599A">
      <w:pPr>
        <w:pStyle w:val="Heading1"/>
      </w:pPr>
      <w:r w:rsidRPr="00FB599A">
        <w:t>9</w:t>
      </w:r>
      <w:r w:rsidR="00462341" w:rsidRPr="00FB599A">
        <w:t>.</w:t>
      </w:r>
      <w:r w:rsidR="00462341" w:rsidRPr="00FB599A">
        <w:tab/>
        <w:t>CONSENT ORDERS</w:t>
      </w:r>
    </w:p>
    <w:p w:rsidR="00462341" w:rsidRPr="00FB599A" w:rsidRDefault="00462341" w:rsidP="00462341">
      <w:pPr>
        <w:spacing w:line="360" w:lineRule="auto"/>
        <w:ind w:left="720" w:hanging="720"/>
        <w:jc w:val="both"/>
      </w:pPr>
    </w:p>
    <w:p w:rsidR="000118D6" w:rsidRPr="00FB599A" w:rsidRDefault="00BC0021" w:rsidP="000118D6">
      <w:pPr>
        <w:spacing w:line="360" w:lineRule="auto"/>
        <w:ind w:left="720" w:hanging="720"/>
        <w:jc w:val="both"/>
      </w:pPr>
      <w:r w:rsidRPr="00FB599A">
        <w:t>9</w:t>
      </w:r>
      <w:r w:rsidR="000118D6" w:rsidRPr="00FB599A">
        <w:t>.1</w:t>
      </w:r>
      <w:r w:rsidR="000118D6" w:rsidRPr="00FB599A">
        <w:tab/>
        <w:t>All minute</w:t>
      </w:r>
      <w:r w:rsidR="00965444" w:rsidRPr="00FB599A">
        <w:t>s of consent</w:t>
      </w:r>
      <w:r w:rsidR="000118D6" w:rsidRPr="00FB599A">
        <w:t xml:space="preserve"> should be </w:t>
      </w:r>
      <w:r w:rsidR="00D31383" w:rsidRPr="00FB599A">
        <w:t>sent in both Word and signed PDF format to the</w:t>
      </w:r>
      <w:r w:rsidR="000118D6" w:rsidRPr="00FB599A">
        <w:t xml:space="preserve"> TFM Associate</w:t>
      </w:r>
      <w:r w:rsidR="00C30EE3" w:rsidRPr="00FB599A">
        <w:t xml:space="preserve"> (</w:t>
      </w:r>
      <w:hyperlink r:id="rId10" w:history="1">
        <w:r w:rsidR="00F219B4" w:rsidRPr="00FB599A">
          <w:rPr>
            <w:rStyle w:val="Hyperlink"/>
            <w:b/>
          </w:rPr>
          <w:t>tfm@supremecourt.vic.gov.au</w:t>
        </w:r>
      </w:hyperlink>
      <w:r w:rsidR="00C30EE3" w:rsidRPr="00FB599A">
        <w:t>)</w:t>
      </w:r>
      <w:r w:rsidR="000118D6" w:rsidRPr="00FB599A">
        <w:t>.</w:t>
      </w:r>
    </w:p>
    <w:p w:rsidR="00462341" w:rsidRPr="00FB599A" w:rsidRDefault="00462341" w:rsidP="000118D6">
      <w:pPr>
        <w:spacing w:line="360" w:lineRule="auto"/>
        <w:ind w:left="720" w:hanging="720"/>
        <w:contextualSpacing/>
        <w:jc w:val="both"/>
      </w:pPr>
    </w:p>
    <w:p w:rsidR="00462341" w:rsidRPr="00FB599A" w:rsidRDefault="00BC0021" w:rsidP="000118D6">
      <w:pPr>
        <w:spacing w:line="360" w:lineRule="auto"/>
        <w:ind w:left="720" w:hanging="720"/>
        <w:contextualSpacing/>
        <w:jc w:val="both"/>
      </w:pPr>
      <w:r w:rsidRPr="00FB599A">
        <w:t>9</w:t>
      </w:r>
      <w:r w:rsidR="00462341" w:rsidRPr="00FB599A">
        <w:t>.2</w:t>
      </w:r>
      <w:r w:rsidR="00462341" w:rsidRPr="00FB599A">
        <w:tab/>
      </w:r>
      <w:r w:rsidR="001F2EC9" w:rsidRPr="00FB599A">
        <w:t>Minutes of</w:t>
      </w:r>
      <w:r w:rsidR="00462341" w:rsidRPr="00FB599A">
        <w:t xml:space="preserve"> consent disposing of TFM </w:t>
      </w:r>
      <w:r w:rsidR="000118D6" w:rsidRPr="00FB599A">
        <w:t xml:space="preserve">Applications </w:t>
      </w:r>
      <w:r w:rsidR="00462341" w:rsidRPr="00FB599A">
        <w:t>must be accompanied by appropriate evidence that:</w:t>
      </w:r>
    </w:p>
    <w:p w:rsidR="00462341" w:rsidRPr="00FB599A" w:rsidRDefault="00462341" w:rsidP="000118D6">
      <w:pPr>
        <w:numPr>
          <w:ilvl w:val="0"/>
          <w:numId w:val="24"/>
        </w:numPr>
        <w:spacing w:line="360" w:lineRule="auto"/>
        <w:contextualSpacing/>
        <w:jc w:val="both"/>
      </w:pPr>
      <w:r w:rsidRPr="00FB599A">
        <w:t>Any direction or notice</w:t>
      </w:r>
      <w:r w:rsidR="00C30EE3" w:rsidRPr="00FB599A">
        <w:t xml:space="preserve"> required</w:t>
      </w:r>
      <w:r w:rsidRPr="00FB599A">
        <w:t xml:space="preserve"> to be given to any non-parties has been complied with;</w:t>
      </w:r>
      <w:r w:rsidR="00965444" w:rsidRPr="00FB599A">
        <w:t xml:space="preserve"> and</w:t>
      </w:r>
    </w:p>
    <w:p w:rsidR="00462341" w:rsidRPr="00FB599A" w:rsidRDefault="000118D6" w:rsidP="000118D6">
      <w:pPr>
        <w:numPr>
          <w:ilvl w:val="0"/>
          <w:numId w:val="24"/>
        </w:numPr>
        <w:spacing w:line="360" w:lineRule="auto"/>
        <w:contextualSpacing/>
        <w:jc w:val="both"/>
      </w:pPr>
      <w:r w:rsidRPr="00FB599A">
        <w:t>T</w:t>
      </w:r>
      <w:r w:rsidR="00462341" w:rsidRPr="00FB599A">
        <w:t>he order sought does not affect the interest in the estate of any minor or person under a disabi</w:t>
      </w:r>
      <w:r w:rsidR="00965444" w:rsidRPr="00FB599A">
        <w:t>li</w:t>
      </w:r>
      <w:r w:rsidR="00462341" w:rsidRPr="00FB599A">
        <w:t>ty.</w:t>
      </w:r>
    </w:p>
    <w:p w:rsidR="004E284B" w:rsidRDefault="004E284B" w:rsidP="00CB2EDD">
      <w:pPr>
        <w:spacing w:line="360" w:lineRule="auto"/>
        <w:ind w:left="720" w:hanging="720"/>
        <w:jc w:val="both"/>
        <w:rPr>
          <w:b/>
        </w:rPr>
      </w:pPr>
    </w:p>
    <w:p w:rsidR="00FB599A" w:rsidRDefault="00FB599A" w:rsidP="00CB2EDD">
      <w:pPr>
        <w:spacing w:line="360" w:lineRule="auto"/>
        <w:ind w:left="720" w:hanging="720"/>
        <w:jc w:val="both"/>
        <w:rPr>
          <w:b/>
        </w:rPr>
      </w:pPr>
    </w:p>
    <w:p w:rsidR="00FB599A" w:rsidRDefault="00FB599A" w:rsidP="00CB2EDD">
      <w:pPr>
        <w:spacing w:line="360" w:lineRule="auto"/>
        <w:ind w:left="720" w:hanging="720"/>
        <w:jc w:val="both"/>
        <w:rPr>
          <w:b/>
        </w:rPr>
      </w:pPr>
    </w:p>
    <w:p w:rsidR="00FB599A" w:rsidRPr="00FB599A" w:rsidRDefault="00FB599A" w:rsidP="00CB2EDD">
      <w:pPr>
        <w:spacing w:line="360" w:lineRule="auto"/>
        <w:ind w:left="720" w:hanging="720"/>
        <w:jc w:val="both"/>
        <w:rPr>
          <w:b/>
        </w:rPr>
      </w:pPr>
    </w:p>
    <w:p w:rsidR="00462341" w:rsidRPr="00FB599A" w:rsidRDefault="00BC0021" w:rsidP="00FB599A">
      <w:pPr>
        <w:pStyle w:val="Heading1"/>
      </w:pPr>
      <w:r w:rsidRPr="00FB599A">
        <w:lastRenderedPageBreak/>
        <w:t>10</w:t>
      </w:r>
      <w:r w:rsidR="00940F44" w:rsidRPr="00FB599A">
        <w:t>.</w:t>
      </w:r>
      <w:r w:rsidR="00940F44" w:rsidRPr="00FB599A">
        <w:tab/>
      </w:r>
      <w:r w:rsidR="00462341" w:rsidRPr="00FB599A">
        <w:t>APPROVAL OF COMPROMISE</w:t>
      </w:r>
    </w:p>
    <w:p w:rsidR="0092684B" w:rsidRPr="00FB599A" w:rsidRDefault="0092684B" w:rsidP="00462341">
      <w:pPr>
        <w:spacing w:line="360" w:lineRule="auto"/>
        <w:ind w:left="720" w:hanging="720"/>
        <w:jc w:val="both"/>
      </w:pPr>
    </w:p>
    <w:p w:rsidR="000118D6" w:rsidRPr="00FB599A" w:rsidRDefault="00BC0021" w:rsidP="00462341">
      <w:pPr>
        <w:spacing w:line="360" w:lineRule="auto"/>
        <w:ind w:left="720" w:hanging="720"/>
        <w:jc w:val="both"/>
      </w:pPr>
      <w:r w:rsidRPr="00FB599A">
        <w:t>10</w:t>
      </w:r>
      <w:r w:rsidR="00462341" w:rsidRPr="00FB599A">
        <w:t>.1</w:t>
      </w:r>
      <w:r w:rsidR="00462341" w:rsidRPr="00FB599A">
        <w:tab/>
        <w:t xml:space="preserve">Where consent orders require </w:t>
      </w:r>
      <w:r w:rsidR="000118D6" w:rsidRPr="00FB599A">
        <w:t xml:space="preserve">the </w:t>
      </w:r>
      <w:r w:rsidR="00462341" w:rsidRPr="00FB599A">
        <w:t xml:space="preserve">approval of a compromise, the application for approval must be made by summons returnable </w:t>
      </w:r>
      <w:r w:rsidR="000118D6" w:rsidRPr="00FB599A">
        <w:t xml:space="preserve">in the </w:t>
      </w:r>
      <w:r w:rsidR="001D4F7C" w:rsidRPr="00FB599A">
        <w:t>Associate</w:t>
      </w:r>
      <w:r w:rsidR="00852240" w:rsidRPr="00FB599A">
        <w:t xml:space="preserve"> Judge</w:t>
      </w:r>
      <w:r w:rsidR="001D4F7C" w:rsidRPr="00FB599A">
        <w:t>s’ Court 1</w:t>
      </w:r>
      <w:r w:rsidR="000118D6" w:rsidRPr="00FB599A">
        <w:t xml:space="preserve"> </w:t>
      </w:r>
      <w:r w:rsidR="00462341" w:rsidRPr="00FB599A">
        <w:t xml:space="preserve">at 9:30am on a </w:t>
      </w:r>
      <w:r w:rsidR="00D31383" w:rsidRPr="00FB599A">
        <w:t>List directions day</w:t>
      </w:r>
      <w:r w:rsidR="000118D6" w:rsidRPr="00FB599A">
        <w:t>.</w:t>
      </w:r>
      <w:r w:rsidR="001D4F7C" w:rsidRPr="00FB599A">
        <w:t xml:space="preserve"> </w:t>
      </w:r>
      <w:r w:rsidR="00D31383" w:rsidRPr="00FB599A">
        <w:t>Parties should contact</w:t>
      </w:r>
      <w:r w:rsidR="001D4F7C" w:rsidRPr="00FB599A">
        <w:t xml:space="preserve"> the TFM Associate</w:t>
      </w:r>
      <w:r w:rsidR="00D31383" w:rsidRPr="00FB599A">
        <w:t xml:space="preserve"> in the first instance, to obtain a hearing date</w:t>
      </w:r>
      <w:r w:rsidR="001D4F7C" w:rsidRPr="00FB599A">
        <w:t>.</w:t>
      </w:r>
    </w:p>
    <w:p w:rsidR="000118D6" w:rsidRPr="00FB599A" w:rsidRDefault="000118D6" w:rsidP="00462341">
      <w:pPr>
        <w:spacing w:line="360" w:lineRule="auto"/>
        <w:ind w:left="720" w:hanging="720"/>
        <w:jc w:val="both"/>
      </w:pPr>
    </w:p>
    <w:p w:rsidR="00462341" w:rsidRPr="00FB599A" w:rsidRDefault="00BC0021" w:rsidP="00462341">
      <w:pPr>
        <w:spacing w:line="360" w:lineRule="auto"/>
        <w:ind w:left="720" w:hanging="720"/>
        <w:jc w:val="both"/>
      </w:pPr>
      <w:r w:rsidRPr="00FB599A">
        <w:t>10</w:t>
      </w:r>
      <w:r w:rsidR="000118D6" w:rsidRPr="00FB599A">
        <w:t>.2</w:t>
      </w:r>
      <w:r w:rsidR="000118D6" w:rsidRPr="00FB599A">
        <w:tab/>
        <w:t>The summons must be supported by</w:t>
      </w:r>
      <w:r w:rsidR="00462341" w:rsidRPr="00FB599A">
        <w:t xml:space="preserve"> affid</w:t>
      </w:r>
      <w:r w:rsidR="000118D6" w:rsidRPr="00FB599A">
        <w:t>avit material</w:t>
      </w:r>
      <w:r w:rsidR="00462341" w:rsidRPr="00FB599A">
        <w:t>, an advic</w:t>
      </w:r>
      <w:r w:rsidR="001D4F7C" w:rsidRPr="00FB599A">
        <w:t>e of counsel and a draft of the proposed orders.</w:t>
      </w:r>
    </w:p>
    <w:p w:rsidR="00462341" w:rsidRPr="00FB599A" w:rsidRDefault="00462341" w:rsidP="00462341">
      <w:pPr>
        <w:spacing w:line="360" w:lineRule="auto"/>
        <w:ind w:left="720" w:hanging="720"/>
        <w:jc w:val="both"/>
      </w:pPr>
    </w:p>
    <w:p w:rsidR="00462341" w:rsidRPr="00FB599A" w:rsidRDefault="00BC0021" w:rsidP="00462341">
      <w:pPr>
        <w:spacing w:line="360" w:lineRule="auto"/>
        <w:ind w:left="720" w:hanging="720"/>
        <w:jc w:val="both"/>
      </w:pPr>
      <w:r w:rsidRPr="00FB599A">
        <w:t>10</w:t>
      </w:r>
      <w:r w:rsidR="000118D6" w:rsidRPr="00FB599A">
        <w:t>.3</w:t>
      </w:r>
      <w:r w:rsidR="00462341" w:rsidRPr="00FB599A">
        <w:tab/>
        <w:t>Affidavits in support</w:t>
      </w:r>
      <w:r w:rsidR="00D31383" w:rsidRPr="00FB599A">
        <w:t xml:space="preserve"> and the original grant of probate or letters of a</w:t>
      </w:r>
      <w:r w:rsidR="006E4F49" w:rsidRPr="00FB599A">
        <w:t>dministration</w:t>
      </w:r>
      <w:r w:rsidR="00462341" w:rsidRPr="00FB599A">
        <w:t xml:space="preserve"> must be filed with the TFM Associate no later than th</w:t>
      </w:r>
      <w:r w:rsidR="006E4F49" w:rsidRPr="00FB599A">
        <w:t>e Wednesday</w:t>
      </w:r>
      <w:r w:rsidR="00462341" w:rsidRPr="00FB599A">
        <w:t xml:space="preserve"> before the hearing day.</w:t>
      </w:r>
    </w:p>
    <w:p w:rsidR="000118D6" w:rsidRPr="00FB599A" w:rsidRDefault="000118D6" w:rsidP="00CB2EDD">
      <w:pPr>
        <w:spacing w:line="360" w:lineRule="auto"/>
        <w:ind w:left="720" w:hanging="720"/>
        <w:jc w:val="both"/>
        <w:rPr>
          <w:b/>
        </w:rPr>
      </w:pPr>
    </w:p>
    <w:p w:rsidR="000C2CE1" w:rsidRPr="00FB599A" w:rsidRDefault="00BC0021" w:rsidP="00FB599A">
      <w:pPr>
        <w:pStyle w:val="Heading1"/>
      </w:pPr>
      <w:r w:rsidRPr="00FB599A">
        <w:t>11</w:t>
      </w:r>
      <w:r w:rsidR="00462341" w:rsidRPr="00FB599A">
        <w:t>.</w:t>
      </w:r>
      <w:r w:rsidR="00462341" w:rsidRPr="00FB599A">
        <w:tab/>
      </w:r>
      <w:r w:rsidR="000C2CE1" w:rsidRPr="00FB599A">
        <w:t>COMMUNICATIONS WITH THE COURT</w:t>
      </w:r>
    </w:p>
    <w:p w:rsidR="000C2CE1" w:rsidRPr="00FB599A" w:rsidRDefault="000C2CE1" w:rsidP="00CB2EDD">
      <w:pPr>
        <w:spacing w:line="360" w:lineRule="auto"/>
        <w:ind w:left="720" w:hanging="720"/>
        <w:jc w:val="both"/>
        <w:rPr>
          <w:b/>
        </w:rPr>
      </w:pPr>
    </w:p>
    <w:p w:rsidR="00E85468" w:rsidRPr="00FB599A" w:rsidRDefault="00E85468" w:rsidP="00E85468">
      <w:pPr>
        <w:spacing w:line="360" w:lineRule="auto"/>
        <w:ind w:left="720" w:hanging="720"/>
        <w:jc w:val="both"/>
      </w:pPr>
      <w:r w:rsidRPr="00FB599A">
        <w:t>11.1</w:t>
      </w:r>
      <w:r w:rsidRPr="00FB599A">
        <w:tab/>
        <w:t xml:space="preserve">At all stages of the proceeding, communications with the Court should be by email with a copy to all other parties, and should be confined to uncontroversial matters. </w:t>
      </w:r>
    </w:p>
    <w:p w:rsidR="00E85468" w:rsidRPr="00FB599A" w:rsidRDefault="00E85468" w:rsidP="00E85468">
      <w:pPr>
        <w:spacing w:line="360" w:lineRule="auto"/>
        <w:ind w:left="720" w:hanging="720"/>
        <w:jc w:val="both"/>
      </w:pPr>
    </w:p>
    <w:p w:rsidR="00E85468" w:rsidRPr="00FB599A" w:rsidRDefault="008F374F" w:rsidP="00E85468">
      <w:pPr>
        <w:spacing w:line="360" w:lineRule="auto"/>
        <w:ind w:left="720" w:hanging="720"/>
        <w:jc w:val="both"/>
      </w:pPr>
      <w:r w:rsidRPr="00FB599A">
        <w:t>11.2</w:t>
      </w:r>
      <w:r w:rsidRPr="00FB599A">
        <w:tab/>
        <w:t>All c</w:t>
      </w:r>
      <w:r w:rsidR="00E85468" w:rsidRPr="00FB599A">
        <w:t xml:space="preserve">ommunications </w:t>
      </w:r>
      <w:r w:rsidRPr="00FB599A">
        <w:t xml:space="preserve">regarding proceedings in the List </w:t>
      </w:r>
      <w:r w:rsidR="00E85468" w:rsidRPr="00FB599A">
        <w:t>should be directed to the TFM Associat</w:t>
      </w:r>
      <w:r w:rsidR="00D31383" w:rsidRPr="00FB599A">
        <w:t>e</w:t>
      </w:r>
      <w:r w:rsidR="00C30EE3" w:rsidRPr="00FB599A">
        <w:t xml:space="preserve"> (</w:t>
      </w:r>
      <w:hyperlink r:id="rId11" w:history="1">
        <w:r w:rsidR="00F219B4" w:rsidRPr="00FB599A">
          <w:rPr>
            <w:rStyle w:val="Hyperlink"/>
            <w:b/>
          </w:rPr>
          <w:t>tfm@supremecourt.vic.gov.au</w:t>
        </w:r>
      </w:hyperlink>
      <w:r w:rsidR="00C30EE3" w:rsidRPr="00FB599A">
        <w:t>)</w:t>
      </w:r>
      <w:r w:rsidRPr="00FB599A">
        <w:t>.</w:t>
      </w:r>
    </w:p>
    <w:p w:rsidR="00E32833" w:rsidRPr="00FB599A" w:rsidRDefault="00E32833" w:rsidP="00C27E6B">
      <w:pPr>
        <w:jc w:val="center"/>
        <w:rPr>
          <w:b/>
          <w:u w:val="single"/>
        </w:rPr>
      </w:pPr>
    </w:p>
    <w:p w:rsidR="00E32833" w:rsidRPr="00FB599A" w:rsidRDefault="00E32833" w:rsidP="00C27E6B">
      <w:pPr>
        <w:jc w:val="center"/>
        <w:rPr>
          <w:b/>
          <w:u w:val="single"/>
        </w:rPr>
      </w:pPr>
    </w:p>
    <w:p w:rsidR="00E32833" w:rsidRPr="00FB599A" w:rsidRDefault="00E32833" w:rsidP="00C27E6B">
      <w:pPr>
        <w:jc w:val="center"/>
        <w:rPr>
          <w:b/>
          <w:u w:val="single"/>
        </w:rPr>
      </w:pPr>
    </w:p>
    <w:p w:rsidR="00E32833" w:rsidRPr="00FB599A" w:rsidRDefault="00E32833" w:rsidP="00C27E6B">
      <w:pPr>
        <w:jc w:val="center"/>
        <w:rPr>
          <w:b/>
          <w:u w:val="single"/>
        </w:rPr>
      </w:pPr>
    </w:p>
    <w:p w:rsidR="00E32833" w:rsidRPr="00FB599A" w:rsidRDefault="00E32833" w:rsidP="00C27E6B">
      <w:pPr>
        <w:jc w:val="center"/>
        <w:rPr>
          <w:b/>
          <w:u w:val="single"/>
        </w:rPr>
      </w:pPr>
    </w:p>
    <w:p w:rsidR="00E32833" w:rsidRPr="00FB599A" w:rsidRDefault="00E32833" w:rsidP="00C27E6B">
      <w:pPr>
        <w:jc w:val="center"/>
        <w:rPr>
          <w:b/>
          <w:u w:val="single"/>
        </w:rPr>
      </w:pPr>
    </w:p>
    <w:p w:rsidR="00E32833" w:rsidRPr="00FB599A" w:rsidRDefault="00F219B4" w:rsidP="00CD5B20">
      <w:pPr>
        <w:jc w:val="right"/>
      </w:pPr>
      <w:r w:rsidRPr="00FB599A">
        <w:t xml:space="preserve">Vivienne </w:t>
      </w:r>
      <w:proofErr w:type="spellStart"/>
      <w:r w:rsidRPr="00FB599A">
        <w:t>Macgillivray</w:t>
      </w:r>
      <w:proofErr w:type="spellEnd"/>
    </w:p>
    <w:p w:rsidR="00F219B4" w:rsidRPr="00FB599A" w:rsidRDefault="00F219B4" w:rsidP="00CD5B20">
      <w:pPr>
        <w:jc w:val="right"/>
      </w:pPr>
      <w:r w:rsidRPr="00FB599A">
        <w:t>Executive Associate to the Chief Justice</w:t>
      </w:r>
    </w:p>
    <w:p w:rsidR="00F219B4" w:rsidRPr="00FB599A" w:rsidRDefault="00F219B4" w:rsidP="00CD5B20">
      <w:pPr>
        <w:jc w:val="right"/>
        <w:rPr>
          <w:b/>
          <w:u w:val="single"/>
        </w:rPr>
      </w:pPr>
      <w:r w:rsidRPr="00FB599A">
        <w:t>5 November 2014</w:t>
      </w:r>
    </w:p>
    <w:p w:rsidR="00E32833" w:rsidRPr="00FB599A" w:rsidRDefault="00E32833" w:rsidP="00C27E6B">
      <w:pPr>
        <w:jc w:val="center"/>
        <w:rPr>
          <w:b/>
          <w:u w:val="single"/>
        </w:rPr>
      </w:pPr>
    </w:p>
    <w:p w:rsidR="00E32833" w:rsidRPr="00FB599A" w:rsidRDefault="00E32833" w:rsidP="00C27E6B">
      <w:pPr>
        <w:jc w:val="center"/>
        <w:rPr>
          <w:b/>
          <w:u w:val="single"/>
        </w:rPr>
      </w:pPr>
    </w:p>
    <w:p w:rsidR="00E32833" w:rsidRPr="00FB599A" w:rsidRDefault="00E32833" w:rsidP="00C27E6B">
      <w:pPr>
        <w:jc w:val="center"/>
        <w:rPr>
          <w:b/>
          <w:u w:val="single"/>
        </w:rPr>
      </w:pPr>
    </w:p>
    <w:p w:rsidR="00E32833" w:rsidRPr="00FB599A" w:rsidRDefault="00E32833" w:rsidP="00C27E6B">
      <w:pPr>
        <w:jc w:val="center"/>
        <w:rPr>
          <w:b/>
          <w:u w:val="single"/>
        </w:rPr>
      </w:pPr>
    </w:p>
    <w:p w:rsidR="00E32833" w:rsidRPr="00FB599A" w:rsidRDefault="00E32833" w:rsidP="00C27E6B">
      <w:pPr>
        <w:jc w:val="center"/>
        <w:rPr>
          <w:b/>
          <w:u w:val="single"/>
        </w:rPr>
      </w:pPr>
    </w:p>
    <w:p w:rsidR="00E32833" w:rsidRPr="00FB599A" w:rsidRDefault="00E32833" w:rsidP="00C27E6B">
      <w:pPr>
        <w:jc w:val="center"/>
        <w:rPr>
          <w:b/>
          <w:u w:val="single"/>
        </w:rPr>
      </w:pPr>
    </w:p>
    <w:p w:rsidR="00E32833" w:rsidRPr="00FB599A" w:rsidRDefault="00E32833" w:rsidP="00C27E6B">
      <w:pPr>
        <w:jc w:val="center"/>
        <w:rPr>
          <w:b/>
          <w:u w:val="single"/>
        </w:rPr>
      </w:pPr>
    </w:p>
    <w:p w:rsidR="00553534" w:rsidRPr="00FB599A" w:rsidRDefault="004E10CA" w:rsidP="00C27E6B">
      <w:pPr>
        <w:jc w:val="center"/>
        <w:rPr>
          <w:b/>
        </w:rPr>
      </w:pPr>
      <w:r w:rsidRPr="00FB599A">
        <w:rPr>
          <w:b/>
          <w:u w:val="single"/>
        </w:rPr>
        <w:br w:type="page"/>
      </w:r>
      <w:r w:rsidR="009B7708" w:rsidRPr="00FB599A">
        <w:rPr>
          <w:b/>
        </w:rPr>
        <w:lastRenderedPageBreak/>
        <w:t>SCHEDULE 1</w:t>
      </w:r>
    </w:p>
    <w:p w:rsidR="00553534" w:rsidRPr="00FB599A" w:rsidRDefault="00462341" w:rsidP="00C27E6B">
      <w:pPr>
        <w:jc w:val="center"/>
        <w:rPr>
          <w:b/>
        </w:rPr>
      </w:pPr>
      <w:r w:rsidRPr="00FB599A">
        <w:rPr>
          <w:b/>
        </w:rPr>
        <w:t>Testators Family Maintenance</w:t>
      </w:r>
      <w:r w:rsidR="00553534" w:rsidRPr="00FB599A">
        <w:rPr>
          <w:b/>
        </w:rPr>
        <w:t xml:space="preserve"> List</w:t>
      </w:r>
    </w:p>
    <w:p w:rsidR="00CE520C" w:rsidRPr="00FB599A" w:rsidRDefault="00462341" w:rsidP="00C27E6B">
      <w:pPr>
        <w:jc w:val="center"/>
        <w:rPr>
          <w:b/>
        </w:rPr>
      </w:pPr>
      <w:r w:rsidRPr="00FB599A">
        <w:rPr>
          <w:b/>
        </w:rPr>
        <w:t xml:space="preserve">Affidavit or position statement of </w:t>
      </w:r>
      <w:r w:rsidR="0032301D" w:rsidRPr="00FB599A">
        <w:rPr>
          <w:b/>
        </w:rPr>
        <w:t xml:space="preserve">the </w:t>
      </w:r>
      <w:r w:rsidRPr="00FB599A">
        <w:rPr>
          <w:b/>
        </w:rPr>
        <w:t>plaintiff</w:t>
      </w:r>
    </w:p>
    <w:p w:rsidR="009F1D8F" w:rsidRPr="00FB599A" w:rsidRDefault="009F1D8F" w:rsidP="009F1D8F">
      <w:pPr>
        <w:spacing w:line="360" w:lineRule="auto"/>
        <w:jc w:val="both"/>
      </w:pPr>
    </w:p>
    <w:p w:rsidR="00462341" w:rsidRPr="00FB599A" w:rsidRDefault="003540F2" w:rsidP="003540F2">
      <w:pPr>
        <w:spacing w:line="360" w:lineRule="auto"/>
        <w:jc w:val="both"/>
      </w:pPr>
      <w:r w:rsidRPr="00FB599A">
        <w:t>T</w:t>
      </w:r>
      <w:r w:rsidR="00462341" w:rsidRPr="00FB599A">
        <w:t xml:space="preserve">he matters to be included in the affidavit or position statement of the plaintiff in support of an application under Part IV of the </w:t>
      </w:r>
      <w:r w:rsidR="00462341" w:rsidRPr="00FB599A">
        <w:rPr>
          <w:i/>
        </w:rPr>
        <w:t>Administration and Probate Act 1958</w:t>
      </w:r>
      <w:r w:rsidR="00462341" w:rsidRPr="00FB599A">
        <w:t xml:space="preserve"> shall include:</w:t>
      </w:r>
    </w:p>
    <w:p w:rsidR="003540F2" w:rsidRPr="00FB599A" w:rsidRDefault="003540F2" w:rsidP="00823DF6">
      <w:pPr>
        <w:spacing w:line="360" w:lineRule="auto"/>
        <w:contextualSpacing/>
      </w:pPr>
    </w:p>
    <w:p w:rsidR="00462341" w:rsidRPr="00FB599A" w:rsidRDefault="009C006A" w:rsidP="00823DF6">
      <w:pPr>
        <w:pStyle w:val="Heading2"/>
        <w:keepNext w:val="0"/>
        <w:widowControl w:val="0"/>
        <w:numPr>
          <w:ilvl w:val="1"/>
          <w:numId w:val="26"/>
        </w:numPr>
        <w:tabs>
          <w:tab w:val="num" w:pos="720"/>
          <w:tab w:val="left" w:pos="2160"/>
          <w:tab w:val="left" w:pos="2880"/>
          <w:tab w:val="left" w:pos="3600"/>
          <w:tab w:val="left" w:pos="4320"/>
        </w:tabs>
        <w:spacing w:before="0" w:after="0" w:line="360" w:lineRule="auto"/>
        <w:ind w:hanging="720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B599A">
        <w:rPr>
          <w:rFonts w:ascii="Times New Roman" w:hAnsi="Times New Roman"/>
          <w:b w:val="0"/>
          <w:i w:val="0"/>
          <w:sz w:val="24"/>
          <w:szCs w:val="24"/>
        </w:rPr>
        <w:t>The f</w:t>
      </w:r>
      <w:r w:rsidR="00462341" w:rsidRPr="00FB599A">
        <w:rPr>
          <w:rFonts w:ascii="Times New Roman" w:hAnsi="Times New Roman"/>
          <w:b w:val="0"/>
          <w:i w:val="0"/>
          <w:sz w:val="24"/>
          <w:szCs w:val="24"/>
        </w:rPr>
        <w:t xml:space="preserve">ull name and address of the plaintiff; </w:t>
      </w:r>
    </w:p>
    <w:p w:rsidR="00462341" w:rsidRPr="00FB599A" w:rsidRDefault="00462341" w:rsidP="00471D75">
      <w:pPr>
        <w:pStyle w:val="Heading2"/>
        <w:keepNext w:val="0"/>
        <w:widowControl w:val="0"/>
        <w:numPr>
          <w:ilvl w:val="1"/>
          <w:numId w:val="26"/>
        </w:numPr>
        <w:tabs>
          <w:tab w:val="num" w:pos="720"/>
          <w:tab w:val="left" w:pos="2160"/>
          <w:tab w:val="left" w:pos="2880"/>
          <w:tab w:val="left" w:pos="3600"/>
          <w:tab w:val="left" w:pos="4320"/>
        </w:tabs>
        <w:spacing w:before="0" w:after="0" w:line="360" w:lineRule="auto"/>
        <w:ind w:hanging="720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B599A">
        <w:rPr>
          <w:rFonts w:ascii="Times New Roman" w:hAnsi="Times New Roman"/>
          <w:b w:val="0"/>
          <w:i w:val="0"/>
          <w:sz w:val="24"/>
          <w:szCs w:val="24"/>
        </w:rPr>
        <w:t xml:space="preserve">The full name and last known address of the deceased; </w:t>
      </w:r>
    </w:p>
    <w:p w:rsidR="00462341" w:rsidRPr="00FB599A" w:rsidRDefault="00462341" w:rsidP="00471D75">
      <w:pPr>
        <w:pStyle w:val="Heading2"/>
        <w:keepNext w:val="0"/>
        <w:widowControl w:val="0"/>
        <w:numPr>
          <w:ilvl w:val="1"/>
          <w:numId w:val="26"/>
        </w:numPr>
        <w:tabs>
          <w:tab w:val="num" w:pos="720"/>
          <w:tab w:val="left" w:pos="2160"/>
          <w:tab w:val="left" w:pos="2880"/>
          <w:tab w:val="left" w:pos="3600"/>
          <w:tab w:val="left" w:pos="4320"/>
        </w:tabs>
        <w:spacing w:before="0" w:after="0" w:line="360" w:lineRule="auto"/>
        <w:ind w:hanging="720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B599A">
        <w:rPr>
          <w:rFonts w:ascii="Times New Roman" w:hAnsi="Times New Roman"/>
          <w:b w:val="0"/>
          <w:i w:val="0"/>
          <w:sz w:val="24"/>
          <w:szCs w:val="24"/>
        </w:rPr>
        <w:t>The date of the last will of the deceased;</w:t>
      </w:r>
    </w:p>
    <w:p w:rsidR="00462341" w:rsidRPr="00FB599A" w:rsidRDefault="00462341" w:rsidP="00471D75">
      <w:pPr>
        <w:pStyle w:val="Heading2"/>
        <w:keepNext w:val="0"/>
        <w:widowControl w:val="0"/>
        <w:numPr>
          <w:ilvl w:val="1"/>
          <w:numId w:val="26"/>
        </w:numPr>
        <w:tabs>
          <w:tab w:val="num" w:pos="720"/>
          <w:tab w:val="left" w:pos="2160"/>
          <w:tab w:val="left" w:pos="2880"/>
          <w:tab w:val="left" w:pos="3600"/>
          <w:tab w:val="left" w:pos="4320"/>
        </w:tabs>
        <w:spacing w:before="0" w:after="0" w:line="360" w:lineRule="auto"/>
        <w:ind w:hanging="720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B599A">
        <w:rPr>
          <w:rFonts w:ascii="Times New Roman" w:hAnsi="Times New Roman"/>
          <w:b w:val="0"/>
          <w:i w:val="0"/>
          <w:sz w:val="24"/>
          <w:szCs w:val="24"/>
        </w:rPr>
        <w:t xml:space="preserve">The date of the grant of probate or letters of administration and </w:t>
      </w:r>
      <w:r w:rsidR="001D4F7C" w:rsidRPr="00FB599A">
        <w:rPr>
          <w:rFonts w:ascii="Times New Roman" w:hAnsi="Times New Roman"/>
          <w:b w:val="0"/>
          <w:i w:val="0"/>
          <w:sz w:val="24"/>
          <w:szCs w:val="24"/>
        </w:rPr>
        <w:t xml:space="preserve">to </w:t>
      </w:r>
      <w:r w:rsidRPr="00FB599A">
        <w:rPr>
          <w:rFonts w:ascii="Times New Roman" w:hAnsi="Times New Roman"/>
          <w:b w:val="0"/>
          <w:i w:val="0"/>
          <w:sz w:val="24"/>
          <w:szCs w:val="24"/>
        </w:rPr>
        <w:t xml:space="preserve">whom </w:t>
      </w:r>
      <w:r w:rsidR="001D4F7C" w:rsidRPr="00FB599A">
        <w:rPr>
          <w:rFonts w:ascii="Times New Roman" w:hAnsi="Times New Roman"/>
          <w:b w:val="0"/>
          <w:i w:val="0"/>
          <w:sz w:val="24"/>
          <w:szCs w:val="24"/>
        </w:rPr>
        <w:t xml:space="preserve">they were </w:t>
      </w:r>
      <w:r w:rsidRPr="00FB599A">
        <w:rPr>
          <w:rFonts w:ascii="Times New Roman" w:hAnsi="Times New Roman"/>
          <w:b w:val="0"/>
          <w:i w:val="0"/>
          <w:sz w:val="24"/>
          <w:szCs w:val="24"/>
        </w:rPr>
        <w:t>granted;</w:t>
      </w:r>
    </w:p>
    <w:p w:rsidR="00462341" w:rsidRPr="00FB599A" w:rsidRDefault="00462341" w:rsidP="00471D75">
      <w:pPr>
        <w:pStyle w:val="Heading2"/>
        <w:keepNext w:val="0"/>
        <w:widowControl w:val="0"/>
        <w:numPr>
          <w:ilvl w:val="1"/>
          <w:numId w:val="26"/>
        </w:numPr>
        <w:tabs>
          <w:tab w:val="num" w:pos="720"/>
          <w:tab w:val="left" w:pos="2160"/>
          <w:tab w:val="left" w:pos="2880"/>
          <w:tab w:val="left" w:pos="3600"/>
          <w:tab w:val="left" w:pos="4320"/>
        </w:tabs>
        <w:spacing w:before="0" w:after="0" w:line="360" w:lineRule="auto"/>
        <w:ind w:hanging="720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B599A">
        <w:rPr>
          <w:rFonts w:ascii="Times New Roman" w:hAnsi="Times New Roman"/>
          <w:b w:val="0"/>
          <w:i w:val="0"/>
          <w:sz w:val="24"/>
          <w:szCs w:val="24"/>
        </w:rPr>
        <w:t>The date of birth and the date of death of the deceased;</w:t>
      </w:r>
    </w:p>
    <w:p w:rsidR="00471D75" w:rsidRPr="00FB599A" w:rsidRDefault="00471D75" w:rsidP="00471D75">
      <w:pPr>
        <w:pStyle w:val="Heading2"/>
        <w:keepNext w:val="0"/>
        <w:widowControl w:val="0"/>
        <w:numPr>
          <w:ilvl w:val="1"/>
          <w:numId w:val="26"/>
        </w:numPr>
        <w:tabs>
          <w:tab w:val="num" w:pos="720"/>
          <w:tab w:val="left" w:pos="2160"/>
          <w:tab w:val="left" w:pos="2880"/>
          <w:tab w:val="left" w:pos="3600"/>
          <w:tab w:val="left" w:pos="4320"/>
        </w:tabs>
        <w:spacing w:before="0" w:after="0" w:line="360" w:lineRule="auto"/>
        <w:ind w:hanging="720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B599A">
        <w:rPr>
          <w:rFonts w:ascii="Times New Roman" w:hAnsi="Times New Roman"/>
          <w:b w:val="0"/>
          <w:i w:val="0"/>
          <w:sz w:val="24"/>
          <w:szCs w:val="24"/>
        </w:rPr>
        <w:t>Either:</w:t>
      </w:r>
    </w:p>
    <w:p w:rsidR="00471D75" w:rsidRPr="00FB599A" w:rsidRDefault="00471D75" w:rsidP="00471D75">
      <w:pPr>
        <w:pStyle w:val="Heading3"/>
        <w:widowControl w:val="0"/>
        <w:numPr>
          <w:ilvl w:val="2"/>
          <w:numId w:val="26"/>
        </w:numPr>
        <w:tabs>
          <w:tab w:val="left" w:pos="2160"/>
          <w:tab w:val="left" w:pos="2880"/>
          <w:tab w:val="left" w:pos="3600"/>
          <w:tab w:val="left" w:pos="4320"/>
        </w:tabs>
        <w:spacing w:before="0" w:after="0" w:line="360" w:lineRule="auto"/>
        <w:contextualSpacing/>
        <w:jc w:val="both"/>
        <w:rPr>
          <w:b w:val="0"/>
        </w:rPr>
      </w:pPr>
      <w:r w:rsidRPr="00FB599A">
        <w:rPr>
          <w:b w:val="0"/>
        </w:rPr>
        <w:t xml:space="preserve">In the case of an application in respect of the estate of a person who died </w:t>
      </w:r>
      <w:r w:rsidRPr="00FB599A">
        <w:t>before</w:t>
      </w:r>
      <w:r w:rsidRPr="00FB599A">
        <w:rPr>
          <w:b w:val="0"/>
        </w:rPr>
        <w:t xml:space="preserve"> the commencement of Part 2 of the </w:t>
      </w:r>
      <w:r w:rsidRPr="00FB599A">
        <w:rPr>
          <w:b w:val="0"/>
          <w:i/>
        </w:rPr>
        <w:t xml:space="preserve">Justice Legislation Amendment (Succession and Surrogacy) Act 2014, </w:t>
      </w:r>
      <w:r w:rsidRPr="00FB599A">
        <w:rPr>
          <w:b w:val="0"/>
        </w:rPr>
        <w:t>t</w:t>
      </w:r>
      <w:r w:rsidR="00462341" w:rsidRPr="00FB599A">
        <w:rPr>
          <w:b w:val="0"/>
        </w:rPr>
        <w:t>he relationship of the plaintiff to the deceased</w:t>
      </w:r>
      <w:r w:rsidR="00C46B03" w:rsidRPr="00FB599A">
        <w:rPr>
          <w:b w:val="0"/>
        </w:rPr>
        <w:t xml:space="preserve"> and the basis of the claim that the deceased owed a responsibility to make provision for the maintenance and support of the plaintiff</w:t>
      </w:r>
      <w:r w:rsidR="00462341" w:rsidRPr="00FB599A">
        <w:rPr>
          <w:b w:val="0"/>
        </w:rPr>
        <w:t>;</w:t>
      </w:r>
      <w:r w:rsidRPr="00FB599A">
        <w:rPr>
          <w:b w:val="0"/>
        </w:rPr>
        <w:t xml:space="preserve"> or</w:t>
      </w:r>
    </w:p>
    <w:p w:rsidR="00471D75" w:rsidRPr="00FB599A" w:rsidRDefault="00471D75" w:rsidP="00471D75">
      <w:pPr>
        <w:pStyle w:val="Heading3"/>
        <w:widowControl w:val="0"/>
        <w:numPr>
          <w:ilvl w:val="2"/>
          <w:numId w:val="26"/>
        </w:numPr>
        <w:tabs>
          <w:tab w:val="left" w:pos="2160"/>
          <w:tab w:val="left" w:pos="2880"/>
          <w:tab w:val="left" w:pos="3600"/>
          <w:tab w:val="left" w:pos="4320"/>
        </w:tabs>
        <w:spacing w:before="0" w:after="0" w:line="360" w:lineRule="auto"/>
        <w:contextualSpacing/>
        <w:jc w:val="both"/>
        <w:rPr>
          <w:b w:val="0"/>
        </w:rPr>
      </w:pPr>
      <w:r w:rsidRPr="00FB599A">
        <w:rPr>
          <w:b w:val="0"/>
        </w:rPr>
        <w:t xml:space="preserve">In the case of an application in respect of the estate of a person who died </w:t>
      </w:r>
      <w:r w:rsidRPr="00FB599A">
        <w:t>on or after</w:t>
      </w:r>
      <w:r w:rsidRPr="00FB599A">
        <w:rPr>
          <w:b w:val="0"/>
        </w:rPr>
        <w:t xml:space="preserve"> the commencement of Part 2 of the </w:t>
      </w:r>
      <w:r w:rsidRPr="00FB599A">
        <w:rPr>
          <w:b w:val="0"/>
          <w:i/>
        </w:rPr>
        <w:t>Justice Legislation Amendment (Succession and Surrogacy) Act 2014</w:t>
      </w:r>
      <w:r w:rsidR="00F443E0" w:rsidRPr="00FB599A">
        <w:rPr>
          <w:b w:val="0"/>
        </w:rPr>
        <w:t>, the matters set out in r</w:t>
      </w:r>
      <w:r w:rsidRPr="00FB599A">
        <w:rPr>
          <w:b w:val="0"/>
        </w:rPr>
        <w:t>ule 16.03(3) of the Rules.</w:t>
      </w:r>
    </w:p>
    <w:p w:rsidR="00C46B03" w:rsidRPr="00FB599A" w:rsidRDefault="00462341" w:rsidP="00471D75">
      <w:pPr>
        <w:pStyle w:val="Heading2"/>
        <w:keepNext w:val="0"/>
        <w:widowControl w:val="0"/>
        <w:numPr>
          <w:ilvl w:val="1"/>
          <w:numId w:val="26"/>
        </w:numPr>
        <w:tabs>
          <w:tab w:val="num" w:pos="720"/>
          <w:tab w:val="left" w:pos="2160"/>
          <w:tab w:val="left" w:pos="2880"/>
          <w:tab w:val="left" w:pos="3600"/>
          <w:tab w:val="left" w:pos="4320"/>
        </w:tabs>
        <w:spacing w:before="0" w:after="0" w:line="360" w:lineRule="auto"/>
        <w:ind w:hanging="720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B599A">
        <w:rPr>
          <w:rFonts w:ascii="Times New Roman" w:hAnsi="Times New Roman"/>
          <w:b w:val="0"/>
          <w:i w:val="0"/>
          <w:sz w:val="24"/>
          <w:szCs w:val="24"/>
        </w:rPr>
        <w:t xml:space="preserve">The nature and </w:t>
      </w:r>
      <w:r w:rsidR="00C46B03" w:rsidRPr="00FB599A">
        <w:rPr>
          <w:rFonts w:ascii="Times New Roman" w:hAnsi="Times New Roman"/>
          <w:b w:val="0"/>
          <w:i w:val="0"/>
          <w:sz w:val="24"/>
          <w:szCs w:val="24"/>
        </w:rPr>
        <w:t>extent of the deceased’s estate;</w:t>
      </w:r>
    </w:p>
    <w:p w:rsidR="00C46B03" w:rsidRPr="00FB599A" w:rsidRDefault="00C46B03" w:rsidP="00471D75">
      <w:pPr>
        <w:pStyle w:val="Heading2"/>
        <w:keepNext w:val="0"/>
        <w:widowControl w:val="0"/>
        <w:numPr>
          <w:ilvl w:val="1"/>
          <w:numId w:val="26"/>
        </w:numPr>
        <w:tabs>
          <w:tab w:val="num" w:pos="720"/>
          <w:tab w:val="left" w:pos="2160"/>
          <w:tab w:val="left" w:pos="2880"/>
          <w:tab w:val="left" w:pos="3600"/>
          <w:tab w:val="left" w:pos="4320"/>
        </w:tabs>
        <w:spacing w:before="0" w:after="0" w:line="360" w:lineRule="auto"/>
        <w:ind w:hanging="720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B599A">
        <w:rPr>
          <w:rFonts w:ascii="Times New Roman" w:hAnsi="Times New Roman"/>
          <w:b w:val="0"/>
          <w:i w:val="0"/>
          <w:sz w:val="24"/>
          <w:szCs w:val="24"/>
        </w:rPr>
        <w:t>Th</w:t>
      </w:r>
      <w:r w:rsidR="009C006A" w:rsidRPr="00FB599A">
        <w:rPr>
          <w:rFonts w:ascii="Times New Roman" w:hAnsi="Times New Roman"/>
          <w:b w:val="0"/>
          <w:i w:val="0"/>
          <w:sz w:val="24"/>
          <w:szCs w:val="24"/>
        </w:rPr>
        <w:t>e major gifts contained in the w</w:t>
      </w:r>
      <w:r w:rsidRPr="00FB599A">
        <w:rPr>
          <w:rFonts w:ascii="Times New Roman" w:hAnsi="Times New Roman"/>
          <w:b w:val="0"/>
          <w:i w:val="0"/>
          <w:sz w:val="24"/>
          <w:szCs w:val="24"/>
        </w:rPr>
        <w:t>ill and the beneficiaries entitled to both the gifts and the residue of the estate; and</w:t>
      </w:r>
    </w:p>
    <w:p w:rsidR="00C46B03" w:rsidRPr="00FB599A" w:rsidRDefault="00C46B03" w:rsidP="00F557E9">
      <w:pPr>
        <w:pStyle w:val="Heading2"/>
        <w:keepNext w:val="0"/>
        <w:widowControl w:val="0"/>
        <w:numPr>
          <w:ilvl w:val="1"/>
          <w:numId w:val="26"/>
        </w:numPr>
        <w:tabs>
          <w:tab w:val="num" w:pos="720"/>
          <w:tab w:val="left" w:pos="2160"/>
          <w:tab w:val="left" w:pos="2880"/>
          <w:tab w:val="left" w:pos="3600"/>
          <w:tab w:val="left" w:pos="4320"/>
        </w:tabs>
        <w:spacing w:before="0" w:after="0" w:line="360" w:lineRule="auto"/>
        <w:ind w:hanging="720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B599A">
        <w:rPr>
          <w:rFonts w:ascii="Times New Roman" w:hAnsi="Times New Roman"/>
          <w:b w:val="0"/>
          <w:i w:val="0"/>
          <w:sz w:val="24"/>
          <w:szCs w:val="24"/>
        </w:rPr>
        <w:t>The financial position of the plaintiff and of the other beneficiaries of the estate</w:t>
      </w:r>
      <w:r w:rsidR="009C006A" w:rsidRPr="00FB599A">
        <w:rPr>
          <w:rFonts w:ascii="Times New Roman" w:hAnsi="Times New Roman"/>
          <w:b w:val="0"/>
          <w:i w:val="0"/>
          <w:sz w:val="24"/>
          <w:szCs w:val="24"/>
        </w:rPr>
        <w:t>,</w:t>
      </w:r>
      <w:r w:rsidRPr="00FB599A">
        <w:rPr>
          <w:rFonts w:ascii="Times New Roman" w:hAnsi="Times New Roman"/>
          <w:b w:val="0"/>
          <w:i w:val="0"/>
          <w:sz w:val="24"/>
          <w:szCs w:val="24"/>
        </w:rPr>
        <w:t xml:space="preserve"> insofar as it is known to the plaintiff.</w:t>
      </w:r>
    </w:p>
    <w:p w:rsidR="003540F2" w:rsidRPr="00FB599A" w:rsidRDefault="003540F2" w:rsidP="00823DF6">
      <w:pPr>
        <w:spacing w:line="360" w:lineRule="auto"/>
        <w:contextualSpacing/>
      </w:pPr>
    </w:p>
    <w:p w:rsidR="00553534" w:rsidRPr="00FB599A" w:rsidRDefault="00462341" w:rsidP="00823DF6">
      <w:pPr>
        <w:spacing w:line="360" w:lineRule="auto"/>
        <w:contextualSpacing/>
        <w:jc w:val="center"/>
        <w:rPr>
          <w:b/>
        </w:rPr>
      </w:pPr>
      <w:r w:rsidRPr="00FB599A">
        <w:rPr>
          <w:b/>
        </w:rPr>
        <w:br w:type="page"/>
      </w:r>
      <w:r w:rsidR="00B2533E" w:rsidRPr="00FB599A">
        <w:rPr>
          <w:b/>
        </w:rPr>
        <w:lastRenderedPageBreak/>
        <w:t xml:space="preserve">SCHEDULE </w:t>
      </w:r>
      <w:r w:rsidR="00C02F5C" w:rsidRPr="00FB599A">
        <w:rPr>
          <w:b/>
        </w:rPr>
        <w:t>2</w:t>
      </w:r>
    </w:p>
    <w:p w:rsidR="00462341" w:rsidRPr="00FB599A" w:rsidRDefault="00462341" w:rsidP="00462341">
      <w:pPr>
        <w:jc w:val="center"/>
        <w:rPr>
          <w:b/>
        </w:rPr>
      </w:pPr>
      <w:r w:rsidRPr="00FB599A">
        <w:rPr>
          <w:b/>
        </w:rPr>
        <w:t>Testators Family Maintenance List</w:t>
      </w:r>
    </w:p>
    <w:p w:rsidR="00CE520C" w:rsidRPr="00FB599A" w:rsidRDefault="00462341" w:rsidP="002F4D7F">
      <w:pPr>
        <w:jc w:val="center"/>
        <w:rPr>
          <w:b/>
        </w:rPr>
      </w:pPr>
      <w:r w:rsidRPr="00FB599A">
        <w:rPr>
          <w:b/>
        </w:rPr>
        <w:t>Standard directions for first directions hearing</w:t>
      </w:r>
    </w:p>
    <w:p w:rsidR="00462341" w:rsidRPr="00FB599A" w:rsidRDefault="00462341" w:rsidP="00462341">
      <w:pPr>
        <w:jc w:val="right"/>
      </w:pPr>
    </w:p>
    <w:p w:rsidR="00462341" w:rsidRPr="00FB599A" w:rsidRDefault="00462341" w:rsidP="00462341">
      <w:pPr>
        <w:jc w:val="right"/>
      </w:pPr>
    </w:p>
    <w:p w:rsidR="008F374F" w:rsidRPr="00FB599A" w:rsidRDefault="008F374F" w:rsidP="00462341">
      <w:pPr>
        <w:rPr>
          <w:b/>
        </w:rPr>
      </w:pPr>
      <w:r w:rsidRPr="00FB599A">
        <w:rPr>
          <w:b/>
        </w:rPr>
        <w:t>Other Matters</w:t>
      </w:r>
    </w:p>
    <w:p w:rsidR="008F374F" w:rsidRPr="00FB599A" w:rsidRDefault="008F374F" w:rsidP="00462341"/>
    <w:p w:rsidR="00462341" w:rsidRPr="00FB599A" w:rsidRDefault="00462341" w:rsidP="00462341">
      <w:r w:rsidRPr="00FB599A">
        <w:t xml:space="preserve">Upon the Plaintiff stating to the Court by </w:t>
      </w:r>
      <w:r w:rsidR="00045450" w:rsidRPr="00FB599A">
        <w:t>their</w:t>
      </w:r>
      <w:r w:rsidRPr="00FB599A">
        <w:t xml:space="preserve"> Counsel that </w:t>
      </w:r>
      <w:r w:rsidR="00045450" w:rsidRPr="00FB599A">
        <w:t>they seek</w:t>
      </w:r>
      <w:r w:rsidRPr="00FB599A">
        <w:t xml:space="preserve"> f</w:t>
      </w:r>
      <w:r w:rsidR="001D4F7C" w:rsidRPr="00FB599A">
        <w:t>urth</w:t>
      </w:r>
      <w:r w:rsidR="008F374F" w:rsidRPr="00FB599A">
        <w:t xml:space="preserve">er provision to the extent of </w:t>
      </w:r>
      <w:r w:rsidR="008F374F" w:rsidRPr="00FB599A">
        <w:tab/>
      </w:r>
      <w:r w:rsidR="008F374F" w:rsidRPr="00FB599A">
        <w:tab/>
      </w:r>
      <w:r w:rsidRPr="00FB599A">
        <w:t xml:space="preserve">% of the Estate, </w:t>
      </w:r>
      <w:r w:rsidR="001D4F7C" w:rsidRPr="00FB599A">
        <w:t xml:space="preserve">which is of the approximate value of </w:t>
      </w:r>
      <w:r w:rsidRPr="00FB599A">
        <w:t>$</w:t>
      </w:r>
      <w:r w:rsidR="008F374F" w:rsidRPr="00FB599A">
        <w:t xml:space="preserve"> </w:t>
      </w:r>
      <w:r w:rsidR="008F374F" w:rsidRPr="00FB599A">
        <w:tab/>
      </w:r>
      <w:r w:rsidR="008F374F" w:rsidRPr="00FB599A">
        <w:tab/>
      </w:r>
      <w:r w:rsidRPr="00FB599A">
        <w:t>.</w:t>
      </w:r>
    </w:p>
    <w:p w:rsidR="00462341" w:rsidRPr="00FB599A" w:rsidRDefault="00462341" w:rsidP="00462341"/>
    <w:p w:rsidR="00462341" w:rsidRPr="00FB599A" w:rsidRDefault="00462341" w:rsidP="00462341">
      <w:r w:rsidRPr="00FB599A">
        <w:t>THE COURT ORDERS AND DIRECTS THAT:</w:t>
      </w:r>
    </w:p>
    <w:p w:rsidR="00462341" w:rsidRPr="00FB599A" w:rsidRDefault="00462341" w:rsidP="00462341"/>
    <w:p w:rsidR="002125C7" w:rsidRPr="00FB599A" w:rsidRDefault="002125C7" w:rsidP="00462341">
      <w:pPr>
        <w:rPr>
          <w:b/>
        </w:rPr>
      </w:pPr>
      <w:r w:rsidRPr="00FB599A">
        <w:rPr>
          <w:b/>
        </w:rPr>
        <w:t>Pre-Trial Directions</w:t>
      </w:r>
    </w:p>
    <w:p w:rsidR="009C006A" w:rsidRPr="00FB599A" w:rsidRDefault="00462341" w:rsidP="00462341">
      <w:pPr>
        <w:numPr>
          <w:ilvl w:val="0"/>
          <w:numId w:val="27"/>
        </w:numPr>
        <w:spacing w:before="120" w:after="120" w:line="480" w:lineRule="atLeast"/>
      </w:pPr>
      <w:r w:rsidRPr="00FB599A">
        <w:t>By</w:t>
      </w:r>
      <w:r w:rsidR="008F374F" w:rsidRPr="00FB599A">
        <w:t xml:space="preserve"> 4.00 pm. on [</w:t>
      </w:r>
      <w:r w:rsidR="008F374F" w:rsidRPr="00FB599A">
        <w:tab/>
      </w:r>
      <w:r w:rsidR="008F374F" w:rsidRPr="00FB599A">
        <w:tab/>
      </w:r>
      <w:r w:rsidR="001D4F7C" w:rsidRPr="00FB599A">
        <w:t xml:space="preserve">] </w:t>
      </w:r>
      <w:r w:rsidRPr="00FB599A">
        <w:t>the Plaintiff send by pre</w:t>
      </w:r>
      <w:r w:rsidR="008F374F" w:rsidRPr="00FB599A">
        <w:t xml:space="preserve">paid ordinary post to </w:t>
      </w:r>
    </w:p>
    <w:p w:rsidR="00462341" w:rsidRPr="00FB599A" w:rsidRDefault="008F374F" w:rsidP="009C006A">
      <w:pPr>
        <w:spacing w:before="120" w:after="120" w:line="480" w:lineRule="atLeast"/>
        <w:ind w:left="360"/>
      </w:pPr>
      <w:proofErr w:type="gramStart"/>
      <w:r w:rsidRPr="00FB599A">
        <w:t>[</w:t>
      </w:r>
      <w:r w:rsidRPr="00FB599A">
        <w:tab/>
      </w:r>
      <w:r w:rsidRPr="00FB599A">
        <w:tab/>
      </w:r>
      <w:r w:rsidR="001D4F7C" w:rsidRPr="00FB599A">
        <w:t>]</w:t>
      </w:r>
      <w:r w:rsidR="00462341" w:rsidRPr="00FB599A">
        <w:t xml:space="preserve"> a notice in the form of the Schedule</w:t>
      </w:r>
      <w:r w:rsidR="001D4F7C" w:rsidRPr="00FB599A">
        <w:t xml:space="preserve"> attached to these orders</w:t>
      </w:r>
      <w:r w:rsidR="00462341" w:rsidRPr="00FB599A">
        <w:t>.</w:t>
      </w:r>
      <w:proofErr w:type="gramEnd"/>
    </w:p>
    <w:p w:rsidR="00462341" w:rsidRPr="00FB599A" w:rsidRDefault="00462341" w:rsidP="00462341">
      <w:pPr>
        <w:numPr>
          <w:ilvl w:val="0"/>
          <w:numId w:val="27"/>
        </w:numPr>
        <w:spacing w:before="120" w:after="120" w:line="480" w:lineRule="atLeast"/>
      </w:pPr>
      <w:r w:rsidRPr="00FB599A">
        <w:t xml:space="preserve">The person named in paragraph 1 </w:t>
      </w:r>
      <w:r w:rsidR="00045450" w:rsidRPr="00FB599A">
        <w:t>be granted leave</w:t>
      </w:r>
      <w:r w:rsidR="001D4F7C" w:rsidRPr="00FB599A">
        <w:t xml:space="preserve"> to apply to be added as a d</w:t>
      </w:r>
      <w:r w:rsidRPr="00FB599A">
        <w:t>efendant to the proceeding, provided t</w:t>
      </w:r>
      <w:r w:rsidR="001D4F7C" w:rsidRPr="00FB599A">
        <w:t>hat any application is made by s</w:t>
      </w:r>
      <w:r w:rsidRPr="00FB599A">
        <w:t>ummons returnable on or bef</w:t>
      </w:r>
      <w:r w:rsidR="008F374F" w:rsidRPr="00FB599A">
        <w:t>ore [</w:t>
      </w:r>
      <w:r w:rsidR="008F374F" w:rsidRPr="00FB599A">
        <w:tab/>
      </w:r>
      <w:r w:rsidR="008F374F" w:rsidRPr="00FB599A">
        <w:tab/>
      </w:r>
      <w:r w:rsidR="001D4F7C" w:rsidRPr="00FB599A">
        <w:t>].</w:t>
      </w:r>
    </w:p>
    <w:p w:rsidR="00462341" w:rsidRPr="00FB599A" w:rsidRDefault="008F374F" w:rsidP="00462341">
      <w:pPr>
        <w:numPr>
          <w:ilvl w:val="0"/>
          <w:numId w:val="27"/>
        </w:numPr>
        <w:spacing w:before="120" w:after="120" w:line="480" w:lineRule="atLeast"/>
      </w:pPr>
      <w:r w:rsidRPr="00FB599A">
        <w:t>By 4 pm on [</w:t>
      </w:r>
      <w:r w:rsidRPr="00FB599A">
        <w:tab/>
      </w:r>
      <w:r w:rsidRPr="00FB599A">
        <w:tab/>
      </w:r>
      <w:r w:rsidR="001D4F7C" w:rsidRPr="00FB599A">
        <w:t>]</w:t>
      </w:r>
      <w:r w:rsidR="00462341" w:rsidRPr="00FB599A">
        <w:t xml:space="preserve"> the Defenda</w:t>
      </w:r>
      <w:r w:rsidR="00045450" w:rsidRPr="00FB599A">
        <w:t>nt</w:t>
      </w:r>
      <w:r w:rsidR="00462341" w:rsidRPr="00FB599A">
        <w:t xml:space="preserve"> file and serve any affidavits in opposition to the Plaintiff’s claim.</w:t>
      </w:r>
    </w:p>
    <w:p w:rsidR="00462341" w:rsidRPr="00FB599A" w:rsidRDefault="008F374F" w:rsidP="00462341">
      <w:pPr>
        <w:numPr>
          <w:ilvl w:val="0"/>
          <w:numId w:val="27"/>
        </w:numPr>
        <w:spacing w:before="120" w:after="120" w:line="480" w:lineRule="atLeast"/>
      </w:pPr>
      <w:r w:rsidRPr="00FB599A">
        <w:t>By 4 pm on [</w:t>
      </w:r>
      <w:r w:rsidRPr="00FB599A">
        <w:tab/>
      </w:r>
      <w:r w:rsidRPr="00FB599A">
        <w:tab/>
      </w:r>
      <w:r w:rsidR="00045450" w:rsidRPr="00FB599A">
        <w:t>] the Plaintiff</w:t>
      </w:r>
      <w:r w:rsidR="00462341" w:rsidRPr="00FB599A">
        <w:t xml:space="preserve"> file </w:t>
      </w:r>
      <w:r w:rsidR="009C006A" w:rsidRPr="00FB599A">
        <w:t>and serve</w:t>
      </w:r>
      <w:r w:rsidR="00045450" w:rsidRPr="00FB599A">
        <w:t xml:space="preserve"> any a</w:t>
      </w:r>
      <w:r w:rsidR="00462341" w:rsidRPr="00FB599A">
        <w:t xml:space="preserve">ffidavit on which </w:t>
      </w:r>
      <w:r w:rsidR="00045450" w:rsidRPr="00FB599A">
        <w:t>the Plaintiff intends</w:t>
      </w:r>
      <w:r w:rsidR="00462341" w:rsidRPr="00FB599A">
        <w:t xml:space="preserve"> to rely in reply.</w:t>
      </w:r>
    </w:p>
    <w:p w:rsidR="00462341" w:rsidRPr="00FB599A" w:rsidRDefault="00462341" w:rsidP="00462341">
      <w:pPr>
        <w:numPr>
          <w:ilvl w:val="0"/>
          <w:numId w:val="27"/>
        </w:numPr>
        <w:spacing w:before="120" w:after="120" w:line="480" w:lineRule="atLeast"/>
      </w:pPr>
      <w:r w:rsidRPr="00FB599A">
        <w:t xml:space="preserve">The proceeding is referred to mediation by a Mediator appointed by agreement between the parties, failing such agreement to a Mediator appointed by the Court, </w:t>
      </w:r>
      <w:proofErr w:type="gramStart"/>
      <w:r w:rsidRPr="00FB599A">
        <w:t>and  such</w:t>
      </w:r>
      <w:proofErr w:type="gramEnd"/>
      <w:r w:rsidRPr="00FB599A">
        <w:t xml:space="preserve"> media</w:t>
      </w:r>
      <w:r w:rsidR="008F374F" w:rsidRPr="00FB599A">
        <w:t>tion be concluded by [</w:t>
      </w:r>
      <w:r w:rsidR="008F374F" w:rsidRPr="00FB599A">
        <w:tab/>
      </w:r>
      <w:r w:rsidR="008F374F" w:rsidRPr="00FB599A">
        <w:tab/>
      </w:r>
      <w:r w:rsidR="00045450" w:rsidRPr="00FB599A">
        <w:t>].</w:t>
      </w:r>
    </w:p>
    <w:p w:rsidR="00045450" w:rsidRPr="00FB599A" w:rsidRDefault="00045450" w:rsidP="00045450">
      <w:pPr>
        <w:spacing w:before="120" w:after="120" w:line="480" w:lineRule="atLeast"/>
        <w:ind w:left="360"/>
        <w:jc w:val="center"/>
      </w:pPr>
      <w:r w:rsidRPr="00FB599A">
        <w:t>OR</w:t>
      </w:r>
    </w:p>
    <w:p w:rsidR="00462341" w:rsidRPr="00FB599A" w:rsidRDefault="00462341" w:rsidP="00045450">
      <w:pPr>
        <w:spacing w:before="120" w:after="120" w:line="480" w:lineRule="atLeast"/>
        <w:ind w:left="360"/>
      </w:pPr>
      <w:r w:rsidRPr="00FB599A">
        <w:t xml:space="preserve">The proceeding </w:t>
      </w:r>
      <w:r w:rsidR="009C006A" w:rsidRPr="00FB599A">
        <w:t>is referred to mediation by an associate judge or a judicial r</w:t>
      </w:r>
      <w:r w:rsidRPr="00FB599A">
        <w:t>egistrar, such med</w:t>
      </w:r>
      <w:r w:rsidR="008F374F" w:rsidRPr="00FB599A">
        <w:t>iation to be concluded by [</w:t>
      </w:r>
      <w:r w:rsidR="008F374F" w:rsidRPr="00FB599A">
        <w:tab/>
      </w:r>
      <w:r w:rsidR="008F374F" w:rsidRPr="00FB599A">
        <w:tab/>
      </w:r>
      <w:r w:rsidR="00045450" w:rsidRPr="00FB599A">
        <w:t>].</w:t>
      </w:r>
    </w:p>
    <w:p w:rsidR="00462341" w:rsidRPr="00FB599A" w:rsidRDefault="00462341" w:rsidP="00462341">
      <w:pPr>
        <w:numPr>
          <w:ilvl w:val="0"/>
          <w:numId w:val="27"/>
        </w:numPr>
        <w:spacing w:before="120" w:after="120" w:line="480" w:lineRule="atLeast"/>
      </w:pPr>
      <w:r w:rsidRPr="00FB599A">
        <w:t>The mediation shall be attended by those persons who have ultimate responsibility for deciding whether to settle the dispute and the terms of any settlement</w:t>
      </w:r>
      <w:r w:rsidR="009C006A" w:rsidRPr="00FB599A">
        <w:t>,</w:t>
      </w:r>
      <w:r w:rsidRPr="00FB599A">
        <w:t xml:space="preserve"> and the </w:t>
      </w:r>
      <w:r w:rsidRPr="00FB599A">
        <w:lastRenderedPageBreak/>
        <w:t>lawyers who have ultimate responsibility to advise the parties in relation to the dispute and its settlement.</w:t>
      </w:r>
    </w:p>
    <w:p w:rsidR="00462341" w:rsidRPr="00FB599A" w:rsidRDefault="00462341" w:rsidP="00462341">
      <w:pPr>
        <w:numPr>
          <w:ilvl w:val="0"/>
          <w:numId w:val="27"/>
        </w:numPr>
        <w:spacing w:before="120" w:after="120" w:line="480" w:lineRule="atLeast"/>
      </w:pPr>
      <w:r w:rsidRPr="00FB599A">
        <w:t>The costs of the mediation in the first instance will be paid equally by the parties, but otherwise th</w:t>
      </w:r>
      <w:r w:rsidR="00045450" w:rsidRPr="00FB599A">
        <w:t>ose costs are reserved to the trial j</w:t>
      </w:r>
      <w:r w:rsidRPr="00FB599A">
        <w:t>udge.</w:t>
      </w:r>
    </w:p>
    <w:p w:rsidR="00462341" w:rsidRPr="00FB599A" w:rsidRDefault="00462341" w:rsidP="00462341">
      <w:pPr>
        <w:numPr>
          <w:ilvl w:val="0"/>
          <w:numId w:val="27"/>
        </w:numPr>
        <w:spacing w:before="120" w:after="120" w:line="480" w:lineRule="atLeast"/>
      </w:pPr>
      <w:r w:rsidRPr="00FB599A">
        <w:t>Not more than 14 days and not less than 7 days before the date fixed for:</w:t>
      </w:r>
    </w:p>
    <w:p w:rsidR="00462341" w:rsidRPr="00FB599A" w:rsidRDefault="00462341" w:rsidP="00045450">
      <w:pPr>
        <w:numPr>
          <w:ilvl w:val="0"/>
          <w:numId w:val="33"/>
        </w:numPr>
        <w:spacing w:after="120" w:line="480" w:lineRule="atLeast"/>
      </w:pPr>
      <w:r w:rsidRPr="00FB599A">
        <w:t>the mediation of the proceeding; and</w:t>
      </w:r>
    </w:p>
    <w:p w:rsidR="00462341" w:rsidRPr="00FB599A" w:rsidRDefault="00462341" w:rsidP="00045450">
      <w:pPr>
        <w:numPr>
          <w:ilvl w:val="0"/>
          <w:numId w:val="33"/>
        </w:numPr>
        <w:spacing w:after="120" w:line="480" w:lineRule="atLeast"/>
      </w:pPr>
      <w:r w:rsidRPr="00FB599A">
        <w:t>the trial of the proceeding;</w:t>
      </w:r>
    </w:p>
    <w:p w:rsidR="00462341" w:rsidRPr="00FB599A" w:rsidRDefault="00462341" w:rsidP="00462341">
      <w:pPr>
        <w:spacing w:after="120" w:line="480" w:lineRule="atLeast"/>
        <w:ind w:left="360"/>
      </w:pPr>
      <w:proofErr w:type="gramStart"/>
      <w:r w:rsidRPr="00FB599A">
        <w:t>the</w:t>
      </w:r>
      <w:proofErr w:type="gramEnd"/>
      <w:r w:rsidRPr="00FB599A">
        <w:t xml:space="preserve"> Defendant must make,</w:t>
      </w:r>
      <w:r w:rsidR="009C006A" w:rsidRPr="00FB599A">
        <w:t xml:space="preserve"> file and serve</w:t>
      </w:r>
      <w:r w:rsidRPr="00FB599A">
        <w:t xml:space="preserve"> an Affidavit setting forth</w:t>
      </w:r>
      <w:r w:rsidR="009C006A" w:rsidRPr="00FB599A">
        <w:t xml:space="preserve"> the financial position of the E</w:t>
      </w:r>
      <w:r w:rsidRPr="00FB599A">
        <w:t>state so fa</w:t>
      </w:r>
      <w:r w:rsidR="00045450" w:rsidRPr="00FB599A">
        <w:t>r as it is then known to them</w:t>
      </w:r>
      <w:r w:rsidRPr="00FB599A">
        <w:t>.</w:t>
      </w:r>
    </w:p>
    <w:p w:rsidR="00462341" w:rsidRPr="00FB599A" w:rsidRDefault="00462341" w:rsidP="00462341">
      <w:pPr>
        <w:numPr>
          <w:ilvl w:val="0"/>
          <w:numId w:val="27"/>
        </w:numPr>
        <w:spacing w:before="120" w:after="120" w:line="480" w:lineRule="atLeast"/>
      </w:pPr>
      <w:r w:rsidRPr="00FB599A">
        <w:t>Within 14 days after the date fixed for mediation</w:t>
      </w:r>
      <w:r w:rsidR="009C006A" w:rsidRPr="00FB599A">
        <w:t>,</w:t>
      </w:r>
      <w:r w:rsidRPr="00FB599A">
        <w:t xml:space="preserve"> the Mediator must notify the TFM Associate in writing whether or not the mediation has concluded.</w:t>
      </w:r>
    </w:p>
    <w:p w:rsidR="009C006A" w:rsidRPr="00FB599A" w:rsidRDefault="00462341" w:rsidP="00462341">
      <w:pPr>
        <w:numPr>
          <w:ilvl w:val="0"/>
          <w:numId w:val="27"/>
        </w:numPr>
        <w:spacing w:before="120" w:after="120" w:line="480" w:lineRule="atLeast"/>
      </w:pPr>
      <w:r w:rsidRPr="00FB599A">
        <w:t>The further hearing of this application for dir</w:t>
      </w:r>
      <w:r w:rsidR="008F374F" w:rsidRPr="00FB599A">
        <w:t xml:space="preserve">ections is adjourned to </w:t>
      </w:r>
    </w:p>
    <w:p w:rsidR="00462341" w:rsidRPr="00FB599A" w:rsidRDefault="008F374F" w:rsidP="009C006A">
      <w:pPr>
        <w:spacing w:before="120" w:after="120" w:line="480" w:lineRule="atLeast"/>
        <w:ind w:left="360"/>
      </w:pPr>
      <w:r w:rsidRPr="00FB599A">
        <w:t>[</w:t>
      </w:r>
      <w:r w:rsidRPr="00FB599A">
        <w:tab/>
      </w:r>
      <w:r w:rsidRPr="00FB599A">
        <w:tab/>
      </w:r>
      <w:r w:rsidR="00045450" w:rsidRPr="00FB599A">
        <w:t>].</w:t>
      </w:r>
    </w:p>
    <w:p w:rsidR="00462341" w:rsidRPr="00FB599A" w:rsidRDefault="00462341" w:rsidP="00462341">
      <w:pPr>
        <w:numPr>
          <w:ilvl w:val="0"/>
          <w:numId w:val="27"/>
        </w:numPr>
        <w:spacing w:before="120" w:after="120" w:line="480" w:lineRule="atLeast"/>
      </w:pPr>
      <w:r w:rsidRPr="00FB599A">
        <w:t>Each party has liberty to apply.</w:t>
      </w:r>
    </w:p>
    <w:p w:rsidR="006E4F49" w:rsidRPr="00FB599A" w:rsidRDefault="00462341" w:rsidP="00AD0B04">
      <w:pPr>
        <w:numPr>
          <w:ilvl w:val="0"/>
          <w:numId w:val="27"/>
        </w:numPr>
        <w:spacing w:before="120" w:after="120" w:line="480" w:lineRule="atLeast"/>
      </w:pPr>
      <w:r w:rsidRPr="00FB599A">
        <w:t>The costs of this application are reserved.</w:t>
      </w:r>
    </w:p>
    <w:p w:rsidR="002125C7" w:rsidRPr="00FB599A" w:rsidRDefault="002125C7" w:rsidP="002125C7">
      <w:pPr>
        <w:spacing w:before="120" w:after="120" w:line="480" w:lineRule="atLeast"/>
      </w:pPr>
    </w:p>
    <w:p w:rsidR="002125C7" w:rsidRPr="00FB599A" w:rsidRDefault="002125C7" w:rsidP="002125C7">
      <w:pPr>
        <w:spacing w:before="120" w:after="120" w:line="480" w:lineRule="atLeast"/>
        <w:rPr>
          <w:b/>
        </w:rPr>
      </w:pPr>
      <w:r w:rsidRPr="00FB599A">
        <w:rPr>
          <w:b/>
        </w:rPr>
        <w:t>Trial Directions</w:t>
      </w:r>
    </w:p>
    <w:p w:rsidR="002125C7" w:rsidRPr="00FB599A" w:rsidRDefault="002125C7" w:rsidP="00AD0B04">
      <w:pPr>
        <w:numPr>
          <w:ilvl w:val="0"/>
          <w:numId w:val="27"/>
        </w:numPr>
        <w:spacing w:before="120" w:after="120" w:line="480" w:lineRule="atLeast"/>
      </w:pPr>
      <w:r w:rsidRPr="00FB599A">
        <w:t xml:space="preserve">The </w:t>
      </w:r>
      <w:proofErr w:type="gramStart"/>
      <w:r w:rsidRPr="00FB599A">
        <w:t>hearing of the TFM Application proceed</w:t>
      </w:r>
      <w:proofErr w:type="gramEnd"/>
      <w:r w:rsidRPr="00FB599A">
        <w:t xml:space="preserve"> on affidavit material alone.</w:t>
      </w:r>
    </w:p>
    <w:p w:rsidR="002125C7" w:rsidRPr="00FB599A" w:rsidRDefault="002125C7" w:rsidP="002125C7">
      <w:pPr>
        <w:spacing w:before="120" w:after="120" w:line="480" w:lineRule="atLeast"/>
        <w:ind w:left="360"/>
      </w:pPr>
      <w:r w:rsidRPr="00FB599A">
        <w:t>OR</w:t>
      </w:r>
    </w:p>
    <w:p w:rsidR="002125C7" w:rsidRPr="00FB599A" w:rsidRDefault="002125C7" w:rsidP="002125C7">
      <w:pPr>
        <w:spacing w:before="120" w:after="120" w:line="480" w:lineRule="atLeast"/>
        <w:ind w:left="360"/>
      </w:pPr>
      <w:r w:rsidRPr="00FB599A">
        <w:t xml:space="preserve">The </w:t>
      </w:r>
      <w:proofErr w:type="gramStart"/>
      <w:r w:rsidRPr="00FB599A">
        <w:t>hearing of the TFM Application proceed</w:t>
      </w:r>
      <w:proofErr w:type="gramEnd"/>
      <w:r w:rsidRPr="00FB599A">
        <w:t xml:space="preserve"> partly on affidavit material.</w:t>
      </w:r>
    </w:p>
    <w:p w:rsidR="00462341" w:rsidRPr="00FB599A" w:rsidRDefault="00462341" w:rsidP="00462341">
      <w:pPr>
        <w:ind w:left="180"/>
        <w:jc w:val="center"/>
      </w:pPr>
    </w:p>
    <w:p w:rsidR="00462341" w:rsidRPr="00FB599A" w:rsidRDefault="00462341" w:rsidP="00462341">
      <w:pPr>
        <w:ind w:left="180"/>
        <w:jc w:val="center"/>
      </w:pPr>
    </w:p>
    <w:p w:rsidR="00C216C0" w:rsidRPr="00FB599A" w:rsidRDefault="00462341" w:rsidP="00462341">
      <w:pPr>
        <w:ind w:left="180"/>
        <w:jc w:val="center"/>
        <w:rPr>
          <w:u w:val="single"/>
        </w:rPr>
      </w:pPr>
      <w:r w:rsidRPr="00FB599A">
        <w:br/>
      </w:r>
    </w:p>
    <w:p w:rsidR="00C216C0" w:rsidRPr="00FB599A" w:rsidRDefault="00C216C0" w:rsidP="00462341">
      <w:pPr>
        <w:ind w:left="180"/>
        <w:jc w:val="center"/>
        <w:rPr>
          <w:u w:val="single"/>
        </w:rPr>
      </w:pPr>
    </w:p>
    <w:p w:rsidR="00C216C0" w:rsidRPr="00FB599A" w:rsidRDefault="00C216C0" w:rsidP="00462341">
      <w:pPr>
        <w:ind w:left="180"/>
        <w:jc w:val="center"/>
        <w:rPr>
          <w:u w:val="single"/>
        </w:rPr>
      </w:pPr>
    </w:p>
    <w:p w:rsidR="00462341" w:rsidRPr="00FB599A" w:rsidRDefault="008F374F" w:rsidP="008F374F">
      <w:pPr>
        <w:ind w:left="180"/>
        <w:rPr>
          <w:b/>
          <w:sz w:val="20"/>
          <w:szCs w:val="20"/>
        </w:rPr>
      </w:pPr>
      <w:r w:rsidRPr="00FB599A">
        <w:rPr>
          <w:b/>
          <w:sz w:val="20"/>
          <w:szCs w:val="20"/>
        </w:rPr>
        <w:t>Schedule to orders</w:t>
      </w:r>
    </w:p>
    <w:p w:rsidR="00462341" w:rsidRPr="00FB599A" w:rsidRDefault="00462341" w:rsidP="00462341">
      <w:pPr>
        <w:ind w:left="180"/>
        <w:jc w:val="center"/>
        <w:rPr>
          <w:sz w:val="20"/>
          <w:szCs w:val="20"/>
          <w:u w:val="single"/>
        </w:rPr>
      </w:pPr>
    </w:p>
    <w:p w:rsidR="00462341" w:rsidRPr="00FB599A" w:rsidRDefault="00462341" w:rsidP="00462341">
      <w:pPr>
        <w:ind w:left="180"/>
        <w:rPr>
          <w:sz w:val="20"/>
          <w:szCs w:val="20"/>
        </w:rPr>
      </w:pPr>
      <w:r w:rsidRPr="00FB599A">
        <w:rPr>
          <w:sz w:val="20"/>
          <w:szCs w:val="20"/>
        </w:rPr>
        <w:lastRenderedPageBreak/>
        <w:t>Dear Madam,</w:t>
      </w:r>
    </w:p>
    <w:p w:rsidR="00462341" w:rsidRPr="00FB599A" w:rsidRDefault="00462341" w:rsidP="00462341">
      <w:pPr>
        <w:ind w:left="180"/>
        <w:rPr>
          <w:sz w:val="20"/>
          <w:szCs w:val="20"/>
        </w:rPr>
      </w:pPr>
    </w:p>
    <w:p w:rsidR="00462341" w:rsidRPr="00FB599A" w:rsidRDefault="00462341" w:rsidP="00462341">
      <w:pPr>
        <w:ind w:left="180"/>
        <w:rPr>
          <w:sz w:val="20"/>
          <w:szCs w:val="20"/>
        </w:rPr>
      </w:pPr>
      <w:r w:rsidRPr="00FB599A">
        <w:rPr>
          <w:sz w:val="20"/>
          <w:szCs w:val="20"/>
        </w:rPr>
        <w:t>Re:</w:t>
      </w:r>
      <w:r w:rsidRPr="00FB599A">
        <w:rPr>
          <w:sz w:val="20"/>
          <w:szCs w:val="20"/>
        </w:rPr>
        <w:tab/>
        <w:t xml:space="preserve">The Will and Estate </w:t>
      </w:r>
      <w:proofErr w:type="gramStart"/>
      <w:r w:rsidRPr="00FB599A">
        <w:rPr>
          <w:sz w:val="20"/>
          <w:szCs w:val="20"/>
        </w:rPr>
        <w:t xml:space="preserve">of  </w:t>
      </w:r>
      <w:r w:rsidR="00852240" w:rsidRPr="00FB599A">
        <w:rPr>
          <w:sz w:val="20"/>
          <w:szCs w:val="20"/>
        </w:rPr>
        <w:t>[</w:t>
      </w:r>
      <w:proofErr w:type="gramEnd"/>
      <w:r w:rsidR="00852240" w:rsidRPr="00FB599A">
        <w:rPr>
          <w:sz w:val="20"/>
          <w:szCs w:val="20"/>
        </w:rPr>
        <w:tab/>
      </w:r>
      <w:r w:rsidR="00852240" w:rsidRPr="00FB599A">
        <w:rPr>
          <w:sz w:val="20"/>
          <w:szCs w:val="20"/>
        </w:rPr>
        <w:tab/>
      </w:r>
      <w:r w:rsidR="002125C7" w:rsidRPr="00FB599A">
        <w:rPr>
          <w:sz w:val="20"/>
          <w:szCs w:val="20"/>
        </w:rPr>
        <w:t>]</w:t>
      </w:r>
      <w:r w:rsidR="009C006A" w:rsidRPr="00FB599A">
        <w:rPr>
          <w:sz w:val="20"/>
          <w:szCs w:val="20"/>
        </w:rPr>
        <w:t xml:space="preserve"> (D</w:t>
      </w:r>
      <w:r w:rsidRPr="00FB599A">
        <w:rPr>
          <w:sz w:val="20"/>
          <w:szCs w:val="20"/>
        </w:rPr>
        <w:t>eceased)</w:t>
      </w:r>
    </w:p>
    <w:p w:rsidR="00462341" w:rsidRPr="00FB599A" w:rsidRDefault="00462341" w:rsidP="00462341">
      <w:pPr>
        <w:ind w:left="180"/>
        <w:rPr>
          <w:sz w:val="20"/>
          <w:szCs w:val="20"/>
        </w:rPr>
      </w:pPr>
    </w:p>
    <w:p w:rsidR="00462341" w:rsidRPr="00FB599A" w:rsidRDefault="00462341" w:rsidP="00462341">
      <w:pPr>
        <w:ind w:left="180"/>
        <w:rPr>
          <w:sz w:val="20"/>
          <w:szCs w:val="20"/>
        </w:rPr>
      </w:pPr>
      <w:r w:rsidRPr="00FB599A">
        <w:rPr>
          <w:sz w:val="20"/>
          <w:szCs w:val="20"/>
        </w:rPr>
        <w:t>Proceeding No:</w:t>
      </w:r>
      <w:r w:rsidRPr="00FB599A">
        <w:rPr>
          <w:sz w:val="20"/>
          <w:szCs w:val="20"/>
        </w:rPr>
        <w:tab/>
      </w:r>
      <w:r w:rsidRPr="00FB599A">
        <w:rPr>
          <w:sz w:val="20"/>
          <w:szCs w:val="20"/>
        </w:rPr>
        <w:tab/>
      </w:r>
      <w:r w:rsidRPr="00FB599A">
        <w:rPr>
          <w:sz w:val="20"/>
          <w:szCs w:val="20"/>
        </w:rPr>
        <w:tab/>
        <w:t xml:space="preserve">of </w:t>
      </w:r>
      <w:r w:rsidRPr="00FB599A">
        <w:rPr>
          <w:sz w:val="20"/>
          <w:szCs w:val="20"/>
        </w:rPr>
        <w:tab/>
      </w:r>
      <w:r w:rsidRPr="00FB599A">
        <w:rPr>
          <w:sz w:val="20"/>
          <w:szCs w:val="20"/>
        </w:rPr>
        <w:tab/>
      </w:r>
    </w:p>
    <w:p w:rsidR="00462341" w:rsidRPr="00FB599A" w:rsidRDefault="00462341" w:rsidP="00462341">
      <w:pPr>
        <w:ind w:left="180"/>
        <w:rPr>
          <w:sz w:val="20"/>
          <w:szCs w:val="20"/>
        </w:rPr>
      </w:pPr>
      <w:proofErr w:type="gramStart"/>
      <w:r w:rsidRPr="00FB599A">
        <w:rPr>
          <w:sz w:val="20"/>
          <w:szCs w:val="20"/>
        </w:rPr>
        <w:t>In the Supreme Court of Victoria.</w:t>
      </w:r>
      <w:proofErr w:type="gramEnd"/>
    </w:p>
    <w:p w:rsidR="00462341" w:rsidRPr="00FB599A" w:rsidRDefault="00462341" w:rsidP="00462341">
      <w:pPr>
        <w:ind w:left="180"/>
        <w:rPr>
          <w:sz w:val="20"/>
          <w:szCs w:val="20"/>
        </w:rPr>
      </w:pPr>
    </w:p>
    <w:p w:rsidR="00462341" w:rsidRPr="00FB599A" w:rsidRDefault="00462341" w:rsidP="00462341">
      <w:pPr>
        <w:ind w:left="180"/>
        <w:rPr>
          <w:sz w:val="20"/>
          <w:szCs w:val="20"/>
        </w:rPr>
      </w:pPr>
      <w:r w:rsidRPr="00FB599A">
        <w:rPr>
          <w:sz w:val="20"/>
          <w:szCs w:val="20"/>
        </w:rPr>
        <w:t>We have been directed by the Hono</w:t>
      </w:r>
      <w:r w:rsidR="00852240" w:rsidRPr="00FB599A">
        <w:rPr>
          <w:sz w:val="20"/>
          <w:szCs w:val="20"/>
        </w:rPr>
        <w:t>urable Associate Justice [</w:t>
      </w:r>
      <w:r w:rsidR="00852240" w:rsidRPr="00FB599A">
        <w:rPr>
          <w:sz w:val="20"/>
          <w:szCs w:val="20"/>
        </w:rPr>
        <w:tab/>
      </w:r>
      <w:r w:rsidR="00852240" w:rsidRPr="00FB599A">
        <w:rPr>
          <w:sz w:val="20"/>
          <w:szCs w:val="20"/>
        </w:rPr>
        <w:tab/>
      </w:r>
      <w:r w:rsidR="002125C7" w:rsidRPr="00FB599A">
        <w:rPr>
          <w:sz w:val="20"/>
          <w:szCs w:val="20"/>
        </w:rPr>
        <w:t>]</w:t>
      </w:r>
      <w:r w:rsidRPr="00FB599A">
        <w:rPr>
          <w:sz w:val="20"/>
          <w:szCs w:val="20"/>
        </w:rPr>
        <w:t xml:space="preserve"> of the Supreme Court of Victoria to notify you that a proceeding has been commenced in the Court </w:t>
      </w:r>
      <w:r w:rsidR="00852240" w:rsidRPr="00FB599A">
        <w:rPr>
          <w:sz w:val="20"/>
          <w:szCs w:val="20"/>
        </w:rPr>
        <w:t>by [</w:t>
      </w:r>
      <w:r w:rsidR="00852240" w:rsidRPr="00FB599A">
        <w:rPr>
          <w:sz w:val="20"/>
          <w:szCs w:val="20"/>
        </w:rPr>
        <w:tab/>
      </w:r>
      <w:r w:rsidR="00852240" w:rsidRPr="00FB599A">
        <w:rPr>
          <w:sz w:val="20"/>
          <w:szCs w:val="20"/>
        </w:rPr>
        <w:tab/>
        <w:t>] the [</w:t>
      </w:r>
      <w:r w:rsidR="00852240" w:rsidRPr="00FB599A">
        <w:rPr>
          <w:sz w:val="20"/>
          <w:szCs w:val="20"/>
        </w:rPr>
        <w:tab/>
      </w:r>
      <w:r w:rsidR="00852240" w:rsidRPr="00FB599A">
        <w:rPr>
          <w:sz w:val="20"/>
          <w:szCs w:val="20"/>
        </w:rPr>
        <w:tab/>
      </w:r>
      <w:r w:rsidR="002125C7" w:rsidRPr="00FB599A">
        <w:rPr>
          <w:sz w:val="20"/>
          <w:szCs w:val="20"/>
        </w:rPr>
        <w:t>]</w:t>
      </w:r>
      <w:r w:rsidRPr="00FB599A">
        <w:rPr>
          <w:sz w:val="20"/>
          <w:szCs w:val="20"/>
        </w:rPr>
        <w:t xml:space="preserve"> of the above-named Deceased, by which </w:t>
      </w:r>
      <w:r w:rsidR="002125C7" w:rsidRPr="00FB599A">
        <w:rPr>
          <w:sz w:val="20"/>
          <w:szCs w:val="20"/>
        </w:rPr>
        <w:t>[</w:t>
      </w:r>
      <w:r w:rsidRPr="00FB599A">
        <w:rPr>
          <w:sz w:val="20"/>
          <w:szCs w:val="20"/>
        </w:rPr>
        <w:t>he</w:t>
      </w:r>
      <w:r w:rsidR="002125C7" w:rsidRPr="00FB599A">
        <w:rPr>
          <w:sz w:val="20"/>
          <w:szCs w:val="20"/>
        </w:rPr>
        <w:t xml:space="preserve">] </w:t>
      </w:r>
      <w:r w:rsidRPr="00FB599A">
        <w:rPr>
          <w:sz w:val="20"/>
          <w:szCs w:val="20"/>
        </w:rPr>
        <w:t>/</w:t>
      </w:r>
      <w:r w:rsidR="002125C7" w:rsidRPr="00FB599A">
        <w:rPr>
          <w:sz w:val="20"/>
          <w:szCs w:val="20"/>
        </w:rPr>
        <w:t xml:space="preserve"> [</w:t>
      </w:r>
      <w:r w:rsidRPr="00FB599A">
        <w:rPr>
          <w:sz w:val="20"/>
          <w:szCs w:val="20"/>
        </w:rPr>
        <w:t>she</w:t>
      </w:r>
      <w:r w:rsidR="002125C7" w:rsidRPr="00FB599A">
        <w:rPr>
          <w:sz w:val="20"/>
          <w:szCs w:val="20"/>
        </w:rPr>
        <w:t>]</w:t>
      </w:r>
      <w:r w:rsidRPr="00FB599A">
        <w:rPr>
          <w:sz w:val="20"/>
          <w:szCs w:val="20"/>
        </w:rPr>
        <w:t xml:space="preserve"> is seekin</w:t>
      </w:r>
      <w:r w:rsidR="009C006A" w:rsidRPr="00FB599A">
        <w:rPr>
          <w:sz w:val="20"/>
          <w:szCs w:val="20"/>
        </w:rPr>
        <w:t>g further provision out of the E</w:t>
      </w:r>
      <w:r w:rsidRPr="00FB599A">
        <w:rPr>
          <w:sz w:val="20"/>
          <w:szCs w:val="20"/>
        </w:rPr>
        <w:t xml:space="preserve">state of the deceased.  The proceeding is brought pursuant of Part IV of the </w:t>
      </w:r>
      <w:r w:rsidRPr="00FB599A">
        <w:rPr>
          <w:i/>
          <w:sz w:val="20"/>
          <w:szCs w:val="20"/>
        </w:rPr>
        <w:t>Administration and Probate Act 1958</w:t>
      </w:r>
      <w:r w:rsidRPr="00FB599A">
        <w:rPr>
          <w:sz w:val="20"/>
          <w:szCs w:val="20"/>
        </w:rPr>
        <w:t>.  We are the solicitors for the Plaintiff.</w:t>
      </w:r>
    </w:p>
    <w:p w:rsidR="00462341" w:rsidRPr="00FB599A" w:rsidRDefault="00462341" w:rsidP="00462341">
      <w:pPr>
        <w:ind w:left="180"/>
        <w:rPr>
          <w:sz w:val="20"/>
          <w:szCs w:val="20"/>
        </w:rPr>
      </w:pPr>
    </w:p>
    <w:p w:rsidR="00462341" w:rsidRPr="00FB599A" w:rsidRDefault="00462341" w:rsidP="00462341">
      <w:pPr>
        <w:ind w:left="180"/>
        <w:rPr>
          <w:sz w:val="20"/>
          <w:szCs w:val="20"/>
        </w:rPr>
      </w:pPr>
      <w:r w:rsidRPr="00FB599A">
        <w:rPr>
          <w:sz w:val="20"/>
          <w:szCs w:val="20"/>
        </w:rPr>
        <w:t>The proceeding was commenc</w:t>
      </w:r>
      <w:r w:rsidR="002125C7" w:rsidRPr="00FB599A">
        <w:rPr>
          <w:sz w:val="20"/>
          <w:szCs w:val="20"/>
        </w:rPr>
        <w:t>ed against</w:t>
      </w:r>
      <w:r w:rsidR="00852240" w:rsidRPr="00FB599A">
        <w:rPr>
          <w:sz w:val="20"/>
          <w:szCs w:val="20"/>
        </w:rPr>
        <w:t xml:space="preserve"> [</w:t>
      </w:r>
      <w:r w:rsidR="00852240" w:rsidRPr="00FB599A">
        <w:rPr>
          <w:sz w:val="20"/>
          <w:szCs w:val="20"/>
        </w:rPr>
        <w:tab/>
      </w:r>
      <w:r w:rsidR="00852240" w:rsidRPr="00FB599A">
        <w:rPr>
          <w:sz w:val="20"/>
          <w:szCs w:val="20"/>
        </w:rPr>
        <w:tab/>
      </w:r>
      <w:r w:rsidR="002125C7" w:rsidRPr="00FB599A">
        <w:rPr>
          <w:sz w:val="20"/>
          <w:szCs w:val="20"/>
        </w:rPr>
        <w:t>]</w:t>
      </w:r>
      <w:r w:rsidR="009C006A" w:rsidRPr="00FB599A">
        <w:rPr>
          <w:sz w:val="20"/>
          <w:szCs w:val="20"/>
        </w:rPr>
        <w:t>,</w:t>
      </w:r>
      <w:r w:rsidRPr="00FB599A">
        <w:rPr>
          <w:sz w:val="20"/>
          <w:szCs w:val="20"/>
        </w:rPr>
        <w:t xml:space="preserve"> who was the executor named in the Will of the above-named Deceased and to whom Probate of the will has been granted by the Court.</w:t>
      </w:r>
    </w:p>
    <w:p w:rsidR="00462341" w:rsidRPr="00FB599A" w:rsidRDefault="00462341" w:rsidP="00462341">
      <w:pPr>
        <w:ind w:left="180"/>
        <w:rPr>
          <w:sz w:val="20"/>
          <w:szCs w:val="20"/>
        </w:rPr>
      </w:pPr>
    </w:p>
    <w:p w:rsidR="00462341" w:rsidRPr="00FB599A" w:rsidRDefault="00462341" w:rsidP="00462341">
      <w:pPr>
        <w:ind w:left="180"/>
        <w:rPr>
          <w:sz w:val="20"/>
          <w:szCs w:val="20"/>
        </w:rPr>
      </w:pPr>
      <w:r w:rsidRPr="00FB599A">
        <w:rPr>
          <w:sz w:val="20"/>
          <w:szCs w:val="20"/>
        </w:rPr>
        <w:t>If the Court were to order that such provision as the plaintiff claims be made, the effect of that order might be to reduce or extinguish your entitlement as a beneficiary under the Will of th</w:t>
      </w:r>
      <w:r w:rsidR="009C006A" w:rsidRPr="00FB599A">
        <w:rPr>
          <w:sz w:val="20"/>
          <w:szCs w:val="20"/>
        </w:rPr>
        <w:t>e D</w:t>
      </w:r>
      <w:r w:rsidRPr="00FB599A">
        <w:rPr>
          <w:sz w:val="20"/>
          <w:szCs w:val="20"/>
        </w:rPr>
        <w:t>eceased.</w:t>
      </w:r>
    </w:p>
    <w:p w:rsidR="00462341" w:rsidRPr="00FB599A" w:rsidRDefault="00462341" w:rsidP="00462341">
      <w:pPr>
        <w:ind w:left="180"/>
        <w:rPr>
          <w:sz w:val="20"/>
          <w:szCs w:val="20"/>
        </w:rPr>
      </w:pPr>
    </w:p>
    <w:p w:rsidR="00462341" w:rsidRPr="00FB599A" w:rsidRDefault="00852240" w:rsidP="00462341">
      <w:pPr>
        <w:ind w:left="180"/>
        <w:rPr>
          <w:sz w:val="20"/>
          <w:szCs w:val="20"/>
        </w:rPr>
      </w:pPr>
      <w:r w:rsidRPr="00FB599A">
        <w:rPr>
          <w:sz w:val="20"/>
          <w:szCs w:val="20"/>
        </w:rPr>
        <w:t>On [</w:t>
      </w:r>
      <w:r w:rsidRPr="00FB599A">
        <w:rPr>
          <w:sz w:val="20"/>
          <w:szCs w:val="20"/>
        </w:rPr>
        <w:tab/>
      </w:r>
      <w:r w:rsidRPr="00FB599A">
        <w:rPr>
          <w:sz w:val="20"/>
          <w:szCs w:val="20"/>
        </w:rPr>
        <w:tab/>
      </w:r>
      <w:r w:rsidR="002125C7" w:rsidRPr="00FB599A">
        <w:rPr>
          <w:sz w:val="20"/>
          <w:szCs w:val="20"/>
        </w:rPr>
        <w:t>]</w:t>
      </w:r>
      <w:r w:rsidR="009C006A" w:rsidRPr="00FB599A">
        <w:rPr>
          <w:sz w:val="20"/>
          <w:szCs w:val="20"/>
        </w:rPr>
        <w:t>,</w:t>
      </w:r>
      <w:r w:rsidR="00462341" w:rsidRPr="00FB599A">
        <w:rPr>
          <w:sz w:val="20"/>
          <w:szCs w:val="20"/>
        </w:rPr>
        <w:t xml:space="preserve"> the Ho</w:t>
      </w:r>
      <w:r w:rsidRPr="00FB599A">
        <w:rPr>
          <w:sz w:val="20"/>
          <w:szCs w:val="20"/>
        </w:rPr>
        <w:t>nourable Associate Justice [</w:t>
      </w:r>
      <w:r w:rsidRPr="00FB599A">
        <w:rPr>
          <w:sz w:val="20"/>
          <w:szCs w:val="20"/>
        </w:rPr>
        <w:tab/>
      </w:r>
      <w:r w:rsidRPr="00FB599A">
        <w:rPr>
          <w:sz w:val="20"/>
          <w:szCs w:val="20"/>
        </w:rPr>
        <w:tab/>
      </w:r>
      <w:r w:rsidR="002125C7" w:rsidRPr="00FB599A">
        <w:rPr>
          <w:sz w:val="20"/>
          <w:szCs w:val="20"/>
        </w:rPr>
        <w:t xml:space="preserve">] </w:t>
      </w:r>
      <w:r w:rsidR="00462341" w:rsidRPr="00FB599A">
        <w:rPr>
          <w:sz w:val="20"/>
          <w:szCs w:val="20"/>
        </w:rPr>
        <w:t>ordered that you have leave to apply to be added as a Defendant to the proceeding.  Any such application by you must be made by Summo</w:t>
      </w:r>
      <w:r w:rsidRPr="00FB599A">
        <w:rPr>
          <w:sz w:val="20"/>
          <w:szCs w:val="20"/>
        </w:rPr>
        <w:t>ns returnable on or before [</w:t>
      </w:r>
      <w:r w:rsidRPr="00FB599A">
        <w:rPr>
          <w:sz w:val="20"/>
          <w:szCs w:val="20"/>
        </w:rPr>
        <w:tab/>
      </w:r>
      <w:r w:rsidRPr="00FB599A">
        <w:rPr>
          <w:sz w:val="20"/>
          <w:szCs w:val="20"/>
        </w:rPr>
        <w:tab/>
        <w:t>]</w:t>
      </w:r>
      <w:r w:rsidR="002125C7" w:rsidRPr="00FB599A">
        <w:rPr>
          <w:sz w:val="20"/>
          <w:szCs w:val="20"/>
        </w:rPr>
        <w:t xml:space="preserve">. </w:t>
      </w:r>
      <w:r w:rsidR="00462341" w:rsidRPr="00FB599A">
        <w:rPr>
          <w:sz w:val="20"/>
          <w:szCs w:val="20"/>
        </w:rPr>
        <w:t>The order granting you such leave is paragraph 2 of the Or</w:t>
      </w:r>
      <w:r w:rsidRPr="00FB599A">
        <w:rPr>
          <w:sz w:val="20"/>
          <w:szCs w:val="20"/>
        </w:rPr>
        <w:t>der made on [</w:t>
      </w:r>
      <w:r w:rsidRPr="00FB599A">
        <w:rPr>
          <w:sz w:val="20"/>
          <w:szCs w:val="20"/>
        </w:rPr>
        <w:tab/>
      </w:r>
      <w:r w:rsidRPr="00FB599A">
        <w:rPr>
          <w:sz w:val="20"/>
          <w:szCs w:val="20"/>
        </w:rPr>
        <w:tab/>
      </w:r>
      <w:r w:rsidR="002125C7" w:rsidRPr="00FB599A">
        <w:rPr>
          <w:sz w:val="20"/>
          <w:szCs w:val="20"/>
        </w:rPr>
        <w:t>]</w:t>
      </w:r>
      <w:r w:rsidR="009C006A" w:rsidRPr="00FB599A">
        <w:rPr>
          <w:sz w:val="20"/>
          <w:szCs w:val="20"/>
        </w:rPr>
        <w:t>,</w:t>
      </w:r>
      <w:r w:rsidR="00462341" w:rsidRPr="00FB599A">
        <w:rPr>
          <w:sz w:val="20"/>
          <w:szCs w:val="20"/>
        </w:rPr>
        <w:t xml:space="preserve"> and a copy of that Order is enclosed herewith for your information.</w:t>
      </w:r>
    </w:p>
    <w:p w:rsidR="00462341" w:rsidRPr="00FB599A" w:rsidRDefault="00462341" w:rsidP="00462341">
      <w:pPr>
        <w:ind w:left="180"/>
        <w:rPr>
          <w:sz w:val="20"/>
          <w:szCs w:val="20"/>
        </w:rPr>
      </w:pPr>
    </w:p>
    <w:p w:rsidR="00462341" w:rsidRPr="00FB599A" w:rsidRDefault="00462341" w:rsidP="00462341">
      <w:pPr>
        <w:ind w:left="180"/>
        <w:rPr>
          <w:sz w:val="20"/>
          <w:szCs w:val="20"/>
        </w:rPr>
      </w:pPr>
      <w:r w:rsidRPr="00FB599A">
        <w:rPr>
          <w:sz w:val="20"/>
          <w:szCs w:val="20"/>
        </w:rPr>
        <w:t>Copies of any of the documents referred to in the Order, including the Plaintiff’s Affidavit and a copy of the Deceased’s will, may be inspected by arrangement with the writer.</w:t>
      </w:r>
    </w:p>
    <w:p w:rsidR="00462341" w:rsidRPr="00FB599A" w:rsidRDefault="00462341" w:rsidP="00462341">
      <w:pPr>
        <w:ind w:left="180"/>
        <w:rPr>
          <w:sz w:val="20"/>
          <w:szCs w:val="20"/>
        </w:rPr>
      </w:pPr>
    </w:p>
    <w:p w:rsidR="00462341" w:rsidRPr="00FB599A" w:rsidRDefault="00462341" w:rsidP="00462341">
      <w:pPr>
        <w:ind w:left="180"/>
        <w:rPr>
          <w:sz w:val="20"/>
          <w:szCs w:val="20"/>
        </w:rPr>
      </w:pPr>
      <w:r w:rsidRPr="00FB599A">
        <w:rPr>
          <w:sz w:val="20"/>
          <w:szCs w:val="20"/>
        </w:rPr>
        <w:t>If you wish to take advantage of your opportunity to apply to be added as a Defendant to the proceeding it is suggested that you seek advice from a solicitor as soon as possible and take to the solicitor this letter and the copy order enclosed herewith.</w:t>
      </w:r>
    </w:p>
    <w:p w:rsidR="00462341" w:rsidRPr="00FB599A" w:rsidRDefault="00462341" w:rsidP="00462341">
      <w:pPr>
        <w:ind w:left="180"/>
        <w:rPr>
          <w:sz w:val="20"/>
          <w:szCs w:val="20"/>
        </w:rPr>
      </w:pPr>
    </w:p>
    <w:p w:rsidR="00462341" w:rsidRPr="00FB599A" w:rsidRDefault="00462341" w:rsidP="00462341">
      <w:pPr>
        <w:ind w:left="180"/>
        <w:rPr>
          <w:sz w:val="20"/>
          <w:szCs w:val="20"/>
        </w:rPr>
      </w:pPr>
      <w:r w:rsidRPr="00FB599A">
        <w:rPr>
          <w:sz w:val="20"/>
          <w:szCs w:val="20"/>
        </w:rPr>
        <w:t>The Hono</w:t>
      </w:r>
      <w:r w:rsidR="00852240" w:rsidRPr="00FB599A">
        <w:rPr>
          <w:sz w:val="20"/>
          <w:szCs w:val="20"/>
        </w:rPr>
        <w:t>urable Associate Justice [</w:t>
      </w:r>
      <w:r w:rsidR="00852240" w:rsidRPr="00FB599A">
        <w:rPr>
          <w:sz w:val="20"/>
          <w:szCs w:val="20"/>
        </w:rPr>
        <w:tab/>
      </w:r>
      <w:r w:rsidR="00852240" w:rsidRPr="00FB599A">
        <w:rPr>
          <w:sz w:val="20"/>
          <w:szCs w:val="20"/>
        </w:rPr>
        <w:tab/>
      </w:r>
      <w:r w:rsidR="002125C7" w:rsidRPr="00FB599A">
        <w:rPr>
          <w:sz w:val="20"/>
          <w:szCs w:val="20"/>
        </w:rPr>
        <w:t xml:space="preserve">] </w:t>
      </w:r>
      <w:r w:rsidRPr="00FB599A">
        <w:rPr>
          <w:sz w:val="20"/>
          <w:szCs w:val="20"/>
        </w:rPr>
        <w:t xml:space="preserve">has authorised us to inform you that, although legal costs incurred by a party to a proceeding of this type </w:t>
      </w:r>
      <w:r w:rsidR="009C006A" w:rsidRPr="00FB599A">
        <w:rPr>
          <w:sz w:val="20"/>
          <w:szCs w:val="20"/>
        </w:rPr>
        <w:t>are usually</w:t>
      </w:r>
      <w:r w:rsidRPr="00FB599A">
        <w:rPr>
          <w:sz w:val="20"/>
          <w:szCs w:val="20"/>
        </w:rPr>
        <w:t xml:space="preserve"> allowed by the </w:t>
      </w:r>
      <w:r w:rsidR="009C006A" w:rsidRPr="00FB599A">
        <w:rPr>
          <w:sz w:val="20"/>
          <w:szCs w:val="20"/>
        </w:rPr>
        <w:t>Court out of the Estate of the D</w:t>
      </w:r>
      <w:r w:rsidRPr="00FB599A">
        <w:rPr>
          <w:sz w:val="20"/>
          <w:szCs w:val="20"/>
        </w:rPr>
        <w:t>eceased, it is unlikely that more than one set of legal costs of separately represented parties with the same or similar interests will be allowed.</w:t>
      </w:r>
    </w:p>
    <w:p w:rsidR="00462341" w:rsidRPr="00FB599A" w:rsidRDefault="00462341" w:rsidP="00462341">
      <w:pPr>
        <w:ind w:left="180"/>
        <w:rPr>
          <w:sz w:val="20"/>
          <w:szCs w:val="20"/>
        </w:rPr>
      </w:pPr>
    </w:p>
    <w:p w:rsidR="00462341" w:rsidRPr="00FB599A" w:rsidRDefault="00462341" w:rsidP="00462341">
      <w:pPr>
        <w:ind w:left="180"/>
        <w:rPr>
          <w:sz w:val="20"/>
          <w:szCs w:val="20"/>
        </w:rPr>
      </w:pPr>
    </w:p>
    <w:p w:rsidR="00462341" w:rsidRPr="00FB599A" w:rsidRDefault="00462341" w:rsidP="00462341">
      <w:pPr>
        <w:ind w:left="180"/>
        <w:rPr>
          <w:sz w:val="20"/>
          <w:szCs w:val="20"/>
        </w:rPr>
      </w:pPr>
    </w:p>
    <w:p w:rsidR="00462341" w:rsidRPr="00FB599A" w:rsidRDefault="00462341" w:rsidP="00462341">
      <w:pPr>
        <w:ind w:left="180"/>
        <w:rPr>
          <w:sz w:val="20"/>
          <w:szCs w:val="20"/>
        </w:rPr>
      </w:pPr>
      <w:r w:rsidRPr="00FB599A">
        <w:rPr>
          <w:sz w:val="20"/>
          <w:szCs w:val="20"/>
        </w:rPr>
        <w:t>Yours faithfully,</w:t>
      </w:r>
    </w:p>
    <w:p w:rsidR="00462341" w:rsidRPr="00FB599A" w:rsidRDefault="00462341" w:rsidP="00455D46">
      <w:pPr>
        <w:ind w:left="720" w:hanging="720"/>
      </w:pPr>
    </w:p>
    <w:p w:rsidR="00C02F5C" w:rsidRPr="00FB599A" w:rsidRDefault="00666E4A" w:rsidP="00C02F5C">
      <w:pPr>
        <w:rPr>
          <w:b/>
        </w:rPr>
      </w:pPr>
      <w:r w:rsidRPr="00FB599A">
        <w:rPr>
          <w:b/>
        </w:rPr>
        <w:t xml:space="preserve"> </w:t>
      </w:r>
    </w:p>
    <w:sectPr w:rsidR="00C02F5C" w:rsidRPr="00FB599A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C7" w:rsidRDefault="007D0DC7">
      <w:r>
        <w:separator/>
      </w:r>
    </w:p>
  </w:endnote>
  <w:endnote w:type="continuationSeparator" w:id="0">
    <w:p w:rsidR="007D0DC7" w:rsidRDefault="007D0DC7">
      <w:r>
        <w:continuationSeparator/>
      </w:r>
    </w:p>
  </w:endnote>
  <w:endnote w:type="continuationNotice" w:id="1">
    <w:p w:rsidR="007D0DC7" w:rsidRDefault="007D0D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7C" w:rsidRDefault="00EB68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6E5B">
      <w:rPr>
        <w:noProof/>
      </w:rPr>
      <w:t>1</w:t>
    </w:r>
    <w:r>
      <w:rPr>
        <w:noProof/>
      </w:rPr>
      <w:fldChar w:fldCharType="end"/>
    </w:r>
  </w:p>
  <w:p w:rsidR="00EB687C" w:rsidRDefault="00EB687C">
    <w:pPr>
      <w:pStyle w:val="Footer"/>
    </w:pPr>
  </w:p>
  <w:p w:rsidR="00EB687C" w:rsidRDefault="00EB68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C7" w:rsidRDefault="007D0DC7">
      <w:r>
        <w:separator/>
      </w:r>
    </w:p>
  </w:footnote>
  <w:footnote w:type="continuationSeparator" w:id="0">
    <w:p w:rsidR="007D0DC7" w:rsidRDefault="007D0DC7">
      <w:r>
        <w:continuationSeparator/>
      </w:r>
    </w:p>
  </w:footnote>
  <w:footnote w:type="continuationNotice" w:id="1">
    <w:p w:rsidR="007D0DC7" w:rsidRDefault="007D0D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7C" w:rsidRDefault="00EB687C">
    <w:pPr>
      <w:pStyle w:val="Header"/>
    </w:pPr>
  </w:p>
  <w:p w:rsidR="00EB687C" w:rsidRDefault="00EB68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0075F1"/>
    <w:multiLevelType w:val="hybridMultilevel"/>
    <w:tmpl w:val="11924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3F95"/>
    <w:multiLevelType w:val="hybridMultilevel"/>
    <w:tmpl w:val="F168A34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A66AE6"/>
    <w:multiLevelType w:val="hybridMultilevel"/>
    <w:tmpl w:val="6A1E77D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313F46"/>
    <w:multiLevelType w:val="hybridMultilevel"/>
    <w:tmpl w:val="F1DE61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10611E">
      <w:start w:val="1"/>
      <w:numFmt w:val="low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D67535"/>
    <w:multiLevelType w:val="hybridMultilevel"/>
    <w:tmpl w:val="629A2C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35799E"/>
    <w:multiLevelType w:val="hybridMultilevel"/>
    <w:tmpl w:val="CE46FD4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BC7309"/>
    <w:multiLevelType w:val="hybridMultilevel"/>
    <w:tmpl w:val="E60E5C92"/>
    <w:lvl w:ilvl="0" w:tplc="2196D38A">
      <w:start w:val="3"/>
      <w:numFmt w:val="bullet"/>
      <w:lvlText w:val="-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F793CBC"/>
    <w:multiLevelType w:val="hybridMultilevel"/>
    <w:tmpl w:val="4F2CC6D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9F5CBF"/>
    <w:multiLevelType w:val="hybridMultilevel"/>
    <w:tmpl w:val="96D846E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174285"/>
    <w:multiLevelType w:val="hybridMultilevel"/>
    <w:tmpl w:val="6E82111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D1176E"/>
    <w:multiLevelType w:val="hybridMultilevel"/>
    <w:tmpl w:val="FE3CF27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6646ED"/>
    <w:multiLevelType w:val="hybridMultilevel"/>
    <w:tmpl w:val="49A22AE6"/>
    <w:lvl w:ilvl="0" w:tplc="1E4CC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1C8009FB"/>
    <w:multiLevelType w:val="hybridMultilevel"/>
    <w:tmpl w:val="46D00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277CC"/>
    <w:multiLevelType w:val="hybridMultilevel"/>
    <w:tmpl w:val="3694450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2F6039"/>
    <w:multiLevelType w:val="hybridMultilevel"/>
    <w:tmpl w:val="50F439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56E210B"/>
    <w:multiLevelType w:val="hybridMultilevel"/>
    <w:tmpl w:val="A89CEF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8853F8"/>
    <w:multiLevelType w:val="hybridMultilevel"/>
    <w:tmpl w:val="79AAEF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A00FA"/>
    <w:multiLevelType w:val="hybridMultilevel"/>
    <w:tmpl w:val="7D8CF6D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BDF542E"/>
    <w:multiLevelType w:val="hybridMultilevel"/>
    <w:tmpl w:val="766469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7632E"/>
    <w:multiLevelType w:val="hybridMultilevel"/>
    <w:tmpl w:val="6BD4244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0A1691"/>
    <w:multiLevelType w:val="hybridMultilevel"/>
    <w:tmpl w:val="D052596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7F4907"/>
    <w:multiLevelType w:val="hybridMultilevel"/>
    <w:tmpl w:val="93E07596"/>
    <w:lvl w:ilvl="0" w:tplc="0C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F4E5529"/>
    <w:multiLevelType w:val="hybridMultilevel"/>
    <w:tmpl w:val="830CCCA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0945CC"/>
    <w:multiLevelType w:val="hybridMultilevel"/>
    <w:tmpl w:val="C95A167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130574"/>
    <w:multiLevelType w:val="hybridMultilevel"/>
    <w:tmpl w:val="6E82111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C920DC"/>
    <w:multiLevelType w:val="hybridMultilevel"/>
    <w:tmpl w:val="6BD4244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D37164"/>
    <w:multiLevelType w:val="hybridMultilevel"/>
    <w:tmpl w:val="CCC096E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C69D2"/>
    <w:multiLevelType w:val="hybridMultilevel"/>
    <w:tmpl w:val="D58041F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3038E7"/>
    <w:multiLevelType w:val="hybridMultilevel"/>
    <w:tmpl w:val="4C2241B2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161105"/>
    <w:multiLevelType w:val="hybridMultilevel"/>
    <w:tmpl w:val="2130B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60FD9"/>
    <w:multiLevelType w:val="hybridMultilevel"/>
    <w:tmpl w:val="4C96A19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35874F1"/>
    <w:multiLevelType w:val="hybridMultilevel"/>
    <w:tmpl w:val="47FE3D8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4770E4"/>
    <w:multiLevelType w:val="multilevel"/>
    <w:tmpl w:val="512E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7D3488"/>
    <w:multiLevelType w:val="multilevel"/>
    <w:tmpl w:val="014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B21FB7"/>
    <w:multiLevelType w:val="hybridMultilevel"/>
    <w:tmpl w:val="DA92C3A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AB91441"/>
    <w:multiLevelType w:val="hybridMultilevel"/>
    <w:tmpl w:val="1048E21C"/>
    <w:lvl w:ilvl="0" w:tplc="1226ABAA">
      <w:start w:val="1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960E4"/>
    <w:multiLevelType w:val="hybridMultilevel"/>
    <w:tmpl w:val="0C9AC7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655F5"/>
    <w:multiLevelType w:val="multilevel"/>
    <w:tmpl w:val="B45016B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E740CF1"/>
    <w:multiLevelType w:val="multilevel"/>
    <w:tmpl w:val="6DF81CD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Restart w:val="1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none"/>
      <w:lvlText w:val="%7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9">
    <w:nsid w:val="7F484A6E"/>
    <w:multiLevelType w:val="hybridMultilevel"/>
    <w:tmpl w:val="1EE8314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30"/>
  </w:num>
  <w:num w:numId="4">
    <w:abstractNumId w:val="39"/>
  </w:num>
  <w:num w:numId="5">
    <w:abstractNumId w:val="14"/>
  </w:num>
  <w:num w:numId="6">
    <w:abstractNumId w:val="32"/>
  </w:num>
  <w:num w:numId="7">
    <w:abstractNumId w:val="33"/>
  </w:num>
  <w:num w:numId="8">
    <w:abstractNumId w:val="23"/>
  </w:num>
  <w:num w:numId="9">
    <w:abstractNumId w:val="3"/>
  </w:num>
  <w:num w:numId="10">
    <w:abstractNumId w:val="22"/>
  </w:num>
  <w:num w:numId="11">
    <w:abstractNumId w:val="28"/>
  </w:num>
  <w:num w:numId="12">
    <w:abstractNumId w:val="31"/>
  </w:num>
  <w:num w:numId="13">
    <w:abstractNumId w:val="5"/>
  </w:num>
  <w:num w:numId="14">
    <w:abstractNumId w:val="4"/>
  </w:num>
  <w:num w:numId="15">
    <w:abstractNumId w:val="18"/>
  </w:num>
  <w:num w:numId="16">
    <w:abstractNumId w:val="0"/>
  </w:num>
  <w:num w:numId="17">
    <w:abstractNumId w:val="15"/>
  </w:num>
  <w:num w:numId="18">
    <w:abstractNumId w:val="21"/>
  </w:num>
  <w:num w:numId="19">
    <w:abstractNumId w:val="2"/>
  </w:num>
  <w:num w:numId="20">
    <w:abstractNumId w:val="19"/>
  </w:num>
  <w:num w:numId="21">
    <w:abstractNumId w:val="8"/>
  </w:num>
  <w:num w:numId="22">
    <w:abstractNumId w:val="1"/>
  </w:num>
  <w:num w:numId="23">
    <w:abstractNumId w:val="10"/>
  </w:num>
  <w:num w:numId="24">
    <w:abstractNumId w:val="13"/>
  </w:num>
  <w:num w:numId="25">
    <w:abstractNumId w:val="38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2"/>
  </w:num>
  <w:num w:numId="29">
    <w:abstractNumId w:val="29"/>
  </w:num>
  <w:num w:numId="30">
    <w:abstractNumId w:val="6"/>
  </w:num>
  <w:num w:numId="31">
    <w:abstractNumId w:val="27"/>
  </w:num>
  <w:num w:numId="32">
    <w:abstractNumId w:val="9"/>
  </w:num>
  <w:num w:numId="33">
    <w:abstractNumId w:val="20"/>
  </w:num>
  <w:num w:numId="34">
    <w:abstractNumId w:val="24"/>
  </w:num>
  <w:num w:numId="35">
    <w:abstractNumId w:val="26"/>
  </w:num>
  <w:num w:numId="36">
    <w:abstractNumId w:val="7"/>
  </w:num>
  <w:num w:numId="37">
    <w:abstractNumId w:val="25"/>
  </w:num>
  <w:num w:numId="38">
    <w:abstractNumId w:val="36"/>
  </w:num>
  <w:num w:numId="39">
    <w:abstractNumId w:val="16"/>
  </w:num>
  <w:num w:numId="40">
    <w:abstractNumId w:val="3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C7"/>
    <w:rsid w:val="00000850"/>
    <w:rsid w:val="00007DBA"/>
    <w:rsid w:val="000118D6"/>
    <w:rsid w:val="000118DD"/>
    <w:rsid w:val="0001288E"/>
    <w:rsid w:val="000128D0"/>
    <w:rsid w:val="000137C1"/>
    <w:rsid w:val="00013D3B"/>
    <w:rsid w:val="00014B10"/>
    <w:rsid w:val="0003306E"/>
    <w:rsid w:val="00034D85"/>
    <w:rsid w:val="00035057"/>
    <w:rsid w:val="00036894"/>
    <w:rsid w:val="00037D26"/>
    <w:rsid w:val="00043448"/>
    <w:rsid w:val="00045450"/>
    <w:rsid w:val="00047181"/>
    <w:rsid w:val="00055EE9"/>
    <w:rsid w:val="00055F43"/>
    <w:rsid w:val="000566C3"/>
    <w:rsid w:val="00070CA2"/>
    <w:rsid w:val="00070D66"/>
    <w:rsid w:val="00071A96"/>
    <w:rsid w:val="00073139"/>
    <w:rsid w:val="00073769"/>
    <w:rsid w:val="00077863"/>
    <w:rsid w:val="00081A41"/>
    <w:rsid w:val="00095BA5"/>
    <w:rsid w:val="000A1DE7"/>
    <w:rsid w:val="000A4F62"/>
    <w:rsid w:val="000A553C"/>
    <w:rsid w:val="000A6B76"/>
    <w:rsid w:val="000B2E54"/>
    <w:rsid w:val="000B5F50"/>
    <w:rsid w:val="000C0998"/>
    <w:rsid w:val="000C1777"/>
    <w:rsid w:val="000C2CE1"/>
    <w:rsid w:val="000C4A41"/>
    <w:rsid w:val="000C5F4B"/>
    <w:rsid w:val="000C75E1"/>
    <w:rsid w:val="000D07F1"/>
    <w:rsid w:val="000D3027"/>
    <w:rsid w:val="000D3250"/>
    <w:rsid w:val="000D5E28"/>
    <w:rsid w:val="000D7A64"/>
    <w:rsid w:val="000E12FA"/>
    <w:rsid w:val="000E1CA4"/>
    <w:rsid w:val="000F3B18"/>
    <w:rsid w:val="000F6EA7"/>
    <w:rsid w:val="00100006"/>
    <w:rsid w:val="00101EC5"/>
    <w:rsid w:val="00125C07"/>
    <w:rsid w:val="00133A51"/>
    <w:rsid w:val="00140683"/>
    <w:rsid w:val="00143136"/>
    <w:rsid w:val="00144DAA"/>
    <w:rsid w:val="00145C92"/>
    <w:rsid w:val="00145D28"/>
    <w:rsid w:val="0015063E"/>
    <w:rsid w:val="00155A8E"/>
    <w:rsid w:val="0015650D"/>
    <w:rsid w:val="00161CA2"/>
    <w:rsid w:val="001716EF"/>
    <w:rsid w:val="0018061B"/>
    <w:rsid w:val="001913C5"/>
    <w:rsid w:val="00194089"/>
    <w:rsid w:val="00194A80"/>
    <w:rsid w:val="00196627"/>
    <w:rsid w:val="001A5036"/>
    <w:rsid w:val="001A5B39"/>
    <w:rsid w:val="001A667F"/>
    <w:rsid w:val="001A7651"/>
    <w:rsid w:val="001B3484"/>
    <w:rsid w:val="001B4283"/>
    <w:rsid w:val="001B7E2C"/>
    <w:rsid w:val="001C116C"/>
    <w:rsid w:val="001C2F4B"/>
    <w:rsid w:val="001D4F7C"/>
    <w:rsid w:val="001F002A"/>
    <w:rsid w:val="001F2A13"/>
    <w:rsid w:val="001F2EC9"/>
    <w:rsid w:val="002049FB"/>
    <w:rsid w:val="002125C7"/>
    <w:rsid w:val="00217758"/>
    <w:rsid w:val="00217E88"/>
    <w:rsid w:val="002218C5"/>
    <w:rsid w:val="0022239F"/>
    <w:rsid w:val="0022666D"/>
    <w:rsid w:val="0023426A"/>
    <w:rsid w:val="00234B7B"/>
    <w:rsid w:val="00241A4E"/>
    <w:rsid w:val="00247F50"/>
    <w:rsid w:val="0026005D"/>
    <w:rsid w:val="00265BF9"/>
    <w:rsid w:val="00271B59"/>
    <w:rsid w:val="00275A5A"/>
    <w:rsid w:val="0028130B"/>
    <w:rsid w:val="00291900"/>
    <w:rsid w:val="002B465A"/>
    <w:rsid w:val="002C1134"/>
    <w:rsid w:val="002D0AB0"/>
    <w:rsid w:val="002D0FD3"/>
    <w:rsid w:val="002D23D8"/>
    <w:rsid w:val="002E0F6B"/>
    <w:rsid w:val="002E6B43"/>
    <w:rsid w:val="002E7FD2"/>
    <w:rsid w:val="002F4D7F"/>
    <w:rsid w:val="00300F4B"/>
    <w:rsid w:val="00302981"/>
    <w:rsid w:val="00305761"/>
    <w:rsid w:val="00307B60"/>
    <w:rsid w:val="00310655"/>
    <w:rsid w:val="00310A32"/>
    <w:rsid w:val="00311051"/>
    <w:rsid w:val="003166D1"/>
    <w:rsid w:val="00317BC9"/>
    <w:rsid w:val="00321C75"/>
    <w:rsid w:val="0032286C"/>
    <w:rsid w:val="0032301D"/>
    <w:rsid w:val="00333CBF"/>
    <w:rsid w:val="00334DD3"/>
    <w:rsid w:val="00340257"/>
    <w:rsid w:val="0034260E"/>
    <w:rsid w:val="00350055"/>
    <w:rsid w:val="003500B9"/>
    <w:rsid w:val="003508E0"/>
    <w:rsid w:val="00352C40"/>
    <w:rsid w:val="00353E4C"/>
    <w:rsid w:val="003540F2"/>
    <w:rsid w:val="00356593"/>
    <w:rsid w:val="003573BB"/>
    <w:rsid w:val="00357A0D"/>
    <w:rsid w:val="00365D0E"/>
    <w:rsid w:val="00367AD0"/>
    <w:rsid w:val="00377999"/>
    <w:rsid w:val="00381991"/>
    <w:rsid w:val="00386C9F"/>
    <w:rsid w:val="00387DB3"/>
    <w:rsid w:val="00391CA0"/>
    <w:rsid w:val="003945D8"/>
    <w:rsid w:val="00396EF2"/>
    <w:rsid w:val="00397AAE"/>
    <w:rsid w:val="003A7A5A"/>
    <w:rsid w:val="003A7E6C"/>
    <w:rsid w:val="003B7248"/>
    <w:rsid w:val="003C343E"/>
    <w:rsid w:val="003C5C64"/>
    <w:rsid w:val="003C62F1"/>
    <w:rsid w:val="003E6152"/>
    <w:rsid w:val="003F0D9C"/>
    <w:rsid w:val="00404CB0"/>
    <w:rsid w:val="00414B77"/>
    <w:rsid w:val="0042138B"/>
    <w:rsid w:val="00434BEE"/>
    <w:rsid w:val="004361F0"/>
    <w:rsid w:val="00441431"/>
    <w:rsid w:val="00454495"/>
    <w:rsid w:val="00455D46"/>
    <w:rsid w:val="00461361"/>
    <w:rsid w:val="00462341"/>
    <w:rsid w:val="00470A4D"/>
    <w:rsid w:val="00471414"/>
    <w:rsid w:val="00471D75"/>
    <w:rsid w:val="00474F94"/>
    <w:rsid w:val="00482EBE"/>
    <w:rsid w:val="00483F1E"/>
    <w:rsid w:val="004912F2"/>
    <w:rsid w:val="00492363"/>
    <w:rsid w:val="00494220"/>
    <w:rsid w:val="004946BD"/>
    <w:rsid w:val="0049669C"/>
    <w:rsid w:val="00496F08"/>
    <w:rsid w:val="004B2A72"/>
    <w:rsid w:val="004B5756"/>
    <w:rsid w:val="004B6E9A"/>
    <w:rsid w:val="004C1FFA"/>
    <w:rsid w:val="004C29B1"/>
    <w:rsid w:val="004D1112"/>
    <w:rsid w:val="004E1038"/>
    <w:rsid w:val="004E1052"/>
    <w:rsid w:val="004E10CA"/>
    <w:rsid w:val="004E284B"/>
    <w:rsid w:val="004E3ACF"/>
    <w:rsid w:val="004E45FF"/>
    <w:rsid w:val="004F1B02"/>
    <w:rsid w:val="004F61E8"/>
    <w:rsid w:val="004F7E81"/>
    <w:rsid w:val="00500C70"/>
    <w:rsid w:val="0050429E"/>
    <w:rsid w:val="00506B52"/>
    <w:rsid w:val="00512025"/>
    <w:rsid w:val="005123B0"/>
    <w:rsid w:val="005158D2"/>
    <w:rsid w:val="005278A1"/>
    <w:rsid w:val="00541EAB"/>
    <w:rsid w:val="00547600"/>
    <w:rsid w:val="00550871"/>
    <w:rsid w:val="005534A5"/>
    <w:rsid w:val="00553534"/>
    <w:rsid w:val="00554A65"/>
    <w:rsid w:val="0055503D"/>
    <w:rsid w:val="00561105"/>
    <w:rsid w:val="0056389E"/>
    <w:rsid w:val="00565B62"/>
    <w:rsid w:val="00571C0C"/>
    <w:rsid w:val="00571E15"/>
    <w:rsid w:val="00575849"/>
    <w:rsid w:val="005825BE"/>
    <w:rsid w:val="005862C4"/>
    <w:rsid w:val="00593530"/>
    <w:rsid w:val="005A291A"/>
    <w:rsid w:val="005A386C"/>
    <w:rsid w:val="005A4134"/>
    <w:rsid w:val="005A59BA"/>
    <w:rsid w:val="005A68BF"/>
    <w:rsid w:val="005B22F1"/>
    <w:rsid w:val="005B499F"/>
    <w:rsid w:val="005B5CFE"/>
    <w:rsid w:val="005B7E00"/>
    <w:rsid w:val="005C542A"/>
    <w:rsid w:val="005C7F57"/>
    <w:rsid w:val="005D3383"/>
    <w:rsid w:val="005E04B4"/>
    <w:rsid w:val="005E3BB5"/>
    <w:rsid w:val="005E5273"/>
    <w:rsid w:val="005E704A"/>
    <w:rsid w:val="005F02B1"/>
    <w:rsid w:val="005F067C"/>
    <w:rsid w:val="00607B05"/>
    <w:rsid w:val="006124C3"/>
    <w:rsid w:val="006135A6"/>
    <w:rsid w:val="00613FA8"/>
    <w:rsid w:val="00625C50"/>
    <w:rsid w:val="0062755D"/>
    <w:rsid w:val="00634832"/>
    <w:rsid w:val="00635413"/>
    <w:rsid w:val="00636D64"/>
    <w:rsid w:val="00637EE8"/>
    <w:rsid w:val="006513DD"/>
    <w:rsid w:val="00655347"/>
    <w:rsid w:val="006613C4"/>
    <w:rsid w:val="00661C73"/>
    <w:rsid w:val="00666E4A"/>
    <w:rsid w:val="006676CA"/>
    <w:rsid w:val="006710C3"/>
    <w:rsid w:val="006763E3"/>
    <w:rsid w:val="00676B57"/>
    <w:rsid w:val="00676CE9"/>
    <w:rsid w:val="0067716A"/>
    <w:rsid w:val="0068364B"/>
    <w:rsid w:val="00686402"/>
    <w:rsid w:val="00686E5B"/>
    <w:rsid w:val="0069029C"/>
    <w:rsid w:val="00691BC6"/>
    <w:rsid w:val="006921D0"/>
    <w:rsid w:val="00695864"/>
    <w:rsid w:val="006A29AF"/>
    <w:rsid w:val="006A34BA"/>
    <w:rsid w:val="006A386D"/>
    <w:rsid w:val="006A74CE"/>
    <w:rsid w:val="006C55DA"/>
    <w:rsid w:val="006E4F49"/>
    <w:rsid w:val="006E6360"/>
    <w:rsid w:val="006E6E2F"/>
    <w:rsid w:val="006F0255"/>
    <w:rsid w:val="006F0430"/>
    <w:rsid w:val="006F3E76"/>
    <w:rsid w:val="006F3FAF"/>
    <w:rsid w:val="006F5F1C"/>
    <w:rsid w:val="006F6748"/>
    <w:rsid w:val="00704897"/>
    <w:rsid w:val="007107C6"/>
    <w:rsid w:val="00715F27"/>
    <w:rsid w:val="00720BE1"/>
    <w:rsid w:val="00722648"/>
    <w:rsid w:val="00737442"/>
    <w:rsid w:val="00741D9B"/>
    <w:rsid w:val="007453B3"/>
    <w:rsid w:val="0074724C"/>
    <w:rsid w:val="0075230A"/>
    <w:rsid w:val="00752628"/>
    <w:rsid w:val="00752BF7"/>
    <w:rsid w:val="00755325"/>
    <w:rsid w:val="00756FE4"/>
    <w:rsid w:val="00767B98"/>
    <w:rsid w:val="00780A47"/>
    <w:rsid w:val="00780F23"/>
    <w:rsid w:val="007951CA"/>
    <w:rsid w:val="00796E2E"/>
    <w:rsid w:val="007A0780"/>
    <w:rsid w:val="007A1449"/>
    <w:rsid w:val="007A1D8C"/>
    <w:rsid w:val="007B25DF"/>
    <w:rsid w:val="007B3902"/>
    <w:rsid w:val="007C3A8C"/>
    <w:rsid w:val="007C6118"/>
    <w:rsid w:val="007D0506"/>
    <w:rsid w:val="007D0DC7"/>
    <w:rsid w:val="007D1D95"/>
    <w:rsid w:val="007E146A"/>
    <w:rsid w:val="007E24CA"/>
    <w:rsid w:val="007E2608"/>
    <w:rsid w:val="007E5564"/>
    <w:rsid w:val="007E65DB"/>
    <w:rsid w:val="007F1253"/>
    <w:rsid w:val="007F7938"/>
    <w:rsid w:val="007F7C28"/>
    <w:rsid w:val="007F7F97"/>
    <w:rsid w:val="00802FC4"/>
    <w:rsid w:val="00804B57"/>
    <w:rsid w:val="008119D2"/>
    <w:rsid w:val="00823DF6"/>
    <w:rsid w:val="0082465E"/>
    <w:rsid w:val="0082476F"/>
    <w:rsid w:val="00831D0F"/>
    <w:rsid w:val="00834079"/>
    <w:rsid w:val="00835C7C"/>
    <w:rsid w:val="00836099"/>
    <w:rsid w:val="008429C5"/>
    <w:rsid w:val="008434C3"/>
    <w:rsid w:val="00845023"/>
    <w:rsid w:val="00845C1E"/>
    <w:rsid w:val="00850A46"/>
    <w:rsid w:val="008515EE"/>
    <w:rsid w:val="00852240"/>
    <w:rsid w:val="00854FD4"/>
    <w:rsid w:val="0086055D"/>
    <w:rsid w:val="00872BAD"/>
    <w:rsid w:val="00877CED"/>
    <w:rsid w:val="00880069"/>
    <w:rsid w:val="0088136E"/>
    <w:rsid w:val="008846D6"/>
    <w:rsid w:val="00892D21"/>
    <w:rsid w:val="00892FF7"/>
    <w:rsid w:val="008942F1"/>
    <w:rsid w:val="008B0EC2"/>
    <w:rsid w:val="008B1575"/>
    <w:rsid w:val="008B3490"/>
    <w:rsid w:val="008B47EA"/>
    <w:rsid w:val="008C027C"/>
    <w:rsid w:val="008C0936"/>
    <w:rsid w:val="008C41FA"/>
    <w:rsid w:val="008E2F41"/>
    <w:rsid w:val="008F374F"/>
    <w:rsid w:val="0091164B"/>
    <w:rsid w:val="00916516"/>
    <w:rsid w:val="0092369B"/>
    <w:rsid w:val="009251C5"/>
    <w:rsid w:val="0092684B"/>
    <w:rsid w:val="00933F05"/>
    <w:rsid w:val="00934959"/>
    <w:rsid w:val="0093758C"/>
    <w:rsid w:val="00940734"/>
    <w:rsid w:val="00940F44"/>
    <w:rsid w:val="00941002"/>
    <w:rsid w:val="00947689"/>
    <w:rsid w:val="00951129"/>
    <w:rsid w:val="0095377B"/>
    <w:rsid w:val="00955CBF"/>
    <w:rsid w:val="009579B5"/>
    <w:rsid w:val="0096128D"/>
    <w:rsid w:val="00963A32"/>
    <w:rsid w:val="0096525E"/>
    <w:rsid w:val="00965444"/>
    <w:rsid w:val="00970632"/>
    <w:rsid w:val="00975561"/>
    <w:rsid w:val="0098076E"/>
    <w:rsid w:val="00984A84"/>
    <w:rsid w:val="00987FD8"/>
    <w:rsid w:val="00990B3C"/>
    <w:rsid w:val="00993D8D"/>
    <w:rsid w:val="009956C6"/>
    <w:rsid w:val="00996F81"/>
    <w:rsid w:val="009A16DD"/>
    <w:rsid w:val="009A45B0"/>
    <w:rsid w:val="009B3159"/>
    <w:rsid w:val="009B7708"/>
    <w:rsid w:val="009C006A"/>
    <w:rsid w:val="009C3906"/>
    <w:rsid w:val="009C393F"/>
    <w:rsid w:val="009C6B44"/>
    <w:rsid w:val="009C7FE0"/>
    <w:rsid w:val="009D1753"/>
    <w:rsid w:val="009E5E09"/>
    <w:rsid w:val="009E714C"/>
    <w:rsid w:val="009F1D8F"/>
    <w:rsid w:val="009F27F0"/>
    <w:rsid w:val="00A00F9E"/>
    <w:rsid w:val="00A02D5F"/>
    <w:rsid w:val="00A03CC1"/>
    <w:rsid w:val="00A04BF1"/>
    <w:rsid w:val="00A13D3C"/>
    <w:rsid w:val="00A1734D"/>
    <w:rsid w:val="00A222B3"/>
    <w:rsid w:val="00A34E7E"/>
    <w:rsid w:val="00A42D61"/>
    <w:rsid w:val="00A5551B"/>
    <w:rsid w:val="00A64EE1"/>
    <w:rsid w:val="00A67FC3"/>
    <w:rsid w:val="00A715A8"/>
    <w:rsid w:val="00A7773B"/>
    <w:rsid w:val="00A86757"/>
    <w:rsid w:val="00A92079"/>
    <w:rsid w:val="00A9278B"/>
    <w:rsid w:val="00A937DF"/>
    <w:rsid w:val="00AA0705"/>
    <w:rsid w:val="00AA1BA4"/>
    <w:rsid w:val="00AA2A50"/>
    <w:rsid w:val="00AB0023"/>
    <w:rsid w:val="00AB61BD"/>
    <w:rsid w:val="00AB6B2D"/>
    <w:rsid w:val="00AB6B88"/>
    <w:rsid w:val="00AC2F4D"/>
    <w:rsid w:val="00AD0B04"/>
    <w:rsid w:val="00AE3CE5"/>
    <w:rsid w:val="00AF29CC"/>
    <w:rsid w:val="00AF72F1"/>
    <w:rsid w:val="00AF7BEA"/>
    <w:rsid w:val="00B0217A"/>
    <w:rsid w:val="00B03FB3"/>
    <w:rsid w:val="00B1531D"/>
    <w:rsid w:val="00B1614B"/>
    <w:rsid w:val="00B210B9"/>
    <w:rsid w:val="00B2533E"/>
    <w:rsid w:val="00B26EE9"/>
    <w:rsid w:val="00B27212"/>
    <w:rsid w:val="00B31D34"/>
    <w:rsid w:val="00B323E2"/>
    <w:rsid w:val="00B366E1"/>
    <w:rsid w:val="00B37F5F"/>
    <w:rsid w:val="00B40971"/>
    <w:rsid w:val="00B41CB2"/>
    <w:rsid w:val="00B4335D"/>
    <w:rsid w:val="00B435C5"/>
    <w:rsid w:val="00B43CA5"/>
    <w:rsid w:val="00B445A4"/>
    <w:rsid w:val="00B50C4E"/>
    <w:rsid w:val="00B53468"/>
    <w:rsid w:val="00B57556"/>
    <w:rsid w:val="00B62177"/>
    <w:rsid w:val="00B6220E"/>
    <w:rsid w:val="00B750FF"/>
    <w:rsid w:val="00B80D24"/>
    <w:rsid w:val="00B84551"/>
    <w:rsid w:val="00B86CFD"/>
    <w:rsid w:val="00B91665"/>
    <w:rsid w:val="00B92511"/>
    <w:rsid w:val="00BA467D"/>
    <w:rsid w:val="00BA4AA3"/>
    <w:rsid w:val="00BA536E"/>
    <w:rsid w:val="00BB025F"/>
    <w:rsid w:val="00BB1CFE"/>
    <w:rsid w:val="00BB3539"/>
    <w:rsid w:val="00BB6A06"/>
    <w:rsid w:val="00BC0021"/>
    <w:rsid w:val="00BC63FD"/>
    <w:rsid w:val="00BC7826"/>
    <w:rsid w:val="00BD4E3C"/>
    <w:rsid w:val="00BD53FE"/>
    <w:rsid w:val="00BE1071"/>
    <w:rsid w:val="00BE5E45"/>
    <w:rsid w:val="00BE6133"/>
    <w:rsid w:val="00BF2411"/>
    <w:rsid w:val="00BF5F87"/>
    <w:rsid w:val="00BF6922"/>
    <w:rsid w:val="00BF764E"/>
    <w:rsid w:val="00BF7EB5"/>
    <w:rsid w:val="00C02583"/>
    <w:rsid w:val="00C02F5C"/>
    <w:rsid w:val="00C03C6C"/>
    <w:rsid w:val="00C16227"/>
    <w:rsid w:val="00C16789"/>
    <w:rsid w:val="00C216C0"/>
    <w:rsid w:val="00C25E34"/>
    <w:rsid w:val="00C27E6B"/>
    <w:rsid w:val="00C30EE3"/>
    <w:rsid w:val="00C310B9"/>
    <w:rsid w:val="00C342D5"/>
    <w:rsid w:val="00C401CD"/>
    <w:rsid w:val="00C4035A"/>
    <w:rsid w:val="00C46B03"/>
    <w:rsid w:val="00C53183"/>
    <w:rsid w:val="00C53FCC"/>
    <w:rsid w:val="00C55128"/>
    <w:rsid w:val="00C56DF5"/>
    <w:rsid w:val="00C570CC"/>
    <w:rsid w:val="00C60BB4"/>
    <w:rsid w:val="00C61B4A"/>
    <w:rsid w:val="00C65F24"/>
    <w:rsid w:val="00C752A5"/>
    <w:rsid w:val="00C93ADB"/>
    <w:rsid w:val="00C96FB5"/>
    <w:rsid w:val="00C979D7"/>
    <w:rsid w:val="00CB2437"/>
    <w:rsid w:val="00CB2EDD"/>
    <w:rsid w:val="00CC0048"/>
    <w:rsid w:val="00CC2810"/>
    <w:rsid w:val="00CC6705"/>
    <w:rsid w:val="00CD5B20"/>
    <w:rsid w:val="00CD791D"/>
    <w:rsid w:val="00CE0037"/>
    <w:rsid w:val="00CE4442"/>
    <w:rsid w:val="00CE46FB"/>
    <w:rsid w:val="00CE520C"/>
    <w:rsid w:val="00CF07B3"/>
    <w:rsid w:val="00CF18F8"/>
    <w:rsid w:val="00CF4BEC"/>
    <w:rsid w:val="00CF5F3A"/>
    <w:rsid w:val="00CF6054"/>
    <w:rsid w:val="00CF6947"/>
    <w:rsid w:val="00D005FF"/>
    <w:rsid w:val="00D00C1F"/>
    <w:rsid w:val="00D16016"/>
    <w:rsid w:val="00D1679C"/>
    <w:rsid w:val="00D226B3"/>
    <w:rsid w:val="00D23C64"/>
    <w:rsid w:val="00D244E3"/>
    <w:rsid w:val="00D246E6"/>
    <w:rsid w:val="00D25933"/>
    <w:rsid w:val="00D267D3"/>
    <w:rsid w:val="00D26B29"/>
    <w:rsid w:val="00D31383"/>
    <w:rsid w:val="00D3340C"/>
    <w:rsid w:val="00D44645"/>
    <w:rsid w:val="00D54B74"/>
    <w:rsid w:val="00D569B9"/>
    <w:rsid w:val="00D62946"/>
    <w:rsid w:val="00D62C14"/>
    <w:rsid w:val="00D636CD"/>
    <w:rsid w:val="00D66FF2"/>
    <w:rsid w:val="00D71921"/>
    <w:rsid w:val="00D71E39"/>
    <w:rsid w:val="00D77D53"/>
    <w:rsid w:val="00D809E3"/>
    <w:rsid w:val="00D85336"/>
    <w:rsid w:val="00D86A6A"/>
    <w:rsid w:val="00D961E3"/>
    <w:rsid w:val="00DA1E21"/>
    <w:rsid w:val="00DA284A"/>
    <w:rsid w:val="00DA641D"/>
    <w:rsid w:val="00DB304D"/>
    <w:rsid w:val="00DB6F51"/>
    <w:rsid w:val="00DB7EBE"/>
    <w:rsid w:val="00DC0370"/>
    <w:rsid w:val="00DC1D8A"/>
    <w:rsid w:val="00DC24A7"/>
    <w:rsid w:val="00DC5BE7"/>
    <w:rsid w:val="00DC66BB"/>
    <w:rsid w:val="00DD1823"/>
    <w:rsid w:val="00DE2909"/>
    <w:rsid w:val="00DE6424"/>
    <w:rsid w:val="00DE6CBB"/>
    <w:rsid w:val="00DF032B"/>
    <w:rsid w:val="00DF1F28"/>
    <w:rsid w:val="00DF4878"/>
    <w:rsid w:val="00DF52D4"/>
    <w:rsid w:val="00E05506"/>
    <w:rsid w:val="00E0551B"/>
    <w:rsid w:val="00E15CF5"/>
    <w:rsid w:val="00E16169"/>
    <w:rsid w:val="00E20381"/>
    <w:rsid w:val="00E2055A"/>
    <w:rsid w:val="00E23A7E"/>
    <w:rsid w:val="00E25646"/>
    <w:rsid w:val="00E26380"/>
    <w:rsid w:val="00E2776C"/>
    <w:rsid w:val="00E32833"/>
    <w:rsid w:val="00E52E8C"/>
    <w:rsid w:val="00E54AD4"/>
    <w:rsid w:val="00E61AA5"/>
    <w:rsid w:val="00E62BC4"/>
    <w:rsid w:val="00E6312A"/>
    <w:rsid w:val="00E66EDC"/>
    <w:rsid w:val="00E74D52"/>
    <w:rsid w:val="00E761A9"/>
    <w:rsid w:val="00E85468"/>
    <w:rsid w:val="00E90334"/>
    <w:rsid w:val="00E918DE"/>
    <w:rsid w:val="00EA0DB8"/>
    <w:rsid w:val="00EA141C"/>
    <w:rsid w:val="00EA2EB9"/>
    <w:rsid w:val="00EA62F0"/>
    <w:rsid w:val="00EA6CDF"/>
    <w:rsid w:val="00EB687C"/>
    <w:rsid w:val="00EC4A6A"/>
    <w:rsid w:val="00EC6B3A"/>
    <w:rsid w:val="00ED25C1"/>
    <w:rsid w:val="00ED61FE"/>
    <w:rsid w:val="00EE6009"/>
    <w:rsid w:val="00EF1683"/>
    <w:rsid w:val="00EF2F58"/>
    <w:rsid w:val="00EF5C7D"/>
    <w:rsid w:val="00F0621A"/>
    <w:rsid w:val="00F07C59"/>
    <w:rsid w:val="00F219B4"/>
    <w:rsid w:val="00F24E6E"/>
    <w:rsid w:val="00F25EF5"/>
    <w:rsid w:val="00F329CD"/>
    <w:rsid w:val="00F33797"/>
    <w:rsid w:val="00F40BF2"/>
    <w:rsid w:val="00F43EC5"/>
    <w:rsid w:val="00F443E0"/>
    <w:rsid w:val="00F516C5"/>
    <w:rsid w:val="00F521A3"/>
    <w:rsid w:val="00F52A10"/>
    <w:rsid w:val="00F557E9"/>
    <w:rsid w:val="00F630C6"/>
    <w:rsid w:val="00F74BC3"/>
    <w:rsid w:val="00F80F7B"/>
    <w:rsid w:val="00FA51CA"/>
    <w:rsid w:val="00FA7259"/>
    <w:rsid w:val="00FA7381"/>
    <w:rsid w:val="00FA7B26"/>
    <w:rsid w:val="00FB599A"/>
    <w:rsid w:val="00FB60BC"/>
    <w:rsid w:val="00FC350B"/>
    <w:rsid w:val="00FC4A80"/>
    <w:rsid w:val="00FC697E"/>
    <w:rsid w:val="00FC7E16"/>
    <w:rsid w:val="00FD0B7E"/>
    <w:rsid w:val="00FD2962"/>
    <w:rsid w:val="00FD2DBF"/>
    <w:rsid w:val="00FD41F1"/>
    <w:rsid w:val="00FD4655"/>
    <w:rsid w:val="00FD6D10"/>
    <w:rsid w:val="00FE13F6"/>
    <w:rsid w:val="00FE2DE4"/>
    <w:rsid w:val="00FE744B"/>
    <w:rsid w:val="00FF1DE7"/>
    <w:rsid w:val="00FF1F50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3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B599A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328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CE520C"/>
    <w:pPr>
      <w:spacing w:before="240" w:after="240" w:line="336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2583"/>
    <w:rPr>
      <w:color w:val="0000FF"/>
      <w:u w:val="single"/>
    </w:rPr>
  </w:style>
  <w:style w:type="table" w:styleId="TableGrid">
    <w:name w:val="Table Grid"/>
    <w:basedOn w:val="TableNormal"/>
    <w:rsid w:val="0045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92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35413"/>
    <w:rPr>
      <w:sz w:val="20"/>
      <w:szCs w:val="20"/>
    </w:rPr>
  </w:style>
  <w:style w:type="character" w:styleId="FootnoteReference">
    <w:name w:val="footnote reference"/>
    <w:semiHidden/>
    <w:rsid w:val="00635413"/>
    <w:rPr>
      <w:vertAlign w:val="superscript"/>
    </w:rPr>
  </w:style>
  <w:style w:type="character" w:styleId="CommentReference">
    <w:name w:val="annotation reference"/>
    <w:semiHidden/>
    <w:rsid w:val="001A7651"/>
    <w:rPr>
      <w:sz w:val="16"/>
      <w:szCs w:val="16"/>
    </w:rPr>
  </w:style>
  <w:style w:type="paragraph" w:styleId="CommentText">
    <w:name w:val="annotation text"/>
    <w:basedOn w:val="Normal"/>
    <w:semiHidden/>
    <w:rsid w:val="001A76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7651"/>
    <w:rPr>
      <w:b/>
      <w:bCs/>
    </w:rPr>
  </w:style>
  <w:style w:type="character" w:styleId="Emphasis">
    <w:name w:val="Emphasis"/>
    <w:uiPriority w:val="20"/>
    <w:qFormat/>
    <w:rsid w:val="00AF72F1"/>
    <w:rPr>
      <w:i/>
      <w:iCs/>
    </w:rPr>
  </w:style>
  <w:style w:type="paragraph" w:styleId="Header">
    <w:name w:val="header"/>
    <w:basedOn w:val="Normal"/>
    <w:link w:val="HeaderChar"/>
    <w:rsid w:val="001940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40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0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089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E520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E520C"/>
    <w:pPr>
      <w:spacing w:after="240"/>
    </w:pPr>
    <w:rPr>
      <w:sz w:val="16"/>
      <w:szCs w:val="16"/>
    </w:rPr>
  </w:style>
  <w:style w:type="character" w:customStyle="1" w:styleId="Heading1Char">
    <w:name w:val="Heading 1 Char"/>
    <w:link w:val="Heading1"/>
    <w:rsid w:val="00FB599A"/>
    <w:rPr>
      <w:b/>
      <w:bCs/>
      <w:kern w:val="32"/>
      <w:sz w:val="24"/>
      <w:szCs w:val="32"/>
    </w:rPr>
  </w:style>
  <w:style w:type="paragraph" w:customStyle="1" w:styleId="Default">
    <w:name w:val="Default"/>
    <w:rsid w:val="00940F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semiHidden/>
    <w:rsid w:val="00E328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noteTextChar">
    <w:name w:val="Footnote Text Char"/>
    <w:link w:val="FootnoteText"/>
    <w:semiHidden/>
    <w:rsid w:val="00462341"/>
  </w:style>
  <w:style w:type="paragraph" w:customStyle="1" w:styleId="Level1">
    <w:name w:val="Level 1"/>
    <w:basedOn w:val="Normal"/>
    <w:next w:val="Heading1"/>
    <w:link w:val="Level1Char"/>
    <w:rsid w:val="00462341"/>
    <w:pPr>
      <w:keepNext/>
      <w:widowControl w:val="0"/>
      <w:spacing w:before="360"/>
      <w:ind w:left="720"/>
      <w:jc w:val="both"/>
    </w:pPr>
    <w:rPr>
      <w:rFonts w:ascii="Book Antiqua" w:hAnsi="Book Antiqua"/>
      <w:b/>
      <w:szCs w:val="20"/>
      <w:u w:val="single"/>
      <w:lang w:eastAsia="en-US"/>
    </w:rPr>
  </w:style>
  <w:style w:type="character" w:customStyle="1" w:styleId="Level1Char">
    <w:name w:val="Level 1 Char"/>
    <w:link w:val="Level1"/>
    <w:locked/>
    <w:rsid w:val="00462341"/>
    <w:rPr>
      <w:rFonts w:ascii="Book Antiqua" w:hAnsi="Book Antiqua"/>
      <w:b/>
      <w:sz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3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B599A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328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CE520C"/>
    <w:pPr>
      <w:spacing w:before="240" w:after="240" w:line="336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2583"/>
    <w:rPr>
      <w:color w:val="0000FF"/>
      <w:u w:val="single"/>
    </w:rPr>
  </w:style>
  <w:style w:type="table" w:styleId="TableGrid">
    <w:name w:val="Table Grid"/>
    <w:basedOn w:val="TableNormal"/>
    <w:rsid w:val="0045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92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35413"/>
    <w:rPr>
      <w:sz w:val="20"/>
      <w:szCs w:val="20"/>
    </w:rPr>
  </w:style>
  <w:style w:type="character" w:styleId="FootnoteReference">
    <w:name w:val="footnote reference"/>
    <w:semiHidden/>
    <w:rsid w:val="00635413"/>
    <w:rPr>
      <w:vertAlign w:val="superscript"/>
    </w:rPr>
  </w:style>
  <w:style w:type="character" w:styleId="CommentReference">
    <w:name w:val="annotation reference"/>
    <w:semiHidden/>
    <w:rsid w:val="001A7651"/>
    <w:rPr>
      <w:sz w:val="16"/>
      <w:szCs w:val="16"/>
    </w:rPr>
  </w:style>
  <w:style w:type="paragraph" w:styleId="CommentText">
    <w:name w:val="annotation text"/>
    <w:basedOn w:val="Normal"/>
    <w:semiHidden/>
    <w:rsid w:val="001A76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7651"/>
    <w:rPr>
      <w:b/>
      <w:bCs/>
    </w:rPr>
  </w:style>
  <w:style w:type="character" w:styleId="Emphasis">
    <w:name w:val="Emphasis"/>
    <w:uiPriority w:val="20"/>
    <w:qFormat/>
    <w:rsid w:val="00AF72F1"/>
    <w:rPr>
      <w:i/>
      <w:iCs/>
    </w:rPr>
  </w:style>
  <w:style w:type="paragraph" w:styleId="Header">
    <w:name w:val="header"/>
    <w:basedOn w:val="Normal"/>
    <w:link w:val="HeaderChar"/>
    <w:rsid w:val="001940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40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0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089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E520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E520C"/>
    <w:pPr>
      <w:spacing w:after="240"/>
    </w:pPr>
    <w:rPr>
      <w:sz w:val="16"/>
      <w:szCs w:val="16"/>
    </w:rPr>
  </w:style>
  <w:style w:type="character" w:customStyle="1" w:styleId="Heading1Char">
    <w:name w:val="Heading 1 Char"/>
    <w:link w:val="Heading1"/>
    <w:rsid w:val="00FB599A"/>
    <w:rPr>
      <w:b/>
      <w:bCs/>
      <w:kern w:val="32"/>
      <w:sz w:val="24"/>
      <w:szCs w:val="32"/>
    </w:rPr>
  </w:style>
  <w:style w:type="paragraph" w:customStyle="1" w:styleId="Default">
    <w:name w:val="Default"/>
    <w:rsid w:val="00940F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semiHidden/>
    <w:rsid w:val="00E328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noteTextChar">
    <w:name w:val="Footnote Text Char"/>
    <w:link w:val="FootnoteText"/>
    <w:semiHidden/>
    <w:rsid w:val="00462341"/>
  </w:style>
  <w:style w:type="paragraph" w:customStyle="1" w:styleId="Level1">
    <w:name w:val="Level 1"/>
    <w:basedOn w:val="Normal"/>
    <w:next w:val="Heading1"/>
    <w:link w:val="Level1Char"/>
    <w:rsid w:val="00462341"/>
    <w:pPr>
      <w:keepNext/>
      <w:widowControl w:val="0"/>
      <w:spacing w:before="360"/>
      <w:ind w:left="720"/>
      <w:jc w:val="both"/>
    </w:pPr>
    <w:rPr>
      <w:rFonts w:ascii="Book Antiqua" w:hAnsi="Book Antiqua"/>
      <w:b/>
      <w:szCs w:val="20"/>
      <w:u w:val="single"/>
      <w:lang w:eastAsia="en-US"/>
    </w:rPr>
  </w:style>
  <w:style w:type="character" w:customStyle="1" w:styleId="Level1Char">
    <w:name w:val="Level 1 Char"/>
    <w:link w:val="Level1"/>
    <w:locked/>
    <w:rsid w:val="00462341"/>
    <w:rPr>
      <w:rFonts w:ascii="Book Antiqua" w:hAnsi="Book Antiqua"/>
      <w:b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fm@supremecourt.vic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fm@supremecourt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fm@supremecourt.vic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2413</Words>
  <Characters>11769</Characters>
  <Application>Microsoft Office Word</Application>
  <DocSecurity>0</DocSecurity>
  <Lines>98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Note No. 7 of 2015 Testators Family Maintenance List </vt:lpstr>
    </vt:vector>
  </TitlesOfParts>
  <Company>Supreme Court of Victoria </Company>
  <LinksUpToDate>false</LinksUpToDate>
  <CharactersWithSpaces>14154</CharactersWithSpaces>
  <SharedDoc>false</SharedDoc>
  <HLinks>
    <vt:vector size="12" baseType="variant"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mailto:tfm@supremecourt.vic.gov.au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mailto:tfm@supremecourt.vic.gov.au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Note No. 7 of 2015 Testators Family Maintenance List </dc:title>
  <dc:subject/>
  <dc:creator>Supreme Court of Victoria </dc:creator>
  <cp:keywords/>
  <dc:description/>
  <cp:lastModifiedBy>Stuart Moran</cp:lastModifiedBy>
  <cp:revision>3</cp:revision>
  <cp:lastPrinted>2014-09-15T04:53:00Z</cp:lastPrinted>
  <dcterms:created xsi:type="dcterms:W3CDTF">2014-12-08T05:25:00Z</dcterms:created>
  <dcterms:modified xsi:type="dcterms:W3CDTF">2014-12-08T06:09:00Z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