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4D25" w14:textId="31056FEE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6CC49BC7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C05F8D">
        <w:rPr>
          <w:rFonts w:ascii="Book Antiqua" w:hAnsi="Book Antiqua"/>
          <w:b/>
          <w:color w:val="000000"/>
          <w:sz w:val="28"/>
        </w:rPr>
        <w:t>1</w:t>
      </w:r>
    </w:p>
    <w:p w14:paraId="66779301" w14:textId="72DF2FFA" w:rsidR="00271B59" w:rsidRDefault="00FC4716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Practice N</w:t>
      </w:r>
      <w:r w:rsidR="00C05F8D">
        <w:rPr>
          <w:rFonts w:ascii="Book Antiqua" w:hAnsi="Book Antiqua"/>
          <w:b/>
          <w:color w:val="000000"/>
          <w:sz w:val="28"/>
        </w:rPr>
        <w:t>otes and Notice to the Profession</w:t>
      </w:r>
    </w:p>
    <w:p w14:paraId="02D8B7A1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F7C716B" w14:textId="5D1E1EA9" w:rsidR="00B72C47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 xml:space="preserve">o </w:t>
      </w:r>
      <w:r w:rsidR="00C05F8D">
        <w:rPr>
          <w:rFonts w:ascii="Book Antiqua" w:hAnsi="Book Antiqua"/>
          <w:sz w:val="24"/>
          <w:szCs w:val="24"/>
        </w:rPr>
        <w:t>explain the Court’s processes with respect to the issue of Practice Notes and Notices to the Profession.</w:t>
      </w:r>
    </w:p>
    <w:p w14:paraId="040B9C8D" w14:textId="77777777" w:rsidR="007E0CA2" w:rsidRPr="007917BE" w:rsidRDefault="007E0CA2" w:rsidP="007E0C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634B9528" w14:textId="2B3B29BC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341F3267" w:rsidR="00FD72DE" w:rsidRDefault="00B72C47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8D0EEA">
        <w:rPr>
          <w:rFonts w:ascii="Book Antiqua" w:hAnsi="Book Antiqua"/>
          <w:sz w:val="24"/>
          <w:szCs w:val="24"/>
        </w:rPr>
        <w:t>was issued on 30</w:t>
      </w:r>
      <w:r w:rsidR="00AF0F76">
        <w:rPr>
          <w:rFonts w:ascii="Book Antiqua" w:hAnsi="Book Antiqua"/>
          <w:sz w:val="24"/>
          <w:szCs w:val="24"/>
        </w:rPr>
        <w:t xml:space="preserve"> January 2017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="008D0EEA">
        <w:rPr>
          <w:rFonts w:ascii="Book Antiqua" w:hAnsi="Book Antiqua"/>
          <w:sz w:val="24"/>
          <w:szCs w:val="24"/>
        </w:rPr>
        <w:t>commences on 30</w:t>
      </w:r>
      <w:r w:rsidR="00C05F8D">
        <w:rPr>
          <w:rFonts w:ascii="Book Antiqua" w:hAnsi="Book Antiqua"/>
          <w:sz w:val="24"/>
          <w:szCs w:val="24"/>
        </w:rPr>
        <w:t xml:space="preserve"> </w:t>
      </w:r>
      <w:r w:rsidR="00AF0F76">
        <w:rPr>
          <w:rFonts w:ascii="Book Antiqua" w:hAnsi="Book Antiqua"/>
          <w:sz w:val="24"/>
          <w:szCs w:val="24"/>
        </w:rPr>
        <w:t>January 2017</w:t>
      </w:r>
      <w:r w:rsidR="00C05F8D">
        <w:rPr>
          <w:rFonts w:ascii="Book Antiqua" w:hAnsi="Book Antiqua"/>
          <w:sz w:val="24"/>
          <w:szCs w:val="24"/>
        </w:rPr>
        <w:t>.</w:t>
      </w:r>
    </w:p>
    <w:p w14:paraId="273CB015" w14:textId="77777777" w:rsidR="007E0CA2" w:rsidRPr="00277B7B" w:rsidRDefault="007E0CA2" w:rsidP="007E0C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B41410B" w14:textId="055630B2" w:rsidR="00B72C47" w:rsidRPr="007917BE" w:rsidRDefault="00B72C47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50FDD10D" w14:textId="4F727F6A" w:rsidR="007917BE" w:rsidRDefault="006F60CF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Practice Note:</w:t>
      </w:r>
    </w:p>
    <w:p w14:paraId="5A46F2EA" w14:textId="1936BBC3" w:rsidR="006F60CF" w:rsidRDefault="00A10F36" w:rsidP="00AF0F7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Former Practice Notes and Practice D</w:t>
      </w:r>
      <w:r w:rsidR="00AF0F76">
        <w:rPr>
          <w:rFonts w:ascii="Book Antiqua" w:hAnsi="Book Antiqua"/>
          <w:b/>
          <w:i/>
          <w:sz w:val="24"/>
          <w:szCs w:val="24"/>
        </w:rPr>
        <w:t>irections</w:t>
      </w:r>
      <w:r w:rsidR="006F60CF">
        <w:rPr>
          <w:rFonts w:ascii="Book Antiqua" w:hAnsi="Book Antiqua"/>
          <w:sz w:val="24"/>
          <w:szCs w:val="24"/>
        </w:rPr>
        <w:t xml:space="preserve"> means the </w:t>
      </w:r>
      <w:r>
        <w:rPr>
          <w:rFonts w:ascii="Book Antiqua" w:hAnsi="Book Antiqua"/>
          <w:sz w:val="24"/>
          <w:szCs w:val="24"/>
        </w:rPr>
        <w:t>all Practice Notes and Practice D</w:t>
      </w:r>
      <w:r w:rsidR="008D0EEA">
        <w:rPr>
          <w:rFonts w:ascii="Book Antiqua" w:hAnsi="Book Antiqua"/>
          <w:sz w:val="24"/>
          <w:szCs w:val="24"/>
        </w:rPr>
        <w:t>irections issued prior to 30</w:t>
      </w:r>
      <w:r w:rsidR="00AF0F76">
        <w:rPr>
          <w:rFonts w:ascii="Book Antiqua" w:hAnsi="Book Antiqua"/>
          <w:sz w:val="24"/>
          <w:szCs w:val="24"/>
        </w:rPr>
        <w:t xml:space="preserve"> January 2017</w:t>
      </w:r>
      <w:r w:rsidR="00FC4716">
        <w:rPr>
          <w:rFonts w:ascii="Book Antiqua" w:hAnsi="Book Antiqua"/>
          <w:sz w:val="24"/>
          <w:szCs w:val="24"/>
        </w:rPr>
        <w:t>.</w:t>
      </w:r>
    </w:p>
    <w:p w14:paraId="52BA2B51" w14:textId="77777777" w:rsidR="007E0CA2" w:rsidRDefault="007E0CA2" w:rsidP="00AF0F7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61C860F0" w14:textId="33E82F1E" w:rsidR="00C02583" w:rsidRPr="007917BE" w:rsidRDefault="00C05F8D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PRACTICE NOTES</w:t>
      </w:r>
    </w:p>
    <w:p w14:paraId="14F495F4" w14:textId="6E9591B1" w:rsidR="00145CFC" w:rsidRPr="00145CFC" w:rsidRDefault="00A10F36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power to issue P</w:t>
      </w:r>
      <w:r w:rsidR="00145CFC" w:rsidRPr="00145CFC">
        <w:rPr>
          <w:rFonts w:ascii="Book Antiqua" w:hAnsi="Book Antiqua"/>
          <w:sz w:val="24"/>
          <w:szCs w:val="24"/>
        </w:rPr>
        <w:t>ract</w:t>
      </w:r>
      <w:r>
        <w:rPr>
          <w:rFonts w:ascii="Book Antiqua" w:hAnsi="Book Antiqua"/>
          <w:sz w:val="24"/>
          <w:szCs w:val="24"/>
        </w:rPr>
        <w:t>ice N</w:t>
      </w:r>
      <w:r w:rsidR="00145CFC">
        <w:rPr>
          <w:rFonts w:ascii="Book Antiqua" w:hAnsi="Book Antiqua"/>
          <w:sz w:val="24"/>
          <w:szCs w:val="24"/>
        </w:rPr>
        <w:t>otes</w:t>
      </w:r>
      <w:r w:rsidR="00145CFC" w:rsidRPr="00145CFC">
        <w:rPr>
          <w:rFonts w:ascii="Book Antiqua" w:hAnsi="Book Antiqua"/>
          <w:sz w:val="24"/>
          <w:szCs w:val="24"/>
        </w:rPr>
        <w:t xml:space="preserve"> derives from the inherent power of the Court to control its own practice and procedure.</w:t>
      </w:r>
    </w:p>
    <w:p w14:paraId="062972D5" w14:textId="3984C094" w:rsidR="00145CFC" w:rsidRPr="00145CFC" w:rsidRDefault="00145CFC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Practice Notes of the Supreme Court are issued by the Chief Justice, </w:t>
      </w:r>
      <w:r w:rsidR="00AF0F76">
        <w:rPr>
          <w:rFonts w:ascii="Book Antiqua" w:hAnsi="Book Antiqua"/>
          <w:sz w:val="24"/>
          <w:szCs w:val="24"/>
        </w:rPr>
        <w:t xml:space="preserve">and </w:t>
      </w:r>
      <w:r>
        <w:rPr>
          <w:rFonts w:ascii="Book Antiqua" w:hAnsi="Book Antiqua"/>
          <w:sz w:val="24"/>
          <w:szCs w:val="24"/>
        </w:rPr>
        <w:t xml:space="preserve">are approved by the Council of Judges. </w:t>
      </w:r>
    </w:p>
    <w:p w14:paraId="17B3C96C" w14:textId="3DD6609E" w:rsidR="00145CFC" w:rsidRPr="00145CFC" w:rsidRDefault="00145CFC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A10F36">
        <w:rPr>
          <w:rFonts w:ascii="Book Antiqua" w:hAnsi="Book Antiqua"/>
          <w:sz w:val="24"/>
          <w:szCs w:val="24"/>
        </w:rPr>
        <w:t>ractice N</w:t>
      </w:r>
      <w:r w:rsidRPr="00145CFC">
        <w:rPr>
          <w:rFonts w:ascii="Book Antiqua" w:hAnsi="Book Antiqua"/>
          <w:sz w:val="24"/>
          <w:szCs w:val="24"/>
        </w:rPr>
        <w:t xml:space="preserve">otes </w:t>
      </w:r>
      <w:r>
        <w:rPr>
          <w:rFonts w:ascii="Book Antiqua" w:hAnsi="Book Antiqua"/>
          <w:sz w:val="24"/>
          <w:szCs w:val="24"/>
        </w:rPr>
        <w:t>provide information about the Court’s practice and procedure</w:t>
      </w:r>
      <w:r w:rsidR="00872BDF">
        <w:rPr>
          <w:rFonts w:ascii="Book Antiqua" w:hAnsi="Book Antiqua"/>
          <w:sz w:val="24"/>
          <w:szCs w:val="24"/>
        </w:rPr>
        <w:t>.</w:t>
      </w:r>
      <w:r w:rsidR="00A10F36">
        <w:rPr>
          <w:rFonts w:ascii="Book Antiqua" w:hAnsi="Book Antiqua"/>
          <w:sz w:val="24"/>
          <w:szCs w:val="24"/>
        </w:rPr>
        <w:t xml:space="preserve"> </w:t>
      </w:r>
      <w:r w:rsidR="00872BDF">
        <w:rPr>
          <w:rFonts w:ascii="Book Antiqua" w:hAnsi="Book Antiqua"/>
          <w:sz w:val="24"/>
          <w:szCs w:val="24"/>
        </w:rPr>
        <w:t>They also</w:t>
      </w:r>
      <w:r>
        <w:rPr>
          <w:rFonts w:ascii="Book Antiqua" w:hAnsi="Book Antiqua"/>
          <w:sz w:val="24"/>
          <w:szCs w:val="24"/>
        </w:rPr>
        <w:t xml:space="preserve"> </w:t>
      </w:r>
      <w:r w:rsidRPr="00145CFC">
        <w:rPr>
          <w:rFonts w:ascii="Book Antiqua" w:hAnsi="Book Antiqua"/>
          <w:sz w:val="24"/>
          <w:szCs w:val="24"/>
        </w:rPr>
        <w:t xml:space="preserve">set </w:t>
      </w:r>
      <w:r>
        <w:rPr>
          <w:rFonts w:ascii="Book Antiqua" w:hAnsi="Book Antiqua"/>
          <w:sz w:val="24"/>
          <w:szCs w:val="24"/>
        </w:rPr>
        <w:t xml:space="preserve">out </w:t>
      </w:r>
      <w:r w:rsidRPr="00145CFC">
        <w:rPr>
          <w:rFonts w:ascii="Book Antiqua" w:hAnsi="Book Antiqua"/>
          <w:sz w:val="24"/>
          <w:szCs w:val="24"/>
        </w:rPr>
        <w:t>the Court’s expectations of parties</w:t>
      </w:r>
      <w:r w:rsidR="00AF0F76">
        <w:rPr>
          <w:rFonts w:ascii="Book Antiqua" w:hAnsi="Book Antiqua"/>
          <w:sz w:val="24"/>
          <w:szCs w:val="24"/>
        </w:rPr>
        <w:t xml:space="preserve"> coming before the Court</w:t>
      </w:r>
      <w:r w:rsidRPr="00145CFC">
        <w:rPr>
          <w:rFonts w:ascii="Book Antiqua" w:hAnsi="Book Antiqua"/>
          <w:sz w:val="24"/>
          <w:szCs w:val="24"/>
        </w:rPr>
        <w:t>.</w:t>
      </w:r>
      <w:r w:rsidR="00A10F36">
        <w:rPr>
          <w:rFonts w:ascii="Book Antiqua" w:hAnsi="Book Antiqua"/>
          <w:sz w:val="24"/>
          <w:szCs w:val="24"/>
        </w:rPr>
        <w:t xml:space="preserve"> </w:t>
      </w:r>
      <w:r w:rsidRPr="00145CFC">
        <w:rPr>
          <w:rFonts w:ascii="Book Antiqua" w:hAnsi="Book Antiqua"/>
          <w:sz w:val="24"/>
          <w:szCs w:val="24"/>
        </w:rPr>
        <w:t xml:space="preserve"> </w:t>
      </w:r>
      <w:r w:rsidR="00872BDF">
        <w:rPr>
          <w:rFonts w:ascii="Book Antiqua" w:hAnsi="Book Antiqua"/>
          <w:sz w:val="24"/>
          <w:szCs w:val="24"/>
        </w:rPr>
        <w:t xml:space="preserve">While they do not have the force of law, lawyers with the conduct of proceedings are expected to be familiar with their content and </w:t>
      </w:r>
      <w:r w:rsidR="00EA6C7B">
        <w:rPr>
          <w:rFonts w:ascii="Book Antiqua" w:hAnsi="Book Antiqua"/>
          <w:sz w:val="24"/>
          <w:szCs w:val="24"/>
        </w:rPr>
        <w:t>follow their requirements where applicable.</w:t>
      </w:r>
      <w:r w:rsidR="00872BDF">
        <w:rPr>
          <w:rFonts w:ascii="Book Antiqua" w:hAnsi="Book Antiqua"/>
          <w:sz w:val="24"/>
          <w:szCs w:val="24"/>
        </w:rPr>
        <w:t xml:space="preserve"> </w:t>
      </w:r>
      <w:r w:rsidR="00A10F36">
        <w:rPr>
          <w:rFonts w:ascii="Book Antiqua" w:hAnsi="Book Antiqua"/>
          <w:sz w:val="24"/>
          <w:szCs w:val="24"/>
        </w:rPr>
        <w:t xml:space="preserve"> </w:t>
      </w:r>
      <w:r w:rsidR="00EA6C7B">
        <w:rPr>
          <w:rFonts w:ascii="Book Antiqua" w:hAnsi="Book Antiqua"/>
          <w:sz w:val="24"/>
          <w:szCs w:val="24"/>
        </w:rPr>
        <w:t>T</w:t>
      </w:r>
      <w:r w:rsidR="00872BDF">
        <w:rPr>
          <w:rFonts w:ascii="Book Antiqua" w:hAnsi="Book Antiqua"/>
          <w:sz w:val="24"/>
          <w:szCs w:val="24"/>
        </w:rPr>
        <w:t>he Court</w:t>
      </w:r>
      <w:r w:rsidRPr="00145CFC">
        <w:rPr>
          <w:rFonts w:ascii="Book Antiqua" w:hAnsi="Book Antiqua"/>
          <w:sz w:val="24"/>
          <w:szCs w:val="24"/>
        </w:rPr>
        <w:t xml:space="preserve"> may t</w:t>
      </w:r>
      <w:r w:rsidR="00A10F36">
        <w:rPr>
          <w:rFonts w:ascii="Book Antiqua" w:hAnsi="Book Antiqua"/>
          <w:sz w:val="24"/>
          <w:szCs w:val="24"/>
        </w:rPr>
        <w:t>ake a failure to comply with a Practice N</w:t>
      </w:r>
      <w:r w:rsidRPr="00145CFC">
        <w:rPr>
          <w:rFonts w:ascii="Book Antiqua" w:hAnsi="Book Antiqua"/>
          <w:sz w:val="24"/>
          <w:szCs w:val="24"/>
        </w:rPr>
        <w:t xml:space="preserve">ote into account in the exercise of its case management and costs powers. </w:t>
      </w:r>
    </w:p>
    <w:p w14:paraId="1D1AFB6A" w14:textId="129E9464" w:rsidR="00C05F8D" w:rsidRPr="00EA6C7B" w:rsidRDefault="00EA6C7B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Court may depart </w:t>
      </w:r>
      <w:r w:rsidR="00A10F36">
        <w:rPr>
          <w:rFonts w:ascii="Book Antiqua" w:hAnsi="Book Antiqua"/>
          <w:sz w:val="24"/>
          <w:szCs w:val="24"/>
        </w:rPr>
        <w:t>from the practice set out in a Practice N</w:t>
      </w:r>
      <w:r>
        <w:rPr>
          <w:rFonts w:ascii="Book Antiqua" w:hAnsi="Book Antiqua"/>
          <w:sz w:val="24"/>
          <w:szCs w:val="24"/>
        </w:rPr>
        <w:t xml:space="preserve">ote, or adapt </w:t>
      </w:r>
      <w:r w:rsidR="00407C39">
        <w:rPr>
          <w:rFonts w:ascii="Book Antiqua" w:hAnsi="Book Antiqua"/>
          <w:sz w:val="24"/>
          <w:szCs w:val="24"/>
        </w:rPr>
        <w:t>its</w:t>
      </w:r>
      <w:r>
        <w:rPr>
          <w:rFonts w:ascii="Book Antiqua" w:hAnsi="Book Antiqua"/>
          <w:sz w:val="24"/>
          <w:szCs w:val="24"/>
        </w:rPr>
        <w:t xml:space="preserve"> requirements according to the particular circumstances or requirements of </w:t>
      </w:r>
      <w:r w:rsidR="00AF0F76">
        <w:rPr>
          <w:rFonts w:ascii="Book Antiqua" w:hAnsi="Book Antiqua"/>
          <w:sz w:val="24"/>
          <w:szCs w:val="24"/>
        </w:rPr>
        <w:t xml:space="preserve">individual </w:t>
      </w:r>
      <w:r>
        <w:rPr>
          <w:rFonts w:ascii="Book Antiqua" w:hAnsi="Book Antiqua"/>
          <w:sz w:val="24"/>
          <w:szCs w:val="24"/>
        </w:rPr>
        <w:t>case</w:t>
      </w:r>
      <w:r w:rsidR="00AF0F76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. </w:t>
      </w:r>
      <w:r w:rsidR="00A10F3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 the extent that the Court makes orders or give</w:t>
      </w:r>
      <w:r w:rsidR="00407C39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directions which are inconsistent with a Practice Note, those orders or directions prevail.</w:t>
      </w:r>
    </w:p>
    <w:p w14:paraId="2F2BCBA7" w14:textId="6BA0E428" w:rsidR="00C05F8D" w:rsidRPr="00C05F8D" w:rsidRDefault="00FC4716" w:rsidP="00EA6C7B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lastRenderedPageBreak/>
        <w:t>NUMBERING OF PRACTICE NOTES</w:t>
      </w:r>
    </w:p>
    <w:p w14:paraId="6E53EC56" w14:textId="0409472E" w:rsidR="00DA73A0" w:rsidRDefault="00C05F8D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C05F8D">
        <w:rPr>
          <w:rFonts w:ascii="Book Antiqua" w:hAnsi="Book Antiqua"/>
          <w:sz w:val="24"/>
          <w:szCs w:val="24"/>
        </w:rPr>
        <w:t xml:space="preserve">All Practice </w:t>
      </w:r>
      <w:r w:rsidR="00DA73A0">
        <w:rPr>
          <w:rFonts w:ascii="Book Antiqua" w:hAnsi="Book Antiqua"/>
          <w:sz w:val="24"/>
          <w:szCs w:val="24"/>
        </w:rPr>
        <w:t xml:space="preserve">Notes in the Supreme Court </w:t>
      </w:r>
      <w:r w:rsidRPr="00C05F8D">
        <w:rPr>
          <w:rFonts w:ascii="Book Antiqua" w:hAnsi="Book Antiqua"/>
          <w:sz w:val="24"/>
          <w:szCs w:val="24"/>
        </w:rPr>
        <w:t>begin with the letters “SC”</w:t>
      </w:r>
      <w:r w:rsidR="00DA73A0">
        <w:rPr>
          <w:rFonts w:ascii="Book Antiqua" w:hAnsi="Book Antiqua"/>
          <w:sz w:val="24"/>
          <w:szCs w:val="24"/>
        </w:rPr>
        <w:t xml:space="preserve"> followed by one of the following abbreviations denoting the Di</w:t>
      </w:r>
      <w:r w:rsidR="00407C39">
        <w:rPr>
          <w:rFonts w:ascii="Book Antiqua" w:hAnsi="Book Antiqua"/>
          <w:sz w:val="24"/>
          <w:szCs w:val="24"/>
        </w:rPr>
        <w:t>vision of the Court to which it applies:</w:t>
      </w:r>
    </w:p>
    <w:p w14:paraId="720A64BF" w14:textId="65B21560" w:rsidR="00DA73A0" w:rsidRDefault="00DA73A0" w:rsidP="00FC4716">
      <w:pPr>
        <w:pStyle w:val="ListParagraph"/>
        <w:spacing w:before="120" w:after="120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Court of Appeal</w:t>
      </w:r>
    </w:p>
    <w:p w14:paraId="753E0330" w14:textId="56553FAF" w:rsidR="00DA73A0" w:rsidRDefault="00DA73A0" w:rsidP="00FC4716">
      <w:pPr>
        <w:pStyle w:val="ListParagraph"/>
        <w:spacing w:before="120" w:after="120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CC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Commercial Court</w:t>
      </w:r>
    </w:p>
    <w:p w14:paraId="02B43866" w14:textId="2F5F6DEF" w:rsidR="00DA73A0" w:rsidRDefault="00DA73A0" w:rsidP="00FC4716">
      <w:pPr>
        <w:pStyle w:val="ListParagraph"/>
        <w:spacing w:before="120" w:after="120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Common Law Division</w:t>
      </w:r>
    </w:p>
    <w:p w14:paraId="6FDA3226" w14:textId="1404BCC8" w:rsidR="00DA73A0" w:rsidRDefault="00DA73A0" w:rsidP="00FC4716">
      <w:pPr>
        <w:pStyle w:val="ListParagraph"/>
        <w:spacing w:before="120" w:after="120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</w:t>
      </w:r>
      <w:r w:rsidR="00FC471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Criminal Division</w:t>
      </w:r>
    </w:p>
    <w:p w14:paraId="3E309DB6" w14:textId="4DE5DBAE" w:rsidR="00C05F8D" w:rsidRPr="00C05F8D" w:rsidRDefault="00DA73A0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Practice Notes with the Abbreviation “SC Gen” apply generally across the Court or to a specific topic not necessarily falling within a particular Division.</w:t>
      </w:r>
    </w:p>
    <w:p w14:paraId="6A1F1300" w14:textId="48F17555" w:rsidR="00C05F8D" w:rsidRDefault="001044B4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Within each category</w:t>
      </w:r>
      <w:r w:rsidR="00AF0F76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Practice Notes </w:t>
      </w:r>
      <w:r w:rsidR="00AF0F76">
        <w:rPr>
          <w:rFonts w:ascii="Book Antiqua" w:hAnsi="Book Antiqua"/>
          <w:sz w:val="24"/>
          <w:szCs w:val="24"/>
        </w:rPr>
        <w:t xml:space="preserve">are </w:t>
      </w:r>
      <w:r>
        <w:rPr>
          <w:rFonts w:ascii="Book Antiqua" w:hAnsi="Book Antiqua"/>
          <w:sz w:val="24"/>
          <w:szCs w:val="24"/>
        </w:rPr>
        <w:t>numbered sequentially</w:t>
      </w:r>
      <w:r w:rsidR="00AF0F76">
        <w:rPr>
          <w:rFonts w:ascii="Book Antiqua" w:hAnsi="Book Antiqua"/>
          <w:sz w:val="24"/>
          <w:szCs w:val="24"/>
        </w:rPr>
        <w:t xml:space="preserve"> without </w:t>
      </w:r>
      <w:r>
        <w:rPr>
          <w:rFonts w:ascii="Book Antiqua" w:hAnsi="Book Antiqua"/>
          <w:sz w:val="24"/>
          <w:szCs w:val="24"/>
        </w:rPr>
        <w:t>reference to the year they were made.</w:t>
      </w:r>
    </w:p>
    <w:p w14:paraId="3E5E7669" w14:textId="65EF8F18" w:rsidR="00AF0F76" w:rsidRPr="00C05F8D" w:rsidRDefault="00AF0F76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Practice Notes are to be cited as follows </w:t>
      </w:r>
      <w:r w:rsidR="007245EB">
        <w:rPr>
          <w:rFonts w:ascii="Book Antiqua" w:hAnsi="Book Antiqua"/>
          <w:sz w:val="24"/>
          <w:szCs w:val="24"/>
        </w:rPr>
        <w:t xml:space="preserve">in accordance with the following format </w:t>
      </w:r>
      <w:r>
        <w:rPr>
          <w:rFonts w:ascii="Book Antiqua" w:hAnsi="Book Antiqua"/>
          <w:sz w:val="24"/>
          <w:szCs w:val="24"/>
        </w:rPr>
        <w:t>“</w:t>
      </w:r>
      <w:r w:rsidR="007245EB">
        <w:rPr>
          <w:rFonts w:ascii="Book Antiqua" w:hAnsi="Book Antiqua"/>
          <w:sz w:val="24"/>
          <w:szCs w:val="24"/>
        </w:rPr>
        <w:t>Practice Note SC Gen</w:t>
      </w:r>
      <w:r>
        <w:rPr>
          <w:rFonts w:ascii="Book Antiqua" w:hAnsi="Book Antiqua"/>
          <w:sz w:val="24"/>
          <w:szCs w:val="24"/>
        </w:rPr>
        <w:t xml:space="preserve"> 1”</w:t>
      </w:r>
      <w:r w:rsidR="007245EB">
        <w:rPr>
          <w:rFonts w:ascii="Book Antiqua" w:hAnsi="Book Antiqua"/>
          <w:sz w:val="24"/>
          <w:szCs w:val="24"/>
        </w:rPr>
        <w:t xml:space="preserve"> or “PN SC CL 2”.</w:t>
      </w:r>
    </w:p>
    <w:p w14:paraId="7C48115C" w14:textId="68AF79B9" w:rsidR="00C05F8D" w:rsidRDefault="00AF0F76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Practice Notes are amended from time to time. </w:t>
      </w:r>
      <w:r w:rsidR="00A10F3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They retain their designated number, however </w:t>
      </w:r>
      <w:r w:rsidR="001044B4">
        <w:rPr>
          <w:rFonts w:ascii="Book Antiqua" w:hAnsi="Book Antiqua"/>
          <w:sz w:val="24"/>
          <w:szCs w:val="24"/>
        </w:rPr>
        <w:t xml:space="preserve">the history of </w:t>
      </w:r>
      <w:r>
        <w:rPr>
          <w:rFonts w:ascii="Book Antiqua" w:hAnsi="Book Antiqua"/>
          <w:sz w:val="24"/>
          <w:szCs w:val="24"/>
        </w:rPr>
        <w:t xml:space="preserve">amendment of each </w:t>
      </w:r>
      <w:r w:rsidR="001044B4">
        <w:rPr>
          <w:rFonts w:ascii="Book Antiqua" w:hAnsi="Book Antiqua"/>
          <w:sz w:val="24"/>
          <w:szCs w:val="24"/>
        </w:rPr>
        <w:t xml:space="preserve">Practice Note </w:t>
      </w:r>
      <w:r>
        <w:rPr>
          <w:rFonts w:ascii="Book Antiqua" w:hAnsi="Book Antiqua"/>
          <w:sz w:val="24"/>
          <w:szCs w:val="24"/>
        </w:rPr>
        <w:t xml:space="preserve">is </w:t>
      </w:r>
      <w:r w:rsidR="001044B4">
        <w:rPr>
          <w:rFonts w:ascii="Book Antiqua" w:hAnsi="Book Antiqua"/>
          <w:sz w:val="24"/>
          <w:szCs w:val="24"/>
        </w:rPr>
        <w:t>recorded at the end of the document</w:t>
      </w:r>
      <w:r w:rsidR="001044B4" w:rsidRPr="00C05F8D">
        <w:rPr>
          <w:rFonts w:ascii="Book Antiqua" w:hAnsi="Book Antiqua"/>
          <w:sz w:val="24"/>
          <w:szCs w:val="24"/>
        </w:rPr>
        <w:t xml:space="preserve">. </w:t>
      </w:r>
    </w:p>
    <w:p w14:paraId="6ECDB364" w14:textId="77777777" w:rsidR="007E0CA2" w:rsidRPr="00EA6C7B" w:rsidRDefault="007E0CA2" w:rsidP="007E0C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73CEE5D6" w14:textId="11105A38" w:rsidR="00C05F8D" w:rsidRPr="00C05F8D" w:rsidRDefault="00FC4716" w:rsidP="00EA6C7B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REPEAL OF FORMER PRACTICE NOTES</w:t>
      </w:r>
    </w:p>
    <w:p w14:paraId="635446D7" w14:textId="56B2727F" w:rsidR="00C05F8D" w:rsidRDefault="001044B4" w:rsidP="00AF0F7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 </w:t>
      </w:r>
      <w:r w:rsidR="00AF0F76">
        <w:rPr>
          <w:rFonts w:ascii="Book Antiqua" w:hAnsi="Book Antiqua"/>
          <w:sz w:val="24"/>
          <w:szCs w:val="24"/>
        </w:rPr>
        <w:t xml:space="preserve">former </w:t>
      </w:r>
      <w:r w:rsidR="00C05F8D" w:rsidRPr="00C05F8D">
        <w:rPr>
          <w:rFonts w:ascii="Book Antiqua" w:hAnsi="Book Antiqua"/>
          <w:sz w:val="24"/>
          <w:szCs w:val="24"/>
        </w:rPr>
        <w:t xml:space="preserve">Practice Notes </w:t>
      </w:r>
      <w:r>
        <w:rPr>
          <w:rFonts w:ascii="Book Antiqua" w:hAnsi="Book Antiqua"/>
          <w:sz w:val="24"/>
          <w:szCs w:val="24"/>
        </w:rPr>
        <w:t xml:space="preserve">and Practice Directions </w:t>
      </w:r>
      <w:r w:rsidR="00C05F8D" w:rsidRPr="00C05F8D">
        <w:rPr>
          <w:rFonts w:ascii="Book Antiqua" w:hAnsi="Book Antiqua"/>
          <w:sz w:val="24"/>
          <w:szCs w:val="24"/>
        </w:rPr>
        <w:t>are re</w:t>
      </w:r>
      <w:r w:rsidR="008D0EEA">
        <w:rPr>
          <w:rFonts w:ascii="Book Antiqua" w:hAnsi="Book Antiqua"/>
          <w:sz w:val="24"/>
          <w:szCs w:val="24"/>
        </w:rPr>
        <w:t>voked from 30</w:t>
      </w:r>
      <w:r w:rsidR="00AF0F76">
        <w:rPr>
          <w:rFonts w:ascii="Book Antiqua" w:hAnsi="Book Antiqua"/>
          <w:sz w:val="24"/>
          <w:szCs w:val="24"/>
        </w:rPr>
        <w:t xml:space="preserve"> January 2017</w:t>
      </w:r>
      <w:r w:rsidR="00C05F8D" w:rsidRPr="00C05F8D">
        <w:rPr>
          <w:rFonts w:ascii="Book Antiqua" w:hAnsi="Book Antiqua"/>
          <w:sz w:val="24"/>
          <w:szCs w:val="24"/>
        </w:rPr>
        <w:t>.</w:t>
      </w:r>
    </w:p>
    <w:p w14:paraId="57A443FF" w14:textId="182DEB0C" w:rsidR="006F60CF" w:rsidRDefault="00C13D69" w:rsidP="00AF0F7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C05F8D" w:rsidRPr="00C05F8D">
        <w:rPr>
          <w:rFonts w:ascii="Book Antiqua" w:hAnsi="Book Antiqua"/>
          <w:sz w:val="24"/>
          <w:szCs w:val="24"/>
        </w:rPr>
        <w:t>nything</w:t>
      </w:r>
      <w:r w:rsidR="00407C39">
        <w:rPr>
          <w:rFonts w:ascii="Book Antiqua" w:hAnsi="Book Antiqua"/>
          <w:sz w:val="24"/>
          <w:szCs w:val="24"/>
        </w:rPr>
        <w:t xml:space="preserve"> done under a provision of the f</w:t>
      </w:r>
      <w:r w:rsidR="00C05F8D" w:rsidRPr="00C05F8D">
        <w:rPr>
          <w:rFonts w:ascii="Book Antiqua" w:hAnsi="Book Antiqua"/>
          <w:sz w:val="24"/>
          <w:szCs w:val="24"/>
        </w:rPr>
        <w:t>ormer Practice Notes for which there is a corresponding provision in a current Practice Note is taken to have been done under the corresponding provision of the current Practice Note.</w:t>
      </w:r>
    </w:p>
    <w:p w14:paraId="5A261B3C" w14:textId="77777777" w:rsidR="007E0CA2" w:rsidRPr="00C13D69" w:rsidRDefault="007E0CA2" w:rsidP="007E0C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35E2AA22" w14:textId="13CAB047" w:rsidR="00BB44DE" w:rsidRPr="007917BE" w:rsidRDefault="001044B4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NOTICES TO THE PROFESSION</w:t>
      </w:r>
    </w:p>
    <w:p w14:paraId="01C7576A" w14:textId="3FA651C6" w:rsidR="001044B4" w:rsidRPr="001044B4" w:rsidRDefault="001044B4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1044B4">
        <w:rPr>
          <w:rFonts w:ascii="Book Antiqua" w:hAnsi="Book Antiqua"/>
          <w:sz w:val="24"/>
          <w:szCs w:val="24"/>
        </w:rPr>
        <w:t xml:space="preserve">Notices to the Profession </w:t>
      </w:r>
      <w:r>
        <w:rPr>
          <w:rFonts w:ascii="Book Antiqua" w:hAnsi="Book Antiqua"/>
          <w:sz w:val="24"/>
          <w:szCs w:val="24"/>
        </w:rPr>
        <w:t xml:space="preserve">are </w:t>
      </w:r>
      <w:r w:rsidR="007245EB">
        <w:rPr>
          <w:rFonts w:ascii="Book Antiqua" w:hAnsi="Book Antiqua"/>
          <w:sz w:val="24"/>
          <w:szCs w:val="24"/>
        </w:rPr>
        <w:t>issued by the Court</w:t>
      </w:r>
      <w:r>
        <w:rPr>
          <w:rFonts w:ascii="Book Antiqua" w:hAnsi="Book Antiqua"/>
          <w:sz w:val="24"/>
          <w:szCs w:val="24"/>
        </w:rPr>
        <w:t xml:space="preserve"> </w:t>
      </w:r>
      <w:r w:rsidRPr="001044B4">
        <w:rPr>
          <w:rFonts w:ascii="Book Antiqua" w:hAnsi="Book Antiqua"/>
          <w:sz w:val="24"/>
          <w:szCs w:val="24"/>
        </w:rPr>
        <w:t xml:space="preserve">where there is a need to convey information, rather than as a means for the Court to set out its practice in a particular area. </w:t>
      </w:r>
    </w:p>
    <w:p w14:paraId="0C82ABFB" w14:textId="017DC0C4" w:rsidR="001044B4" w:rsidRDefault="001044B4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Examples of when a Notice to the Profession may be issued </w:t>
      </w:r>
      <w:r w:rsidR="00145CFC">
        <w:rPr>
          <w:rFonts w:ascii="Book Antiqua" w:hAnsi="Book Antiqua"/>
          <w:sz w:val="24"/>
          <w:szCs w:val="24"/>
        </w:rPr>
        <w:t>include</w:t>
      </w:r>
    </w:p>
    <w:p w14:paraId="26127538" w14:textId="23EA7C2D" w:rsidR="001044B4" w:rsidRPr="001044B4" w:rsidRDefault="00145CFC" w:rsidP="007245EB">
      <w:pPr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>(a)</w:t>
      </w:r>
      <w:r w:rsidR="007245EB">
        <w:rPr>
          <w:rFonts w:ascii="Book Antiqua" w:hAnsi="Book Antiqua"/>
        </w:rPr>
        <w:tab/>
      </w:r>
      <w:r>
        <w:rPr>
          <w:rFonts w:ascii="Book Antiqua" w:hAnsi="Book Antiqua"/>
        </w:rPr>
        <w:t>a</w:t>
      </w:r>
      <w:r w:rsidR="001044B4" w:rsidRPr="001044B4">
        <w:rPr>
          <w:rFonts w:ascii="Book Antiqua" w:hAnsi="Book Antiqua"/>
        </w:rPr>
        <w:t>dvising which judges are re</w:t>
      </w:r>
      <w:r w:rsidR="00A10F36">
        <w:rPr>
          <w:rFonts w:ascii="Book Antiqua" w:hAnsi="Book Antiqua"/>
        </w:rPr>
        <w:t>sponsible for which specialist L</w:t>
      </w:r>
      <w:r w:rsidR="001044B4" w:rsidRPr="001044B4">
        <w:rPr>
          <w:rFonts w:ascii="Book Antiqua" w:hAnsi="Book Antiqua"/>
        </w:rPr>
        <w:t>ists for the year</w:t>
      </w:r>
      <w:r>
        <w:rPr>
          <w:rFonts w:ascii="Book Antiqua" w:hAnsi="Book Antiqua"/>
        </w:rPr>
        <w:t>;</w:t>
      </w:r>
    </w:p>
    <w:p w14:paraId="2D27A5A2" w14:textId="53A7AA1A" w:rsidR="001044B4" w:rsidRPr="001044B4" w:rsidRDefault="00145CFC" w:rsidP="00145CF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(b)</w:t>
      </w:r>
      <w:r w:rsidR="007245EB">
        <w:rPr>
          <w:rFonts w:ascii="Book Antiqua" w:hAnsi="Book Antiqua"/>
        </w:rPr>
        <w:tab/>
      </w:r>
      <w:r>
        <w:rPr>
          <w:rFonts w:ascii="Book Antiqua" w:hAnsi="Book Antiqua"/>
        </w:rPr>
        <w:t>i</w:t>
      </w:r>
      <w:r w:rsidR="001044B4" w:rsidRPr="001044B4">
        <w:rPr>
          <w:rFonts w:ascii="Book Antiqua" w:hAnsi="Book Antiqua"/>
        </w:rPr>
        <w:t>nforming the profession of temporary arrangements or circumstances</w:t>
      </w:r>
      <w:r>
        <w:rPr>
          <w:rFonts w:ascii="Book Antiqua" w:hAnsi="Book Antiqua"/>
        </w:rPr>
        <w:t>;</w:t>
      </w:r>
    </w:p>
    <w:p w14:paraId="650A0BD8" w14:textId="4562A595" w:rsidR="001044B4" w:rsidRDefault="00145CFC" w:rsidP="007245EB">
      <w:pPr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>(c)</w:t>
      </w:r>
      <w:r w:rsidR="007245EB">
        <w:rPr>
          <w:rFonts w:ascii="Book Antiqua" w:hAnsi="Book Antiqua"/>
        </w:rPr>
        <w:tab/>
      </w:r>
      <w:r>
        <w:rPr>
          <w:rFonts w:ascii="Book Antiqua" w:hAnsi="Book Antiqua"/>
        </w:rPr>
        <w:t>r</w:t>
      </w:r>
      <w:r w:rsidR="001044B4" w:rsidRPr="001044B4">
        <w:rPr>
          <w:rFonts w:ascii="Book Antiqua" w:hAnsi="Book Antiqua"/>
        </w:rPr>
        <w:t>eminders to the profession about certain rules and practices if it appears there is confusion or non-compliance</w:t>
      </w:r>
      <w:r>
        <w:rPr>
          <w:rFonts w:ascii="Book Antiqua" w:hAnsi="Book Antiqua"/>
        </w:rPr>
        <w:t>; and</w:t>
      </w:r>
    </w:p>
    <w:p w14:paraId="5FF66CFF" w14:textId="7B1D3FD9" w:rsidR="00145CFC" w:rsidRPr="001044B4" w:rsidRDefault="00145CFC" w:rsidP="00145CF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(d)</w:t>
      </w:r>
      <w:r w:rsidR="007245EB">
        <w:rPr>
          <w:rFonts w:ascii="Book Antiqua" w:hAnsi="Book Antiqua"/>
        </w:rPr>
        <w:tab/>
      </w:r>
      <w:r>
        <w:rPr>
          <w:rFonts w:ascii="Book Antiqua" w:hAnsi="Book Antiqua"/>
        </w:rPr>
        <w:t>n</w:t>
      </w:r>
      <w:r w:rsidRPr="001044B4">
        <w:rPr>
          <w:rFonts w:ascii="Book Antiqua" w:hAnsi="Book Antiqua"/>
        </w:rPr>
        <w:t>otices from the Prothonotary or a Registrar about registry practice</w:t>
      </w:r>
      <w:r w:rsidR="007245EB">
        <w:rPr>
          <w:rFonts w:ascii="Book Antiqua" w:hAnsi="Book Antiqua"/>
        </w:rPr>
        <w:t>.</w:t>
      </w:r>
    </w:p>
    <w:p w14:paraId="3AB58FFE" w14:textId="1B59244D" w:rsidR="00145CFC" w:rsidRDefault="00145CFC" w:rsidP="00F37D3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Notices to the Profession will generally not be issued for </w:t>
      </w:r>
    </w:p>
    <w:p w14:paraId="4F46A722" w14:textId="54C6CA65" w:rsidR="00145CFC" w:rsidRPr="00145CFC" w:rsidRDefault="00145CFC" w:rsidP="00F37D3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</w:t>
      </w:r>
      <w:r w:rsidR="007245E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e</w:t>
      </w:r>
      <w:r w:rsidR="00A10F36">
        <w:rPr>
          <w:rFonts w:ascii="Book Antiqua" w:hAnsi="Book Antiqua"/>
          <w:sz w:val="24"/>
          <w:szCs w:val="24"/>
        </w:rPr>
        <w:t>stablishing a new L</w:t>
      </w:r>
      <w:r w:rsidRPr="00145CFC">
        <w:rPr>
          <w:rFonts w:ascii="Book Antiqua" w:hAnsi="Book Antiqua"/>
          <w:sz w:val="24"/>
          <w:szCs w:val="24"/>
        </w:rPr>
        <w:t>ist</w:t>
      </w:r>
      <w:r>
        <w:rPr>
          <w:rFonts w:ascii="Book Antiqua" w:hAnsi="Book Antiqua"/>
          <w:sz w:val="24"/>
          <w:szCs w:val="24"/>
        </w:rPr>
        <w:t>;</w:t>
      </w:r>
    </w:p>
    <w:p w14:paraId="6486A714" w14:textId="53D91FC8" w:rsidR="00145CFC" w:rsidRPr="00145CFC" w:rsidRDefault="00145CFC" w:rsidP="007245EB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</w:t>
      </w:r>
      <w:r w:rsidR="007245E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s</w:t>
      </w:r>
      <w:r w:rsidRPr="00145CFC">
        <w:rPr>
          <w:rFonts w:ascii="Book Antiqua" w:hAnsi="Book Antiqua"/>
          <w:sz w:val="24"/>
          <w:szCs w:val="24"/>
        </w:rPr>
        <w:t xml:space="preserve">etting out </w:t>
      </w:r>
      <w:r w:rsidR="00A10F36">
        <w:rPr>
          <w:rFonts w:ascii="Book Antiqua" w:hAnsi="Book Antiqua"/>
          <w:sz w:val="24"/>
          <w:szCs w:val="24"/>
        </w:rPr>
        <w:t>the procedures of a specialist L</w:t>
      </w:r>
      <w:r w:rsidRPr="00145CFC">
        <w:rPr>
          <w:rFonts w:ascii="Book Antiqua" w:hAnsi="Book Antiqua"/>
          <w:sz w:val="24"/>
          <w:szCs w:val="24"/>
        </w:rPr>
        <w:t>ist or in a particular class of cases</w:t>
      </w:r>
      <w:r>
        <w:rPr>
          <w:rFonts w:ascii="Book Antiqua" w:hAnsi="Book Antiqua"/>
          <w:sz w:val="24"/>
          <w:szCs w:val="24"/>
        </w:rPr>
        <w:t>;</w:t>
      </w:r>
    </w:p>
    <w:p w14:paraId="1CC4A167" w14:textId="79B3E64D" w:rsidR="00145CFC" w:rsidRPr="00145CFC" w:rsidRDefault="00145CFC" w:rsidP="00F37D3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(c)</w:t>
      </w:r>
      <w:r w:rsidR="007245E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f</w:t>
      </w:r>
      <w:r w:rsidRPr="00145CFC">
        <w:rPr>
          <w:rFonts w:ascii="Book Antiqua" w:hAnsi="Book Antiqua"/>
          <w:sz w:val="24"/>
          <w:szCs w:val="24"/>
        </w:rPr>
        <w:t>ixing requireme</w:t>
      </w:r>
      <w:r>
        <w:rPr>
          <w:rFonts w:ascii="Book Antiqua" w:hAnsi="Book Antiqua"/>
          <w:sz w:val="24"/>
          <w:szCs w:val="24"/>
        </w:rPr>
        <w:t>nts to be complied with by the p</w:t>
      </w:r>
      <w:r w:rsidRPr="00145CFC">
        <w:rPr>
          <w:rFonts w:ascii="Book Antiqua" w:hAnsi="Book Antiqua"/>
          <w:sz w:val="24"/>
          <w:szCs w:val="24"/>
        </w:rPr>
        <w:t>rofession</w:t>
      </w:r>
      <w:r>
        <w:rPr>
          <w:rFonts w:ascii="Book Antiqua" w:hAnsi="Book Antiqua"/>
          <w:sz w:val="24"/>
          <w:szCs w:val="24"/>
        </w:rPr>
        <w:t>;</w:t>
      </w:r>
    </w:p>
    <w:p w14:paraId="6D49817F" w14:textId="15833658" w:rsidR="00145CFC" w:rsidRDefault="00145CFC" w:rsidP="007245EB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(d)</w:t>
      </w:r>
      <w:r w:rsidR="007245E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</w:t>
      </w:r>
      <w:r w:rsidRPr="00145CFC">
        <w:rPr>
          <w:rFonts w:ascii="Book Antiqua" w:hAnsi="Book Antiqua"/>
          <w:sz w:val="24"/>
          <w:szCs w:val="24"/>
        </w:rPr>
        <w:t>escribing substantial new practices where there is a need for an ongoing reference document</w:t>
      </w:r>
      <w:r>
        <w:rPr>
          <w:rFonts w:ascii="Book Antiqua" w:hAnsi="Book Antiqua"/>
          <w:sz w:val="24"/>
          <w:szCs w:val="24"/>
        </w:rPr>
        <w:t>.</w:t>
      </w:r>
    </w:p>
    <w:p w14:paraId="0561F72D" w14:textId="77777777" w:rsidR="00DC24A7" w:rsidRPr="007917BE" w:rsidRDefault="00DC24A7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2A06942D" w14:textId="27F46ABE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78D2DD2D" w14:textId="3771F1FD" w:rsidR="00AB3FFA" w:rsidRPr="00277B7B" w:rsidRDefault="008D0EEA" w:rsidP="00CD033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7245EB">
        <w:rPr>
          <w:rFonts w:ascii="Book Antiqua" w:hAnsi="Book Antiqua"/>
        </w:rPr>
        <w:t xml:space="preserve"> January 2017</w:t>
      </w:r>
      <w:r w:rsidR="00277B7B" w:rsidRPr="00277B7B">
        <w:rPr>
          <w:rFonts w:ascii="Book Antiqua" w:hAnsi="Book Antiqua"/>
        </w:rPr>
        <w:t>: This Practice Note</w:t>
      </w:r>
      <w:r>
        <w:rPr>
          <w:rFonts w:ascii="Book Antiqua" w:hAnsi="Book Antiqua"/>
        </w:rPr>
        <w:t xml:space="preserve"> was issued on 30</w:t>
      </w:r>
      <w:r w:rsidR="00277B7B">
        <w:rPr>
          <w:rFonts w:ascii="Book Antiqua" w:hAnsi="Book Antiqua"/>
        </w:rPr>
        <w:t xml:space="preserve"> J</w:t>
      </w:r>
      <w:r w:rsidR="007245EB">
        <w:rPr>
          <w:rFonts w:ascii="Book Antiqua" w:hAnsi="Book Antiqua"/>
        </w:rPr>
        <w:t>anuary 2017</w:t>
      </w:r>
      <w:r w:rsidR="00FC4716">
        <w:rPr>
          <w:rFonts w:ascii="Book Antiqua" w:hAnsi="Book Antiqua"/>
        </w:rPr>
        <w:t>.</w:t>
      </w:r>
    </w:p>
    <w:p w14:paraId="54E10128" w14:textId="77777777" w:rsidR="00277B7B" w:rsidRPr="007917BE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C7C0933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D79BB20" w14:textId="08B87292" w:rsidR="00AB3FFA" w:rsidRPr="007917BE" w:rsidRDefault="00264769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D242B">
        <w:rPr>
          <w:rFonts w:ascii="Book Antiqua" w:hAnsi="Book Antiqua"/>
        </w:rPr>
        <w:t>Vivienne Macgillivray</w:t>
      </w:r>
    </w:p>
    <w:p w14:paraId="520C8D0C" w14:textId="6FFB15D9" w:rsidR="00AB3FFA" w:rsidRPr="007917BE" w:rsidRDefault="00AB3FF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7DDF0621" w14:textId="462C8B4C" w:rsidR="00AB3FFA" w:rsidRPr="007917BE" w:rsidRDefault="008D0EE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30</w:t>
      </w:r>
      <w:bookmarkStart w:id="0" w:name="_GoBack"/>
      <w:bookmarkEnd w:id="0"/>
      <w:r w:rsidR="007245EB">
        <w:rPr>
          <w:rFonts w:ascii="Book Antiqua" w:hAnsi="Book Antiqua"/>
        </w:rPr>
        <w:t xml:space="preserve"> January 2017</w:t>
      </w:r>
    </w:p>
    <w:sectPr w:rsidR="00AB3FFA" w:rsidRPr="007917BE" w:rsidSect="003817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A65A" w14:textId="77777777" w:rsidR="002D6E79" w:rsidRDefault="002D6E79">
      <w:r>
        <w:separator/>
      </w:r>
    </w:p>
  </w:endnote>
  <w:endnote w:type="continuationSeparator" w:id="0">
    <w:p w14:paraId="53290FFB" w14:textId="77777777" w:rsidR="002D6E79" w:rsidRDefault="002D6E79">
      <w:r>
        <w:continuationSeparator/>
      </w:r>
    </w:p>
  </w:endnote>
  <w:endnote w:type="continuationNotice" w:id="1">
    <w:p w14:paraId="6D91F3CD" w14:textId="77777777" w:rsidR="002D6E79" w:rsidRDefault="002D6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3478" w14:textId="77777777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EEA">
      <w:rPr>
        <w:noProof/>
      </w:rPr>
      <w:t>2</w:t>
    </w:r>
    <w:r>
      <w:rPr>
        <w:noProof/>
      </w:rPr>
      <w:fldChar w:fldCharType="end"/>
    </w:r>
  </w:p>
  <w:p w14:paraId="77F17E56" w14:textId="77777777" w:rsidR="002D6E79" w:rsidRDefault="002D6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3BD4" w14:textId="77777777" w:rsidR="002D6E79" w:rsidRDefault="002D6E79">
      <w:r>
        <w:separator/>
      </w:r>
    </w:p>
  </w:footnote>
  <w:footnote w:type="continuationSeparator" w:id="0">
    <w:p w14:paraId="0D75815B" w14:textId="77777777" w:rsidR="002D6E79" w:rsidRDefault="002D6E79">
      <w:r>
        <w:continuationSeparator/>
      </w:r>
    </w:p>
  </w:footnote>
  <w:footnote w:type="continuationNotice" w:id="1">
    <w:p w14:paraId="02B463D3" w14:textId="77777777" w:rsidR="002D6E79" w:rsidRDefault="002D6E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15"/>
  </w:num>
  <w:num w:numId="9">
    <w:abstractNumId w:val="2"/>
  </w:num>
  <w:num w:numId="10">
    <w:abstractNumId w:val="13"/>
  </w:num>
  <w:num w:numId="11">
    <w:abstractNumId w:val="16"/>
  </w:num>
  <w:num w:numId="12">
    <w:abstractNumId w:val="18"/>
  </w:num>
  <w:num w:numId="13">
    <w:abstractNumId w:val="4"/>
  </w:num>
  <w:num w:numId="14">
    <w:abstractNumId w:val="3"/>
  </w:num>
  <w:num w:numId="15">
    <w:abstractNumId w:val="10"/>
  </w:num>
  <w:num w:numId="16">
    <w:abstractNumId w:val="0"/>
  </w:num>
  <w:num w:numId="17">
    <w:abstractNumId w:val="8"/>
  </w:num>
  <w:num w:numId="18">
    <w:abstractNumId w:val="20"/>
  </w:num>
  <w:num w:numId="19">
    <w:abstractNumId w:val="6"/>
  </w:num>
  <w:num w:numId="20">
    <w:abstractNumId w:val="5"/>
  </w:num>
  <w:num w:numId="21">
    <w:abstractNumId w:val="12"/>
  </w:num>
  <w:num w:numId="22">
    <w:abstractNumId w:val="11"/>
  </w:num>
  <w:num w:numId="23">
    <w:abstractNumId w:val="14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64FB2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3B18"/>
    <w:rsid w:val="000F6EA7"/>
    <w:rsid w:val="00100006"/>
    <w:rsid w:val="00101EC5"/>
    <w:rsid w:val="001033CC"/>
    <w:rsid w:val="001044B4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CFC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8061B"/>
    <w:rsid w:val="00186E37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C634B"/>
    <w:rsid w:val="001E0318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F50"/>
    <w:rsid w:val="002572C2"/>
    <w:rsid w:val="0026005D"/>
    <w:rsid w:val="00264769"/>
    <w:rsid w:val="00265BF9"/>
    <w:rsid w:val="00271B59"/>
    <w:rsid w:val="00275A5A"/>
    <w:rsid w:val="00277B7B"/>
    <w:rsid w:val="002812ED"/>
    <w:rsid w:val="0028130B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07C39"/>
    <w:rsid w:val="00414B77"/>
    <w:rsid w:val="0042138B"/>
    <w:rsid w:val="00434BEE"/>
    <w:rsid w:val="004361F0"/>
    <w:rsid w:val="00441431"/>
    <w:rsid w:val="00454495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245EB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0CA2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72BAD"/>
    <w:rsid w:val="00872BDF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0EEA"/>
    <w:rsid w:val="008D6EBF"/>
    <w:rsid w:val="008E2F41"/>
    <w:rsid w:val="0091164B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16DD"/>
    <w:rsid w:val="009A45B0"/>
    <w:rsid w:val="009B1B66"/>
    <w:rsid w:val="009B3159"/>
    <w:rsid w:val="009B7708"/>
    <w:rsid w:val="009C3906"/>
    <w:rsid w:val="009C393F"/>
    <w:rsid w:val="009C6B44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0F36"/>
    <w:rsid w:val="00A13D3C"/>
    <w:rsid w:val="00A16095"/>
    <w:rsid w:val="00A1734D"/>
    <w:rsid w:val="00A222B3"/>
    <w:rsid w:val="00A64EE1"/>
    <w:rsid w:val="00A67FC3"/>
    <w:rsid w:val="00A715A8"/>
    <w:rsid w:val="00A7773B"/>
    <w:rsid w:val="00A7779A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E3228"/>
    <w:rsid w:val="00AE3CE5"/>
    <w:rsid w:val="00AF0F76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05F8D"/>
    <w:rsid w:val="00C13D69"/>
    <w:rsid w:val="00C16227"/>
    <w:rsid w:val="00C16789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61E3"/>
    <w:rsid w:val="00D97628"/>
    <w:rsid w:val="00DA0491"/>
    <w:rsid w:val="00DA1E21"/>
    <w:rsid w:val="00DA284A"/>
    <w:rsid w:val="00DA56E9"/>
    <w:rsid w:val="00DA73A0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2BC4"/>
    <w:rsid w:val="00E66EDC"/>
    <w:rsid w:val="00E74D52"/>
    <w:rsid w:val="00E90334"/>
    <w:rsid w:val="00EA0DB8"/>
    <w:rsid w:val="00EA141C"/>
    <w:rsid w:val="00EA2EB9"/>
    <w:rsid w:val="00EA6C7B"/>
    <w:rsid w:val="00EA6CDF"/>
    <w:rsid w:val="00EC0977"/>
    <w:rsid w:val="00EC4A6A"/>
    <w:rsid w:val="00EC6B3A"/>
    <w:rsid w:val="00ED25C1"/>
    <w:rsid w:val="00ED61FE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37D36"/>
    <w:rsid w:val="00F43EC5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716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C5FFA-8516-4FEC-A1E4-38241312D5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d35400e-913e-4289-a6bb-c9c808f416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8F81F9-57C1-4A30-B166-3A94725FE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3DF3A7-0EB3-4181-90E3-38154EFFE7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D1F44FC-CE46-44F1-9C65-957A1252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Macgillivray</cp:lastModifiedBy>
  <cp:revision>11</cp:revision>
  <cp:lastPrinted>2015-02-18T22:34:00Z</cp:lastPrinted>
  <dcterms:created xsi:type="dcterms:W3CDTF">2016-04-28T08:02:00Z</dcterms:created>
  <dcterms:modified xsi:type="dcterms:W3CDTF">2016-11-28T05:35:00Z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0x0101009926EC1D92A87A4492BE89A594A6FF4A</vt:lpwstr>
  </property>
</Properties>
</file>