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DB45" w14:textId="3B9FD7DF" w:rsidR="00FC6DF1" w:rsidRDefault="00FC6DF1" w:rsidP="0059364E">
      <w:pPr>
        <w:spacing w:line="360" w:lineRule="auto"/>
        <w:jc w:val="center"/>
        <w:rPr>
          <w:rFonts w:ascii="Book Antiqua" w:eastAsia="Book Antiqua" w:hAnsi="Book Antiqua" w:cs="Book Antiqua"/>
          <w:b/>
          <w:bCs/>
          <w:sz w:val="24"/>
          <w:szCs w:val="24"/>
        </w:rPr>
      </w:pPr>
      <w:r>
        <w:rPr>
          <w:noProof/>
          <w:lang w:eastAsia="en-AU"/>
        </w:rPr>
        <w:drawing>
          <wp:inline distT="0" distB="0" distL="0" distR="0" wp14:anchorId="494A444F" wp14:editId="4C5F4556">
            <wp:extent cx="941070" cy="941070"/>
            <wp:effectExtent l="0" t="0" r="0" b="0"/>
            <wp:docPr id="1" name="Picture 1"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GB_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inline>
        </w:drawing>
      </w:r>
    </w:p>
    <w:p w14:paraId="2C00740E" w14:textId="118001CB" w:rsidR="00A94ECE" w:rsidRDefault="0023268E" w:rsidP="0059364E">
      <w:pPr>
        <w:spacing w:line="360" w:lineRule="auto"/>
        <w:jc w:val="center"/>
        <w:rPr>
          <w:rFonts w:ascii="Book Antiqua" w:eastAsia="Book Antiqua" w:hAnsi="Book Antiqua" w:cs="Book Antiqua"/>
          <w:b/>
          <w:bCs/>
          <w:sz w:val="24"/>
          <w:szCs w:val="24"/>
        </w:rPr>
      </w:pPr>
      <w:r w:rsidRPr="625DFF9F">
        <w:rPr>
          <w:rFonts w:ascii="Book Antiqua" w:eastAsia="Book Antiqua" w:hAnsi="Book Antiqua" w:cs="Book Antiqua"/>
          <w:b/>
          <w:bCs/>
          <w:sz w:val="24"/>
          <w:szCs w:val="24"/>
        </w:rPr>
        <w:t xml:space="preserve">PERSONAL </w:t>
      </w:r>
      <w:r>
        <w:rPr>
          <w:rFonts w:ascii="Book Antiqua" w:eastAsia="Book Antiqua" w:hAnsi="Book Antiqua" w:cs="Book Antiqua"/>
          <w:b/>
          <w:bCs/>
          <w:sz w:val="24"/>
          <w:szCs w:val="24"/>
        </w:rPr>
        <w:t>I</w:t>
      </w:r>
      <w:r w:rsidRPr="625DFF9F">
        <w:rPr>
          <w:rFonts w:ascii="Book Antiqua" w:eastAsia="Book Antiqua" w:hAnsi="Book Antiqua" w:cs="Book Antiqua"/>
          <w:b/>
          <w:bCs/>
          <w:sz w:val="24"/>
          <w:szCs w:val="24"/>
        </w:rPr>
        <w:t>NJUR</w:t>
      </w:r>
      <w:r>
        <w:rPr>
          <w:rFonts w:ascii="Book Antiqua" w:eastAsia="Book Antiqua" w:hAnsi="Book Antiqua" w:cs="Book Antiqua"/>
          <w:b/>
          <w:bCs/>
          <w:sz w:val="24"/>
          <w:szCs w:val="24"/>
        </w:rPr>
        <w:t>Y AND CIVIL CIRCUIT</w:t>
      </w:r>
      <w:r w:rsidRPr="625DFF9F">
        <w:rPr>
          <w:rFonts w:ascii="Book Antiqua" w:eastAsia="Book Antiqua" w:hAnsi="Book Antiqua" w:cs="Book Antiqua"/>
          <w:b/>
          <w:bCs/>
          <w:sz w:val="24"/>
          <w:szCs w:val="24"/>
        </w:rPr>
        <w:t xml:space="preserve"> </w:t>
      </w:r>
      <w:r>
        <w:rPr>
          <w:rFonts w:ascii="Book Antiqua" w:eastAsia="Book Antiqua" w:hAnsi="Book Antiqua" w:cs="Book Antiqua"/>
          <w:b/>
          <w:bCs/>
          <w:sz w:val="24"/>
          <w:szCs w:val="24"/>
        </w:rPr>
        <w:t>U</w:t>
      </w:r>
      <w:r w:rsidRPr="625DFF9F">
        <w:rPr>
          <w:rFonts w:ascii="Book Antiqua" w:eastAsia="Book Antiqua" w:hAnsi="Book Antiqua" w:cs="Book Antiqua"/>
          <w:b/>
          <w:bCs/>
          <w:sz w:val="24"/>
          <w:szCs w:val="24"/>
        </w:rPr>
        <w:t xml:space="preserve">SER </w:t>
      </w:r>
      <w:r>
        <w:rPr>
          <w:rFonts w:ascii="Book Antiqua" w:eastAsia="Book Antiqua" w:hAnsi="Book Antiqua" w:cs="Book Antiqua"/>
          <w:b/>
          <w:bCs/>
          <w:sz w:val="24"/>
          <w:szCs w:val="24"/>
        </w:rPr>
        <w:t>G</w:t>
      </w:r>
      <w:r w:rsidRPr="625DFF9F">
        <w:rPr>
          <w:rFonts w:ascii="Book Antiqua" w:eastAsia="Book Antiqua" w:hAnsi="Book Antiqua" w:cs="Book Antiqua"/>
          <w:b/>
          <w:bCs/>
          <w:sz w:val="24"/>
          <w:szCs w:val="24"/>
        </w:rPr>
        <w:t>ROUP</w:t>
      </w:r>
      <w:r>
        <w:rPr>
          <w:rFonts w:ascii="Book Antiqua" w:eastAsia="Book Antiqua" w:hAnsi="Book Antiqua" w:cs="Book Antiqua"/>
          <w:b/>
          <w:bCs/>
          <w:sz w:val="24"/>
          <w:szCs w:val="24"/>
        </w:rPr>
        <w:t xml:space="preserve"> MEETINGS</w:t>
      </w:r>
      <w:r w:rsidR="005D20DE">
        <w:rPr>
          <w:rFonts w:ascii="Book Antiqua" w:eastAsia="Book Antiqua" w:hAnsi="Book Antiqua" w:cs="Book Antiqua"/>
          <w:b/>
          <w:bCs/>
          <w:sz w:val="24"/>
          <w:szCs w:val="24"/>
        </w:rPr>
        <w:t xml:space="preserve"> 2017</w:t>
      </w:r>
    </w:p>
    <w:p w14:paraId="79F9F68A" w14:textId="1CF6C223" w:rsidR="00F3521B" w:rsidRDefault="005F423E" w:rsidP="0059364E">
      <w:pPr>
        <w:spacing w:line="360" w:lineRule="auto"/>
        <w:jc w:val="center"/>
        <w:rPr>
          <w:rFonts w:ascii="Book Antiqua" w:eastAsia="Book Antiqua" w:hAnsi="Book Antiqua" w:cs="Book Antiqua"/>
          <w:b/>
          <w:bCs/>
          <w:sz w:val="24"/>
          <w:szCs w:val="24"/>
        </w:rPr>
      </w:pPr>
      <w:r>
        <w:rPr>
          <w:rFonts w:ascii="Book Antiqua" w:eastAsia="Book Antiqua" w:hAnsi="Book Antiqua" w:cs="Book Antiqua"/>
          <w:b/>
          <w:bCs/>
          <w:sz w:val="24"/>
          <w:szCs w:val="24"/>
        </w:rPr>
        <w:t>Key Points Bulletin</w:t>
      </w:r>
      <w:r w:rsidR="00E15DC7">
        <w:rPr>
          <w:rFonts w:ascii="Book Antiqua" w:eastAsia="Book Antiqua" w:hAnsi="Book Antiqua" w:cs="Book Antiqua"/>
          <w:b/>
          <w:bCs/>
          <w:sz w:val="24"/>
          <w:szCs w:val="24"/>
        </w:rPr>
        <w:t xml:space="preserve"> – 5 </w:t>
      </w:r>
      <w:r w:rsidR="00140BE9">
        <w:rPr>
          <w:rFonts w:ascii="Book Antiqua" w:eastAsia="Book Antiqua" w:hAnsi="Book Antiqua" w:cs="Book Antiqua"/>
          <w:b/>
          <w:bCs/>
          <w:sz w:val="24"/>
          <w:szCs w:val="24"/>
        </w:rPr>
        <w:t>July 2017</w:t>
      </w:r>
    </w:p>
    <w:p w14:paraId="160105E8" w14:textId="076C20F1" w:rsidR="00CE493D" w:rsidRDefault="00203275" w:rsidP="0059364E">
      <w:pPr>
        <w:spacing w:line="360" w:lineRule="auto"/>
        <w:ind w:left="720"/>
        <w:rPr>
          <w:rFonts w:ascii="Book Antiqua" w:hAnsi="Book Antiqua"/>
          <w:sz w:val="24"/>
        </w:rPr>
      </w:pPr>
      <w:r>
        <w:rPr>
          <w:rFonts w:ascii="Book Antiqua" w:hAnsi="Book Antiqua"/>
          <w:sz w:val="24"/>
        </w:rPr>
        <w:t xml:space="preserve">During April and May 2017, </w:t>
      </w:r>
      <w:r w:rsidR="00CE493D">
        <w:rPr>
          <w:rFonts w:ascii="Book Antiqua" w:hAnsi="Book Antiqua"/>
          <w:sz w:val="24"/>
        </w:rPr>
        <w:t xml:space="preserve">their </w:t>
      </w:r>
      <w:r w:rsidR="005F423E">
        <w:rPr>
          <w:rFonts w:ascii="Book Antiqua" w:hAnsi="Book Antiqua"/>
          <w:sz w:val="24"/>
        </w:rPr>
        <w:t>Honour</w:t>
      </w:r>
      <w:r w:rsidR="00CE493D">
        <w:rPr>
          <w:rFonts w:ascii="Book Antiqua" w:hAnsi="Book Antiqua"/>
          <w:sz w:val="24"/>
        </w:rPr>
        <w:t>s</w:t>
      </w:r>
      <w:r w:rsidR="005F423E">
        <w:rPr>
          <w:rFonts w:ascii="Book Antiqua" w:hAnsi="Book Antiqua"/>
          <w:sz w:val="24"/>
        </w:rPr>
        <w:t xml:space="preserve"> Justice</w:t>
      </w:r>
      <w:r>
        <w:rPr>
          <w:rFonts w:ascii="Book Antiqua" w:hAnsi="Book Antiqua"/>
          <w:sz w:val="24"/>
        </w:rPr>
        <w:t xml:space="preserve">s Jack Forrest, </w:t>
      </w:r>
      <w:r w:rsidR="005F423E">
        <w:rPr>
          <w:rFonts w:ascii="Book Antiqua" w:hAnsi="Book Antiqua"/>
          <w:sz w:val="24"/>
        </w:rPr>
        <w:t>Rita Zammit</w:t>
      </w:r>
      <w:r>
        <w:rPr>
          <w:rFonts w:ascii="Book Antiqua" w:hAnsi="Book Antiqua"/>
          <w:sz w:val="24"/>
        </w:rPr>
        <w:t xml:space="preserve"> and Andrew Keogh chaired a number of meetings of representatives of law firms and members of the Bar who frequently appear in the Civil Circuit List</w:t>
      </w:r>
      <w:r w:rsidR="00893171">
        <w:rPr>
          <w:rFonts w:ascii="Book Antiqua" w:hAnsi="Book Antiqua"/>
          <w:sz w:val="24"/>
        </w:rPr>
        <w:t xml:space="preserve"> (</w:t>
      </w:r>
      <w:r w:rsidR="00893171" w:rsidRPr="00893171">
        <w:rPr>
          <w:rFonts w:ascii="Book Antiqua" w:hAnsi="Book Antiqua"/>
          <w:b/>
          <w:sz w:val="24"/>
        </w:rPr>
        <w:t>CCL</w:t>
      </w:r>
      <w:r w:rsidR="00893171">
        <w:rPr>
          <w:rFonts w:ascii="Book Antiqua" w:hAnsi="Book Antiqua"/>
          <w:sz w:val="24"/>
        </w:rPr>
        <w:t>)</w:t>
      </w:r>
      <w:r>
        <w:rPr>
          <w:rFonts w:ascii="Book Antiqua" w:hAnsi="Book Antiqua"/>
          <w:sz w:val="24"/>
        </w:rPr>
        <w:t>, the Personal Injuries List</w:t>
      </w:r>
      <w:r w:rsidR="00893171">
        <w:rPr>
          <w:rFonts w:ascii="Book Antiqua" w:hAnsi="Book Antiqua"/>
          <w:sz w:val="24"/>
        </w:rPr>
        <w:t xml:space="preserve"> (</w:t>
      </w:r>
      <w:r w:rsidR="00893171" w:rsidRPr="00893171">
        <w:rPr>
          <w:rFonts w:ascii="Book Antiqua" w:hAnsi="Book Antiqua"/>
          <w:b/>
          <w:sz w:val="24"/>
        </w:rPr>
        <w:t>PIL</w:t>
      </w:r>
      <w:r w:rsidR="00893171">
        <w:rPr>
          <w:rFonts w:ascii="Book Antiqua" w:hAnsi="Book Antiqua"/>
          <w:sz w:val="24"/>
        </w:rPr>
        <w:t xml:space="preserve">) </w:t>
      </w:r>
      <w:r>
        <w:rPr>
          <w:rFonts w:ascii="Book Antiqua" w:hAnsi="Book Antiqua"/>
          <w:sz w:val="24"/>
        </w:rPr>
        <w:t>and the Dust Diseases List</w:t>
      </w:r>
      <w:r w:rsidR="00893171">
        <w:rPr>
          <w:rFonts w:ascii="Book Antiqua" w:hAnsi="Book Antiqua"/>
          <w:sz w:val="24"/>
        </w:rPr>
        <w:t xml:space="preserve"> (</w:t>
      </w:r>
      <w:r w:rsidR="00893171" w:rsidRPr="00893171">
        <w:rPr>
          <w:rFonts w:ascii="Book Antiqua" w:hAnsi="Book Antiqua"/>
          <w:b/>
          <w:sz w:val="24"/>
        </w:rPr>
        <w:t>DDL</w:t>
      </w:r>
      <w:r w:rsidR="00893171">
        <w:rPr>
          <w:rFonts w:ascii="Book Antiqua" w:hAnsi="Book Antiqua"/>
          <w:sz w:val="24"/>
        </w:rPr>
        <w:t>)</w:t>
      </w:r>
      <w:r w:rsidR="00353006">
        <w:rPr>
          <w:rFonts w:ascii="Book Antiqua" w:hAnsi="Book Antiqua"/>
          <w:sz w:val="24"/>
        </w:rPr>
        <w:t xml:space="preserve"> of the Common Law Division of the Court</w:t>
      </w:r>
      <w:r>
        <w:rPr>
          <w:rFonts w:ascii="Book Antiqua" w:hAnsi="Book Antiqua"/>
          <w:sz w:val="24"/>
        </w:rPr>
        <w:t>.</w:t>
      </w:r>
    </w:p>
    <w:p w14:paraId="6F1B21C2" w14:textId="51D11216" w:rsidR="00A46820" w:rsidRDefault="00CE493D" w:rsidP="0059364E">
      <w:pPr>
        <w:spacing w:line="360" w:lineRule="auto"/>
        <w:ind w:left="720"/>
        <w:rPr>
          <w:rFonts w:ascii="Book Antiqua" w:hAnsi="Book Antiqua"/>
          <w:sz w:val="24"/>
        </w:rPr>
      </w:pPr>
      <w:r>
        <w:rPr>
          <w:rFonts w:ascii="Book Antiqua" w:hAnsi="Book Antiqua"/>
          <w:sz w:val="24"/>
        </w:rPr>
        <w:t>T</w:t>
      </w:r>
      <w:r w:rsidR="005F423E">
        <w:rPr>
          <w:rFonts w:ascii="Book Antiqua" w:hAnsi="Book Antiqua"/>
          <w:sz w:val="24"/>
        </w:rPr>
        <w:t xml:space="preserve">he following Key Points </w:t>
      </w:r>
      <w:r w:rsidR="005C6F0C">
        <w:rPr>
          <w:rFonts w:ascii="Book Antiqua" w:hAnsi="Book Antiqua"/>
          <w:sz w:val="24"/>
        </w:rPr>
        <w:t>emerging from the</w:t>
      </w:r>
      <w:r w:rsidR="00203275">
        <w:rPr>
          <w:rFonts w:ascii="Book Antiqua" w:hAnsi="Book Antiqua"/>
          <w:sz w:val="24"/>
        </w:rPr>
        <w:t>se</w:t>
      </w:r>
      <w:r w:rsidR="005C6F0C">
        <w:rPr>
          <w:rFonts w:ascii="Book Antiqua" w:hAnsi="Book Antiqua"/>
          <w:sz w:val="24"/>
        </w:rPr>
        <w:t xml:space="preserve"> </w:t>
      </w:r>
      <w:r w:rsidR="005F423E">
        <w:rPr>
          <w:rFonts w:ascii="Book Antiqua" w:hAnsi="Book Antiqua"/>
          <w:sz w:val="24"/>
        </w:rPr>
        <w:t>meeting</w:t>
      </w:r>
      <w:r w:rsidR="00203275">
        <w:rPr>
          <w:rFonts w:ascii="Book Antiqua" w:hAnsi="Book Antiqua"/>
          <w:sz w:val="24"/>
        </w:rPr>
        <w:t>s</w:t>
      </w:r>
      <w:r w:rsidR="005F423E">
        <w:rPr>
          <w:rFonts w:ascii="Book Antiqua" w:hAnsi="Book Antiqua"/>
          <w:sz w:val="24"/>
        </w:rPr>
        <w:t xml:space="preserve"> are offered for the benefit of users of th</w:t>
      </w:r>
      <w:r w:rsidR="00C92389">
        <w:rPr>
          <w:rFonts w:ascii="Book Antiqua" w:hAnsi="Book Antiqua"/>
          <w:sz w:val="24"/>
        </w:rPr>
        <w:t>e</w:t>
      </w:r>
      <w:r w:rsidR="00203275">
        <w:rPr>
          <w:rFonts w:ascii="Book Antiqua" w:hAnsi="Book Antiqua"/>
          <w:sz w:val="24"/>
        </w:rPr>
        <w:t xml:space="preserve">se </w:t>
      </w:r>
      <w:r w:rsidR="005F423E">
        <w:rPr>
          <w:rFonts w:ascii="Book Antiqua" w:hAnsi="Book Antiqua"/>
          <w:sz w:val="24"/>
        </w:rPr>
        <w:t>List</w:t>
      </w:r>
      <w:r w:rsidR="00203275">
        <w:rPr>
          <w:rFonts w:ascii="Book Antiqua" w:hAnsi="Book Antiqua"/>
          <w:sz w:val="24"/>
        </w:rPr>
        <w:t>s</w:t>
      </w:r>
      <w:r w:rsidR="005F423E">
        <w:rPr>
          <w:rFonts w:ascii="Book Antiqua" w:hAnsi="Book Antiqua"/>
          <w:sz w:val="24"/>
        </w:rPr>
        <w:t xml:space="preserve"> generally.</w:t>
      </w:r>
      <w:r w:rsidR="00506442">
        <w:rPr>
          <w:rFonts w:ascii="Book Antiqua" w:hAnsi="Book Antiqua"/>
          <w:sz w:val="24"/>
        </w:rPr>
        <w:t xml:space="preserve"> </w:t>
      </w:r>
      <w:r w:rsidR="005F423E">
        <w:rPr>
          <w:rFonts w:ascii="Book Antiqua" w:hAnsi="Book Antiqua"/>
          <w:sz w:val="24"/>
        </w:rPr>
        <w:t xml:space="preserve">Practitioners </w:t>
      </w:r>
      <w:r w:rsidR="00C92389">
        <w:rPr>
          <w:rFonts w:ascii="Book Antiqua" w:hAnsi="Book Antiqua"/>
          <w:sz w:val="24"/>
        </w:rPr>
        <w:t>are encouraged to provide feedback concerning these issues or other</w:t>
      </w:r>
      <w:r w:rsidR="000023C5">
        <w:rPr>
          <w:rFonts w:ascii="Book Antiqua" w:hAnsi="Book Antiqua"/>
          <w:sz w:val="24"/>
        </w:rPr>
        <w:t>s</w:t>
      </w:r>
      <w:r w:rsidR="00C92389">
        <w:rPr>
          <w:rFonts w:ascii="Book Antiqua" w:hAnsi="Book Antiqua"/>
          <w:sz w:val="24"/>
        </w:rPr>
        <w:t xml:space="preserve"> concerning the general management of cases in the </w:t>
      </w:r>
      <w:r w:rsidR="00203275">
        <w:rPr>
          <w:rFonts w:ascii="Book Antiqua" w:hAnsi="Book Antiqua"/>
          <w:sz w:val="24"/>
        </w:rPr>
        <w:t>C</w:t>
      </w:r>
      <w:r w:rsidR="00893171">
        <w:rPr>
          <w:rFonts w:ascii="Book Antiqua" w:hAnsi="Book Antiqua"/>
          <w:sz w:val="24"/>
        </w:rPr>
        <w:t>CL, PIL or DDL</w:t>
      </w:r>
      <w:r w:rsidR="00C92389">
        <w:rPr>
          <w:rFonts w:ascii="Book Antiqua" w:hAnsi="Book Antiqua"/>
          <w:sz w:val="24"/>
        </w:rPr>
        <w:t xml:space="preserve"> </w:t>
      </w:r>
      <w:r w:rsidR="00353006">
        <w:rPr>
          <w:rFonts w:ascii="Book Antiqua" w:hAnsi="Book Antiqua"/>
          <w:sz w:val="24"/>
        </w:rPr>
        <w:t xml:space="preserve">at any time </w:t>
      </w:r>
      <w:r w:rsidR="00C92389">
        <w:rPr>
          <w:rFonts w:ascii="Book Antiqua" w:hAnsi="Book Antiqua"/>
          <w:sz w:val="24"/>
        </w:rPr>
        <w:t>to Kate Clark, Deputy Registrar – Common Law</w:t>
      </w:r>
      <w:r w:rsidR="00C80557">
        <w:rPr>
          <w:rFonts w:ascii="Book Antiqua" w:hAnsi="Book Antiqua"/>
          <w:sz w:val="24"/>
        </w:rPr>
        <w:t xml:space="preserve">: </w:t>
      </w:r>
      <w:hyperlink r:id="rId12" w:history="1">
        <w:r w:rsidR="00C92389" w:rsidRPr="00D67B61">
          <w:rPr>
            <w:rStyle w:val="Hyperlink"/>
            <w:rFonts w:ascii="Book Antiqua" w:hAnsi="Book Antiqua"/>
            <w:sz w:val="24"/>
          </w:rPr>
          <w:t>kate.clark@supcourt.vic.gov.au</w:t>
        </w:r>
      </w:hyperlink>
      <w:r w:rsidR="00C92389">
        <w:rPr>
          <w:rFonts w:ascii="Book Antiqua" w:hAnsi="Book Antiqua"/>
          <w:sz w:val="24"/>
        </w:rPr>
        <w:t xml:space="preserve"> </w:t>
      </w:r>
    </w:p>
    <w:p w14:paraId="5CAFC9C1" w14:textId="77777777" w:rsidR="00506442" w:rsidRDefault="00506442" w:rsidP="0059364E">
      <w:pPr>
        <w:spacing w:line="360" w:lineRule="auto"/>
        <w:ind w:left="720"/>
        <w:rPr>
          <w:rFonts w:ascii="Book Antiqua" w:hAnsi="Book Antiqua"/>
          <w:sz w:val="24"/>
        </w:rPr>
      </w:pPr>
    </w:p>
    <w:p w14:paraId="4BBE9477" w14:textId="79CC40D7" w:rsidR="00023C1C" w:rsidRPr="00023C1C" w:rsidRDefault="00023C1C" w:rsidP="0059364E">
      <w:pPr>
        <w:spacing w:line="360" w:lineRule="auto"/>
        <w:ind w:left="720"/>
        <w:rPr>
          <w:rFonts w:ascii="Book Antiqua" w:hAnsi="Book Antiqua"/>
          <w:b/>
          <w:sz w:val="24"/>
        </w:rPr>
      </w:pPr>
      <w:r w:rsidRPr="00023C1C">
        <w:rPr>
          <w:rFonts w:ascii="Book Antiqua" w:hAnsi="Book Antiqua"/>
          <w:b/>
          <w:sz w:val="24"/>
        </w:rPr>
        <w:t>GENERAL MATTERS</w:t>
      </w:r>
    </w:p>
    <w:p w14:paraId="496158A8" w14:textId="0BB1C980" w:rsidR="00015AD7" w:rsidRPr="00806FB1" w:rsidRDefault="00015AD7" w:rsidP="0059364E">
      <w:pPr>
        <w:pStyle w:val="ListParagraph"/>
        <w:numPr>
          <w:ilvl w:val="0"/>
          <w:numId w:val="9"/>
        </w:numPr>
        <w:spacing w:line="360" w:lineRule="auto"/>
        <w:jc w:val="both"/>
        <w:rPr>
          <w:rFonts w:ascii="Book Antiqua" w:eastAsia="Book Antiqua" w:hAnsi="Book Antiqua" w:cs="Book Antiqua"/>
          <w:b/>
          <w:bCs/>
          <w:sz w:val="24"/>
          <w:szCs w:val="24"/>
          <w:u w:val="single"/>
        </w:rPr>
      </w:pPr>
      <w:r w:rsidRPr="00806FB1">
        <w:rPr>
          <w:rFonts w:ascii="Book Antiqua" w:eastAsia="Book Antiqua" w:hAnsi="Book Antiqua" w:cs="Book Antiqua"/>
          <w:b/>
          <w:bCs/>
          <w:sz w:val="24"/>
          <w:szCs w:val="24"/>
        </w:rPr>
        <w:t>Issuing in the Supreme Court</w:t>
      </w:r>
    </w:p>
    <w:p w14:paraId="3DC77F86" w14:textId="6B9277A1" w:rsidR="00015AD7" w:rsidRPr="004B7A7A" w:rsidRDefault="00015AD7" w:rsidP="0059364E">
      <w:pPr>
        <w:pStyle w:val="ListParagraph"/>
        <w:numPr>
          <w:ilvl w:val="1"/>
          <w:numId w:val="9"/>
        </w:numPr>
        <w:spacing w:line="360" w:lineRule="auto"/>
        <w:jc w:val="both"/>
        <w:rPr>
          <w:rFonts w:ascii="Book Antiqua" w:eastAsia="Book Antiqua" w:hAnsi="Book Antiqua" w:cs="Book Antiqua"/>
          <w:bCs/>
          <w:sz w:val="24"/>
          <w:szCs w:val="24"/>
        </w:rPr>
      </w:pPr>
      <w:r w:rsidRPr="00AF4112">
        <w:rPr>
          <w:rFonts w:ascii="Book Antiqua" w:eastAsia="Book Antiqua" w:hAnsi="Book Antiqua" w:cs="Book Antiqua"/>
          <w:b/>
          <w:bCs/>
          <w:sz w:val="24"/>
          <w:szCs w:val="24"/>
        </w:rPr>
        <w:t xml:space="preserve">Transfers to County Court </w:t>
      </w:r>
    </w:p>
    <w:p w14:paraId="29740F59" w14:textId="5D610985" w:rsidR="00015AD7" w:rsidRPr="00AF4112" w:rsidRDefault="00CE493D" w:rsidP="0059364E">
      <w:pPr>
        <w:pStyle w:val="ListParagraph"/>
        <w:numPr>
          <w:ilvl w:val="0"/>
          <w:numId w:val="10"/>
        </w:numPr>
        <w:spacing w:line="360" w:lineRule="auto"/>
        <w:jc w:val="both"/>
        <w:rPr>
          <w:rFonts w:ascii="Book Antiqua" w:eastAsia="Book Antiqua" w:hAnsi="Book Antiqua" w:cs="Book Antiqua"/>
          <w:bCs/>
          <w:sz w:val="24"/>
          <w:szCs w:val="24"/>
        </w:rPr>
      </w:pPr>
      <w:r>
        <w:rPr>
          <w:rFonts w:ascii="Book Antiqua" w:eastAsia="Book Antiqua" w:hAnsi="Book Antiqua" w:cs="Book Antiqua"/>
          <w:bCs/>
          <w:sz w:val="24"/>
          <w:szCs w:val="24"/>
        </w:rPr>
        <w:t xml:space="preserve">The Common Law Division triages matters to consider whether they may more appropriately be dealt with by the County Court. </w:t>
      </w:r>
      <w:r w:rsidR="00015AD7" w:rsidRPr="00AF4112">
        <w:rPr>
          <w:rFonts w:ascii="Book Antiqua" w:eastAsia="Book Antiqua" w:hAnsi="Book Antiqua" w:cs="Book Antiqua"/>
          <w:bCs/>
          <w:sz w:val="24"/>
          <w:szCs w:val="24"/>
        </w:rPr>
        <w:t xml:space="preserve"> Factors for consideration </w:t>
      </w:r>
      <w:r>
        <w:rPr>
          <w:rFonts w:ascii="Book Antiqua" w:eastAsia="Book Antiqua" w:hAnsi="Book Antiqua" w:cs="Book Antiqua"/>
          <w:bCs/>
          <w:sz w:val="24"/>
          <w:szCs w:val="24"/>
        </w:rPr>
        <w:t xml:space="preserve">include </w:t>
      </w:r>
      <w:r w:rsidR="00015AD7" w:rsidRPr="00AF4112">
        <w:rPr>
          <w:rFonts w:ascii="Book Antiqua" w:eastAsia="Book Antiqua" w:hAnsi="Book Antiqua" w:cs="Book Antiqua"/>
          <w:bCs/>
          <w:sz w:val="24"/>
          <w:szCs w:val="24"/>
        </w:rPr>
        <w:t>the</w:t>
      </w:r>
      <w:r w:rsidR="00C0591C">
        <w:rPr>
          <w:rFonts w:ascii="Book Antiqua" w:eastAsia="Book Antiqua" w:hAnsi="Book Antiqua" w:cs="Book Antiqua"/>
          <w:bCs/>
          <w:sz w:val="24"/>
          <w:szCs w:val="24"/>
        </w:rPr>
        <w:t xml:space="preserve"> resources required to hear the case,</w:t>
      </w:r>
      <w:r w:rsidR="00015AD7" w:rsidRPr="00AF4112">
        <w:rPr>
          <w:rFonts w:ascii="Book Antiqua" w:eastAsia="Book Antiqua" w:hAnsi="Book Antiqua" w:cs="Book Antiqua"/>
          <w:bCs/>
          <w:sz w:val="24"/>
          <w:szCs w:val="24"/>
        </w:rPr>
        <w:t xml:space="preserve"> complexity of the matter</w:t>
      </w:r>
      <w:r>
        <w:rPr>
          <w:rFonts w:ascii="Book Antiqua" w:eastAsia="Book Antiqua" w:hAnsi="Book Antiqua" w:cs="Book Antiqua"/>
          <w:bCs/>
          <w:sz w:val="24"/>
          <w:szCs w:val="24"/>
        </w:rPr>
        <w:t xml:space="preserve"> and the </w:t>
      </w:r>
      <w:r w:rsidR="00806492">
        <w:rPr>
          <w:rFonts w:ascii="Book Antiqua" w:eastAsia="Book Antiqua" w:hAnsi="Book Antiqua" w:cs="Book Antiqua"/>
          <w:bCs/>
          <w:sz w:val="24"/>
          <w:szCs w:val="24"/>
        </w:rPr>
        <w:t xml:space="preserve">likely quantum of </w:t>
      </w:r>
      <w:r w:rsidR="00015AD7" w:rsidRPr="00AF4112">
        <w:rPr>
          <w:rFonts w:ascii="Book Antiqua" w:eastAsia="Book Antiqua" w:hAnsi="Book Antiqua" w:cs="Book Antiqua"/>
          <w:bCs/>
          <w:sz w:val="24"/>
          <w:szCs w:val="24"/>
        </w:rPr>
        <w:t>damages</w:t>
      </w:r>
      <w:r w:rsidR="00806492">
        <w:rPr>
          <w:rFonts w:ascii="Book Antiqua" w:eastAsia="Book Antiqua" w:hAnsi="Book Antiqua" w:cs="Book Antiqua"/>
          <w:bCs/>
          <w:sz w:val="24"/>
          <w:szCs w:val="24"/>
        </w:rPr>
        <w:t xml:space="preserve">. </w:t>
      </w:r>
    </w:p>
    <w:p w14:paraId="647D90BD" w14:textId="0FA64B42" w:rsidR="00015AD7" w:rsidRDefault="00806492" w:rsidP="0059364E">
      <w:pPr>
        <w:pStyle w:val="ListParagraph"/>
        <w:numPr>
          <w:ilvl w:val="0"/>
          <w:numId w:val="10"/>
        </w:numPr>
        <w:spacing w:line="360" w:lineRule="auto"/>
        <w:jc w:val="both"/>
        <w:rPr>
          <w:rFonts w:ascii="Book Antiqua" w:eastAsia="Book Antiqua" w:hAnsi="Book Antiqua" w:cs="Book Antiqua"/>
          <w:bCs/>
          <w:sz w:val="24"/>
          <w:szCs w:val="24"/>
        </w:rPr>
      </w:pPr>
      <w:r>
        <w:rPr>
          <w:rFonts w:ascii="Book Antiqua" w:eastAsia="Book Antiqua" w:hAnsi="Book Antiqua" w:cs="Book Antiqua"/>
          <w:bCs/>
          <w:sz w:val="24"/>
          <w:szCs w:val="24"/>
        </w:rPr>
        <w:t xml:space="preserve">VWA recovery claims in which an associated worker’s claim for damages has resolved will also be considered for transfer </w:t>
      </w:r>
      <w:r w:rsidR="00015AD7" w:rsidRPr="00AF4112">
        <w:rPr>
          <w:rFonts w:ascii="Book Antiqua" w:eastAsia="Book Antiqua" w:hAnsi="Book Antiqua" w:cs="Book Antiqua"/>
          <w:bCs/>
          <w:sz w:val="24"/>
          <w:szCs w:val="24"/>
        </w:rPr>
        <w:t xml:space="preserve">to the County Court. </w:t>
      </w:r>
    </w:p>
    <w:p w14:paraId="79A1EA74" w14:textId="41669B9E" w:rsidR="002273E0" w:rsidRDefault="002273E0" w:rsidP="0059364E">
      <w:pPr>
        <w:pStyle w:val="ListParagraph"/>
        <w:numPr>
          <w:ilvl w:val="0"/>
          <w:numId w:val="10"/>
        </w:numPr>
        <w:spacing w:line="360" w:lineRule="auto"/>
        <w:jc w:val="both"/>
        <w:rPr>
          <w:rFonts w:ascii="Book Antiqua" w:eastAsia="Book Antiqua" w:hAnsi="Book Antiqua" w:cs="Book Antiqua"/>
          <w:bCs/>
          <w:sz w:val="24"/>
          <w:szCs w:val="24"/>
        </w:rPr>
      </w:pPr>
      <w:r>
        <w:rPr>
          <w:rFonts w:ascii="Book Antiqua" w:eastAsia="Book Antiqua" w:hAnsi="Book Antiqua" w:cs="Book Antiqua"/>
          <w:bCs/>
          <w:sz w:val="24"/>
          <w:szCs w:val="24"/>
        </w:rPr>
        <w:t>Parties are given an opportunity to make submissions in the event they disagree that the County Court is a more appropriate jurisdiction.</w:t>
      </w:r>
    </w:p>
    <w:p w14:paraId="57B6BA13" w14:textId="6F372C54" w:rsidR="00806492" w:rsidRDefault="00806492" w:rsidP="0059364E">
      <w:pPr>
        <w:pStyle w:val="ListParagraph"/>
        <w:numPr>
          <w:ilvl w:val="0"/>
          <w:numId w:val="10"/>
        </w:numPr>
        <w:spacing w:line="360" w:lineRule="auto"/>
        <w:jc w:val="both"/>
        <w:rPr>
          <w:rFonts w:ascii="Book Antiqua" w:eastAsia="Book Antiqua" w:hAnsi="Book Antiqua" w:cs="Book Antiqua"/>
          <w:bCs/>
          <w:sz w:val="24"/>
          <w:szCs w:val="24"/>
        </w:rPr>
      </w:pPr>
      <w:r>
        <w:rPr>
          <w:rFonts w:ascii="Book Antiqua" w:eastAsia="Book Antiqua" w:hAnsi="Book Antiqua" w:cs="Book Antiqua"/>
          <w:bCs/>
          <w:sz w:val="24"/>
          <w:szCs w:val="24"/>
        </w:rPr>
        <w:t xml:space="preserve">If a matter </w:t>
      </w:r>
      <w:r w:rsidR="00353006">
        <w:rPr>
          <w:rFonts w:ascii="Book Antiqua" w:eastAsia="Book Antiqua" w:hAnsi="Book Antiqua" w:cs="Book Antiqua"/>
          <w:bCs/>
          <w:sz w:val="24"/>
          <w:szCs w:val="24"/>
        </w:rPr>
        <w:t>is fixed for trial</w:t>
      </w:r>
      <w:r>
        <w:rPr>
          <w:rFonts w:ascii="Book Antiqua" w:eastAsia="Book Antiqua" w:hAnsi="Book Antiqua" w:cs="Book Antiqua"/>
          <w:bCs/>
          <w:sz w:val="24"/>
          <w:szCs w:val="24"/>
        </w:rPr>
        <w:t>, the County Court will endeavour to allocate an equivalent date.</w:t>
      </w:r>
    </w:p>
    <w:p w14:paraId="32AC8887" w14:textId="4B18D844" w:rsidR="00F627FB" w:rsidRDefault="00F627FB" w:rsidP="00F627FB">
      <w:pPr>
        <w:pStyle w:val="ListParagraph"/>
        <w:spacing w:line="360" w:lineRule="auto"/>
        <w:ind w:left="1800"/>
        <w:jc w:val="both"/>
        <w:rPr>
          <w:rFonts w:ascii="Book Antiqua" w:eastAsia="Book Antiqua" w:hAnsi="Book Antiqua" w:cs="Book Antiqua"/>
          <w:bCs/>
          <w:sz w:val="24"/>
          <w:szCs w:val="24"/>
        </w:rPr>
      </w:pPr>
    </w:p>
    <w:p w14:paraId="132D88B0" w14:textId="77777777" w:rsidR="00F627FB" w:rsidRDefault="00F627FB" w:rsidP="00F627FB">
      <w:pPr>
        <w:pStyle w:val="ListParagraph"/>
        <w:spacing w:line="360" w:lineRule="auto"/>
        <w:ind w:left="1800"/>
        <w:jc w:val="both"/>
        <w:rPr>
          <w:rFonts w:ascii="Book Antiqua" w:eastAsia="Book Antiqua" w:hAnsi="Book Antiqua" w:cs="Book Antiqua"/>
          <w:bCs/>
          <w:sz w:val="24"/>
          <w:szCs w:val="24"/>
        </w:rPr>
      </w:pPr>
    </w:p>
    <w:p w14:paraId="201B6552" w14:textId="77777777" w:rsidR="00015AD7" w:rsidRPr="00AF4112" w:rsidRDefault="00015AD7" w:rsidP="0059364E">
      <w:pPr>
        <w:pStyle w:val="ListParagraph"/>
        <w:numPr>
          <w:ilvl w:val="1"/>
          <w:numId w:val="9"/>
        </w:numPr>
        <w:spacing w:line="360" w:lineRule="auto"/>
        <w:jc w:val="both"/>
        <w:rPr>
          <w:rFonts w:ascii="Book Antiqua" w:eastAsia="Book Antiqua" w:hAnsi="Book Antiqua" w:cs="Book Antiqua"/>
          <w:bCs/>
          <w:sz w:val="24"/>
          <w:szCs w:val="24"/>
        </w:rPr>
      </w:pPr>
      <w:r w:rsidRPr="00AF4112">
        <w:rPr>
          <w:rFonts w:ascii="Book Antiqua" w:eastAsia="Book Antiqua" w:hAnsi="Book Antiqua" w:cs="Book Antiqua"/>
          <w:b/>
          <w:bCs/>
          <w:sz w:val="24"/>
          <w:szCs w:val="24"/>
        </w:rPr>
        <w:t>Circuit matters</w:t>
      </w:r>
      <w:r w:rsidRPr="00AF4112">
        <w:rPr>
          <w:rFonts w:ascii="Book Antiqua" w:eastAsia="Book Antiqua" w:hAnsi="Book Antiqua" w:cs="Book Antiqua"/>
          <w:bCs/>
          <w:sz w:val="24"/>
          <w:szCs w:val="24"/>
        </w:rPr>
        <w:t xml:space="preserve"> </w:t>
      </w:r>
    </w:p>
    <w:p w14:paraId="08505378" w14:textId="77777777" w:rsidR="009E5E53" w:rsidRDefault="00353006" w:rsidP="0059364E">
      <w:pPr>
        <w:pStyle w:val="ListParagraph"/>
        <w:numPr>
          <w:ilvl w:val="0"/>
          <w:numId w:val="11"/>
        </w:numPr>
        <w:spacing w:line="360" w:lineRule="auto"/>
        <w:jc w:val="both"/>
        <w:rPr>
          <w:rFonts w:ascii="Book Antiqua" w:eastAsia="Book Antiqua" w:hAnsi="Book Antiqua" w:cs="Book Antiqua"/>
          <w:bCs/>
          <w:sz w:val="24"/>
          <w:szCs w:val="24"/>
        </w:rPr>
      </w:pPr>
      <w:r w:rsidRPr="00353006">
        <w:rPr>
          <w:rFonts w:ascii="Book Antiqua" w:eastAsia="Book Antiqua" w:hAnsi="Book Antiqua" w:cs="Book Antiqua"/>
          <w:bCs/>
          <w:sz w:val="24"/>
          <w:szCs w:val="24"/>
        </w:rPr>
        <w:lastRenderedPageBreak/>
        <w:t>Save for dust disease matters, c</w:t>
      </w:r>
      <w:r w:rsidR="00806492" w:rsidRPr="00353006">
        <w:rPr>
          <w:rFonts w:ascii="Book Antiqua" w:eastAsia="Book Antiqua" w:hAnsi="Book Antiqua" w:cs="Book Antiqua"/>
          <w:bCs/>
          <w:sz w:val="24"/>
          <w:szCs w:val="24"/>
        </w:rPr>
        <w:t xml:space="preserve">laims with a regional character should be </w:t>
      </w:r>
      <w:r w:rsidR="00015AD7" w:rsidRPr="00353006">
        <w:rPr>
          <w:rFonts w:ascii="Book Antiqua" w:eastAsia="Book Antiqua" w:hAnsi="Book Antiqua" w:cs="Book Antiqua"/>
          <w:bCs/>
          <w:sz w:val="24"/>
          <w:szCs w:val="24"/>
        </w:rPr>
        <w:t>initiated in the C</w:t>
      </w:r>
      <w:r w:rsidRPr="00353006">
        <w:rPr>
          <w:rFonts w:ascii="Book Antiqua" w:eastAsia="Book Antiqua" w:hAnsi="Book Antiqua" w:cs="Book Antiqua"/>
          <w:bCs/>
          <w:sz w:val="24"/>
          <w:szCs w:val="24"/>
        </w:rPr>
        <w:t>CL</w:t>
      </w:r>
      <w:r w:rsidR="00806492" w:rsidRPr="00353006">
        <w:rPr>
          <w:rFonts w:ascii="Book Antiqua" w:eastAsia="Book Antiqua" w:hAnsi="Book Antiqua" w:cs="Book Antiqua"/>
          <w:bCs/>
          <w:sz w:val="24"/>
          <w:szCs w:val="24"/>
        </w:rPr>
        <w:t xml:space="preserve"> as per Practice Note SC CL 1 Civil Circuit List</w:t>
      </w:r>
      <w:r w:rsidR="00015AD7" w:rsidRPr="00353006">
        <w:rPr>
          <w:rFonts w:ascii="Book Antiqua" w:eastAsia="Book Antiqua" w:hAnsi="Book Antiqua" w:cs="Book Antiqua"/>
          <w:bCs/>
          <w:sz w:val="24"/>
          <w:szCs w:val="24"/>
        </w:rPr>
        <w:t>.</w:t>
      </w:r>
      <w:r w:rsidR="00BA5005" w:rsidRPr="00353006">
        <w:rPr>
          <w:rFonts w:ascii="Book Antiqua" w:eastAsia="Book Antiqua" w:hAnsi="Book Antiqua" w:cs="Book Antiqua"/>
          <w:bCs/>
          <w:sz w:val="24"/>
          <w:szCs w:val="24"/>
        </w:rPr>
        <w:t xml:space="preserve"> This includes medical negligence matters involving regional hospitals and/or medical practitioners which are often incorrectly filed in the PIL.</w:t>
      </w:r>
    </w:p>
    <w:p w14:paraId="399AEE29" w14:textId="06EA3C81" w:rsidR="004B0251" w:rsidRPr="00353006" w:rsidRDefault="004B0251" w:rsidP="0059364E">
      <w:pPr>
        <w:pStyle w:val="ListParagraph"/>
        <w:numPr>
          <w:ilvl w:val="0"/>
          <w:numId w:val="11"/>
        </w:numPr>
        <w:spacing w:line="360" w:lineRule="auto"/>
        <w:jc w:val="both"/>
        <w:rPr>
          <w:rFonts w:ascii="Book Antiqua" w:eastAsia="Book Antiqua" w:hAnsi="Book Antiqua" w:cs="Book Antiqua"/>
          <w:bCs/>
          <w:sz w:val="24"/>
          <w:szCs w:val="24"/>
        </w:rPr>
      </w:pPr>
      <w:r w:rsidRPr="00353006">
        <w:rPr>
          <w:rFonts w:ascii="Book Antiqua" w:eastAsia="Book Antiqua" w:hAnsi="Book Antiqua" w:cs="Book Antiqua"/>
          <w:bCs/>
          <w:sz w:val="24"/>
          <w:szCs w:val="24"/>
        </w:rPr>
        <w:t>Regional dust disease claims should be initiated in the D</w:t>
      </w:r>
      <w:r w:rsidR="00353006">
        <w:rPr>
          <w:rFonts w:ascii="Book Antiqua" w:eastAsia="Book Antiqua" w:hAnsi="Book Antiqua" w:cs="Book Antiqua"/>
          <w:bCs/>
          <w:sz w:val="24"/>
          <w:szCs w:val="24"/>
        </w:rPr>
        <w:t>DL</w:t>
      </w:r>
      <w:r w:rsidRPr="00353006">
        <w:rPr>
          <w:rFonts w:ascii="Book Antiqua" w:eastAsia="Book Antiqua" w:hAnsi="Book Antiqua" w:cs="Book Antiqua"/>
          <w:bCs/>
          <w:sz w:val="24"/>
          <w:szCs w:val="24"/>
        </w:rPr>
        <w:t>.</w:t>
      </w:r>
    </w:p>
    <w:p w14:paraId="1A52EDE2" w14:textId="77777777" w:rsidR="000B1E25" w:rsidRPr="009E5E53" w:rsidRDefault="000B1E25" w:rsidP="0059364E">
      <w:pPr>
        <w:pStyle w:val="ListParagraph"/>
        <w:numPr>
          <w:ilvl w:val="1"/>
          <w:numId w:val="9"/>
        </w:numPr>
        <w:spacing w:line="360" w:lineRule="auto"/>
        <w:jc w:val="both"/>
        <w:rPr>
          <w:rFonts w:ascii="Book Antiqua" w:eastAsia="Book Antiqua" w:hAnsi="Book Antiqua" w:cs="Book Antiqua"/>
          <w:b/>
          <w:bCs/>
          <w:sz w:val="24"/>
          <w:szCs w:val="24"/>
        </w:rPr>
      </w:pPr>
      <w:r w:rsidRPr="009E5E53">
        <w:rPr>
          <w:rFonts w:ascii="Book Antiqua" w:eastAsia="Book Antiqua" w:hAnsi="Book Antiqua" w:cs="Book Antiqua"/>
          <w:b/>
          <w:bCs/>
          <w:sz w:val="24"/>
          <w:szCs w:val="24"/>
        </w:rPr>
        <w:t xml:space="preserve">E-filing </w:t>
      </w:r>
    </w:p>
    <w:p w14:paraId="1D40EF13" w14:textId="58B33B4D" w:rsidR="000B1E25" w:rsidRPr="009E5E53" w:rsidRDefault="000B1E25" w:rsidP="009E5E53">
      <w:pPr>
        <w:pStyle w:val="ListParagraph"/>
        <w:numPr>
          <w:ilvl w:val="0"/>
          <w:numId w:val="11"/>
        </w:numPr>
        <w:spacing w:line="360" w:lineRule="auto"/>
        <w:jc w:val="both"/>
        <w:rPr>
          <w:rFonts w:ascii="Book Antiqua" w:eastAsia="Book Antiqua" w:hAnsi="Book Antiqua" w:cs="Book Antiqua"/>
          <w:bCs/>
          <w:sz w:val="24"/>
          <w:szCs w:val="24"/>
        </w:rPr>
      </w:pPr>
      <w:r w:rsidRPr="009E5E53">
        <w:rPr>
          <w:rFonts w:ascii="Book Antiqua" w:eastAsia="Book Antiqua" w:hAnsi="Book Antiqua" w:cs="Book Antiqua"/>
          <w:bCs/>
          <w:sz w:val="24"/>
          <w:szCs w:val="24"/>
        </w:rPr>
        <w:t>A new e-filing system has been introduced in the Commercial Court and will be rolled out to the Common Law Division from 2018.</w:t>
      </w:r>
    </w:p>
    <w:p w14:paraId="5F207B8D" w14:textId="439CC96E" w:rsidR="000B1E25" w:rsidRPr="009E5E53" w:rsidRDefault="000B1E25" w:rsidP="009E5E53">
      <w:pPr>
        <w:pStyle w:val="ListParagraph"/>
        <w:numPr>
          <w:ilvl w:val="0"/>
          <w:numId w:val="11"/>
        </w:numPr>
        <w:spacing w:line="360" w:lineRule="auto"/>
        <w:jc w:val="both"/>
        <w:rPr>
          <w:rFonts w:ascii="Book Antiqua" w:eastAsia="Book Antiqua" w:hAnsi="Book Antiqua" w:cs="Book Antiqua"/>
          <w:bCs/>
          <w:sz w:val="24"/>
          <w:szCs w:val="24"/>
        </w:rPr>
      </w:pPr>
      <w:r w:rsidRPr="009E5E53">
        <w:rPr>
          <w:rFonts w:ascii="Book Antiqua" w:eastAsia="Book Antiqua" w:hAnsi="Book Antiqua" w:cs="Book Antiqua"/>
          <w:bCs/>
          <w:sz w:val="24"/>
          <w:szCs w:val="24"/>
        </w:rPr>
        <w:t xml:space="preserve">The system will allow </w:t>
      </w:r>
      <w:r w:rsidR="0059364E" w:rsidRPr="009E5E53">
        <w:rPr>
          <w:rFonts w:ascii="Book Antiqua" w:eastAsia="Book Antiqua" w:hAnsi="Book Antiqua" w:cs="Book Antiqua"/>
          <w:bCs/>
          <w:sz w:val="24"/>
          <w:szCs w:val="24"/>
        </w:rPr>
        <w:t xml:space="preserve">parties </w:t>
      </w:r>
      <w:r w:rsidRPr="009E5E53">
        <w:rPr>
          <w:rFonts w:ascii="Book Antiqua" w:eastAsia="Book Antiqua" w:hAnsi="Book Antiqua" w:cs="Book Antiqua"/>
          <w:bCs/>
          <w:sz w:val="24"/>
          <w:szCs w:val="24"/>
        </w:rPr>
        <w:t>to file, pay fees, review file</w:t>
      </w:r>
      <w:r w:rsidR="0059364E" w:rsidRPr="009E5E53">
        <w:rPr>
          <w:rFonts w:ascii="Book Antiqua" w:eastAsia="Book Antiqua" w:hAnsi="Book Antiqua" w:cs="Book Antiqua"/>
          <w:bCs/>
          <w:sz w:val="24"/>
          <w:szCs w:val="24"/>
        </w:rPr>
        <w:t>s</w:t>
      </w:r>
      <w:r w:rsidRPr="009E5E53">
        <w:rPr>
          <w:rFonts w:ascii="Book Antiqua" w:eastAsia="Book Antiqua" w:hAnsi="Book Antiqua" w:cs="Book Antiqua"/>
          <w:bCs/>
          <w:sz w:val="24"/>
          <w:szCs w:val="24"/>
        </w:rPr>
        <w:t xml:space="preserve"> and communicate with the </w:t>
      </w:r>
      <w:r w:rsidR="0059364E" w:rsidRPr="009E5E53">
        <w:rPr>
          <w:rFonts w:ascii="Book Antiqua" w:eastAsia="Book Antiqua" w:hAnsi="Book Antiqua" w:cs="Book Antiqua"/>
          <w:bCs/>
          <w:sz w:val="24"/>
          <w:szCs w:val="24"/>
        </w:rPr>
        <w:t>R</w:t>
      </w:r>
      <w:r w:rsidRPr="009E5E53">
        <w:rPr>
          <w:rFonts w:ascii="Book Antiqua" w:eastAsia="Book Antiqua" w:hAnsi="Book Antiqua" w:cs="Book Antiqua"/>
          <w:bCs/>
          <w:sz w:val="24"/>
          <w:szCs w:val="24"/>
        </w:rPr>
        <w:t xml:space="preserve">egistry via </w:t>
      </w:r>
      <w:r w:rsidR="0059364E" w:rsidRPr="009E5E53">
        <w:rPr>
          <w:rFonts w:ascii="Book Antiqua" w:eastAsia="Book Antiqua" w:hAnsi="Book Antiqua" w:cs="Book Antiqua"/>
          <w:bCs/>
          <w:sz w:val="24"/>
          <w:szCs w:val="24"/>
        </w:rPr>
        <w:t xml:space="preserve">a web </w:t>
      </w:r>
      <w:r w:rsidRPr="009E5E53">
        <w:rPr>
          <w:rFonts w:ascii="Book Antiqua" w:eastAsia="Book Antiqua" w:hAnsi="Book Antiqua" w:cs="Book Antiqua"/>
          <w:bCs/>
          <w:sz w:val="24"/>
          <w:szCs w:val="24"/>
        </w:rPr>
        <w:t xml:space="preserve">portal. </w:t>
      </w:r>
    </w:p>
    <w:p w14:paraId="336DA439" w14:textId="77777777" w:rsidR="00605113" w:rsidRPr="00605113" w:rsidRDefault="00605113" w:rsidP="00605113">
      <w:pPr>
        <w:pStyle w:val="ListParagraph"/>
        <w:numPr>
          <w:ilvl w:val="1"/>
          <w:numId w:val="9"/>
        </w:numPr>
        <w:spacing w:line="360" w:lineRule="auto"/>
        <w:jc w:val="both"/>
        <w:rPr>
          <w:rFonts w:ascii="Book Antiqua" w:eastAsia="Book Antiqua" w:hAnsi="Book Antiqua" w:cs="Book Antiqua"/>
          <w:b/>
          <w:bCs/>
          <w:sz w:val="24"/>
          <w:szCs w:val="24"/>
        </w:rPr>
      </w:pPr>
      <w:r w:rsidRPr="00605113">
        <w:rPr>
          <w:rFonts w:ascii="Book Antiqua" w:eastAsia="Book Antiqua" w:hAnsi="Book Antiqua" w:cs="Book Antiqua"/>
          <w:b/>
          <w:bCs/>
          <w:sz w:val="24"/>
          <w:szCs w:val="24"/>
        </w:rPr>
        <w:t xml:space="preserve">Court documents: </w:t>
      </w:r>
    </w:p>
    <w:p w14:paraId="1041EB83" w14:textId="628B41A2" w:rsidR="00605113" w:rsidRDefault="00605113" w:rsidP="009E5E53">
      <w:pPr>
        <w:pStyle w:val="ListParagraph"/>
        <w:numPr>
          <w:ilvl w:val="0"/>
          <w:numId w:val="11"/>
        </w:numPr>
        <w:spacing w:line="360" w:lineRule="auto"/>
        <w:jc w:val="both"/>
        <w:rPr>
          <w:rFonts w:ascii="Book Antiqua" w:eastAsia="Book Antiqua" w:hAnsi="Book Antiqua" w:cs="Book Antiqua"/>
          <w:bCs/>
          <w:sz w:val="24"/>
          <w:szCs w:val="24"/>
        </w:rPr>
      </w:pPr>
      <w:r w:rsidRPr="009E5E53">
        <w:rPr>
          <w:rFonts w:ascii="Book Antiqua" w:eastAsia="Book Antiqua" w:hAnsi="Book Antiqua" w:cs="Book Antiqua"/>
          <w:bCs/>
          <w:sz w:val="24"/>
          <w:szCs w:val="24"/>
        </w:rPr>
        <w:t xml:space="preserve">Practitioners </w:t>
      </w:r>
      <w:r w:rsidR="00C364EB" w:rsidRPr="009E5E53">
        <w:rPr>
          <w:rFonts w:ascii="Book Antiqua" w:eastAsia="Book Antiqua" w:hAnsi="Book Antiqua" w:cs="Book Antiqua"/>
          <w:bCs/>
          <w:sz w:val="24"/>
          <w:szCs w:val="24"/>
        </w:rPr>
        <w:t xml:space="preserve">are </w:t>
      </w:r>
      <w:r w:rsidRPr="009E5E53">
        <w:rPr>
          <w:rFonts w:ascii="Book Antiqua" w:eastAsia="Book Antiqua" w:hAnsi="Book Antiqua" w:cs="Book Antiqua"/>
          <w:bCs/>
          <w:sz w:val="24"/>
          <w:szCs w:val="24"/>
        </w:rPr>
        <w:t xml:space="preserve">asked to ensure that all Court documents include </w:t>
      </w:r>
      <w:r w:rsidR="00216680">
        <w:rPr>
          <w:rFonts w:ascii="Book Antiqua" w:eastAsia="Book Antiqua" w:hAnsi="Book Antiqua" w:cs="Book Antiqua"/>
          <w:bCs/>
          <w:sz w:val="24"/>
          <w:szCs w:val="24"/>
        </w:rPr>
        <w:t xml:space="preserve">the information </w:t>
      </w:r>
      <w:r w:rsidR="00304B84" w:rsidRPr="009E5E53">
        <w:rPr>
          <w:rFonts w:ascii="Book Antiqua" w:eastAsia="Book Antiqua" w:hAnsi="Book Antiqua" w:cs="Book Antiqua"/>
          <w:bCs/>
          <w:sz w:val="24"/>
          <w:szCs w:val="24"/>
        </w:rPr>
        <w:t>required</w:t>
      </w:r>
      <w:r w:rsidRPr="009E5E53">
        <w:rPr>
          <w:rFonts w:ascii="Book Antiqua" w:eastAsia="Book Antiqua" w:hAnsi="Book Antiqua" w:cs="Book Antiqua"/>
          <w:bCs/>
          <w:sz w:val="24"/>
          <w:szCs w:val="24"/>
        </w:rPr>
        <w:t xml:space="preserve"> by Rule 27.03(11), especially the name and e-mail address of an individual in the firm to whom reference can be made</w:t>
      </w:r>
      <w:r w:rsidR="0028629A" w:rsidRPr="009E5E53">
        <w:rPr>
          <w:rFonts w:ascii="Book Antiqua" w:eastAsia="Book Antiqua" w:hAnsi="Book Antiqua" w:cs="Book Antiqua"/>
          <w:bCs/>
          <w:sz w:val="24"/>
          <w:szCs w:val="24"/>
        </w:rPr>
        <w:t>.</w:t>
      </w:r>
    </w:p>
    <w:p w14:paraId="2B2409C2" w14:textId="77777777" w:rsidR="00015AD7" w:rsidRPr="00AF4112" w:rsidRDefault="00015AD7" w:rsidP="0059364E">
      <w:pPr>
        <w:pStyle w:val="NormalWeb"/>
        <w:numPr>
          <w:ilvl w:val="0"/>
          <w:numId w:val="9"/>
        </w:numPr>
        <w:spacing w:line="360" w:lineRule="auto"/>
        <w:jc w:val="both"/>
        <w:rPr>
          <w:rFonts w:ascii="Book Antiqua" w:hAnsi="Book Antiqua"/>
          <w:b/>
          <w:color w:val="000000"/>
          <w:u w:val="single"/>
        </w:rPr>
      </w:pPr>
      <w:r w:rsidRPr="00AF4112">
        <w:rPr>
          <w:rFonts w:ascii="Book Antiqua" w:hAnsi="Book Antiqua"/>
          <w:b/>
          <w:color w:val="000000"/>
        </w:rPr>
        <w:t>Case Management:</w:t>
      </w:r>
    </w:p>
    <w:p w14:paraId="1123C3B7" w14:textId="78AC6FAA" w:rsidR="00D67DD2" w:rsidRPr="00D67DD2" w:rsidRDefault="00D67DD2" w:rsidP="0059364E">
      <w:pPr>
        <w:pStyle w:val="NormalWeb"/>
        <w:numPr>
          <w:ilvl w:val="1"/>
          <w:numId w:val="9"/>
        </w:numPr>
        <w:spacing w:line="360" w:lineRule="auto"/>
        <w:jc w:val="both"/>
        <w:rPr>
          <w:rFonts w:ascii="Book Antiqua" w:hAnsi="Book Antiqua"/>
          <w:b/>
          <w:color w:val="000000"/>
        </w:rPr>
      </w:pPr>
      <w:r w:rsidRPr="00D67DD2">
        <w:rPr>
          <w:rFonts w:ascii="Book Antiqua" w:hAnsi="Book Antiqua"/>
          <w:b/>
          <w:color w:val="000000"/>
        </w:rPr>
        <w:t>Personnel</w:t>
      </w:r>
    </w:p>
    <w:p w14:paraId="43F7FEA0" w14:textId="5C1FFE8B" w:rsidR="00D67DD2" w:rsidRPr="0059364E" w:rsidRDefault="00893171" w:rsidP="0059364E">
      <w:pPr>
        <w:numPr>
          <w:ilvl w:val="0"/>
          <w:numId w:val="18"/>
        </w:numPr>
        <w:spacing w:line="360" w:lineRule="auto"/>
        <w:contextualSpacing/>
        <w:jc w:val="both"/>
        <w:rPr>
          <w:rFonts w:ascii="Book Antiqua" w:hAnsi="Book Antiqua"/>
          <w:sz w:val="24"/>
          <w:szCs w:val="24"/>
        </w:rPr>
      </w:pPr>
      <w:r w:rsidRPr="0059364E">
        <w:rPr>
          <w:rFonts w:ascii="Book Antiqua" w:hAnsi="Book Antiqua"/>
          <w:sz w:val="24"/>
          <w:szCs w:val="24"/>
        </w:rPr>
        <w:t>The Judge in Charge of each List</w:t>
      </w:r>
      <w:r w:rsidRPr="0059512B">
        <w:rPr>
          <w:rStyle w:val="FootnoteReference"/>
          <w:rFonts w:ascii="Book Antiqua" w:hAnsi="Book Antiqua"/>
        </w:rPr>
        <w:footnoteReference w:id="1"/>
      </w:r>
      <w:r w:rsidRPr="0059512B">
        <w:rPr>
          <w:rStyle w:val="FootnoteReference"/>
        </w:rPr>
        <w:t xml:space="preserve"> </w:t>
      </w:r>
      <w:r w:rsidRPr="0059364E">
        <w:rPr>
          <w:rFonts w:ascii="Book Antiqua" w:hAnsi="Book Antiqua"/>
          <w:sz w:val="24"/>
          <w:szCs w:val="24"/>
        </w:rPr>
        <w:t>is assisted by Judicial Registrar Julie Clayton and, in the case of the PIL and DDL, by Associate Justice Ierodiaconou.</w:t>
      </w:r>
    </w:p>
    <w:p w14:paraId="09DFC8EB" w14:textId="0D6A50BF" w:rsidR="00D67DD2" w:rsidRPr="0059364E" w:rsidRDefault="00D14A11" w:rsidP="0059364E">
      <w:pPr>
        <w:numPr>
          <w:ilvl w:val="0"/>
          <w:numId w:val="18"/>
        </w:numPr>
        <w:spacing w:line="360" w:lineRule="auto"/>
        <w:contextualSpacing/>
        <w:jc w:val="both"/>
        <w:rPr>
          <w:rFonts w:ascii="Book Antiqua" w:hAnsi="Book Antiqua"/>
          <w:sz w:val="24"/>
          <w:szCs w:val="24"/>
        </w:rPr>
      </w:pPr>
      <w:r w:rsidRPr="0059364E">
        <w:rPr>
          <w:rFonts w:ascii="Book Antiqua" w:hAnsi="Book Antiqua"/>
          <w:sz w:val="24"/>
          <w:szCs w:val="24"/>
        </w:rPr>
        <w:t>A team of lawyers assist</w:t>
      </w:r>
      <w:r w:rsidR="00640A4B">
        <w:rPr>
          <w:rFonts w:ascii="Book Antiqua" w:hAnsi="Book Antiqua"/>
          <w:sz w:val="24"/>
          <w:szCs w:val="24"/>
        </w:rPr>
        <w:t>s</w:t>
      </w:r>
      <w:r w:rsidRPr="0059364E">
        <w:rPr>
          <w:rFonts w:ascii="Book Antiqua" w:hAnsi="Book Antiqua"/>
          <w:sz w:val="24"/>
          <w:szCs w:val="24"/>
        </w:rPr>
        <w:t xml:space="preserve"> the judicial officers with management of cases </w:t>
      </w:r>
      <w:r w:rsidR="00E80BA8" w:rsidRPr="0059364E">
        <w:rPr>
          <w:rFonts w:ascii="Book Antiqua" w:hAnsi="Book Antiqua"/>
          <w:sz w:val="24"/>
          <w:szCs w:val="24"/>
        </w:rPr>
        <w:t xml:space="preserve">and perform tasks such as </w:t>
      </w:r>
      <w:r w:rsidR="00023C1C" w:rsidRPr="0059364E">
        <w:rPr>
          <w:rFonts w:ascii="Book Antiqua" w:hAnsi="Book Antiqua"/>
          <w:sz w:val="24"/>
          <w:szCs w:val="24"/>
        </w:rPr>
        <w:t xml:space="preserve">scrutinising pleadings and requests for consent orders; </w:t>
      </w:r>
      <w:r w:rsidR="00E80BA8" w:rsidRPr="0059364E">
        <w:rPr>
          <w:rFonts w:ascii="Book Antiqua" w:hAnsi="Book Antiqua"/>
          <w:sz w:val="24"/>
          <w:szCs w:val="24"/>
        </w:rPr>
        <w:t>flagging issues</w:t>
      </w:r>
      <w:r w:rsidR="0028629A">
        <w:rPr>
          <w:rFonts w:ascii="Book Antiqua" w:hAnsi="Book Antiqua"/>
          <w:sz w:val="24"/>
          <w:szCs w:val="24"/>
        </w:rPr>
        <w:t>;</w:t>
      </w:r>
      <w:r w:rsidR="00023C1C" w:rsidRPr="0059364E">
        <w:rPr>
          <w:rFonts w:ascii="Book Antiqua" w:hAnsi="Book Antiqua"/>
          <w:sz w:val="24"/>
          <w:szCs w:val="24"/>
        </w:rPr>
        <w:t xml:space="preserve"> </w:t>
      </w:r>
      <w:r w:rsidR="00E80BA8" w:rsidRPr="0059364E">
        <w:rPr>
          <w:rFonts w:ascii="Book Antiqua" w:hAnsi="Book Antiqua"/>
          <w:sz w:val="24"/>
          <w:szCs w:val="24"/>
        </w:rPr>
        <w:t>overseeing compliance with orders;</w:t>
      </w:r>
      <w:r w:rsidR="00023C1C" w:rsidRPr="0059364E">
        <w:rPr>
          <w:rFonts w:ascii="Book Antiqua" w:hAnsi="Book Antiqua"/>
          <w:sz w:val="24"/>
          <w:szCs w:val="24"/>
        </w:rPr>
        <w:t xml:space="preserve"> </w:t>
      </w:r>
      <w:r w:rsidR="00E80BA8" w:rsidRPr="0059364E">
        <w:rPr>
          <w:rFonts w:ascii="Book Antiqua" w:hAnsi="Book Antiqua"/>
          <w:sz w:val="24"/>
          <w:szCs w:val="24"/>
        </w:rPr>
        <w:t>preparing matters for pre-trial directions and applications; and</w:t>
      </w:r>
      <w:r w:rsidR="00023C1C" w:rsidRPr="0059364E">
        <w:rPr>
          <w:rFonts w:ascii="Book Antiqua" w:hAnsi="Book Antiqua"/>
          <w:sz w:val="24"/>
          <w:szCs w:val="24"/>
        </w:rPr>
        <w:t xml:space="preserve"> </w:t>
      </w:r>
      <w:r w:rsidR="00E80BA8" w:rsidRPr="0059364E">
        <w:rPr>
          <w:rFonts w:ascii="Book Antiqua" w:hAnsi="Book Antiqua"/>
          <w:sz w:val="24"/>
          <w:szCs w:val="24"/>
        </w:rPr>
        <w:t>liaising with practitioners and self-represented litigants.</w:t>
      </w:r>
      <w:r w:rsidR="00023C1C" w:rsidRPr="0059364E">
        <w:rPr>
          <w:rFonts w:ascii="Book Antiqua" w:hAnsi="Book Antiqua"/>
          <w:sz w:val="24"/>
          <w:szCs w:val="24"/>
        </w:rPr>
        <w:t xml:space="preserve"> </w:t>
      </w:r>
      <w:r w:rsidR="00E80BA8" w:rsidRPr="0059364E">
        <w:rPr>
          <w:rFonts w:ascii="Book Antiqua" w:hAnsi="Book Antiqua"/>
          <w:sz w:val="24"/>
          <w:szCs w:val="24"/>
        </w:rPr>
        <w:t>The lawyers are also involved in project work for developing case management processes</w:t>
      </w:r>
      <w:r w:rsidR="0028629A">
        <w:rPr>
          <w:rFonts w:ascii="Book Antiqua" w:hAnsi="Book Antiqua"/>
          <w:sz w:val="24"/>
          <w:szCs w:val="24"/>
        </w:rPr>
        <w:t>;</w:t>
      </w:r>
      <w:r w:rsidR="00E80BA8" w:rsidRPr="0059364E">
        <w:rPr>
          <w:rFonts w:ascii="Book Antiqua" w:hAnsi="Book Antiqua"/>
          <w:sz w:val="24"/>
          <w:szCs w:val="24"/>
        </w:rPr>
        <w:t xml:space="preserve"> drafting practice material</w:t>
      </w:r>
      <w:r w:rsidR="0028629A">
        <w:rPr>
          <w:rFonts w:ascii="Book Antiqua" w:hAnsi="Book Antiqua"/>
          <w:sz w:val="24"/>
          <w:szCs w:val="24"/>
        </w:rPr>
        <w:t>;</w:t>
      </w:r>
      <w:r w:rsidR="00E80BA8" w:rsidRPr="0059364E">
        <w:rPr>
          <w:rFonts w:ascii="Book Antiqua" w:hAnsi="Book Antiqua"/>
          <w:sz w:val="24"/>
          <w:szCs w:val="24"/>
        </w:rPr>
        <w:t xml:space="preserve"> arranging seminars and consulting with stakeholders. </w:t>
      </w:r>
    </w:p>
    <w:p w14:paraId="5E88F8EE" w14:textId="5FDD32F0" w:rsidR="00015AD7" w:rsidRPr="00AF4112" w:rsidRDefault="00015AD7" w:rsidP="0059364E">
      <w:pPr>
        <w:pStyle w:val="NormalWeb"/>
        <w:numPr>
          <w:ilvl w:val="1"/>
          <w:numId w:val="9"/>
        </w:numPr>
        <w:spacing w:line="360" w:lineRule="auto"/>
        <w:jc w:val="both"/>
        <w:rPr>
          <w:rFonts w:ascii="Book Antiqua" w:hAnsi="Book Antiqua"/>
          <w:color w:val="000000"/>
        </w:rPr>
      </w:pPr>
      <w:r w:rsidRPr="00AF4112">
        <w:rPr>
          <w:rFonts w:ascii="Book Antiqua" w:hAnsi="Book Antiqua"/>
          <w:b/>
          <w:color w:val="000000"/>
        </w:rPr>
        <w:t>Standard timetabling orders</w:t>
      </w:r>
      <w:r w:rsidRPr="00AF4112">
        <w:rPr>
          <w:rFonts w:ascii="Book Antiqua" w:hAnsi="Book Antiqua"/>
          <w:color w:val="000000"/>
        </w:rPr>
        <w:t xml:space="preserve"> </w:t>
      </w:r>
    </w:p>
    <w:p w14:paraId="1387FD8F" w14:textId="282E70B1" w:rsidR="004F695C" w:rsidRDefault="004F695C"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Practitioners </w:t>
      </w:r>
      <w:r w:rsidR="009B4C36">
        <w:rPr>
          <w:rFonts w:ascii="Book Antiqua" w:hAnsi="Book Antiqua"/>
          <w:color w:val="000000"/>
        </w:rPr>
        <w:t>are</w:t>
      </w:r>
      <w:r>
        <w:rPr>
          <w:rFonts w:ascii="Book Antiqua" w:hAnsi="Book Antiqua"/>
          <w:color w:val="000000"/>
        </w:rPr>
        <w:t xml:space="preserve"> asked to </w:t>
      </w:r>
      <w:r w:rsidR="00015AD7" w:rsidRPr="00AF4112">
        <w:rPr>
          <w:rFonts w:ascii="Book Antiqua" w:hAnsi="Book Antiqua"/>
          <w:color w:val="000000"/>
        </w:rPr>
        <w:t xml:space="preserve">consider </w:t>
      </w:r>
      <w:r>
        <w:rPr>
          <w:rFonts w:ascii="Book Antiqua" w:hAnsi="Book Antiqua"/>
          <w:color w:val="000000"/>
        </w:rPr>
        <w:t xml:space="preserve">the appropriateness </w:t>
      </w:r>
      <w:r w:rsidR="00304B84">
        <w:rPr>
          <w:rFonts w:ascii="Book Antiqua" w:hAnsi="Book Antiqua"/>
          <w:color w:val="000000"/>
        </w:rPr>
        <w:t>of interlocutory</w:t>
      </w:r>
      <w:r>
        <w:rPr>
          <w:rFonts w:ascii="Book Antiqua" w:hAnsi="Book Antiqua"/>
          <w:color w:val="000000"/>
        </w:rPr>
        <w:t xml:space="preserve"> timetables they set for themselves, </w:t>
      </w:r>
      <w:r w:rsidR="00C2268B">
        <w:rPr>
          <w:rFonts w:ascii="Book Antiqua" w:hAnsi="Book Antiqua"/>
          <w:color w:val="000000"/>
        </w:rPr>
        <w:t xml:space="preserve">and </w:t>
      </w:r>
      <w:r>
        <w:rPr>
          <w:rFonts w:ascii="Book Antiqua" w:hAnsi="Book Antiqua"/>
          <w:color w:val="000000"/>
        </w:rPr>
        <w:t>in particular</w:t>
      </w:r>
      <w:r w:rsidR="00C2268B">
        <w:rPr>
          <w:rFonts w:ascii="Book Antiqua" w:hAnsi="Book Antiqua"/>
          <w:color w:val="000000"/>
        </w:rPr>
        <w:t xml:space="preserve"> to set realistic</w:t>
      </w:r>
      <w:r>
        <w:rPr>
          <w:rFonts w:ascii="Book Antiqua" w:hAnsi="Book Antiqua"/>
          <w:color w:val="000000"/>
        </w:rPr>
        <w:t xml:space="preserve"> dates by which they </w:t>
      </w:r>
      <w:r w:rsidR="0028629A">
        <w:rPr>
          <w:rFonts w:ascii="Book Antiqua" w:hAnsi="Book Antiqua"/>
          <w:color w:val="000000"/>
        </w:rPr>
        <w:t xml:space="preserve">will be </w:t>
      </w:r>
      <w:r>
        <w:rPr>
          <w:rFonts w:ascii="Book Antiqua" w:hAnsi="Book Antiqua"/>
          <w:color w:val="000000"/>
        </w:rPr>
        <w:t>read</w:t>
      </w:r>
      <w:r w:rsidR="0028629A">
        <w:rPr>
          <w:rFonts w:ascii="Book Antiqua" w:hAnsi="Book Antiqua"/>
          <w:color w:val="000000"/>
        </w:rPr>
        <w:t>y</w:t>
      </w:r>
      <w:r>
        <w:rPr>
          <w:rFonts w:ascii="Book Antiqua" w:hAnsi="Book Antiqua"/>
          <w:color w:val="000000"/>
        </w:rPr>
        <w:t xml:space="preserve"> for mediation and trial.</w:t>
      </w:r>
      <w:r w:rsidR="00605113">
        <w:rPr>
          <w:rFonts w:ascii="Book Antiqua" w:hAnsi="Book Antiqua"/>
          <w:color w:val="000000"/>
        </w:rPr>
        <w:t xml:space="preserve"> This is particularly important in medical negligence claims and those involving catastrophic injuries.</w:t>
      </w:r>
    </w:p>
    <w:p w14:paraId="1306A436" w14:textId="18A5F911" w:rsidR="00015AD7" w:rsidRPr="00AF4112" w:rsidRDefault="004F695C"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lastRenderedPageBreak/>
        <w:t xml:space="preserve">The </w:t>
      </w:r>
      <w:r w:rsidR="00015AD7" w:rsidRPr="00AF4112">
        <w:rPr>
          <w:rFonts w:ascii="Book Antiqua" w:hAnsi="Book Antiqua"/>
          <w:color w:val="000000"/>
        </w:rPr>
        <w:t xml:space="preserve">Court </w:t>
      </w:r>
      <w:r w:rsidR="0028629A">
        <w:rPr>
          <w:rFonts w:ascii="Book Antiqua" w:hAnsi="Book Antiqua"/>
          <w:color w:val="000000"/>
        </w:rPr>
        <w:t xml:space="preserve">understands that circumstances may change as the matter progresses, but </w:t>
      </w:r>
      <w:r>
        <w:rPr>
          <w:rFonts w:ascii="Book Antiqua" w:hAnsi="Book Antiqua"/>
          <w:color w:val="000000"/>
        </w:rPr>
        <w:t xml:space="preserve">has observed </w:t>
      </w:r>
      <w:r w:rsidR="00015AD7">
        <w:rPr>
          <w:rFonts w:ascii="Book Antiqua" w:hAnsi="Book Antiqua"/>
          <w:color w:val="000000"/>
        </w:rPr>
        <w:t>considerable non-</w:t>
      </w:r>
      <w:r w:rsidR="00015AD7" w:rsidRPr="00AF4112">
        <w:rPr>
          <w:rFonts w:ascii="Book Antiqua" w:hAnsi="Book Antiqua"/>
          <w:color w:val="000000"/>
        </w:rPr>
        <w:t xml:space="preserve">compliance with </w:t>
      </w:r>
      <w:r>
        <w:rPr>
          <w:rFonts w:ascii="Book Antiqua" w:hAnsi="Book Antiqua"/>
          <w:color w:val="000000"/>
        </w:rPr>
        <w:t xml:space="preserve">timetabling </w:t>
      </w:r>
      <w:r w:rsidR="00015AD7" w:rsidRPr="00AF4112">
        <w:rPr>
          <w:rFonts w:ascii="Book Antiqua" w:hAnsi="Book Antiqua"/>
          <w:color w:val="000000"/>
        </w:rPr>
        <w:t>orders</w:t>
      </w:r>
      <w:r w:rsidR="0028629A">
        <w:rPr>
          <w:rFonts w:ascii="Book Antiqua" w:hAnsi="Book Antiqua"/>
          <w:color w:val="000000"/>
        </w:rPr>
        <w:t>. P</w:t>
      </w:r>
      <w:r>
        <w:rPr>
          <w:rFonts w:ascii="Book Antiqua" w:hAnsi="Book Antiqua"/>
          <w:color w:val="000000"/>
        </w:rPr>
        <w:t xml:space="preserve">ractitioners </w:t>
      </w:r>
      <w:r w:rsidR="009B4C36">
        <w:rPr>
          <w:rFonts w:ascii="Book Antiqua" w:hAnsi="Book Antiqua"/>
          <w:color w:val="000000"/>
        </w:rPr>
        <w:t>are</w:t>
      </w:r>
      <w:r>
        <w:rPr>
          <w:rFonts w:ascii="Book Antiqua" w:hAnsi="Book Antiqua"/>
          <w:color w:val="000000"/>
        </w:rPr>
        <w:t xml:space="preserve"> </w:t>
      </w:r>
      <w:r w:rsidR="0028629A">
        <w:rPr>
          <w:rFonts w:ascii="Book Antiqua" w:hAnsi="Book Antiqua"/>
          <w:color w:val="000000"/>
        </w:rPr>
        <w:t xml:space="preserve">therefore </w:t>
      </w:r>
      <w:r>
        <w:rPr>
          <w:rFonts w:ascii="Book Antiqua" w:hAnsi="Book Antiqua"/>
          <w:color w:val="000000"/>
        </w:rPr>
        <w:t xml:space="preserve">urged </w:t>
      </w:r>
      <w:r w:rsidR="00015AD7" w:rsidRPr="00AF4112">
        <w:rPr>
          <w:rFonts w:ascii="Book Antiqua" w:hAnsi="Book Antiqua"/>
          <w:color w:val="000000"/>
        </w:rPr>
        <w:t>to seek extensions</w:t>
      </w:r>
      <w:r w:rsidR="009B4C36">
        <w:rPr>
          <w:rFonts w:ascii="Book Antiqua" w:hAnsi="Book Antiqua"/>
          <w:color w:val="000000"/>
        </w:rPr>
        <w:t xml:space="preserve"> </w:t>
      </w:r>
      <w:r w:rsidR="007E2863">
        <w:rPr>
          <w:rFonts w:ascii="Book Antiqua" w:hAnsi="Book Antiqua"/>
          <w:color w:val="000000"/>
        </w:rPr>
        <w:t xml:space="preserve">of time limits </w:t>
      </w:r>
      <w:r w:rsidR="00C2268B">
        <w:rPr>
          <w:rFonts w:ascii="Book Antiqua" w:hAnsi="Book Antiqua"/>
          <w:color w:val="000000"/>
        </w:rPr>
        <w:t xml:space="preserve">to </w:t>
      </w:r>
      <w:r w:rsidR="009B4C36">
        <w:rPr>
          <w:rFonts w:ascii="Book Antiqua" w:hAnsi="Book Antiqua"/>
          <w:color w:val="000000"/>
        </w:rPr>
        <w:t>avoid the risk</w:t>
      </w:r>
      <w:r w:rsidR="007E2863">
        <w:rPr>
          <w:rFonts w:ascii="Book Antiqua" w:hAnsi="Book Antiqua"/>
          <w:color w:val="000000"/>
        </w:rPr>
        <w:t xml:space="preserve">s associated with </w:t>
      </w:r>
      <w:r w:rsidR="009B4C36">
        <w:rPr>
          <w:rFonts w:ascii="Book Antiqua" w:hAnsi="Book Antiqua"/>
          <w:color w:val="000000"/>
        </w:rPr>
        <w:t xml:space="preserve">breach of </w:t>
      </w:r>
      <w:r w:rsidR="007E2863">
        <w:rPr>
          <w:rFonts w:ascii="Book Antiqua" w:hAnsi="Book Antiqua"/>
          <w:color w:val="000000"/>
        </w:rPr>
        <w:t xml:space="preserve">Court </w:t>
      </w:r>
      <w:r w:rsidR="009B4C36">
        <w:rPr>
          <w:rFonts w:ascii="Book Antiqua" w:hAnsi="Book Antiqua"/>
          <w:color w:val="000000"/>
        </w:rPr>
        <w:t>orders.</w:t>
      </w:r>
    </w:p>
    <w:p w14:paraId="3E3B48AA" w14:textId="5AB34A51" w:rsidR="00015AD7" w:rsidRPr="00806FB1" w:rsidRDefault="00A11BDE"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D</w:t>
      </w:r>
      <w:r w:rsidR="00015AD7" w:rsidRPr="00806FB1">
        <w:rPr>
          <w:rFonts w:ascii="Book Antiqua" w:hAnsi="Book Antiqua"/>
          <w:b/>
          <w:color w:val="000000"/>
        </w:rPr>
        <w:t xml:space="preserve">irections hearings </w:t>
      </w:r>
    </w:p>
    <w:p w14:paraId="2BC1A1FD" w14:textId="29B165D2" w:rsidR="00A11BDE" w:rsidRDefault="009B4C36"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M</w:t>
      </w:r>
      <w:r w:rsidR="00015AD7" w:rsidRPr="00AF4112">
        <w:rPr>
          <w:rFonts w:ascii="Book Antiqua" w:hAnsi="Book Antiqua"/>
          <w:color w:val="000000"/>
        </w:rPr>
        <w:t xml:space="preserve">inutes of </w:t>
      </w:r>
      <w:r w:rsidR="00A11BDE">
        <w:rPr>
          <w:rFonts w:ascii="Book Antiqua" w:hAnsi="Book Antiqua"/>
          <w:color w:val="000000"/>
        </w:rPr>
        <w:t xml:space="preserve">proposed </w:t>
      </w:r>
      <w:r w:rsidR="00015AD7" w:rsidRPr="00AF4112">
        <w:rPr>
          <w:rFonts w:ascii="Book Antiqua" w:hAnsi="Book Antiqua"/>
          <w:color w:val="000000"/>
        </w:rPr>
        <w:t xml:space="preserve">consent </w:t>
      </w:r>
      <w:r w:rsidR="00A11BDE">
        <w:rPr>
          <w:rFonts w:ascii="Book Antiqua" w:hAnsi="Book Antiqua"/>
          <w:color w:val="000000"/>
        </w:rPr>
        <w:t xml:space="preserve">orders </w:t>
      </w:r>
      <w:r>
        <w:rPr>
          <w:rFonts w:ascii="Book Antiqua" w:hAnsi="Book Antiqua"/>
          <w:color w:val="000000"/>
        </w:rPr>
        <w:t xml:space="preserve">should be </w:t>
      </w:r>
      <w:r w:rsidR="00015AD7" w:rsidRPr="00AF4112">
        <w:rPr>
          <w:rFonts w:ascii="Book Antiqua" w:hAnsi="Book Antiqua"/>
          <w:color w:val="000000"/>
        </w:rPr>
        <w:t xml:space="preserve">provided </w:t>
      </w:r>
      <w:r w:rsidR="00A11BDE">
        <w:rPr>
          <w:rFonts w:ascii="Book Antiqua" w:hAnsi="Book Antiqua"/>
          <w:color w:val="000000"/>
        </w:rPr>
        <w:t xml:space="preserve">to the Court </w:t>
      </w:r>
      <w:r w:rsidR="00015AD7" w:rsidRPr="00AF4112">
        <w:rPr>
          <w:rFonts w:ascii="Book Antiqua" w:hAnsi="Book Antiqua"/>
          <w:color w:val="000000"/>
        </w:rPr>
        <w:t xml:space="preserve">at least 48 hours prior to </w:t>
      </w:r>
      <w:r w:rsidR="00A11BDE">
        <w:rPr>
          <w:rFonts w:ascii="Book Antiqua" w:hAnsi="Book Antiqua"/>
          <w:color w:val="000000"/>
        </w:rPr>
        <w:t>any</w:t>
      </w:r>
      <w:r w:rsidR="00015AD7" w:rsidRPr="00AF4112">
        <w:rPr>
          <w:rFonts w:ascii="Book Antiqua" w:hAnsi="Book Antiqua"/>
          <w:color w:val="000000"/>
        </w:rPr>
        <w:t xml:space="preserve"> directions hearing</w:t>
      </w:r>
      <w:r w:rsidR="00A11BDE">
        <w:rPr>
          <w:rFonts w:ascii="Book Antiqua" w:hAnsi="Book Antiqua"/>
          <w:color w:val="000000"/>
        </w:rPr>
        <w:t xml:space="preserve">. Late submission of minutes means the Court cannot guarantee a response prior to the hearing and could result in unnecessary attendances and, in some circumstances, costs orders. </w:t>
      </w:r>
    </w:p>
    <w:p w14:paraId="035F67AC" w14:textId="1BE3F00E" w:rsidR="00015AD7" w:rsidRDefault="00A11BDE"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Practitioners should not assume that proposed consent orders will be made and, unless they receive advice from the Court to the contrary, attendance at the directions hearing is required.</w:t>
      </w:r>
    </w:p>
    <w:p w14:paraId="6314E344" w14:textId="78EA98B4" w:rsidR="00C0591C" w:rsidRDefault="00C0591C"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The Court has experienced a significant increase in institutional abuse initiations and is likely to require attendance at a first directions hearing in these cases.  This is to enable close monitoring of the impact of this increased practice area on the list and the progress of these matters through the Court.  The Court will review this practice over the coming months to determine whether it will be maintained.</w:t>
      </w:r>
    </w:p>
    <w:p w14:paraId="4D1B88EF" w14:textId="43B6956F" w:rsidR="00BA5005" w:rsidRPr="00F31CBA" w:rsidRDefault="00BA5005" w:rsidP="00BA5005">
      <w:pPr>
        <w:numPr>
          <w:ilvl w:val="0"/>
          <w:numId w:val="11"/>
        </w:numPr>
        <w:spacing w:line="360" w:lineRule="auto"/>
        <w:contextualSpacing/>
        <w:jc w:val="both"/>
        <w:rPr>
          <w:rFonts w:ascii="Book Antiqua" w:hAnsi="Book Antiqua"/>
          <w:sz w:val="24"/>
          <w:szCs w:val="24"/>
        </w:rPr>
      </w:pPr>
      <w:r w:rsidRPr="00F31CBA">
        <w:rPr>
          <w:rFonts w:ascii="Book Antiqua" w:hAnsi="Book Antiqua"/>
          <w:sz w:val="24"/>
          <w:szCs w:val="24"/>
        </w:rPr>
        <w:t xml:space="preserve">Feedback from practitioners has been positive in relation to the effectiveness of Post-Mediation Directions Hearings in the PIL and CCL </w:t>
      </w:r>
      <w:r w:rsidR="007B7EDC" w:rsidRPr="00F31CBA">
        <w:rPr>
          <w:rFonts w:ascii="Book Antiqua" w:hAnsi="Book Antiqua"/>
          <w:sz w:val="24"/>
          <w:szCs w:val="24"/>
        </w:rPr>
        <w:t>in keeping matters on track for trial</w:t>
      </w:r>
      <w:r w:rsidRPr="00F31CBA">
        <w:rPr>
          <w:rFonts w:ascii="Book Antiqua" w:hAnsi="Book Antiqua"/>
          <w:sz w:val="24"/>
          <w:szCs w:val="24"/>
        </w:rPr>
        <w:t>.</w:t>
      </w:r>
      <w:r w:rsidR="00F31CBA">
        <w:rPr>
          <w:rFonts w:ascii="Book Antiqua" w:hAnsi="Book Antiqua"/>
          <w:sz w:val="24"/>
          <w:szCs w:val="24"/>
        </w:rPr>
        <w:t xml:space="preserve"> </w:t>
      </w:r>
      <w:r w:rsidRPr="00F31CBA">
        <w:rPr>
          <w:rFonts w:ascii="Book Antiqua" w:hAnsi="Book Antiqua"/>
          <w:sz w:val="24"/>
          <w:szCs w:val="24"/>
        </w:rPr>
        <w:t xml:space="preserve">The Court expects that parties </w:t>
      </w:r>
      <w:r w:rsidR="007B7EDC" w:rsidRPr="00F31CBA">
        <w:rPr>
          <w:rFonts w:ascii="Book Antiqua" w:hAnsi="Book Antiqua"/>
          <w:sz w:val="24"/>
          <w:szCs w:val="24"/>
        </w:rPr>
        <w:t xml:space="preserve">will </w:t>
      </w:r>
      <w:r w:rsidRPr="00F31CBA">
        <w:rPr>
          <w:rFonts w:ascii="Book Antiqua" w:hAnsi="Book Antiqua"/>
          <w:sz w:val="24"/>
          <w:szCs w:val="24"/>
        </w:rPr>
        <w:t>be in a position a</w:t>
      </w:r>
      <w:r w:rsidR="00F31CBA" w:rsidRPr="00F31CBA">
        <w:rPr>
          <w:rFonts w:ascii="Book Antiqua" w:hAnsi="Book Antiqua"/>
          <w:sz w:val="24"/>
          <w:szCs w:val="24"/>
        </w:rPr>
        <w:t xml:space="preserve">t </w:t>
      </w:r>
      <w:r w:rsidRPr="00F31CBA">
        <w:rPr>
          <w:rFonts w:ascii="Book Antiqua" w:hAnsi="Book Antiqua"/>
          <w:sz w:val="24"/>
          <w:szCs w:val="24"/>
        </w:rPr>
        <w:t>these hearings to address it on further timetabling orders as well as any issues which remain in dispute. Parties will also be required to confirm the estimated duration of trial.</w:t>
      </w:r>
    </w:p>
    <w:p w14:paraId="1AC1524D" w14:textId="77777777" w:rsidR="00015AD7" w:rsidRPr="00806FB1" w:rsidRDefault="00015AD7"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 xml:space="preserve">Interlocutory applications </w:t>
      </w:r>
    </w:p>
    <w:p w14:paraId="057F20EE" w14:textId="357F43A1" w:rsidR="00015AD7" w:rsidRDefault="00A11BDE"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In</w:t>
      </w:r>
      <w:r w:rsidR="00015AD7" w:rsidRPr="00AF4112">
        <w:rPr>
          <w:rFonts w:ascii="Book Antiqua" w:hAnsi="Book Antiqua"/>
          <w:color w:val="000000"/>
        </w:rPr>
        <w:t xml:space="preserve"> general, </w:t>
      </w:r>
      <w:r>
        <w:rPr>
          <w:rFonts w:ascii="Book Antiqua" w:hAnsi="Book Antiqua"/>
          <w:color w:val="000000"/>
        </w:rPr>
        <w:t>a s</w:t>
      </w:r>
      <w:r w:rsidR="00015AD7" w:rsidRPr="00AF4112">
        <w:rPr>
          <w:rFonts w:ascii="Book Antiqua" w:hAnsi="Book Antiqua"/>
          <w:color w:val="000000"/>
        </w:rPr>
        <w:t xml:space="preserve">ummons </w:t>
      </w:r>
      <w:r w:rsidR="005F53EA">
        <w:rPr>
          <w:rFonts w:ascii="Book Antiqua" w:hAnsi="Book Antiqua"/>
          <w:color w:val="000000"/>
        </w:rPr>
        <w:t xml:space="preserve">with supporting affidavit material </w:t>
      </w:r>
      <w:r w:rsidR="007E2863">
        <w:rPr>
          <w:rFonts w:ascii="Book Antiqua" w:hAnsi="Book Antiqua"/>
          <w:color w:val="000000"/>
        </w:rPr>
        <w:t>is</w:t>
      </w:r>
      <w:r>
        <w:rPr>
          <w:rFonts w:ascii="Book Antiqua" w:hAnsi="Book Antiqua"/>
          <w:color w:val="000000"/>
        </w:rPr>
        <w:t xml:space="preserve"> </w:t>
      </w:r>
      <w:r w:rsidR="00015AD7" w:rsidRPr="00AF4112">
        <w:rPr>
          <w:rFonts w:ascii="Book Antiqua" w:hAnsi="Book Antiqua"/>
          <w:color w:val="000000"/>
        </w:rPr>
        <w:t xml:space="preserve">required for all interlocutory applications, particularly </w:t>
      </w:r>
      <w:r w:rsidR="007E2863">
        <w:rPr>
          <w:rFonts w:ascii="Book Antiqua" w:hAnsi="Book Antiqua"/>
          <w:color w:val="000000"/>
        </w:rPr>
        <w:t xml:space="preserve">those </w:t>
      </w:r>
      <w:r w:rsidR="005F53EA">
        <w:rPr>
          <w:rFonts w:ascii="Book Antiqua" w:hAnsi="Book Antiqua"/>
          <w:color w:val="000000"/>
        </w:rPr>
        <w:t xml:space="preserve">for an expedited trial or </w:t>
      </w:r>
      <w:r w:rsidR="00015AD7" w:rsidRPr="00AF4112">
        <w:rPr>
          <w:rFonts w:ascii="Book Antiqua" w:hAnsi="Book Antiqua"/>
          <w:color w:val="000000"/>
        </w:rPr>
        <w:t xml:space="preserve">to </w:t>
      </w:r>
      <w:r>
        <w:rPr>
          <w:rFonts w:ascii="Book Antiqua" w:hAnsi="Book Antiqua"/>
          <w:color w:val="000000"/>
        </w:rPr>
        <w:t>refix a trial</w:t>
      </w:r>
      <w:r w:rsidR="00015AD7" w:rsidRPr="00AF4112">
        <w:rPr>
          <w:rFonts w:ascii="Book Antiqua" w:hAnsi="Book Antiqua"/>
          <w:color w:val="000000"/>
        </w:rPr>
        <w:t xml:space="preserve"> date, even by consent. </w:t>
      </w:r>
    </w:p>
    <w:p w14:paraId="6E525512" w14:textId="53256B65" w:rsidR="0003487B" w:rsidRDefault="0003487B"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On occasion a summons may not be required and practitioners should in the first instance complete and send an Interlocutory Application Information Form to the list email address as per the relevant Practice Note.</w:t>
      </w:r>
    </w:p>
    <w:p w14:paraId="662F8799" w14:textId="41C06109" w:rsidR="000154EC" w:rsidRPr="00216BC8" w:rsidRDefault="000154EC" w:rsidP="000154EC">
      <w:pPr>
        <w:numPr>
          <w:ilvl w:val="0"/>
          <w:numId w:val="11"/>
        </w:numPr>
        <w:spacing w:line="360" w:lineRule="auto"/>
        <w:contextualSpacing/>
        <w:jc w:val="both"/>
        <w:rPr>
          <w:rFonts w:ascii="Book Antiqua" w:hAnsi="Book Antiqua"/>
          <w:sz w:val="24"/>
          <w:szCs w:val="24"/>
        </w:rPr>
      </w:pPr>
      <w:r>
        <w:rPr>
          <w:rFonts w:ascii="Book Antiqua" w:hAnsi="Book Antiqua"/>
          <w:sz w:val="24"/>
          <w:szCs w:val="24"/>
        </w:rPr>
        <w:t>P</w:t>
      </w:r>
      <w:r w:rsidRPr="00216BC8">
        <w:rPr>
          <w:rFonts w:ascii="Book Antiqua" w:hAnsi="Book Antiqua"/>
          <w:sz w:val="24"/>
          <w:szCs w:val="24"/>
        </w:rPr>
        <w:t xml:space="preserve">ractitioners </w:t>
      </w:r>
      <w:r>
        <w:rPr>
          <w:rFonts w:ascii="Book Antiqua" w:hAnsi="Book Antiqua"/>
          <w:sz w:val="24"/>
          <w:szCs w:val="24"/>
        </w:rPr>
        <w:t xml:space="preserve">should </w:t>
      </w:r>
      <w:r w:rsidR="00BA5005">
        <w:rPr>
          <w:rFonts w:ascii="Book Antiqua" w:hAnsi="Book Antiqua"/>
          <w:sz w:val="24"/>
          <w:szCs w:val="24"/>
        </w:rPr>
        <w:t xml:space="preserve">make any necessary </w:t>
      </w:r>
      <w:r w:rsidRPr="00216BC8">
        <w:rPr>
          <w:rFonts w:ascii="Book Antiqua" w:hAnsi="Book Antiqua"/>
          <w:sz w:val="24"/>
          <w:szCs w:val="24"/>
        </w:rPr>
        <w:t xml:space="preserve">interlocutory </w:t>
      </w:r>
      <w:r w:rsidR="00BA5005">
        <w:rPr>
          <w:rFonts w:ascii="Book Antiqua" w:hAnsi="Book Antiqua"/>
          <w:sz w:val="24"/>
          <w:szCs w:val="24"/>
        </w:rPr>
        <w:t xml:space="preserve">application </w:t>
      </w:r>
      <w:r w:rsidRPr="00216BC8">
        <w:rPr>
          <w:rFonts w:ascii="Book Antiqua" w:hAnsi="Book Antiqua"/>
          <w:sz w:val="24"/>
          <w:szCs w:val="24"/>
        </w:rPr>
        <w:t xml:space="preserve">as early as possible </w:t>
      </w:r>
      <w:r w:rsidR="00BA5005">
        <w:rPr>
          <w:rFonts w:ascii="Book Antiqua" w:hAnsi="Book Antiqua"/>
          <w:sz w:val="24"/>
          <w:szCs w:val="24"/>
        </w:rPr>
        <w:t xml:space="preserve">in order to </w:t>
      </w:r>
      <w:r w:rsidRPr="00216BC8">
        <w:rPr>
          <w:rFonts w:ascii="Book Antiqua" w:hAnsi="Book Antiqua"/>
          <w:sz w:val="24"/>
          <w:szCs w:val="24"/>
        </w:rPr>
        <w:t>preserve the</w:t>
      </w:r>
      <w:r w:rsidR="00803740">
        <w:rPr>
          <w:rFonts w:ascii="Book Antiqua" w:hAnsi="Book Antiqua"/>
          <w:sz w:val="24"/>
          <w:szCs w:val="24"/>
        </w:rPr>
        <w:t>ir</w:t>
      </w:r>
      <w:r w:rsidRPr="00216BC8">
        <w:rPr>
          <w:rFonts w:ascii="Book Antiqua" w:hAnsi="Book Antiqua"/>
          <w:sz w:val="24"/>
          <w:szCs w:val="24"/>
        </w:rPr>
        <w:t xml:space="preserve"> trial date.  </w:t>
      </w:r>
    </w:p>
    <w:p w14:paraId="3262EFFE" w14:textId="77777777" w:rsidR="00015AD7" w:rsidRPr="00806FB1" w:rsidRDefault="00015AD7"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 xml:space="preserve">Conclaves and joint reports </w:t>
      </w:r>
    </w:p>
    <w:p w14:paraId="11A3A609" w14:textId="415C6F68" w:rsidR="00760CF9" w:rsidRPr="008A01B6" w:rsidRDefault="00FC7FD3" w:rsidP="00760CF9">
      <w:pPr>
        <w:pStyle w:val="NormalWeb"/>
        <w:numPr>
          <w:ilvl w:val="0"/>
          <w:numId w:val="11"/>
        </w:numPr>
        <w:spacing w:line="360" w:lineRule="auto"/>
        <w:jc w:val="both"/>
        <w:rPr>
          <w:rFonts w:ascii="Book Antiqua" w:hAnsi="Book Antiqua"/>
          <w:color w:val="000000"/>
        </w:rPr>
      </w:pPr>
      <w:r w:rsidRPr="008A01B6">
        <w:rPr>
          <w:rFonts w:ascii="Book Antiqua" w:hAnsi="Book Antiqua"/>
          <w:color w:val="000000"/>
        </w:rPr>
        <w:lastRenderedPageBreak/>
        <w:t xml:space="preserve">The Court has been ordering </w:t>
      </w:r>
      <w:r w:rsidR="00015AD7" w:rsidRPr="008A01B6">
        <w:rPr>
          <w:rFonts w:ascii="Book Antiqua" w:hAnsi="Book Antiqua"/>
          <w:color w:val="000000"/>
        </w:rPr>
        <w:t xml:space="preserve">conclaves </w:t>
      </w:r>
      <w:r w:rsidRPr="008A01B6">
        <w:rPr>
          <w:rFonts w:ascii="Book Antiqua" w:hAnsi="Book Antiqua"/>
          <w:color w:val="000000"/>
        </w:rPr>
        <w:t xml:space="preserve">and joint expert reports in </w:t>
      </w:r>
      <w:r w:rsidR="00760CF9" w:rsidRPr="008A01B6">
        <w:rPr>
          <w:rFonts w:ascii="Book Antiqua" w:hAnsi="Book Antiqua"/>
          <w:color w:val="000000"/>
        </w:rPr>
        <w:t xml:space="preserve">appropriate </w:t>
      </w:r>
      <w:r w:rsidRPr="008A01B6">
        <w:rPr>
          <w:rFonts w:ascii="Book Antiqua" w:hAnsi="Book Antiqua"/>
          <w:color w:val="000000"/>
        </w:rPr>
        <w:t>personal injury claims</w:t>
      </w:r>
      <w:r w:rsidR="00760CF9" w:rsidRPr="008A01B6">
        <w:rPr>
          <w:rFonts w:ascii="Book Antiqua" w:hAnsi="Book Antiqua"/>
          <w:color w:val="000000"/>
        </w:rPr>
        <w:t>.</w:t>
      </w:r>
      <w:r w:rsidR="008A01B6" w:rsidRPr="008A01B6">
        <w:rPr>
          <w:rFonts w:ascii="Book Antiqua" w:hAnsi="Book Antiqua"/>
          <w:color w:val="000000"/>
        </w:rPr>
        <w:t xml:space="preserve"> </w:t>
      </w:r>
      <w:r w:rsidR="00760CF9" w:rsidRPr="008A01B6">
        <w:rPr>
          <w:rFonts w:ascii="Book Antiqua" w:hAnsi="Book Antiqua"/>
          <w:color w:val="000000"/>
        </w:rPr>
        <w:t>The practice has been found to be effective in narrowing issues.</w:t>
      </w:r>
    </w:p>
    <w:p w14:paraId="189DBDDD" w14:textId="03918D16" w:rsidR="00015AD7" w:rsidRDefault="00760CF9" w:rsidP="0059364E">
      <w:pPr>
        <w:pStyle w:val="NormalWeb"/>
        <w:numPr>
          <w:ilvl w:val="0"/>
          <w:numId w:val="11"/>
        </w:numPr>
        <w:spacing w:line="360" w:lineRule="auto"/>
        <w:jc w:val="both"/>
        <w:rPr>
          <w:rFonts w:ascii="Book Antiqua" w:hAnsi="Book Antiqua"/>
          <w:color w:val="000000"/>
        </w:rPr>
      </w:pPr>
      <w:r w:rsidRPr="009227B4">
        <w:rPr>
          <w:rFonts w:ascii="Book Antiqua" w:hAnsi="Book Antiqua"/>
          <w:color w:val="000000"/>
        </w:rPr>
        <w:t xml:space="preserve">The Court is conscious of upfront costs </w:t>
      </w:r>
      <w:r w:rsidR="008A01B6" w:rsidRPr="009227B4">
        <w:rPr>
          <w:rFonts w:ascii="Book Antiqua" w:hAnsi="Book Antiqua"/>
          <w:color w:val="000000"/>
        </w:rPr>
        <w:t xml:space="preserve">and logistics </w:t>
      </w:r>
      <w:r w:rsidRPr="009227B4">
        <w:rPr>
          <w:rFonts w:ascii="Book Antiqua" w:hAnsi="Book Antiqua"/>
          <w:color w:val="000000"/>
        </w:rPr>
        <w:t>associated with conclaves</w:t>
      </w:r>
      <w:r w:rsidR="008A01B6" w:rsidRPr="009227B4">
        <w:rPr>
          <w:rFonts w:ascii="Book Antiqua" w:hAnsi="Book Antiqua"/>
          <w:color w:val="000000"/>
        </w:rPr>
        <w:t>. It endeavours to balance these factors with potential savings of costs/court time associated with trial</w:t>
      </w:r>
      <w:r w:rsidR="009227B4" w:rsidRPr="009227B4">
        <w:rPr>
          <w:rFonts w:ascii="Book Antiqua" w:hAnsi="Book Antiqua"/>
          <w:color w:val="000000"/>
        </w:rPr>
        <w:t xml:space="preserve"> and will </w:t>
      </w:r>
      <w:r w:rsidRPr="009227B4">
        <w:rPr>
          <w:rFonts w:ascii="Book Antiqua" w:hAnsi="Book Antiqua"/>
          <w:color w:val="000000"/>
        </w:rPr>
        <w:t>continue</w:t>
      </w:r>
      <w:r w:rsidR="009227B4" w:rsidRPr="009227B4">
        <w:rPr>
          <w:rFonts w:ascii="Book Antiqua" w:hAnsi="Book Antiqua"/>
          <w:color w:val="000000"/>
        </w:rPr>
        <w:t xml:space="preserve"> to evaluate </w:t>
      </w:r>
      <w:r w:rsidR="009227B4">
        <w:rPr>
          <w:rFonts w:ascii="Book Antiqua" w:hAnsi="Book Antiqua"/>
          <w:color w:val="000000"/>
        </w:rPr>
        <w:t>their worth.</w:t>
      </w:r>
    </w:p>
    <w:p w14:paraId="16AF948E" w14:textId="735E8DED" w:rsidR="00015AD7" w:rsidRPr="00806FB1" w:rsidRDefault="00015AD7"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 xml:space="preserve">Pleadings </w:t>
      </w:r>
    </w:p>
    <w:p w14:paraId="52FCA94A" w14:textId="77777777" w:rsidR="007E2863" w:rsidRDefault="007E2863"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Pleadings are scrutinised by the Court at an early stage of the litigation and are often found to </w:t>
      </w:r>
      <w:r w:rsidR="00FC7FD3">
        <w:rPr>
          <w:rFonts w:ascii="Book Antiqua" w:hAnsi="Book Antiqua"/>
          <w:color w:val="000000"/>
        </w:rPr>
        <w:t>fall short of what is required</w:t>
      </w:r>
      <w:r>
        <w:rPr>
          <w:rFonts w:ascii="Book Antiqua" w:hAnsi="Book Antiqua"/>
          <w:color w:val="000000"/>
        </w:rPr>
        <w:t xml:space="preserve"> by the Rules.</w:t>
      </w:r>
    </w:p>
    <w:p w14:paraId="68E2B744" w14:textId="5139A8B1" w:rsidR="00015AD7" w:rsidRPr="00AF4112" w:rsidRDefault="007E2863"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P</w:t>
      </w:r>
      <w:r w:rsidR="00015AD7">
        <w:rPr>
          <w:rFonts w:ascii="Book Antiqua" w:hAnsi="Book Antiqua"/>
          <w:color w:val="000000"/>
        </w:rPr>
        <w:t>articularisation of allegations in psychiatric claims arising from alleged bullying/stress</w:t>
      </w:r>
      <w:r>
        <w:rPr>
          <w:rFonts w:ascii="Book Antiqua" w:hAnsi="Book Antiqua"/>
          <w:color w:val="000000"/>
        </w:rPr>
        <w:t xml:space="preserve"> is vital. </w:t>
      </w:r>
    </w:p>
    <w:p w14:paraId="7DA2244A" w14:textId="6AE41A68" w:rsidR="009309F4" w:rsidRPr="00806FB1" w:rsidRDefault="009309F4"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Joint Memoranda and Key Document Folders</w:t>
      </w:r>
    </w:p>
    <w:p w14:paraId="52666C7B" w14:textId="3CED3E14" w:rsidR="009309F4" w:rsidRPr="00216BC8" w:rsidRDefault="009309F4" w:rsidP="009309F4">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Orders for the preparation and filing of a </w:t>
      </w:r>
      <w:r w:rsidR="0088674F">
        <w:rPr>
          <w:rFonts w:ascii="Book Antiqua" w:hAnsi="Book Antiqua"/>
          <w:color w:val="000000"/>
        </w:rPr>
        <w:t>J</w:t>
      </w:r>
      <w:r>
        <w:rPr>
          <w:rFonts w:ascii="Book Antiqua" w:hAnsi="Book Antiqua"/>
          <w:color w:val="000000"/>
        </w:rPr>
        <w:t xml:space="preserve">oint </w:t>
      </w:r>
      <w:r w:rsidR="0088674F">
        <w:rPr>
          <w:rFonts w:ascii="Book Antiqua" w:hAnsi="Book Antiqua"/>
          <w:color w:val="000000"/>
        </w:rPr>
        <w:t>M</w:t>
      </w:r>
      <w:r>
        <w:rPr>
          <w:rFonts w:ascii="Book Antiqua" w:hAnsi="Book Antiqua"/>
          <w:color w:val="000000"/>
        </w:rPr>
        <w:t xml:space="preserve">emorandum </w:t>
      </w:r>
      <w:r w:rsidRPr="009309F4">
        <w:rPr>
          <w:rFonts w:ascii="Book Antiqua" w:hAnsi="Book Antiqua"/>
          <w:color w:val="000000"/>
        </w:rPr>
        <w:t xml:space="preserve">identifying the factual and legal issues in dispute </w:t>
      </w:r>
      <w:r>
        <w:rPr>
          <w:rFonts w:ascii="Book Antiqua" w:hAnsi="Book Antiqua"/>
          <w:color w:val="000000"/>
        </w:rPr>
        <w:t xml:space="preserve">are commonly made at Final Directions Hearings (PIL and DDL) and Call-over (CCL) </w:t>
      </w:r>
      <w:r w:rsidRPr="00216BC8">
        <w:rPr>
          <w:rFonts w:ascii="Book Antiqua" w:hAnsi="Book Antiqua"/>
          <w:color w:val="000000"/>
        </w:rPr>
        <w:t xml:space="preserve">as well as a </w:t>
      </w:r>
      <w:r w:rsidR="0088674F">
        <w:rPr>
          <w:rFonts w:ascii="Book Antiqua" w:hAnsi="Book Antiqua"/>
          <w:color w:val="000000"/>
        </w:rPr>
        <w:t xml:space="preserve">Key Documents </w:t>
      </w:r>
      <w:r w:rsidRPr="00216BC8">
        <w:rPr>
          <w:rFonts w:ascii="Book Antiqua" w:hAnsi="Book Antiqua"/>
          <w:color w:val="000000"/>
        </w:rPr>
        <w:t>folder</w:t>
      </w:r>
      <w:r w:rsidR="0088674F">
        <w:rPr>
          <w:rFonts w:ascii="Book Antiqua" w:hAnsi="Book Antiqua"/>
          <w:color w:val="000000"/>
        </w:rPr>
        <w:t>.</w:t>
      </w:r>
    </w:p>
    <w:p w14:paraId="4EB7D104" w14:textId="1A66B5D7" w:rsidR="000A6499" w:rsidRDefault="000A6499" w:rsidP="000A6499">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The </w:t>
      </w:r>
      <w:r w:rsidR="0088674F">
        <w:rPr>
          <w:rFonts w:ascii="Book Antiqua" w:hAnsi="Book Antiqua"/>
          <w:color w:val="000000"/>
        </w:rPr>
        <w:t>J</w:t>
      </w:r>
      <w:r>
        <w:rPr>
          <w:rFonts w:ascii="Book Antiqua" w:hAnsi="Book Antiqua"/>
          <w:color w:val="000000"/>
        </w:rPr>
        <w:t xml:space="preserve">oint </w:t>
      </w:r>
      <w:r w:rsidR="0088674F">
        <w:rPr>
          <w:rFonts w:ascii="Book Antiqua" w:hAnsi="Book Antiqua"/>
          <w:color w:val="000000"/>
        </w:rPr>
        <w:t>M</w:t>
      </w:r>
      <w:r>
        <w:rPr>
          <w:rFonts w:ascii="Book Antiqua" w:hAnsi="Book Antiqua"/>
          <w:color w:val="000000"/>
        </w:rPr>
        <w:t xml:space="preserve">emorandum should </w:t>
      </w:r>
      <w:r w:rsidRPr="000A6499">
        <w:rPr>
          <w:rFonts w:ascii="Book Antiqua" w:hAnsi="Book Antiqua"/>
          <w:color w:val="000000"/>
        </w:rPr>
        <w:t>concisely set out the basic facts of the case and the major issues in dispute, as well as any significant matters that have been agreed between the parties</w:t>
      </w:r>
      <w:r>
        <w:rPr>
          <w:rFonts w:ascii="Book Antiqua" w:hAnsi="Book Antiqua"/>
          <w:color w:val="000000"/>
        </w:rPr>
        <w:t>.</w:t>
      </w:r>
    </w:p>
    <w:p w14:paraId="3E5C8C51" w14:textId="77F77043" w:rsidR="009309F4" w:rsidRDefault="0088674F" w:rsidP="000A6499">
      <w:pPr>
        <w:pStyle w:val="NormalWeb"/>
        <w:numPr>
          <w:ilvl w:val="0"/>
          <w:numId w:val="11"/>
        </w:numPr>
        <w:spacing w:line="360" w:lineRule="auto"/>
        <w:jc w:val="both"/>
        <w:rPr>
          <w:rFonts w:ascii="Book Antiqua" w:hAnsi="Book Antiqua"/>
          <w:color w:val="000000"/>
        </w:rPr>
      </w:pPr>
      <w:r>
        <w:rPr>
          <w:rFonts w:ascii="Book Antiqua" w:hAnsi="Book Antiqua"/>
          <w:color w:val="000000"/>
        </w:rPr>
        <w:t>The</w:t>
      </w:r>
      <w:r w:rsidR="009309F4" w:rsidRPr="000A6499">
        <w:rPr>
          <w:rFonts w:ascii="Book Antiqua" w:hAnsi="Book Antiqua"/>
          <w:color w:val="000000"/>
        </w:rPr>
        <w:t xml:space="preserve"> Key Documents folder should contain </w:t>
      </w:r>
      <w:r w:rsidR="000A6499" w:rsidRPr="000A6499">
        <w:rPr>
          <w:rFonts w:ascii="Book Antiqua" w:hAnsi="Book Antiqua"/>
          <w:color w:val="000000"/>
        </w:rPr>
        <w:t>a bare minimum of documents that may be of assistance to the trial judge prior to the commencement of the matter and should not resemble a voluminous Court Book</w:t>
      </w:r>
      <w:r w:rsidR="000A6499">
        <w:rPr>
          <w:rFonts w:ascii="Book Antiqua" w:hAnsi="Book Antiqua"/>
          <w:color w:val="000000"/>
        </w:rPr>
        <w:t>.</w:t>
      </w:r>
    </w:p>
    <w:p w14:paraId="6EBAC603" w14:textId="7F6CA3A1" w:rsidR="00760CF9" w:rsidRDefault="00760CF9" w:rsidP="00760CF9">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There appears to be a common misassumption that if a document </w:t>
      </w:r>
      <w:r w:rsidR="009B6DED">
        <w:rPr>
          <w:rFonts w:ascii="Book Antiqua" w:hAnsi="Book Antiqua"/>
          <w:color w:val="000000"/>
        </w:rPr>
        <w:t xml:space="preserve">is </w:t>
      </w:r>
      <w:r>
        <w:rPr>
          <w:rFonts w:ascii="Book Antiqua" w:hAnsi="Book Antiqua"/>
          <w:color w:val="000000"/>
        </w:rPr>
        <w:t xml:space="preserve">not in the Key Documents folder, it cannot be relied on. </w:t>
      </w:r>
    </w:p>
    <w:p w14:paraId="4328CEBD" w14:textId="009F7103" w:rsidR="00DD72FC" w:rsidRPr="00DD72FC" w:rsidRDefault="00DD72FC" w:rsidP="00DD72FC">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A recent paper of Justice Hargrave, </w:t>
      </w:r>
      <w:hyperlink r:id="rId13" w:history="1">
        <w:r w:rsidRPr="00DD72FC">
          <w:rPr>
            <w:rStyle w:val="Hyperlink"/>
            <w:rFonts w:ascii="Book Antiqua" w:hAnsi="Book Antiqua"/>
          </w:rPr>
          <w:t>What a Judge Wants: Documentary Advocacy</w:t>
        </w:r>
      </w:hyperlink>
      <w:r>
        <w:rPr>
          <w:rFonts w:ascii="Book Antiqua" w:hAnsi="Book Antiqua"/>
          <w:color w:val="000000"/>
        </w:rPr>
        <w:t>, is very useful in providing parties with clarity around what are ‘key documents’.</w:t>
      </w:r>
    </w:p>
    <w:p w14:paraId="1217FCC0" w14:textId="553D6342" w:rsidR="008100BE" w:rsidRDefault="00C2268B" w:rsidP="008100BE">
      <w:pPr>
        <w:pStyle w:val="NormalWeb"/>
        <w:numPr>
          <w:ilvl w:val="0"/>
          <w:numId w:val="11"/>
        </w:numPr>
        <w:spacing w:line="360" w:lineRule="auto"/>
        <w:jc w:val="both"/>
        <w:rPr>
          <w:rFonts w:ascii="Book Antiqua" w:hAnsi="Book Antiqua"/>
          <w:color w:val="000000"/>
        </w:rPr>
      </w:pPr>
      <w:r>
        <w:rPr>
          <w:rFonts w:ascii="Book Antiqua" w:hAnsi="Book Antiqua"/>
          <w:color w:val="000000"/>
        </w:rPr>
        <w:t>Once a matter has be</w:t>
      </w:r>
      <w:r w:rsidR="00B0185C">
        <w:rPr>
          <w:rFonts w:ascii="Book Antiqua" w:hAnsi="Book Antiqua"/>
          <w:color w:val="000000"/>
        </w:rPr>
        <w:t>e</w:t>
      </w:r>
      <w:r>
        <w:rPr>
          <w:rFonts w:ascii="Book Antiqua" w:hAnsi="Book Antiqua"/>
          <w:color w:val="000000"/>
        </w:rPr>
        <w:t>n allocated to a trial judge, i</w:t>
      </w:r>
      <w:r w:rsidR="001641C1">
        <w:rPr>
          <w:rFonts w:ascii="Book Antiqua" w:hAnsi="Book Antiqua"/>
          <w:color w:val="000000"/>
        </w:rPr>
        <w:t xml:space="preserve">t is suggested that parties </w:t>
      </w:r>
      <w:r w:rsidR="00DD72FC" w:rsidRPr="00760CF9">
        <w:rPr>
          <w:rFonts w:ascii="Book Antiqua" w:hAnsi="Book Antiqua"/>
          <w:color w:val="000000"/>
        </w:rPr>
        <w:t xml:space="preserve">contact the chambers of the trial judge </w:t>
      </w:r>
      <w:r w:rsidR="00760CF9" w:rsidRPr="00760CF9">
        <w:rPr>
          <w:rFonts w:ascii="Book Antiqua" w:hAnsi="Book Antiqua"/>
          <w:color w:val="000000"/>
        </w:rPr>
        <w:t xml:space="preserve">to </w:t>
      </w:r>
      <w:r w:rsidR="00DD72FC" w:rsidRPr="00760CF9">
        <w:rPr>
          <w:rFonts w:ascii="Book Antiqua" w:hAnsi="Book Antiqua"/>
          <w:color w:val="000000"/>
        </w:rPr>
        <w:t>ascertain what documents the</w:t>
      </w:r>
      <w:r w:rsidR="00760CF9" w:rsidRPr="00760CF9">
        <w:rPr>
          <w:rFonts w:ascii="Book Antiqua" w:hAnsi="Book Antiqua"/>
          <w:color w:val="000000"/>
        </w:rPr>
        <w:t xml:space="preserve">y </w:t>
      </w:r>
      <w:r w:rsidR="00DD72FC" w:rsidRPr="00760CF9">
        <w:rPr>
          <w:rFonts w:ascii="Book Antiqua" w:hAnsi="Book Antiqua"/>
          <w:color w:val="000000"/>
        </w:rPr>
        <w:t xml:space="preserve">require. </w:t>
      </w:r>
    </w:p>
    <w:p w14:paraId="2F15B1E5" w14:textId="7A584747" w:rsidR="008100BE" w:rsidRDefault="008100BE" w:rsidP="008100BE">
      <w:pPr>
        <w:pStyle w:val="NormalWeb"/>
        <w:spacing w:line="360" w:lineRule="auto"/>
        <w:jc w:val="both"/>
        <w:rPr>
          <w:rFonts w:ascii="Book Antiqua" w:hAnsi="Book Antiqua"/>
          <w:color w:val="000000"/>
        </w:rPr>
      </w:pPr>
    </w:p>
    <w:p w14:paraId="27B36A5A" w14:textId="77777777" w:rsidR="008100BE" w:rsidRPr="008100BE" w:rsidRDefault="008100BE" w:rsidP="008100BE">
      <w:pPr>
        <w:pStyle w:val="NormalWeb"/>
        <w:spacing w:line="360" w:lineRule="auto"/>
        <w:jc w:val="both"/>
        <w:rPr>
          <w:rFonts w:ascii="Book Antiqua" w:hAnsi="Book Antiqua"/>
          <w:color w:val="000000"/>
        </w:rPr>
      </w:pPr>
    </w:p>
    <w:p w14:paraId="2623A4CA" w14:textId="44E03AFB" w:rsidR="00C364EB" w:rsidRPr="00C364EB" w:rsidRDefault="00C364EB" w:rsidP="00C364EB">
      <w:pPr>
        <w:pStyle w:val="NormalWeb"/>
        <w:numPr>
          <w:ilvl w:val="1"/>
          <w:numId w:val="9"/>
        </w:numPr>
        <w:spacing w:line="360" w:lineRule="auto"/>
        <w:jc w:val="both"/>
        <w:rPr>
          <w:rFonts w:ascii="Book Antiqua" w:hAnsi="Book Antiqua"/>
          <w:b/>
          <w:color w:val="000000"/>
        </w:rPr>
      </w:pPr>
      <w:r>
        <w:rPr>
          <w:rFonts w:ascii="Book Antiqua" w:hAnsi="Book Antiqua"/>
          <w:b/>
          <w:color w:val="000000"/>
        </w:rPr>
        <w:t>Trial dates</w:t>
      </w:r>
    </w:p>
    <w:p w14:paraId="36CFEC04" w14:textId="70BBACC0" w:rsidR="009A2AA1" w:rsidRDefault="00C364EB" w:rsidP="00605113">
      <w:pPr>
        <w:pStyle w:val="NormalWeb"/>
        <w:numPr>
          <w:ilvl w:val="0"/>
          <w:numId w:val="34"/>
        </w:numPr>
        <w:spacing w:line="360" w:lineRule="auto"/>
        <w:jc w:val="both"/>
        <w:rPr>
          <w:rFonts w:ascii="Book Antiqua" w:hAnsi="Book Antiqua"/>
          <w:color w:val="000000"/>
        </w:rPr>
      </w:pPr>
      <w:r>
        <w:rPr>
          <w:rFonts w:ascii="Book Antiqua" w:hAnsi="Book Antiqua"/>
          <w:color w:val="000000"/>
        </w:rPr>
        <w:t xml:space="preserve">PIL matters are allocated trial dates as part of first directions. </w:t>
      </w:r>
      <w:r w:rsidR="0088674F">
        <w:rPr>
          <w:rFonts w:ascii="Book Antiqua" w:hAnsi="Book Antiqua"/>
          <w:color w:val="000000"/>
        </w:rPr>
        <w:t>W</w:t>
      </w:r>
      <w:r>
        <w:rPr>
          <w:rFonts w:ascii="Book Antiqua" w:hAnsi="Book Antiqua"/>
          <w:color w:val="000000"/>
        </w:rPr>
        <w:t xml:space="preserve">hile the tendency for personal injury claims to settle before trial is factored into the Court’s listing processes, late </w:t>
      </w:r>
      <w:r w:rsidR="009A2AA1">
        <w:rPr>
          <w:rFonts w:ascii="Book Antiqua" w:hAnsi="Book Antiqua"/>
          <w:color w:val="000000"/>
        </w:rPr>
        <w:t xml:space="preserve">adjournments of </w:t>
      </w:r>
      <w:r>
        <w:rPr>
          <w:rFonts w:ascii="Book Antiqua" w:hAnsi="Book Antiqua"/>
          <w:color w:val="000000"/>
        </w:rPr>
        <w:t xml:space="preserve">trial </w:t>
      </w:r>
      <w:r w:rsidR="009A2AA1">
        <w:rPr>
          <w:rFonts w:ascii="Book Antiqua" w:hAnsi="Book Antiqua"/>
          <w:color w:val="000000"/>
        </w:rPr>
        <w:t xml:space="preserve">are problematic, both for the Court and parties </w:t>
      </w:r>
      <w:r w:rsidR="009A2AA1">
        <w:rPr>
          <w:rFonts w:ascii="Book Antiqua" w:hAnsi="Book Antiqua"/>
          <w:color w:val="000000"/>
        </w:rPr>
        <w:lastRenderedPageBreak/>
        <w:t>as re-fixtures lead to delays and additional costs and make it difficult to list other cases at short notice.</w:t>
      </w:r>
    </w:p>
    <w:p w14:paraId="34FF7835" w14:textId="1CBE6965" w:rsidR="00605113" w:rsidRPr="00605113" w:rsidRDefault="00C364EB" w:rsidP="00605113">
      <w:pPr>
        <w:pStyle w:val="NormalWeb"/>
        <w:numPr>
          <w:ilvl w:val="0"/>
          <w:numId w:val="34"/>
        </w:numPr>
        <w:spacing w:line="360" w:lineRule="auto"/>
        <w:jc w:val="both"/>
        <w:rPr>
          <w:rFonts w:ascii="Book Antiqua" w:hAnsi="Book Antiqua"/>
          <w:color w:val="000000"/>
        </w:rPr>
      </w:pPr>
      <w:r>
        <w:rPr>
          <w:rFonts w:ascii="Book Antiqua" w:hAnsi="Book Antiqua"/>
          <w:color w:val="000000"/>
        </w:rPr>
        <w:t>F</w:t>
      </w:r>
      <w:r w:rsidR="00605113" w:rsidRPr="00605113">
        <w:rPr>
          <w:rFonts w:ascii="Book Antiqua" w:hAnsi="Book Antiqua"/>
          <w:color w:val="000000"/>
        </w:rPr>
        <w:t xml:space="preserve">igures indicate that in 2015/16 </w:t>
      </w:r>
      <w:r w:rsidR="001118F0">
        <w:rPr>
          <w:rFonts w:ascii="Book Antiqua" w:hAnsi="Book Antiqua"/>
          <w:color w:val="000000"/>
        </w:rPr>
        <w:t xml:space="preserve">approximately </w:t>
      </w:r>
      <w:r w:rsidR="00605113" w:rsidRPr="00605113">
        <w:rPr>
          <w:rFonts w:ascii="Book Antiqua" w:hAnsi="Book Antiqua"/>
          <w:color w:val="000000"/>
        </w:rPr>
        <w:t xml:space="preserve">48% of medical negligence matters were listed for trial on at least 2 occasions. </w:t>
      </w:r>
      <w:r w:rsidR="00754C23">
        <w:rPr>
          <w:rFonts w:ascii="Book Antiqua" w:hAnsi="Book Antiqua"/>
          <w:color w:val="000000"/>
        </w:rPr>
        <w:t>M</w:t>
      </w:r>
      <w:r w:rsidR="00754C23" w:rsidRPr="00605113">
        <w:rPr>
          <w:rFonts w:ascii="Book Antiqua" w:hAnsi="Book Antiqua"/>
          <w:color w:val="000000"/>
        </w:rPr>
        <w:t xml:space="preserve">edical negligence matters are </w:t>
      </w:r>
      <w:r w:rsidR="0088674F">
        <w:rPr>
          <w:rFonts w:ascii="Book Antiqua" w:hAnsi="Book Antiqua"/>
          <w:color w:val="000000"/>
        </w:rPr>
        <w:t xml:space="preserve">currently </w:t>
      </w:r>
      <w:r w:rsidR="00754C23" w:rsidRPr="00605113">
        <w:rPr>
          <w:rFonts w:ascii="Book Antiqua" w:hAnsi="Book Antiqua"/>
          <w:color w:val="000000"/>
        </w:rPr>
        <w:t xml:space="preserve">listed </w:t>
      </w:r>
      <w:r w:rsidR="00925EEB">
        <w:rPr>
          <w:rFonts w:ascii="Book Antiqua" w:hAnsi="Book Antiqua"/>
          <w:color w:val="000000"/>
        </w:rPr>
        <w:t xml:space="preserve">for trial </w:t>
      </w:r>
      <w:r w:rsidR="00754C23">
        <w:rPr>
          <w:rFonts w:ascii="Book Antiqua" w:hAnsi="Book Antiqua"/>
          <w:color w:val="000000"/>
        </w:rPr>
        <w:t xml:space="preserve">approximately </w:t>
      </w:r>
      <w:r w:rsidR="00754C23" w:rsidRPr="00605113">
        <w:rPr>
          <w:rFonts w:ascii="Book Antiqua" w:hAnsi="Book Antiqua"/>
          <w:color w:val="000000"/>
        </w:rPr>
        <w:t xml:space="preserve">12 months from the time of the first directions </w:t>
      </w:r>
      <w:r w:rsidR="0088674F">
        <w:rPr>
          <w:rFonts w:ascii="Book Antiqua" w:hAnsi="Book Antiqua"/>
          <w:color w:val="000000"/>
        </w:rPr>
        <w:t>order</w:t>
      </w:r>
      <w:r w:rsidR="00754C23" w:rsidRPr="00605113">
        <w:rPr>
          <w:rFonts w:ascii="Book Antiqua" w:hAnsi="Book Antiqua"/>
          <w:color w:val="000000"/>
        </w:rPr>
        <w:t xml:space="preserve"> and </w:t>
      </w:r>
      <w:r w:rsidR="00754C23">
        <w:rPr>
          <w:rFonts w:ascii="Book Antiqua" w:hAnsi="Book Antiqua"/>
          <w:color w:val="000000"/>
        </w:rPr>
        <w:t xml:space="preserve">parties in these types of cases may wish to request </w:t>
      </w:r>
      <w:r w:rsidR="0088674F">
        <w:rPr>
          <w:rFonts w:ascii="Book Antiqua" w:hAnsi="Book Antiqua"/>
          <w:color w:val="000000"/>
        </w:rPr>
        <w:t xml:space="preserve">a </w:t>
      </w:r>
      <w:r w:rsidR="00754C23">
        <w:rPr>
          <w:rFonts w:ascii="Book Antiqua" w:hAnsi="Book Antiqua"/>
          <w:color w:val="000000"/>
        </w:rPr>
        <w:t>later trial date at the outset</w:t>
      </w:r>
      <w:r w:rsidR="00C86FD9">
        <w:rPr>
          <w:rFonts w:ascii="Book Antiqua" w:hAnsi="Book Antiqua"/>
          <w:color w:val="000000"/>
        </w:rPr>
        <w:t xml:space="preserve"> </w:t>
      </w:r>
      <w:r w:rsidR="00925EEB">
        <w:rPr>
          <w:rFonts w:ascii="Book Antiqua" w:hAnsi="Book Antiqua"/>
          <w:color w:val="000000"/>
        </w:rPr>
        <w:t>to ensure readiness for trial</w:t>
      </w:r>
      <w:r w:rsidR="00754C23">
        <w:rPr>
          <w:rFonts w:ascii="Book Antiqua" w:hAnsi="Book Antiqua"/>
          <w:color w:val="000000"/>
        </w:rPr>
        <w:t>.</w:t>
      </w:r>
    </w:p>
    <w:p w14:paraId="3C0E0A07" w14:textId="2A9309C9" w:rsidR="00754C23" w:rsidRDefault="009A2AA1" w:rsidP="00754C23">
      <w:pPr>
        <w:pStyle w:val="NormalWeb"/>
        <w:numPr>
          <w:ilvl w:val="0"/>
          <w:numId w:val="34"/>
        </w:numPr>
        <w:spacing w:line="360" w:lineRule="auto"/>
        <w:rPr>
          <w:rFonts w:ascii="Book Antiqua" w:hAnsi="Book Antiqua"/>
          <w:color w:val="000000"/>
        </w:rPr>
      </w:pPr>
      <w:r w:rsidRPr="00DE5916">
        <w:rPr>
          <w:rFonts w:ascii="Book Antiqua" w:hAnsi="Book Antiqua"/>
          <w:color w:val="000000"/>
        </w:rPr>
        <w:t>Alternative listing practices, such as waiting until after unsuccessful mediation to allocate a trial date, have been considered</w:t>
      </w:r>
      <w:r w:rsidR="00DE5916" w:rsidRPr="00DE5916">
        <w:rPr>
          <w:rFonts w:ascii="Book Antiqua" w:hAnsi="Book Antiqua"/>
          <w:color w:val="000000"/>
        </w:rPr>
        <w:t xml:space="preserve"> by the Court</w:t>
      </w:r>
      <w:r w:rsidRPr="00DE5916">
        <w:rPr>
          <w:rFonts w:ascii="Book Antiqua" w:hAnsi="Book Antiqua"/>
          <w:color w:val="000000"/>
        </w:rPr>
        <w:t xml:space="preserve">. Practitioner feedback is </w:t>
      </w:r>
      <w:r w:rsidR="00754C23" w:rsidRPr="00DE5916">
        <w:rPr>
          <w:rFonts w:ascii="Book Antiqua" w:hAnsi="Book Antiqua"/>
          <w:color w:val="000000"/>
        </w:rPr>
        <w:t>that this is not the desired course.</w:t>
      </w:r>
      <w:r w:rsidRPr="00DE5916">
        <w:rPr>
          <w:rFonts w:ascii="Book Antiqua" w:hAnsi="Book Antiqua"/>
          <w:color w:val="000000"/>
        </w:rPr>
        <w:t xml:space="preserve"> </w:t>
      </w:r>
      <w:r w:rsidR="00754C23" w:rsidRPr="00DE5916">
        <w:rPr>
          <w:rFonts w:ascii="Book Antiqua" w:hAnsi="Book Antiqua"/>
          <w:color w:val="000000"/>
        </w:rPr>
        <w:t xml:space="preserve">Listing practices will remain </w:t>
      </w:r>
      <w:r w:rsidR="0088674F" w:rsidRPr="00DE5916">
        <w:rPr>
          <w:rFonts w:ascii="Book Antiqua" w:hAnsi="Book Antiqua"/>
          <w:color w:val="000000"/>
        </w:rPr>
        <w:t>in place</w:t>
      </w:r>
      <w:r w:rsidR="00754C23" w:rsidRPr="00DE5916">
        <w:rPr>
          <w:rFonts w:ascii="Book Antiqua" w:hAnsi="Book Antiqua"/>
          <w:color w:val="000000"/>
        </w:rPr>
        <w:t xml:space="preserve"> and the Court will review the situation in 6 </w:t>
      </w:r>
      <w:r w:rsidR="00304B84" w:rsidRPr="00DE5916">
        <w:rPr>
          <w:rFonts w:ascii="Book Antiqua" w:hAnsi="Book Antiqua"/>
          <w:color w:val="000000"/>
        </w:rPr>
        <w:t>months.</w:t>
      </w:r>
    </w:p>
    <w:p w14:paraId="1F0EE9EF" w14:textId="2169CE0F" w:rsidR="00745756" w:rsidRPr="00745756" w:rsidRDefault="00745756" w:rsidP="00745756">
      <w:pPr>
        <w:pStyle w:val="NormalWeb"/>
        <w:numPr>
          <w:ilvl w:val="1"/>
          <w:numId w:val="9"/>
        </w:numPr>
        <w:spacing w:line="360" w:lineRule="auto"/>
        <w:jc w:val="both"/>
        <w:rPr>
          <w:rFonts w:ascii="Book Antiqua" w:hAnsi="Book Antiqua"/>
          <w:b/>
          <w:color w:val="000000"/>
        </w:rPr>
      </w:pPr>
      <w:r w:rsidRPr="00745756">
        <w:rPr>
          <w:rFonts w:ascii="Book Antiqua" w:hAnsi="Book Antiqua"/>
          <w:b/>
          <w:color w:val="000000"/>
        </w:rPr>
        <w:t xml:space="preserve">Finalisation of proceedings </w:t>
      </w:r>
    </w:p>
    <w:p w14:paraId="1A313451" w14:textId="4337B9DC" w:rsidR="00745756" w:rsidRPr="00745756" w:rsidRDefault="00745756" w:rsidP="00745756">
      <w:pPr>
        <w:pStyle w:val="NormalWeb"/>
        <w:numPr>
          <w:ilvl w:val="0"/>
          <w:numId w:val="34"/>
        </w:numPr>
        <w:spacing w:line="360" w:lineRule="auto"/>
        <w:rPr>
          <w:rFonts w:ascii="Book Antiqua" w:hAnsi="Book Antiqua"/>
          <w:color w:val="000000"/>
        </w:rPr>
      </w:pPr>
      <w:r w:rsidRPr="00745756">
        <w:rPr>
          <w:rFonts w:ascii="Book Antiqua" w:hAnsi="Book Antiqua"/>
          <w:color w:val="000000"/>
        </w:rPr>
        <w:t xml:space="preserve">Where matters have settled, the Court will list the proceeding for directions in 4-6 weeks to allow </w:t>
      </w:r>
      <w:r w:rsidR="00EA27C9">
        <w:rPr>
          <w:rFonts w:ascii="Book Antiqua" w:hAnsi="Book Antiqua"/>
          <w:color w:val="000000"/>
        </w:rPr>
        <w:t xml:space="preserve">either the filing of a Notice of Discontinuance or </w:t>
      </w:r>
      <w:r w:rsidRPr="00745756">
        <w:rPr>
          <w:rFonts w:ascii="Book Antiqua" w:hAnsi="Book Antiqua"/>
          <w:color w:val="000000"/>
        </w:rPr>
        <w:t xml:space="preserve">minutes </w:t>
      </w:r>
      <w:r w:rsidR="00EA27C9">
        <w:rPr>
          <w:rFonts w:ascii="Book Antiqua" w:hAnsi="Book Antiqua"/>
          <w:color w:val="000000"/>
        </w:rPr>
        <w:t xml:space="preserve">of proposed orders </w:t>
      </w:r>
      <w:r w:rsidRPr="00745756">
        <w:rPr>
          <w:rFonts w:ascii="Book Antiqua" w:hAnsi="Book Antiqua"/>
          <w:color w:val="000000"/>
        </w:rPr>
        <w:t xml:space="preserve">to be submitted to finalise the proceeding. </w:t>
      </w:r>
    </w:p>
    <w:p w14:paraId="65EB359D" w14:textId="52B6CA3E" w:rsidR="00745756" w:rsidRPr="00DE5916" w:rsidRDefault="00745756" w:rsidP="00745756">
      <w:pPr>
        <w:pStyle w:val="NormalWeb"/>
        <w:numPr>
          <w:ilvl w:val="0"/>
          <w:numId w:val="34"/>
        </w:numPr>
        <w:spacing w:line="360" w:lineRule="auto"/>
        <w:rPr>
          <w:rFonts w:ascii="Book Antiqua" w:hAnsi="Book Antiqua"/>
          <w:color w:val="000000"/>
        </w:rPr>
      </w:pPr>
      <w:r w:rsidRPr="00745756">
        <w:rPr>
          <w:rFonts w:ascii="Book Antiqua" w:hAnsi="Book Antiqua"/>
          <w:color w:val="000000"/>
        </w:rPr>
        <w:t>Until the matter is finalised, the matter is reflected as ‘open’ on the Court’s system and this affects Court metrics.</w:t>
      </w:r>
    </w:p>
    <w:p w14:paraId="27405BCF" w14:textId="28A283AC" w:rsidR="00015AD7" w:rsidRPr="00806FB1" w:rsidRDefault="00015AD7" w:rsidP="0059364E">
      <w:pPr>
        <w:pStyle w:val="NormalWeb"/>
        <w:numPr>
          <w:ilvl w:val="1"/>
          <w:numId w:val="9"/>
        </w:numPr>
        <w:spacing w:line="360" w:lineRule="auto"/>
        <w:jc w:val="both"/>
        <w:rPr>
          <w:rFonts w:ascii="Book Antiqua" w:hAnsi="Book Antiqua"/>
          <w:b/>
          <w:color w:val="000000"/>
        </w:rPr>
      </w:pPr>
      <w:r w:rsidRPr="00806FB1">
        <w:rPr>
          <w:rFonts w:ascii="Book Antiqua" w:hAnsi="Book Antiqua"/>
          <w:b/>
          <w:color w:val="000000"/>
        </w:rPr>
        <w:t>Applications for Solicitor/Client Costs</w:t>
      </w:r>
    </w:p>
    <w:p w14:paraId="6B0EE1D3" w14:textId="0FEAF49A" w:rsidR="00015AD7" w:rsidRDefault="00FC7FD3"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Plaintiff practitioners </w:t>
      </w:r>
      <w:r w:rsidR="0088674F">
        <w:rPr>
          <w:rFonts w:ascii="Book Antiqua" w:hAnsi="Book Antiqua"/>
          <w:color w:val="000000"/>
        </w:rPr>
        <w:t>should</w:t>
      </w:r>
      <w:r w:rsidR="00015AD7" w:rsidRPr="00AF4112">
        <w:rPr>
          <w:rFonts w:ascii="Book Antiqua" w:hAnsi="Book Antiqua"/>
          <w:color w:val="000000"/>
        </w:rPr>
        <w:t xml:space="preserve"> ensure</w:t>
      </w:r>
      <w:r>
        <w:rPr>
          <w:rFonts w:ascii="Book Antiqua" w:hAnsi="Book Antiqua"/>
          <w:color w:val="000000"/>
        </w:rPr>
        <w:t xml:space="preserve">, when </w:t>
      </w:r>
      <w:r w:rsidR="00015AD7" w:rsidRPr="00AF4112">
        <w:rPr>
          <w:rFonts w:ascii="Book Antiqua" w:hAnsi="Book Antiqua"/>
          <w:color w:val="000000"/>
        </w:rPr>
        <w:t xml:space="preserve">seeking final orders to dispose of workplace </w:t>
      </w:r>
      <w:r>
        <w:rPr>
          <w:rFonts w:ascii="Book Antiqua" w:hAnsi="Book Antiqua"/>
          <w:color w:val="000000"/>
        </w:rPr>
        <w:t xml:space="preserve">injury claims, that they consider the necessity for leave to make a </w:t>
      </w:r>
      <w:r w:rsidR="00015AD7" w:rsidRPr="00AF4112">
        <w:rPr>
          <w:rFonts w:ascii="Book Antiqua" w:hAnsi="Book Antiqua"/>
          <w:color w:val="000000"/>
        </w:rPr>
        <w:t>solicitor/client costs application pursuant to the</w:t>
      </w:r>
      <w:r>
        <w:rPr>
          <w:rFonts w:ascii="Book Antiqua" w:hAnsi="Book Antiqua"/>
          <w:color w:val="000000"/>
        </w:rPr>
        <w:t xml:space="preserve"> relevant provisions of the</w:t>
      </w:r>
      <w:r w:rsidR="00015AD7" w:rsidRPr="00AF4112">
        <w:rPr>
          <w:rFonts w:ascii="Book Antiqua" w:hAnsi="Book Antiqua"/>
          <w:color w:val="000000"/>
        </w:rPr>
        <w:t xml:space="preserve"> </w:t>
      </w:r>
      <w:r w:rsidR="00015AD7" w:rsidRPr="00AF4112">
        <w:rPr>
          <w:rFonts w:ascii="Book Antiqua" w:hAnsi="Book Antiqua"/>
          <w:i/>
          <w:color w:val="000000"/>
        </w:rPr>
        <w:t xml:space="preserve">Accident Compensation Act </w:t>
      </w:r>
      <w:r w:rsidR="00262BB3">
        <w:rPr>
          <w:rFonts w:ascii="Book Antiqua" w:hAnsi="Book Antiqua"/>
          <w:i/>
          <w:color w:val="000000"/>
        </w:rPr>
        <w:t xml:space="preserve">1985 </w:t>
      </w:r>
      <w:r w:rsidR="00015AD7" w:rsidRPr="00AF4112">
        <w:rPr>
          <w:rFonts w:ascii="Book Antiqua" w:hAnsi="Book Antiqua"/>
          <w:color w:val="000000"/>
        </w:rPr>
        <w:t xml:space="preserve">or </w:t>
      </w:r>
      <w:r w:rsidR="00015AD7" w:rsidRPr="00AF4112">
        <w:rPr>
          <w:rFonts w:ascii="Book Antiqua" w:hAnsi="Book Antiqua"/>
          <w:i/>
          <w:color w:val="000000"/>
        </w:rPr>
        <w:t>Workplace Injury Rehabilitation &amp; Compensation Act 2013</w:t>
      </w:r>
      <w:r w:rsidR="00262BB3">
        <w:rPr>
          <w:rFonts w:ascii="Book Antiqua" w:hAnsi="Book Antiqua"/>
          <w:i/>
          <w:color w:val="000000"/>
        </w:rPr>
        <w:t>.</w:t>
      </w:r>
    </w:p>
    <w:p w14:paraId="776F44F3" w14:textId="77777777" w:rsidR="002D1987" w:rsidRDefault="002D1987"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Applications need not be accompanied by detailed bills of costs.</w:t>
      </w:r>
    </w:p>
    <w:p w14:paraId="4FB14BC9" w14:textId="779CCE16" w:rsidR="00FC7FD3" w:rsidRDefault="002D1987"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The Court’s current practice of requiring certification from an independent costs assessor is under review.</w:t>
      </w:r>
    </w:p>
    <w:p w14:paraId="559B1455" w14:textId="0ECBAA65" w:rsidR="00736DB8" w:rsidRDefault="00736DB8" w:rsidP="00736DB8">
      <w:pPr>
        <w:pStyle w:val="NormalWeb"/>
        <w:spacing w:line="360" w:lineRule="auto"/>
        <w:jc w:val="both"/>
        <w:rPr>
          <w:rFonts w:ascii="Book Antiqua" w:hAnsi="Book Antiqua"/>
          <w:color w:val="000000"/>
        </w:rPr>
      </w:pPr>
    </w:p>
    <w:p w14:paraId="3654A6DB" w14:textId="0A349F44" w:rsidR="00736DB8" w:rsidRDefault="00736DB8" w:rsidP="00736DB8">
      <w:pPr>
        <w:pStyle w:val="NormalWeb"/>
        <w:spacing w:line="360" w:lineRule="auto"/>
        <w:jc w:val="both"/>
        <w:rPr>
          <w:rFonts w:ascii="Book Antiqua" w:hAnsi="Book Antiqua"/>
          <w:color w:val="000000"/>
        </w:rPr>
      </w:pPr>
    </w:p>
    <w:p w14:paraId="1FCEB9EA" w14:textId="77777777" w:rsidR="00736DB8" w:rsidRPr="00AF4112" w:rsidRDefault="00736DB8" w:rsidP="00736DB8">
      <w:pPr>
        <w:pStyle w:val="NormalWeb"/>
        <w:spacing w:line="360" w:lineRule="auto"/>
        <w:jc w:val="both"/>
        <w:rPr>
          <w:rFonts w:ascii="Book Antiqua" w:hAnsi="Book Antiqua"/>
          <w:color w:val="000000"/>
        </w:rPr>
      </w:pPr>
    </w:p>
    <w:p w14:paraId="2FFF2275" w14:textId="77777777" w:rsidR="00015AD7" w:rsidRPr="00806FB1" w:rsidRDefault="00015AD7" w:rsidP="0059364E">
      <w:pPr>
        <w:pStyle w:val="NormalWeb"/>
        <w:numPr>
          <w:ilvl w:val="1"/>
          <w:numId w:val="9"/>
        </w:numPr>
        <w:spacing w:line="360" w:lineRule="auto"/>
        <w:jc w:val="both"/>
        <w:rPr>
          <w:rFonts w:ascii="Book Antiqua" w:hAnsi="Book Antiqua"/>
          <w:b/>
          <w:color w:val="000000"/>
        </w:rPr>
      </w:pPr>
      <w:bookmarkStart w:id="0" w:name="_GoBack"/>
      <w:r w:rsidRPr="00806FB1">
        <w:rPr>
          <w:rFonts w:ascii="Book Antiqua" w:hAnsi="Book Antiqua"/>
          <w:b/>
          <w:color w:val="000000"/>
        </w:rPr>
        <w:t xml:space="preserve">Appearances by juniors: </w:t>
      </w:r>
    </w:p>
    <w:bookmarkEnd w:id="0"/>
    <w:p w14:paraId="60A852D0" w14:textId="7A9E2462" w:rsidR="00015AD7" w:rsidRDefault="005329C0"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The Court encourages </w:t>
      </w:r>
      <w:r w:rsidR="00015AD7" w:rsidRPr="00AF4112">
        <w:rPr>
          <w:rFonts w:ascii="Book Antiqua" w:hAnsi="Book Antiqua"/>
          <w:color w:val="000000"/>
        </w:rPr>
        <w:t>junior practitioners to a</w:t>
      </w:r>
      <w:r w:rsidR="00D03145">
        <w:rPr>
          <w:rFonts w:ascii="Book Antiqua" w:hAnsi="Book Antiqua"/>
          <w:color w:val="000000"/>
        </w:rPr>
        <w:t xml:space="preserve">ppear at </w:t>
      </w:r>
      <w:r w:rsidR="00015AD7" w:rsidRPr="00AF4112">
        <w:rPr>
          <w:rFonts w:ascii="Book Antiqua" w:hAnsi="Book Antiqua"/>
          <w:color w:val="000000"/>
        </w:rPr>
        <w:t xml:space="preserve">directions hearings </w:t>
      </w:r>
      <w:r w:rsidR="00D03145">
        <w:rPr>
          <w:rFonts w:ascii="Book Antiqua" w:hAnsi="Book Antiqua"/>
          <w:color w:val="000000"/>
        </w:rPr>
        <w:t xml:space="preserve">however they must be </w:t>
      </w:r>
      <w:r w:rsidR="00015AD7" w:rsidRPr="00AF4112">
        <w:rPr>
          <w:rFonts w:ascii="Book Antiqua" w:hAnsi="Book Antiqua"/>
          <w:color w:val="000000"/>
        </w:rPr>
        <w:t>familiar with the proceeding</w:t>
      </w:r>
      <w:r w:rsidR="00D03145">
        <w:rPr>
          <w:rFonts w:ascii="Book Antiqua" w:hAnsi="Book Antiqua"/>
          <w:color w:val="000000"/>
        </w:rPr>
        <w:t xml:space="preserve"> and able to answer questions from the Bench</w:t>
      </w:r>
      <w:r w:rsidR="00015AD7" w:rsidRPr="00AF4112">
        <w:rPr>
          <w:rFonts w:ascii="Book Antiqua" w:hAnsi="Book Antiqua"/>
          <w:color w:val="000000"/>
        </w:rPr>
        <w:t xml:space="preserve">. </w:t>
      </w:r>
    </w:p>
    <w:p w14:paraId="14840513" w14:textId="4A46E69D" w:rsidR="007B7EDC" w:rsidRDefault="00015AD7" w:rsidP="0059364E">
      <w:pPr>
        <w:pStyle w:val="NormalWeb"/>
        <w:numPr>
          <w:ilvl w:val="0"/>
          <w:numId w:val="9"/>
        </w:numPr>
        <w:spacing w:line="360" w:lineRule="auto"/>
        <w:jc w:val="both"/>
        <w:rPr>
          <w:rFonts w:ascii="Book Antiqua" w:hAnsi="Book Antiqua"/>
          <w:b/>
          <w:color w:val="000000"/>
        </w:rPr>
      </w:pPr>
      <w:r w:rsidRPr="007B7EDC">
        <w:rPr>
          <w:rFonts w:ascii="Book Antiqua" w:hAnsi="Book Antiqua"/>
          <w:b/>
          <w:color w:val="000000"/>
        </w:rPr>
        <w:t>Mediation</w:t>
      </w:r>
    </w:p>
    <w:p w14:paraId="2997E6AA" w14:textId="1E1843CF" w:rsidR="00015AD7" w:rsidRPr="00AF4112" w:rsidRDefault="00D03145"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The importance of practitioners going to mediation armed with an estimate of their costs was emphasised. The Court is considering </w:t>
      </w:r>
      <w:r w:rsidR="007B7EDC">
        <w:rPr>
          <w:rFonts w:ascii="Book Antiqua" w:hAnsi="Book Antiqua"/>
          <w:color w:val="000000"/>
        </w:rPr>
        <w:t xml:space="preserve">making </w:t>
      </w:r>
      <w:r w:rsidR="00C2268B">
        <w:rPr>
          <w:rFonts w:ascii="Book Antiqua" w:hAnsi="Book Antiqua"/>
          <w:color w:val="000000"/>
        </w:rPr>
        <w:t>this a standard order</w:t>
      </w:r>
      <w:r w:rsidR="007B7EDC">
        <w:rPr>
          <w:rFonts w:ascii="Book Antiqua" w:hAnsi="Book Antiqua"/>
          <w:color w:val="000000"/>
        </w:rPr>
        <w:t>.</w:t>
      </w:r>
    </w:p>
    <w:p w14:paraId="33594C73" w14:textId="097D36CE" w:rsidR="00015AD7" w:rsidRDefault="00D03145" w:rsidP="007B7EDC">
      <w:pPr>
        <w:pStyle w:val="NormalWeb"/>
        <w:numPr>
          <w:ilvl w:val="0"/>
          <w:numId w:val="11"/>
        </w:numPr>
        <w:spacing w:line="360" w:lineRule="auto"/>
        <w:jc w:val="both"/>
        <w:rPr>
          <w:rFonts w:ascii="Book Antiqua" w:hAnsi="Book Antiqua"/>
          <w:color w:val="000000"/>
        </w:rPr>
      </w:pPr>
      <w:r w:rsidRPr="007B75ED">
        <w:rPr>
          <w:rFonts w:ascii="Book Antiqua" w:hAnsi="Book Antiqua"/>
          <w:color w:val="000000"/>
        </w:rPr>
        <w:lastRenderedPageBreak/>
        <w:t xml:space="preserve">The Court is </w:t>
      </w:r>
      <w:r w:rsidR="007E0D6E" w:rsidRPr="007B75ED">
        <w:rPr>
          <w:rFonts w:ascii="Book Antiqua" w:hAnsi="Book Antiqua"/>
          <w:color w:val="000000"/>
        </w:rPr>
        <w:t xml:space="preserve">also </w:t>
      </w:r>
      <w:r w:rsidRPr="007B75ED">
        <w:rPr>
          <w:rFonts w:ascii="Book Antiqua" w:hAnsi="Book Antiqua"/>
          <w:color w:val="000000"/>
        </w:rPr>
        <w:t xml:space="preserve">considering whether orders requiring multiple defendants to confer prior to mediation in relation to contribution should be built into standard timetabling orders. </w:t>
      </w:r>
    </w:p>
    <w:p w14:paraId="1155402B" w14:textId="158FD199" w:rsidR="00015AD7" w:rsidRPr="00023C1C" w:rsidRDefault="00015AD7" w:rsidP="0059364E">
      <w:pPr>
        <w:pStyle w:val="NormalWeb"/>
        <w:numPr>
          <w:ilvl w:val="0"/>
          <w:numId w:val="9"/>
        </w:numPr>
        <w:spacing w:line="360" w:lineRule="auto"/>
        <w:jc w:val="both"/>
        <w:rPr>
          <w:rFonts w:ascii="Book Antiqua" w:hAnsi="Book Antiqua"/>
          <w:b/>
          <w:color w:val="000000"/>
        </w:rPr>
      </w:pPr>
      <w:r w:rsidRPr="00023C1C">
        <w:rPr>
          <w:rFonts w:ascii="Book Antiqua" w:hAnsi="Book Antiqua"/>
          <w:b/>
          <w:color w:val="000000"/>
        </w:rPr>
        <w:t>Structured settlements</w:t>
      </w:r>
      <w:r w:rsidR="00DE6476" w:rsidRPr="00023C1C">
        <w:rPr>
          <w:rFonts w:ascii="Book Antiqua" w:hAnsi="Book Antiqua"/>
          <w:b/>
          <w:color w:val="000000"/>
        </w:rPr>
        <w:t xml:space="preserve"> for plaintiffs under a disability</w:t>
      </w:r>
      <w:r w:rsidRPr="00023C1C">
        <w:rPr>
          <w:rFonts w:ascii="Book Antiqua" w:hAnsi="Book Antiqua"/>
          <w:b/>
          <w:color w:val="000000"/>
        </w:rPr>
        <w:t xml:space="preserve"> </w:t>
      </w:r>
    </w:p>
    <w:p w14:paraId="4F661116" w14:textId="5DDBD6BB" w:rsidR="007B75ED" w:rsidRPr="00AF4112" w:rsidRDefault="00DE6476" w:rsidP="007B75ED">
      <w:pPr>
        <w:pStyle w:val="NormalWeb"/>
        <w:numPr>
          <w:ilvl w:val="0"/>
          <w:numId w:val="11"/>
        </w:numPr>
        <w:spacing w:line="360" w:lineRule="auto"/>
        <w:jc w:val="both"/>
        <w:rPr>
          <w:rFonts w:ascii="Book Antiqua" w:hAnsi="Book Antiqua"/>
          <w:color w:val="000000"/>
        </w:rPr>
      </w:pPr>
      <w:r w:rsidRPr="00DE6476">
        <w:rPr>
          <w:rFonts w:ascii="Book Antiqua" w:hAnsi="Book Antiqua"/>
          <w:color w:val="000000"/>
        </w:rPr>
        <w:t xml:space="preserve">The Court </w:t>
      </w:r>
      <w:r w:rsidR="007B7EDC">
        <w:rPr>
          <w:rFonts w:ascii="Book Antiqua" w:hAnsi="Book Antiqua"/>
          <w:color w:val="000000"/>
        </w:rPr>
        <w:t xml:space="preserve">is </w:t>
      </w:r>
      <w:r w:rsidRPr="00DE6476">
        <w:rPr>
          <w:rFonts w:ascii="Book Antiqua" w:hAnsi="Book Antiqua"/>
          <w:color w:val="000000"/>
        </w:rPr>
        <w:t>consider</w:t>
      </w:r>
      <w:r w:rsidR="007B7EDC">
        <w:rPr>
          <w:rFonts w:ascii="Book Antiqua" w:hAnsi="Book Antiqua"/>
          <w:color w:val="000000"/>
        </w:rPr>
        <w:t>ing whether i</w:t>
      </w:r>
      <w:r w:rsidRPr="00DE6476">
        <w:rPr>
          <w:rFonts w:ascii="Book Antiqua" w:hAnsi="Book Antiqua"/>
          <w:color w:val="000000"/>
        </w:rPr>
        <w:t>t may be possible to forego the need for counsel’s opinion in support of applications for a</w:t>
      </w:r>
      <w:r w:rsidR="00015AD7" w:rsidRPr="00DE6476">
        <w:rPr>
          <w:rFonts w:ascii="Book Antiqua" w:hAnsi="Book Antiqua"/>
          <w:color w:val="000000"/>
        </w:rPr>
        <w:t xml:space="preserve">pproval of </w:t>
      </w:r>
      <w:r w:rsidRPr="00DE6476">
        <w:rPr>
          <w:rFonts w:ascii="Book Antiqua" w:hAnsi="Book Antiqua"/>
          <w:color w:val="000000"/>
        </w:rPr>
        <w:t>c</w:t>
      </w:r>
      <w:r w:rsidR="00015AD7" w:rsidRPr="00DE6476">
        <w:rPr>
          <w:rFonts w:ascii="Book Antiqua" w:hAnsi="Book Antiqua"/>
          <w:color w:val="000000"/>
        </w:rPr>
        <w:t>ompromise</w:t>
      </w:r>
      <w:r w:rsidRPr="00DE6476">
        <w:rPr>
          <w:rFonts w:ascii="Book Antiqua" w:hAnsi="Book Antiqua"/>
          <w:color w:val="000000"/>
        </w:rPr>
        <w:t xml:space="preserve"> where the settlement is for general damages only and equates to a statutory maximum entitlement.</w:t>
      </w:r>
      <w:r w:rsidR="007B75ED">
        <w:rPr>
          <w:rFonts w:ascii="Book Antiqua" w:hAnsi="Book Antiqua"/>
          <w:color w:val="000000"/>
        </w:rPr>
        <w:t xml:space="preserve"> A Notice to the Profession outlining the circumstances under which this requirement may be dispensed with will be published in the event of a change in the Court’s current practices.</w:t>
      </w:r>
    </w:p>
    <w:p w14:paraId="06A06317" w14:textId="66D0B8B1" w:rsidR="00023C1C" w:rsidRDefault="00023C1C" w:rsidP="007B7EDC">
      <w:pPr>
        <w:pStyle w:val="NormalWeb"/>
        <w:spacing w:line="360" w:lineRule="auto"/>
        <w:ind w:left="1800"/>
        <w:jc w:val="both"/>
        <w:rPr>
          <w:rFonts w:ascii="Book Antiqua" w:hAnsi="Book Antiqua"/>
          <w:color w:val="000000"/>
        </w:rPr>
      </w:pPr>
    </w:p>
    <w:p w14:paraId="12042534" w14:textId="1455B48D" w:rsidR="00023C1C" w:rsidRDefault="00023C1C" w:rsidP="0059364E">
      <w:pPr>
        <w:spacing w:line="360" w:lineRule="auto"/>
        <w:ind w:left="720"/>
        <w:rPr>
          <w:rFonts w:ascii="Book Antiqua" w:hAnsi="Book Antiqua"/>
          <w:b/>
          <w:sz w:val="24"/>
        </w:rPr>
      </w:pPr>
      <w:r w:rsidRPr="00023C1C">
        <w:rPr>
          <w:rFonts w:ascii="Book Antiqua" w:hAnsi="Book Antiqua"/>
          <w:b/>
          <w:sz w:val="24"/>
        </w:rPr>
        <w:t>CIVIL CIRCUIT LIST</w:t>
      </w:r>
    </w:p>
    <w:p w14:paraId="3BCB6BCE" w14:textId="3E03A03D" w:rsidR="00216BC8" w:rsidRDefault="00216BC8" w:rsidP="0059364E">
      <w:pPr>
        <w:pStyle w:val="NormalWeb"/>
        <w:numPr>
          <w:ilvl w:val="0"/>
          <w:numId w:val="9"/>
        </w:numPr>
        <w:spacing w:line="360" w:lineRule="auto"/>
        <w:jc w:val="both"/>
        <w:rPr>
          <w:rFonts w:ascii="Book Antiqua" w:hAnsi="Book Antiqua"/>
          <w:b/>
          <w:color w:val="000000"/>
        </w:rPr>
      </w:pPr>
      <w:r>
        <w:rPr>
          <w:rFonts w:ascii="Book Antiqua" w:hAnsi="Book Antiqua"/>
          <w:b/>
          <w:color w:val="000000"/>
        </w:rPr>
        <w:t>Regional courthouse</w:t>
      </w:r>
      <w:r w:rsidR="000E2207">
        <w:rPr>
          <w:rFonts w:ascii="Book Antiqua" w:hAnsi="Book Antiqua"/>
          <w:b/>
          <w:color w:val="000000"/>
        </w:rPr>
        <w:t xml:space="preserve"> redevelopment</w:t>
      </w:r>
    </w:p>
    <w:p w14:paraId="6BAC1F13" w14:textId="0D2B78F3" w:rsidR="00216BC8" w:rsidRPr="00216BC8" w:rsidRDefault="00216BC8"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 xml:space="preserve">Construction of </w:t>
      </w:r>
      <w:r w:rsidR="000B1E25">
        <w:rPr>
          <w:rFonts w:ascii="Book Antiqua" w:hAnsi="Book Antiqua"/>
          <w:color w:val="000000"/>
        </w:rPr>
        <w:t xml:space="preserve">the new </w:t>
      </w:r>
      <w:r w:rsidRPr="00216BC8">
        <w:rPr>
          <w:rFonts w:ascii="Book Antiqua" w:hAnsi="Book Antiqua"/>
          <w:color w:val="000000"/>
        </w:rPr>
        <w:t xml:space="preserve">Shepparton </w:t>
      </w:r>
      <w:r w:rsidR="000B1E25">
        <w:rPr>
          <w:rFonts w:ascii="Book Antiqua" w:hAnsi="Book Antiqua"/>
          <w:color w:val="000000"/>
        </w:rPr>
        <w:t xml:space="preserve">court complex is well under way and, subject to completion, </w:t>
      </w:r>
      <w:r w:rsidR="000B1E25" w:rsidRPr="00216BC8">
        <w:rPr>
          <w:rFonts w:ascii="Book Antiqua" w:hAnsi="Book Antiqua"/>
        </w:rPr>
        <w:t xml:space="preserve">the first </w:t>
      </w:r>
      <w:r w:rsidR="000B1E25">
        <w:rPr>
          <w:rFonts w:ascii="Book Antiqua" w:hAnsi="Book Antiqua"/>
        </w:rPr>
        <w:t xml:space="preserve">civil circuit </w:t>
      </w:r>
      <w:r w:rsidR="000B1E25" w:rsidRPr="00216BC8">
        <w:rPr>
          <w:rFonts w:ascii="Book Antiqua" w:hAnsi="Book Antiqua"/>
        </w:rPr>
        <w:t xml:space="preserve">sittings </w:t>
      </w:r>
      <w:r w:rsidR="000B1E25">
        <w:rPr>
          <w:rFonts w:ascii="Book Antiqua" w:hAnsi="Book Antiqua"/>
        </w:rPr>
        <w:t xml:space="preserve">at </w:t>
      </w:r>
      <w:r w:rsidR="000B1E25" w:rsidRPr="00216BC8">
        <w:rPr>
          <w:rFonts w:ascii="Book Antiqua" w:hAnsi="Book Antiqua"/>
        </w:rPr>
        <w:t xml:space="preserve">Shepparton </w:t>
      </w:r>
      <w:r w:rsidR="000B1E25">
        <w:rPr>
          <w:rFonts w:ascii="Book Antiqua" w:hAnsi="Book Antiqua"/>
        </w:rPr>
        <w:t xml:space="preserve">are scheduled for </w:t>
      </w:r>
      <w:r w:rsidR="000B1E25" w:rsidRPr="00216BC8">
        <w:rPr>
          <w:rFonts w:ascii="Book Antiqua" w:hAnsi="Book Antiqua"/>
        </w:rPr>
        <w:t>Feb</w:t>
      </w:r>
      <w:r w:rsidR="000B1E25">
        <w:rPr>
          <w:rFonts w:ascii="Book Antiqua" w:hAnsi="Book Antiqua"/>
        </w:rPr>
        <w:t xml:space="preserve">/March </w:t>
      </w:r>
      <w:r w:rsidR="000B1E25" w:rsidRPr="00216BC8">
        <w:rPr>
          <w:rFonts w:ascii="Book Antiqua" w:hAnsi="Book Antiqua"/>
        </w:rPr>
        <w:t xml:space="preserve">2018. </w:t>
      </w:r>
    </w:p>
    <w:p w14:paraId="0341C0E9" w14:textId="57BF5B30" w:rsidR="00216BC8" w:rsidRPr="00216BC8" w:rsidRDefault="000B1E25" w:rsidP="0059364E">
      <w:pPr>
        <w:pStyle w:val="NormalWeb"/>
        <w:numPr>
          <w:ilvl w:val="0"/>
          <w:numId w:val="11"/>
        </w:numPr>
        <w:spacing w:line="360" w:lineRule="auto"/>
        <w:jc w:val="both"/>
        <w:rPr>
          <w:rFonts w:ascii="Book Antiqua" w:hAnsi="Book Antiqua"/>
          <w:color w:val="000000"/>
        </w:rPr>
      </w:pPr>
      <w:r>
        <w:rPr>
          <w:rFonts w:ascii="Book Antiqua" w:hAnsi="Book Antiqua"/>
          <w:color w:val="000000"/>
        </w:rPr>
        <w:t>An upgrade of the Bendigo courthouse is in the planning phase.</w:t>
      </w:r>
    </w:p>
    <w:p w14:paraId="20A9E95E" w14:textId="0C9263BE" w:rsidR="00216BC8" w:rsidRDefault="00216BC8" w:rsidP="0059364E">
      <w:pPr>
        <w:pStyle w:val="NormalWeb"/>
        <w:numPr>
          <w:ilvl w:val="0"/>
          <w:numId w:val="9"/>
        </w:numPr>
        <w:spacing w:line="360" w:lineRule="auto"/>
        <w:jc w:val="both"/>
        <w:rPr>
          <w:rFonts w:ascii="Book Antiqua" w:hAnsi="Book Antiqua"/>
          <w:b/>
          <w:color w:val="000000"/>
        </w:rPr>
      </w:pPr>
      <w:r>
        <w:rPr>
          <w:rFonts w:ascii="Book Antiqua" w:hAnsi="Book Antiqua"/>
          <w:b/>
          <w:color w:val="000000"/>
        </w:rPr>
        <w:t>Accelerating cases</w:t>
      </w:r>
    </w:p>
    <w:p w14:paraId="653ED490" w14:textId="5294909C" w:rsidR="00216BC8" w:rsidRPr="00216BC8" w:rsidRDefault="00216BC8" w:rsidP="0059364E">
      <w:pPr>
        <w:pStyle w:val="NormalWeb"/>
        <w:numPr>
          <w:ilvl w:val="0"/>
          <w:numId w:val="11"/>
        </w:numPr>
        <w:spacing w:line="360" w:lineRule="auto"/>
        <w:jc w:val="both"/>
        <w:rPr>
          <w:rFonts w:ascii="Book Antiqua" w:hAnsi="Book Antiqua"/>
          <w:color w:val="000000"/>
        </w:rPr>
      </w:pPr>
      <w:r w:rsidRPr="00216BC8">
        <w:rPr>
          <w:rFonts w:ascii="Book Antiqua" w:hAnsi="Book Antiqua"/>
          <w:color w:val="000000"/>
        </w:rPr>
        <w:t xml:space="preserve">Where there </w:t>
      </w:r>
      <w:r w:rsidR="00892929">
        <w:rPr>
          <w:rFonts w:ascii="Book Antiqua" w:hAnsi="Book Antiqua"/>
          <w:color w:val="000000"/>
        </w:rPr>
        <w:t>is</w:t>
      </w:r>
      <w:r w:rsidRPr="00216BC8">
        <w:rPr>
          <w:rFonts w:ascii="Book Antiqua" w:hAnsi="Book Antiqua"/>
          <w:color w:val="000000"/>
        </w:rPr>
        <w:t xml:space="preserve"> more than one regional circuit per year, e.g. Latrobe Valley, the Court may contact parties to accelerate matters to an earlier circuit if the parties consent.</w:t>
      </w:r>
    </w:p>
    <w:p w14:paraId="1094D5B1" w14:textId="79C2C91D" w:rsidR="00216BC8" w:rsidRPr="00216BC8" w:rsidRDefault="002B2E03" w:rsidP="009B4C36">
      <w:pPr>
        <w:pStyle w:val="NormalWeb"/>
        <w:numPr>
          <w:ilvl w:val="0"/>
          <w:numId w:val="9"/>
        </w:numPr>
        <w:spacing w:line="360" w:lineRule="auto"/>
        <w:jc w:val="both"/>
        <w:rPr>
          <w:rFonts w:ascii="Book Antiqua" w:hAnsi="Book Antiqua"/>
          <w:b/>
          <w:color w:val="000000"/>
        </w:rPr>
      </w:pPr>
      <w:r>
        <w:rPr>
          <w:rFonts w:ascii="Book Antiqua" w:hAnsi="Book Antiqua"/>
          <w:b/>
          <w:color w:val="000000"/>
        </w:rPr>
        <w:t>Case management</w:t>
      </w:r>
    </w:p>
    <w:p w14:paraId="0F9D0AF8" w14:textId="33CA2C9C" w:rsidR="000154EC" w:rsidRDefault="009B4C36" w:rsidP="0059364E">
      <w:pPr>
        <w:numPr>
          <w:ilvl w:val="0"/>
          <w:numId w:val="15"/>
        </w:numPr>
        <w:spacing w:line="360" w:lineRule="auto"/>
        <w:contextualSpacing/>
        <w:jc w:val="both"/>
        <w:rPr>
          <w:rFonts w:ascii="Book Antiqua" w:hAnsi="Book Antiqua"/>
          <w:sz w:val="24"/>
          <w:szCs w:val="24"/>
        </w:rPr>
      </w:pPr>
      <w:r>
        <w:rPr>
          <w:rFonts w:ascii="Book Antiqua" w:hAnsi="Book Antiqua"/>
          <w:sz w:val="24"/>
          <w:szCs w:val="24"/>
        </w:rPr>
        <w:t xml:space="preserve">Pre-trial </w:t>
      </w:r>
      <w:r w:rsidR="00216BC8" w:rsidRPr="00216BC8">
        <w:rPr>
          <w:rFonts w:ascii="Book Antiqua" w:hAnsi="Book Antiqua"/>
          <w:sz w:val="24"/>
          <w:szCs w:val="24"/>
        </w:rPr>
        <w:t xml:space="preserve">management of matters in the CCL has devolved </w:t>
      </w:r>
      <w:r w:rsidR="000154EC">
        <w:rPr>
          <w:rFonts w:ascii="Book Antiqua" w:hAnsi="Book Antiqua"/>
          <w:sz w:val="24"/>
          <w:szCs w:val="24"/>
        </w:rPr>
        <w:t xml:space="preserve">from Associate Justice Daly </w:t>
      </w:r>
      <w:r w:rsidR="00216BC8" w:rsidRPr="00216BC8">
        <w:rPr>
          <w:rFonts w:ascii="Book Antiqua" w:hAnsi="Book Antiqua"/>
          <w:sz w:val="24"/>
          <w:szCs w:val="24"/>
        </w:rPr>
        <w:t>to Judicial Registrar Clayton</w:t>
      </w:r>
      <w:r w:rsidR="00B60C73">
        <w:rPr>
          <w:rFonts w:ascii="Book Antiqua" w:hAnsi="Book Antiqua"/>
          <w:sz w:val="24"/>
          <w:szCs w:val="24"/>
        </w:rPr>
        <w:t xml:space="preserve"> although the </w:t>
      </w:r>
      <w:r w:rsidR="007B7EDC">
        <w:rPr>
          <w:rFonts w:ascii="Book Antiqua" w:hAnsi="Book Antiqua"/>
          <w:sz w:val="24"/>
          <w:szCs w:val="24"/>
        </w:rPr>
        <w:t>c</w:t>
      </w:r>
      <w:r w:rsidR="00B60C73">
        <w:rPr>
          <w:rFonts w:ascii="Book Antiqua" w:hAnsi="Book Antiqua"/>
          <w:sz w:val="24"/>
          <w:szCs w:val="24"/>
        </w:rPr>
        <w:t>i</w:t>
      </w:r>
      <w:r w:rsidR="007B7EDC">
        <w:rPr>
          <w:rFonts w:ascii="Book Antiqua" w:hAnsi="Book Antiqua"/>
          <w:sz w:val="24"/>
          <w:szCs w:val="24"/>
        </w:rPr>
        <w:t>rcuit t</w:t>
      </w:r>
      <w:r w:rsidR="00B60C73">
        <w:rPr>
          <w:rFonts w:ascii="Book Antiqua" w:hAnsi="Book Antiqua"/>
          <w:sz w:val="24"/>
          <w:szCs w:val="24"/>
        </w:rPr>
        <w:t xml:space="preserve">rial </w:t>
      </w:r>
      <w:r w:rsidR="007B7EDC">
        <w:rPr>
          <w:rFonts w:ascii="Book Antiqua" w:hAnsi="Book Antiqua"/>
          <w:sz w:val="24"/>
          <w:szCs w:val="24"/>
        </w:rPr>
        <w:t>j</w:t>
      </w:r>
      <w:r w:rsidR="00B60C73">
        <w:rPr>
          <w:rFonts w:ascii="Book Antiqua" w:hAnsi="Book Antiqua"/>
          <w:sz w:val="24"/>
          <w:szCs w:val="24"/>
        </w:rPr>
        <w:t>udge will continue to conduct the call-over</w:t>
      </w:r>
      <w:r w:rsidR="000154EC">
        <w:rPr>
          <w:rFonts w:ascii="Book Antiqua" w:hAnsi="Book Antiqua"/>
          <w:sz w:val="24"/>
          <w:szCs w:val="24"/>
        </w:rPr>
        <w:t>.</w:t>
      </w:r>
    </w:p>
    <w:p w14:paraId="1FBF8AA5" w14:textId="12062FA8" w:rsidR="00216BC8" w:rsidRPr="00216BC8" w:rsidRDefault="000154EC" w:rsidP="0059364E">
      <w:pPr>
        <w:numPr>
          <w:ilvl w:val="0"/>
          <w:numId w:val="15"/>
        </w:numPr>
        <w:spacing w:line="360" w:lineRule="auto"/>
        <w:contextualSpacing/>
        <w:jc w:val="both"/>
        <w:rPr>
          <w:rFonts w:ascii="Book Antiqua" w:hAnsi="Book Antiqua"/>
          <w:sz w:val="24"/>
          <w:szCs w:val="24"/>
        </w:rPr>
      </w:pPr>
      <w:r>
        <w:rPr>
          <w:rFonts w:ascii="Book Antiqua" w:hAnsi="Book Antiqua"/>
          <w:sz w:val="24"/>
          <w:szCs w:val="24"/>
        </w:rPr>
        <w:t xml:space="preserve">First and Post Mediation Directions teleconferences are </w:t>
      </w:r>
      <w:r w:rsidR="002B2E03">
        <w:rPr>
          <w:rFonts w:ascii="Book Antiqua" w:hAnsi="Book Antiqua"/>
          <w:sz w:val="24"/>
          <w:szCs w:val="24"/>
        </w:rPr>
        <w:t xml:space="preserve">now </w:t>
      </w:r>
      <w:r>
        <w:rPr>
          <w:rFonts w:ascii="Book Antiqua" w:hAnsi="Book Antiqua"/>
          <w:sz w:val="24"/>
          <w:szCs w:val="24"/>
        </w:rPr>
        <w:t xml:space="preserve">conducted on </w:t>
      </w:r>
      <w:r w:rsidRPr="00216BC8">
        <w:rPr>
          <w:rFonts w:ascii="Book Antiqua" w:hAnsi="Book Antiqua"/>
          <w:sz w:val="24"/>
          <w:szCs w:val="24"/>
        </w:rPr>
        <w:t>the first Thursday of every month, instead of Friday as previously</w:t>
      </w:r>
      <w:r w:rsidR="007B7EDC">
        <w:rPr>
          <w:rFonts w:ascii="Book Antiqua" w:hAnsi="Book Antiqua"/>
          <w:sz w:val="24"/>
          <w:szCs w:val="24"/>
        </w:rPr>
        <w:t>. D</w:t>
      </w:r>
      <w:r w:rsidRPr="00216BC8">
        <w:rPr>
          <w:rFonts w:ascii="Book Antiqua" w:hAnsi="Book Antiqua"/>
          <w:sz w:val="24"/>
          <w:szCs w:val="24"/>
        </w:rPr>
        <w:t xml:space="preserve">irections </w:t>
      </w:r>
      <w:r w:rsidR="007B7EDC">
        <w:rPr>
          <w:rFonts w:ascii="Book Antiqua" w:hAnsi="Book Antiqua"/>
          <w:sz w:val="24"/>
          <w:szCs w:val="24"/>
        </w:rPr>
        <w:t>h</w:t>
      </w:r>
      <w:r w:rsidRPr="00216BC8">
        <w:rPr>
          <w:rFonts w:ascii="Book Antiqua" w:hAnsi="Book Antiqua"/>
          <w:sz w:val="24"/>
          <w:szCs w:val="24"/>
        </w:rPr>
        <w:t xml:space="preserve">earings </w:t>
      </w:r>
      <w:r w:rsidR="002B2E03">
        <w:rPr>
          <w:rFonts w:ascii="Book Antiqua" w:hAnsi="Book Antiqua"/>
          <w:sz w:val="24"/>
          <w:szCs w:val="24"/>
        </w:rPr>
        <w:t>where all practitioners are Melbourne based will continue to be conducted in court on Fridays.</w:t>
      </w:r>
      <w:r w:rsidR="00216BC8" w:rsidRPr="00216BC8">
        <w:rPr>
          <w:rFonts w:ascii="Book Antiqua" w:hAnsi="Book Antiqua"/>
          <w:sz w:val="24"/>
          <w:szCs w:val="24"/>
        </w:rPr>
        <w:t xml:space="preserve"> </w:t>
      </w:r>
    </w:p>
    <w:p w14:paraId="70A890C6" w14:textId="0F8A9DB8" w:rsidR="00216BC8" w:rsidRDefault="000154EC" w:rsidP="0059364E">
      <w:pPr>
        <w:numPr>
          <w:ilvl w:val="0"/>
          <w:numId w:val="15"/>
        </w:numPr>
        <w:spacing w:line="360" w:lineRule="auto"/>
        <w:contextualSpacing/>
        <w:jc w:val="both"/>
        <w:rPr>
          <w:rFonts w:ascii="Book Antiqua" w:hAnsi="Book Antiqua"/>
          <w:sz w:val="24"/>
          <w:szCs w:val="24"/>
        </w:rPr>
      </w:pPr>
      <w:r>
        <w:rPr>
          <w:rFonts w:ascii="Book Antiqua" w:hAnsi="Book Antiqua"/>
          <w:sz w:val="24"/>
          <w:szCs w:val="24"/>
        </w:rPr>
        <w:t xml:space="preserve">Interlocutory </w:t>
      </w:r>
      <w:r w:rsidR="00216BC8" w:rsidRPr="00216BC8">
        <w:rPr>
          <w:rFonts w:ascii="Book Antiqua" w:hAnsi="Book Antiqua"/>
          <w:sz w:val="24"/>
          <w:szCs w:val="24"/>
        </w:rPr>
        <w:t xml:space="preserve">applications are </w:t>
      </w:r>
      <w:r>
        <w:rPr>
          <w:rFonts w:ascii="Book Antiqua" w:hAnsi="Book Antiqua"/>
          <w:sz w:val="24"/>
          <w:szCs w:val="24"/>
        </w:rPr>
        <w:t>usually heard</w:t>
      </w:r>
      <w:r w:rsidR="00216BC8" w:rsidRPr="00216BC8">
        <w:rPr>
          <w:rFonts w:ascii="Book Antiqua" w:hAnsi="Book Antiqua"/>
          <w:sz w:val="24"/>
          <w:szCs w:val="24"/>
        </w:rPr>
        <w:t xml:space="preserve"> in </w:t>
      </w:r>
      <w:r>
        <w:rPr>
          <w:rFonts w:ascii="Book Antiqua" w:hAnsi="Book Antiqua"/>
          <w:sz w:val="24"/>
          <w:szCs w:val="24"/>
        </w:rPr>
        <w:t xml:space="preserve">Melbourne in much </w:t>
      </w:r>
      <w:r w:rsidR="00216BC8" w:rsidRPr="00216BC8">
        <w:rPr>
          <w:rFonts w:ascii="Book Antiqua" w:hAnsi="Book Antiqua"/>
          <w:sz w:val="24"/>
          <w:szCs w:val="24"/>
        </w:rPr>
        <w:t xml:space="preserve">the same way as matters in the </w:t>
      </w:r>
      <w:r>
        <w:rPr>
          <w:rFonts w:ascii="Book Antiqua" w:hAnsi="Book Antiqua"/>
          <w:sz w:val="24"/>
          <w:szCs w:val="24"/>
        </w:rPr>
        <w:t>PIL and DDL</w:t>
      </w:r>
      <w:r w:rsidR="00216BC8" w:rsidRPr="00216BC8">
        <w:rPr>
          <w:rFonts w:ascii="Book Antiqua" w:hAnsi="Book Antiqua"/>
          <w:sz w:val="24"/>
          <w:szCs w:val="24"/>
        </w:rPr>
        <w:t xml:space="preserve">, but </w:t>
      </w:r>
      <w:r>
        <w:rPr>
          <w:rFonts w:ascii="Book Antiqua" w:hAnsi="Book Antiqua"/>
          <w:sz w:val="24"/>
          <w:szCs w:val="24"/>
        </w:rPr>
        <w:t xml:space="preserve">may be </w:t>
      </w:r>
      <w:r w:rsidR="007B7EDC">
        <w:rPr>
          <w:rFonts w:ascii="Book Antiqua" w:hAnsi="Book Antiqua"/>
          <w:sz w:val="24"/>
          <w:szCs w:val="24"/>
        </w:rPr>
        <w:t>listed</w:t>
      </w:r>
      <w:r>
        <w:rPr>
          <w:rFonts w:ascii="Book Antiqua" w:hAnsi="Book Antiqua"/>
          <w:sz w:val="24"/>
          <w:szCs w:val="24"/>
        </w:rPr>
        <w:t xml:space="preserve"> during the relevant circuit if appropriate.</w:t>
      </w:r>
      <w:r w:rsidR="002B2E03">
        <w:rPr>
          <w:rFonts w:ascii="Book Antiqua" w:hAnsi="Book Antiqua"/>
          <w:sz w:val="24"/>
          <w:szCs w:val="24"/>
        </w:rPr>
        <w:t xml:space="preserve"> </w:t>
      </w:r>
    </w:p>
    <w:p w14:paraId="6BAEA476" w14:textId="7F85C9E3" w:rsidR="004C2C85" w:rsidRDefault="004C2C85" w:rsidP="004C2C85">
      <w:pPr>
        <w:numPr>
          <w:ilvl w:val="0"/>
          <w:numId w:val="15"/>
        </w:numPr>
        <w:spacing w:line="360" w:lineRule="auto"/>
        <w:contextualSpacing/>
        <w:jc w:val="both"/>
        <w:rPr>
          <w:rFonts w:ascii="Book Antiqua" w:hAnsi="Book Antiqua"/>
          <w:sz w:val="24"/>
          <w:szCs w:val="24"/>
        </w:rPr>
      </w:pPr>
      <w:r>
        <w:rPr>
          <w:rFonts w:ascii="Book Antiqua" w:hAnsi="Book Antiqua"/>
          <w:sz w:val="24"/>
          <w:szCs w:val="24"/>
        </w:rPr>
        <w:lastRenderedPageBreak/>
        <w:t xml:space="preserve">Depending upon availability, a judicial </w:t>
      </w:r>
      <w:r w:rsidR="00C2268B">
        <w:rPr>
          <w:rFonts w:ascii="Book Antiqua" w:hAnsi="Book Antiqua"/>
          <w:sz w:val="24"/>
          <w:szCs w:val="24"/>
        </w:rPr>
        <w:t xml:space="preserve">officer </w:t>
      </w:r>
      <w:r>
        <w:rPr>
          <w:rFonts w:ascii="Book Antiqua" w:hAnsi="Book Antiqua"/>
          <w:sz w:val="24"/>
          <w:szCs w:val="24"/>
        </w:rPr>
        <w:t xml:space="preserve">may be </w:t>
      </w:r>
      <w:r w:rsidR="00C2268B">
        <w:rPr>
          <w:rFonts w:ascii="Book Antiqua" w:hAnsi="Book Antiqua"/>
          <w:sz w:val="24"/>
          <w:szCs w:val="24"/>
        </w:rPr>
        <w:t xml:space="preserve">able </w:t>
      </w:r>
      <w:r>
        <w:rPr>
          <w:rFonts w:ascii="Book Antiqua" w:hAnsi="Book Antiqua"/>
          <w:sz w:val="24"/>
          <w:szCs w:val="24"/>
        </w:rPr>
        <w:t>to conduct judicial mediations during circuits. The amenability of proceedings to judicial mediation will usually be considered at call-over.</w:t>
      </w:r>
    </w:p>
    <w:p w14:paraId="45F3C0D5" w14:textId="1FC472EE" w:rsidR="0028200D" w:rsidRDefault="0028200D" w:rsidP="00B60C73">
      <w:pPr>
        <w:numPr>
          <w:ilvl w:val="0"/>
          <w:numId w:val="15"/>
        </w:numPr>
        <w:spacing w:line="360" w:lineRule="auto"/>
        <w:contextualSpacing/>
        <w:jc w:val="both"/>
        <w:rPr>
          <w:rFonts w:ascii="Book Antiqua" w:hAnsi="Book Antiqua"/>
          <w:sz w:val="24"/>
          <w:szCs w:val="24"/>
        </w:rPr>
      </w:pPr>
      <w:r>
        <w:rPr>
          <w:rFonts w:ascii="Book Antiqua" w:hAnsi="Book Antiqua"/>
          <w:sz w:val="24"/>
          <w:szCs w:val="24"/>
        </w:rPr>
        <w:t xml:space="preserve">Documents produced in regional court registries pursuant to an Order 42A subpoena may be </w:t>
      </w:r>
      <w:r w:rsidR="00B60C73">
        <w:rPr>
          <w:rFonts w:ascii="Book Antiqua" w:hAnsi="Book Antiqua"/>
          <w:sz w:val="24"/>
          <w:szCs w:val="24"/>
        </w:rPr>
        <w:t>forwarded</w:t>
      </w:r>
      <w:r>
        <w:rPr>
          <w:rFonts w:ascii="Book Antiqua" w:hAnsi="Book Antiqua"/>
          <w:sz w:val="24"/>
          <w:szCs w:val="24"/>
        </w:rPr>
        <w:t xml:space="preserve"> on request to </w:t>
      </w:r>
      <w:r w:rsidR="000328DF">
        <w:rPr>
          <w:rFonts w:ascii="Book Antiqua" w:hAnsi="Book Antiqua"/>
          <w:sz w:val="24"/>
          <w:szCs w:val="24"/>
        </w:rPr>
        <w:t xml:space="preserve">the </w:t>
      </w:r>
      <w:r>
        <w:rPr>
          <w:rFonts w:ascii="Book Antiqua" w:hAnsi="Book Antiqua"/>
          <w:sz w:val="24"/>
          <w:szCs w:val="24"/>
        </w:rPr>
        <w:t xml:space="preserve">Principal Registry for inspection in Melbourne. Practitioners wishing to arrange this should </w:t>
      </w:r>
      <w:r w:rsidR="00B60C73">
        <w:rPr>
          <w:rFonts w:ascii="Book Antiqua" w:hAnsi="Book Antiqua"/>
          <w:sz w:val="24"/>
          <w:szCs w:val="24"/>
        </w:rPr>
        <w:t xml:space="preserve">email </w:t>
      </w:r>
      <w:hyperlink r:id="rId14" w:history="1">
        <w:r w:rsidR="00B60C73" w:rsidRPr="003B5032">
          <w:rPr>
            <w:rStyle w:val="Hyperlink"/>
            <w:rFonts w:ascii="Book Antiqua" w:hAnsi="Book Antiqua"/>
            <w:sz w:val="24"/>
            <w:szCs w:val="24"/>
          </w:rPr>
          <w:t>subpoenas@supremecourt.vic.gov.au</w:t>
        </w:r>
      </w:hyperlink>
      <w:r w:rsidR="00B60C73">
        <w:rPr>
          <w:rFonts w:ascii="Book Antiqua" w:hAnsi="Book Antiqua"/>
          <w:sz w:val="24"/>
          <w:szCs w:val="24"/>
        </w:rPr>
        <w:t>.</w:t>
      </w:r>
    </w:p>
    <w:p w14:paraId="5BF81F58" w14:textId="061AE394" w:rsidR="0084586A" w:rsidRPr="00216BC8" w:rsidRDefault="0084586A" w:rsidP="0084586A">
      <w:pPr>
        <w:pStyle w:val="NormalWeb"/>
        <w:numPr>
          <w:ilvl w:val="0"/>
          <w:numId w:val="9"/>
        </w:numPr>
        <w:spacing w:line="360" w:lineRule="auto"/>
        <w:jc w:val="both"/>
        <w:rPr>
          <w:rFonts w:ascii="Book Antiqua" w:hAnsi="Book Antiqua"/>
          <w:b/>
          <w:color w:val="000000"/>
        </w:rPr>
      </w:pPr>
      <w:r>
        <w:rPr>
          <w:rFonts w:ascii="Book Antiqua" w:hAnsi="Book Antiqua"/>
          <w:b/>
          <w:color w:val="000000"/>
        </w:rPr>
        <w:t>Call-over</w:t>
      </w:r>
    </w:p>
    <w:p w14:paraId="5591ADCE" w14:textId="6D74CB70" w:rsidR="00B60C73" w:rsidRDefault="00B60C73" w:rsidP="00B60C73">
      <w:pPr>
        <w:numPr>
          <w:ilvl w:val="0"/>
          <w:numId w:val="15"/>
        </w:numPr>
        <w:spacing w:line="360" w:lineRule="auto"/>
        <w:contextualSpacing/>
        <w:jc w:val="both"/>
        <w:rPr>
          <w:rFonts w:ascii="Book Antiqua" w:hAnsi="Book Antiqua"/>
          <w:sz w:val="24"/>
          <w:szCs w:val="24"/>
        </w:rPr>
      </w:pPr>
      <w:r>
        <w:rPr>
          <w:rFonts w:ascii="Book Antiqua" w:hAnsi="Book Antiqua"/>
          <w:sz w:val="24"/>
          <w:szCs w:val="24"/>
        </w:rPr>
        <w:t xml:space="preserve">While a regional practitioner may appear from the relevant circuit court via video-link at the call-over in Melbourne, </w:t>
      </w:r>
      <w:r w:rsidR="00A62F04">
        <w:rPr>
          <w:rFonts w:ascii="Book Antiqua" w:hAnsi="Book Antiqua"/>
          <w:sz w:val="24"/>
          <w:szCs w:val="24"/>
        </w:rPr>
        <w:t>current</w:t>
      </w:r>
      <w:r w:rsidR="00271A71">
        <w:rPr>
          <w:rFonts w:ascii="Book Antiqua" w:hAnsi="Book Antiqua"/>
          <w:sz w:val="24"/>
          <w:szCs w:val="24"/>
        </w:rPr>
        <w:t xml:space="preserve"> </w:t>
      </w:r>
      <w:r w:rsidR="00A62F04">
        <w:rPr>
          <w:rFonts w:ascii="Book Antiqua" w:hAnsi="Book Antiqua"/>
          <w:sz w:val="24"/>
          <w:szCs w:val="24"/>
        </w:rPr>
        <w:t xml:space="preserve">facilities do not allow </w:t>
      </w:r>
      <w:r>
        <w:rPr>
          <w:rFonts w:ascii="Book Antiqua" w:hAnsi="Book Antiqua"/>
          <w:sz w:val="24"/>
          <w:szCs w:val="24"/>
        </w:rPr>
        <w:t xml:space="preserve">a simultaneous video-link to another regional court/area. Subject to the </w:t>
      </w:r>
      <w:r w:rsidR="004C2C85">
        <w:rPr>
          <w:rFonts w:ascii="Book Antiqua" w:hAnsi="Book Antiqua"/>
          <w:sz w:val="24"/>
          <w:szCs w:val="24"/>
        </w:rPr>
        <w:t>c</w:t>
      </w:r>
      <w:r>
        <w:rPr>
          <w:rFonts w:ascii="Book Antiqua" w:hAnsi="Book Antiqua"/>
          <w:sz w:val="24"/>
          <w:szCs w:val="24"/>
        </w:rPr>
        <w:t xml:space="preserve">ircuit </w:t>
      </w:r>
      <w:r w:rsidR="004C2C85">
        <w:rPr>
          <w:rFonts w:ascii="Book Antiqua" w:hAnsi="Book Antiqua"/>
          <w:sz w:val="24"/>
          <w:szCs w:val="24"/>
        </w:rPr>
        <w:t>t</w:t>
      </w:r>
      <w:r>
        <w:rPr>
          <w:rFonts w:ascii="Book Antiqua" w:hAnsi="Book Antiqua"/>
          <w:sz w:val="24"/>
          <w:szCs w:val="24"/>
        </w:rPr>
        <w:t xml:space="preserve">rial </w:t>
      </w:r>
      <w:r w:rsidR="004C2C85">
        <w:rPr>
          <w:rFonts w:ascii="Book Antiqua" w:hAnsi="Book Antiqua"/>
          <w:sz w:val="24"/>
          <w:szCs w:val="24"/>
        </w:rPr>
        <w:t>j</w:t>
      </w:r>
      <w:r>
        <w:rPr>
          <w:rFonts w:ascii="Book Antiqua" w:hAnsi="Book Antiqua"/>
          <w:sz w:val="24"/>
          <w:szCs w:val="24"/>
        </w:rPr>
        <w:t>udge’s agreement, it may be possible to arrange a telephone link to the other region. Requests for such telephone links should be made as early as possible prior to call-over</w:t>
      </w:r>
      <w:r w:rsidR="004C2C85">
        <w:rPr>
          <w:rFonts w:ascii="Book Antiqua" w:hAnsi="Book Antiqua"/>
          <w:sz w:val="24"/>
          <w:szCs w:val="24"/>
        </w:rPr>
        <w:t xml:space="preserve"> to </w:t>
      </w:r>
      <w:hyperlink r:id="rId15" w:history="1">
        <w:r w:rsidR="004C2C85" w:rsidRPr="00710E06">
          <w:rPr>
            <w:rStyle w:val="Hyperlink"/>
            <w:rFonts w:ascii="Book Antiqua" w:hAnsi="Book Antiqua"/>
            <w:sz w:val="24"/>
            <w:szCs w:val="24"/>
          </w:rPr>
          <w:t>civil.circuits@supcourt.vic.gov.au</w:t>
        </w:r>
      </w:hyperlink>
      <w:r w:rsidR="004C2C85">
        <w:rPr>
          <w:rFonts w:ascii="Book Antiqua" w:hAnsi="Book Antiqua"/>
          <w:sz w:val="24"/>
          <w:szCs w:val="24"/>
        </w:rPr>
        <w:t xml:space="preserve"> </w:t>
      </w:r>
    </w:p>
    <w:p w14:paraId="18087916" w14:textId="70BEC21C" w:rsidR="004C2C85" w:rsidRDefault="004C2C85" w:rsidP="004C2C85">
      <w:pPr>
        <w:numPr>
          <w:ilvl w:val="0"/>
          <w:numId w:val="17"/>
        </w:numPr>
        <w:spacing w:line="360" w:lineRule="auto"/>
        <w:contextualSpacing/>
        <w:jc w:val="both"/>
        <w:rPr>
          <w:rFonts w:ascii="Book Antiqua" w:hAnsi="Book Antiqua"/>
          <w:sz w:val="24"/>
          <w:szCs w:val="24"/>
        </w:rPr>
      </w:pPr>
      <w:r>
        <w:rPr>
          <w:rFonts w:ascii="Book Antiqua" w:hAnsi="Book Antiqua"/>
          <w:sz w:val="24"/>
          <w:szCs w:val="24"/>
        </w:rPr>
        <w:t xml:space="preserve">The order of </w:t>
      </w:r>
      <w:r w:rsidR="00F61D51">
        <w:rPr>
          <w:rFonts w:ascii="Book Antiqua" w:hAnsi="Book Antiqua"/>
          <w:sz w:val="24"/>
          <w:szCs w:val="24"/>
        </w:rPr>
        <w:t xml:space="preserve">the </w:t>
      </w:r>
      <w:r>
        <w:rPr>
          <w:rFonts w:ascii="Book Antiqua" w:hAnsi="Book Antiqua"/>
          <w:sz w:val="24"/>
          <w:szCs w:val="24"/>
        </w:rPr>
        <w:t xml:space="preserve">listing </w:t>
      </w:r>
      <w:r w:rsidR="00A357C9">
        <w:rPr>
          <w:rFonts w:ascii="Book Antiqua" w:hAnsi="Book Antiqua"/>
          <w:sz w:val="24"/>
          <w:szCs w:val="24"/>
        </w:rPr>
        <w:t xml:space="preserve">of </w:t>
      </w:r>
      <w:r>
        <w:rPr>
          <w:rFonts w:ascii="Book Antiqua" w:hAnsi="Book Antiqua"/>
          <w:sz w:val="24"/>
          <w:szCs w:val="24"/>
        </w:rPr>
        <w:t xml:space="preserve">cases in a circuit is a matter for the circuit </w:t>
      </w:r>
      <w:r w:rsidR="00A357C9">
        <w:rPr>
          <w:rFonts w:ascii="Book Antiqua" w:hAnsi="Book Antiqua"/>
          <w:sz w:val="24"/>
          <w:szCs w:val="24"/>
        </w:rPr>
        <w:t xml:space="preserve">trial </w:t>
      </w:r>
      <w:r>
        <w:rPr>
          <w:rFonts w:ascii="Book Antiqua" w:hAnsi="Book Antiqua"/>
          <w:sz w:val="24"/>
          <w:szCs w:val="24"/>
        </w:rPr>
        <w:t xml:space="preserve">judge although </w:t>
      </w:r>
      <w:r w:rsidRPr="00216BC8">
        <w:rPr>
          <w:rFonts w:ascii="Book Antiqua" w:hAnsi="Book Antiqua"/>
          <w:sz w:val="24"/>
          <w:szCs w:val="24"/>
        </w:rPr>
        <w:t xml:space="preserve">jury trials are </w:t>
      </w:r>
      <w:r>
        <w:rPr>
          <w:rFonts w:ascii="Book Antiqua" w:hAnsi="Book Antiqua"/>
          <w:sz w:val="24"/>
          <w:szCs w:val="24"/>
        </w:rPr>
        <w:t xml:space="preserve">usually </w:t>
      </w:r>
      <w:r w:rsidRPr="00216BC8">
        <w:rPr>
          <w:rFonts w:ascii="Book Antiqua" w:hAnsi="Book Antiqua"/>
          <w:sz w:val="24"/>
          <w:szCs w:val="24"/>
        </w:rPr>
        <w:t>given priority</w:t>
      </w:r>
      <w:r>
        <w:rPr>
          <w:rFonts w:ascii="Book Antiqua" w:hAnsi="Book Antiqua"/>
          <w:sz w:val="24"/>
          <w:szCs w:val="24"/>
        </w:rPr>
        <w:t xml:space="preserve"> over causes.</w:t>
      </w:r>
    </w:p>
    <w:p w14:paraId="0007B57F" w14:textId="70635167" w:rsidR="00216BC8" w:rsidRDefault="004C2C85" w:rsidP="004C2C85">
      <w:pPr>
        <w:numPr>
          <w:ilvl w:val="0"/>
          <w:numId w:val="17"/>
        </w:numPr>
        <w:spacing w:line="360" w:lineRule="auto"/>
        <w:contextualSpacing/>
        <w:jc w:val="both"/>
        <w:rPr>
          <w:rFonts w:ascii="Book Antiqua" w:hAnsi="Book Antiqua"/>
          <w:sz w:val="24"/>
          <w:szCs w:val="24"/>
        </w:rPr>
      </w:pPr>
      <w:r>
        <w:rPr>
          <w:rFonts w:ascii="Book Antiqua" w:hAnsi="Book Antiqua"/>
          <w:sz w:val="24"/>
          <w:szCs w:val="24"/>
        </w:rPr>
        <w:t xml:space="preserve"> </w:t>
      </w:r>
      <w:r w:rsidR="0028200D">
        <w:rPr>
          <w:rFonts w:ascii="Book Antiqua" w:hAnsi="Book Antiqua"/>
          <w:sz w:val="24"/>
          <w:szCs w:val="24"/>
        </w:rPr>
        <w:t xml:space="preserve">The Court will consider whether to adopt a policy of giving causes not reached in a circuit a degree of priority in the next sittings. In the meantime, this should be raised with the </w:t>
      </w:r>
      <w:r w:rsidR="00553D46">
        <w:rPr>
          <w:rFonts w:ascii="Book Antiqua" w:hAnsi="Book Antiqua"/>
          <w:sz w:val="24"/>
          <w:szCs w:val="24"/>
        </w:rPr>
        <w:t>circuit trial j</w:t>
      </w:r>
      <w:r w:rsidR="0028200D">
        <w:rPr>
          <w:rFonts w:ascii="Book Antiqua" w:hAnsi="Book Antiqua"/>
          <w:sz w:val="24"/>
          <w:szCs w:val="24"/>
        </w:rPr>
        <w:t>udge at the call-over</w:t>
      </w:r>
      <w:r w:rsidR="00553D46">
        <w:rPr>
          <w:rFonts w:ascii="Book Antiqua" w:hAnsi="Book Antiqua"/>
          <w:sz w:val="24"/>
          <w:szCs w:val="24"/>
        </w:rPr>
        <w:t>.</w:t>
      </w:r>
    </w:p>
    <w:p w14:paraId="6C0A0407" w14:textId="65A6AC51" w:rsidR="0084586A" w:rsidRDefault="0084586A" w:rsidP="0084586A">
      <w:pPr>
        <w:pStyle w:val="NormalWeb"/>
        <w:numPr>
          <w:ilvl w:val="0"/>
          <w:numId w:val="9"/>
        </w:numPr>
        <w:spacing w:line="360" w:lineRule="auto"/>
        <w:jc w:val="both"/>
        <w:rPr>
          <w:rFonts w:ascii="Book Antiqua" w:hAnsi="Book Antiqua"/>
          <w:b/>
          <w:color w:val="000000"/>
        </w:rPr>
      </w:pPr>
      <w:r>
        <w:rPr>
          <w:rFonts w:ascii="Book Antiqua" w:hAnsi="Book Antiqua"/>
          <w:b/>
          <w:color w:val="000000"/>
        </w:rPr>
        <w:t>Progress of circuit</w:t>
      </w:r>
    </w:p>
    <w:p w14:paraId="462D9DE8" w14:textId="28C5CB40" w:rsidR="0084586A" w:rsidRDefault="0084586A" w:rsidP="0084586A">
      <w:pPr>
        <w:numPr>
          <w:ilvl w:val="0"/>
          <w:numId w:val="17"/>
        </w:numPr>
        <w:spacing w:line="360" w:lineRule="auto"/>
        <w:contextualSpacing/>
        <w:jc w:val="both"/>
        <w:rPr>
          <w:rFonts w:ascii="Book Antiqua" w:hAnsi="Book Antiqua"/>
          <w:sz w:val="24"/>
          <w:szCs w:val="24"/>
        </w:rPr>
      </w:pPr>
      <w:r>
        <w:rPr>
          <w:rFonts w:ascii="Book Antiqua" w:hAnsi="Book Antiqua"/>
          <w:sz w:val="24"/>
          <w:szCs w:val="24"/>
        </w:rPr>
        <w:t xml:space="preserve">Practitioners/counsel appearing in proceedings in a circuit should keep in touch with the </w:t>
      </w:r>
      <w:r w:rsidR="00A14ACE">
        <w:rPr>
          <w:rFonts w:ascii="Book Antiqua" w:hAnsi="Book Antiqua"/>
          <w:sz w:val="24"/>
          <w:szCs w:val="24"/>
        </w:rPr>
        <w:t>circuit t</w:t>
      </w:r>
      <w:r>
        <w:rPr>
          <w:rFonts w:ascii="Book Antiqua" w:hAnsi="Book Antiqua"/>
          <w:sz w:val="24"/>
          <w:szCs w:val="24"/>
        </w:rPr>
        <w:t xml:space="preserve">rial </w:t>
      </w:r>
      <w:r w:rsidR="00A14ACE">
        <w:rPr>
          <w:rFonts w:ascii="Book Antiqua" w:hAnsi="Book Antiqua"/>
          <w:sz w:val="24"/>
          <w:szCs w:val="24"/>
        </w:rPr>
        <w:t>j</w:t>
      </w:r>
      <w:r>
        <w:rPr>
          <w:rFonts w:ascii="Book Antiqua" w:hAnsi="Book Antiqua"/>
          <w:sz w:val="24"/>
          <w:szCs w:val="24"/>
        </w:rPr>
        <w:t xml:space="preserve">udge’s </w:t>
      </w:r>
      <w:r w:rsidR="00A14ACE">
        <w:rPr>
          <w:rFonts w:ascii="Book Antiqua" w:hAnsi="Book Antiqua"/>
          <w:sz w:val="24"/>
          <w:szCs w:val="24"/>
        </w:rPr>
        <w:t>a</w:t>
      </w:r>
      <w:r>
        <w:rPr>
          <w:rFonts w:ascii="Book Antiqua" w:hAnsi="Book Antiqua"/>
          <w:sz w:val="24"/>
          <w:szCs w:val="24"/>
        </w:rPr>
        <w:t xml:space="preserve">ssociate/s to monitor the progression of their matter in the list. </w:t>
      </w:r>
    </w:p>
    <w:p w14:paraId="47131BB5" w14:textId="3C647C95" w:rsidR="003163A0" w:rsidRDefault="003163A0" w:rsidP="003163A0">
      <w:pPr>
        <w:spacing w:line="360" w:lineRule="auto"/>
        <w:ind w:left="1440"/>
        <w:contextualSpacing/>
        <w:jc w:val="both"/>
        <w:rPr>
          <w:rFonts w:ascii="Book Antiqua" w:hAnsi="Book Antiqua"/>
          <w:sz w:val="24"/>
          <w:szCs w:val="24"/>
        </w:rPr>
      </w:pPr>
    </w:p>
    <w:p w14:paraId="760C365E" w14:textId="77777777" w:rsidR="00736DB8" w:rsidRDefault="00736DB8" w:rsidP="003163A0">
      <w:pPr>
        <w:spacing w:line="360" w:lineRule="auto"/>
        <w:ind w:left="1440"/>
        <w:contextualSpacing/>
        <w:jc w:val="both"/>
        <w:rPr>
          <w:rFonts w:ascii="Book Antiqua" w:hAnsi="Book Antiqua"/>
          <w:sz w:val="24"/>
          <w:szCs w:val="24"/>
        </w:rPr>
      </w:pPr>
    </w:p>
    <w:p w14:paraId="0DB445D4" w14:textId="391262AC" w:rsidR="00713295" w:rsidRDefault="00713295" w:rsidP="00713295">
      <w:pPr>
        <w:spacing w:line="360" w:lineRule="auto"/>
        <w:ind w:left="720"/>
        <w:rPr>
          <w:rFonts w:ascii="Book Antiqua" w:hAnsi="Book Antiqua"/>
          <w:b/>
          <w:sz w:val="24"/>
        </w:rPr>
      </w:pPr>
      <w:r>
        <w:rPr>
          <w:rFonts w:ascii="Book Antiqua" w:hAnsi="Book Antiqua"/>
          <w:b/>
          <w:sz w:val="24"/>
        </w:rPr>
        <w:t>DUST DISEASES</w:t>
      </w:r>
      <w:r w:rsidRPr="00713295">
        <w:rPr>
          <w:rFonts w:ascii="Book Antiqua" w:hAnsi="Book Antiqua"/>
          <w:b/>
          <w:sz w:val="24"/>
        </w:rPr>
        <w:t xml:space="preserve"> LIST</w:t>
      </w:r>
    </w:p>
    <w:p w14:paraId="2EFF90BE" w14:textId="77777777" w:rsidR="00073E45" w:rsidRPr="0098411A" w:rsidRDefault="00073E45" w:rsidP="00073E45">
      <w:pPr>
        <w:pStyle w:val="NormalWeb"/>
        <w:numPr>
          <w:ilvl w:val="0"/>
          <w:numId w:val="9"/>
        </w:numPr>
        <w:spacing w:line="360" w:lineRule="auto"/>
        <w:jc w:val="both"/>
        <w:rPr>
          <w:rFonts w:ascii="Book Antiqua" w:hAnsi="Book Antiqua"/>
          <w:b/>
          <w:color w:val="000000"/>
        </w:rPr>
      </w:pPr>
      <w:r w:rsidRPr="0098411A">
        <w:rPr>
          <w:rFonts w:ascii="Book Antiqua" w:hAnsi="Book Antiqua"/>
          <w:b/>
          <w:color w:val="000000"/>
        </w:rPr>
        <w:t>General trends</w:t>
      </w:r>
    </w:p>
    <w:p w14:paraId="1D6093CE" w14:textId="77777777" w:rsidR="00073E45" w:rsidRPr="00DD72FC" w:rsidRDefault="00073E45" w:rsidP="00073E45">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t>The Court commends practitioners practising in this area, noting that parties are cooperative and efficient in circumstances where there are pressures and tight timelines.</w:t>
      </w:r>
    </w:p>
    <w:p w14:paraId="1D1303F4" w14:textId="77777777" w:rsidR="00073E45" w:rsidRPr="00DD72FC" w:rsidRDefault="00073E45" w:rsidP="00073E45">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lastRenderedPageBreak/>
        <w:t>A cluster of silicosis cases has been observed. These cases differ from asbestos cases in terms of l</w:t>
      </w:r>
      <w:r>
        <w:rPr>
          <w:rFonts w:ascii="Book Antiqua" w:hAnsi="Book Antiqua"/>
          <w:color w:val="000000"/>
        </w:rPr>
        <w:t>atency</w:t>
      </w:r>
      <w:r w:rsidRPr="00DD72FC">
        <w:rPr>
          <w:rFonts w:ascii="Book Antiqua" w:hAnsi="Book Antiqua"/>
          <w:color w:val="000000"/>
        </w:rPr>
        <w:t xml:space="preserve">, causation and age of plaintiff. If the medicine is controversial, tools like conclaves and joint reports will need to be considered. </w:t>
      </w:r>
    </w:p>
    <w:p w14:paraId="331A1D64" w14:textId="77777777" w:rsidR="0098411A" w:rsidRPr="0098411A" w:rsidRDefault="0098411A" w:rsidP="0098411A">
      <w:pPr>
        <w:pStyle w:val="NormalWeb"/>
        <w:numPr>
          <w:ilvl w:val="0"/>
          <w:numId w:val="9"/>
        </w:numPr>
        <w:spacing w:line="360" w:lineRule="auto"/>
        <w:jc w:val="both"/>
        <w:rPr>
          <w:rFonts w:ascii="Book Antiqua" w:hAnsi="Book Antiqua"/>
          <w:b/>
          <w:color w:val="000000"/>
        </w:rPr>
      </w:pPr>
      <w:r w:rsidRPr="0098411A">
        <w:rPr>
          <w:rFonts w:ascii="Book Antiqua" w:hAnsi="Book Antiqua"/>
          <w:b/>
          <w:color w:val="000000"/>
        </w:rPr>
        <w:t>Pre-trial conferences</w:t>
      </w:r>
    </w:p>
    <w:p w14:paraId="7AC5A295" w14:textId="77777777" w:rsidR="00A14ACE" w:rsidRPr="00A14ACE" w:rsidRDefault="00A14ACE" w:rsidP="00A14ACE">
      <w:pPr>
        <w:pStyle w:val="NormalWeb"/>
        <w:numPr>
          <w:ilvl w:val="0"/>
          <w:numId w:val="11"/>
        </w:numPr>
        <w:spacing w:line="360" w:lineRule="auto"/>
        <w:jc w:val="both"/>
        <w:rPr>
          <w:rFonts w:ascii="Book Antiqua" w:hAnsi="Book Antiqua"/>
          <w:color w:val="000000"/>
        </w:rPr>
      </w:pPr>
      <w:r w:rsidRPr="00A14ACE">
        <w:rPr>
          <w:rFonts w:ascii="Book Antiqua" w:hAnsi="Book Antiqua"/>
          <w:color w:val="000000"/>
        </w:rPr>
        <w:t xml:space="preserve">While dust cases often move along at a pace, it is expected that practitioners will advise the Court at least 48 hours before </w:t>
      </w:r>
      <w:r>
        <w:rPr>
          <w:rFonts w:ascii="Book Antiqua" w:hAnsi="Book Antiqua"/>
          <w:color w:val="000000"/>
        </w:rPr>
        <w:t>a</w:t>
      </w:r>
      <w:r w:rsidRPr="00A14ACE">
        <w:rPr>
          <w:rFonts w:ascii="Book Antiqua" w:hAnsi="Book Antiqua"/>
          <w:color w:val="000000"/>
        </w:rPr>
        <w:t xml:space="preserve"> PTC is scheduled if an adjournment is required. </w:t>
      </w:r>
    </w:p>
    <w:p w14:paraId="4227C4BB" w14:textId="14887680" w:rsidR="0098411A" w:rsidRPr="00A14ACE" w:rsidRDefault="00A14ACE" w:rsidP="00A14ACE">
      <w:pPr>
        <w:pStyle w:val="NormalWeb"/>
        <w:numPr>
          <w:ilvl w:val="0"/>
          <w:numId w:val="11"/>
        </w:numPr>
        <w:spacing w:line="360" w:lineRule="auto"/>
        <w:jc w:val="both"/>
        <w:rPr>
          <w:rFonts w:ascii="Book Antiqua" w:hAnsi="Book Antiqua"/>
          <w:color w:val="000000"/>
        </w:rPr>
      </w:pPr>
      <w:r>
        <w:rPr>
          <w:rFonts w:ascii="Book Antiqua" w:hAnsi="Book Antiqua"/>
          <w:color w:val="000000"/>
        </w:rPr>
        <w:t>T</w:t>
      </w:r>
      <w:r w:rsidRPr="00A14ACE">
        <w:rPr>
          <w:rFonts w:ascii="Book Antiqua" w:hAnsi="Book Antiqua"/>
          <w:color w:val="000000"/>
        </w:rPr>
        <w:t>he P</w:t>
      </w:r>
      <w:r w:rsidR="0098411A" w:rsidRPr="00A14ACE">
        <w:rPr>
          <w:rFonts w:ascii="Book Antiqua" w:hAnsi="Book Antiqua"/>
          <w:color w:val="000000"/>
        </w:rPr>
        <w:t xml:space="preserve">re-trial </w:t>
      </w:r>
      <w:r w:rsidRPr="00A14ACE">
        <w:rPr>
          <w:rFonts w:ascii="Book Antiqua" w:hAnsi="Book Antiqua"/>
          <w:color w:val="000000"/>
        </w:rPr>
        <w:t>C</w:t>
      </w:r>
      <w:r w:rsidR="0098411A" w:rsidRPr="00A14ACE">
        <w:rPr>
          <w:rFonts w:ascii="Book Antiqua" w:hAnsi="Book Antiqua"/>
          <w:color w:val="000000"/>
        </w:rPr>
        <w:t xml:space="preserve">onference </w:t>
      </w:r>
      <w:r w:rsidRPr="00A14ACE">
        <w:rPr>
          <w:rFonts w:ascii="Book Antiqua" w:hAnsi="Book Antiqua"/>
          <w:color w:val="000000"/>
        </w:rPr>
        <w:t>C</w:t>
      </w:r>
      <w:r w:rsidR="0098411A" w:rsidRPr="00A14ACE">
        <w:rPr>
          <w:rFonts w:ascii="Book Antiqua" w:hAnsi="Book Antiqua"/>
          <w:color w:val="000000"/>
        </w:rPr>
        <w:t xml:space="preserve">alendar on the </w:t>
      </w:r>
      <w:r w:rsidR="00861637" w:rsidRPr="00A14ACE">
        <w:rPr>
          <w:rFonts w:ascii="Book Antiqua" w:hAnsi="Book Antiqua"/>
          <w:color w:val="000000"/>
        </w:rPr>
        <w:t>D</w:t>
      </w:r>
      <w:r w:rsidRPr="00A14ACE">
        <w:rPr>
          <w:rFonts w:ascii="Book Antiqua" w:hAnsi="Book Antiqua"/>
          <w:color w:val="000000"/>
        </w:rPr>
        <w:t>DL</w:t>
      </w:r>
      <w:r w:rsidR="00861637" w:rsidRPr="00A14ACE">
        <w:rPr>
          <w:rFonts w:ascii="Book Antiqua" w:hAnsi="Book Antiqua"/>
          <w:color w:val="000000"/>
        </w:rPr>
        <w:t xml:space="preserve"> page of the </w:t>
      </w:r>
      <w:r w:rsidR="0098411A" w:rsidRPr="00A14ACE">
        <w:rPr>
          <w:rFonts w:ascii="Book Antiqua" w:hAnsi="Book Antiqua"/>
          <w:color w:val="000000"/>
        </w:rPr>
        <w:t xml:space="preserve">Supreme Court website </w:t>
      </w:r>
      <w:r w:rsidR="00861637" w:rsidRPr="00A14ACE">
        <w:rPr>
          <w:rFonts w:ascii="Book Antiqua" w:hAnsi="Book Antiqua"/>
          <w:color w:val="000000"/>
        </w:rPr>
        <w:t>assist</w:t>
      </w:r>
      <w:r w:rsidRPr="00A14ACE">
        <w:rPr>
          <w:rFonts w:ascii="Book Antiqua" w:hAnsi="Book Antiqua"/>
          <w:color w:val="000000"/>
        </w:rPr>
        <w:t>s</w:t>
      </w:r>
      <w:r w:rsidR="00861637" w:rsidRPr="00A14ACE">
        <w:rPr>
          <w:rFonts w:ascii="Book Antiqua" w:hAnsi="Book Antiqua"/>
          <w:color w:val="000000"/>
        </w:rPr>
        <w:t xml:space="preserve"> practitioners to nominate suitable PTC dates, particularly if an adjournment is required.</w:t>
      </w:r>
      <w:r w:rsidR="0098411A" w:rsidRPr="00A14ACE">
        <w:rPr>
          <w:rFonts w:ascii="Book Antiqua" w:hAnsi="Book Antiqua"/>
          <w:color w:val="000000"/>
        </w:rPr>
        <w:t xml:space="preserve"> </w:t>
      </w:r>
    </w:p>
    <w:p w14:paraId="11501660" w14:textId="051A969E" w:rsidR="0098411A" w:rsidRPr="0098411A" w:rsidRDefault="0098411A" w:rsidP="0098411A">
      <w:pPr>
        <w:pStyle w:val="NormalWeb"/>
        <w:numPr>
          <w:ilvl w:val="0"/>
          <w:numId w:val="9"/>
        </w:numPr>
        <w:spacing w:line="360" w:lineRule="auto"/>
        <w:jc w:val="both"/>
        <w:rPr>
          <w:rFonts w:ascii="Book Antiqua" w:hAnsi="Book Antiqua"/>
          <w:b/>
          <w:color w:val="000000"/>
        </w:rPr>
      </w:pPr>
      <w:r w:rsidRPr="0098411A">
        <w:rPr>
          <w:rFonts w:ascii="Book Antiqua" w:hAnsi="Book Antiqua"/>
          <w:b/>
          <w:color w:val="000000"/>
        </w:rPr>
        <w:t xml:space="preserve">Contribution </w:t>
      </w:r>
      <w:r w:rsidR="00861637">
        <w:rPr>
          <w:rFonts w:ascii="Book Antiqua" w:hAnsi="Book Antiqua"/>
          <w:b/>
          <w:color w:val="000000"/>
        </w:rPr>
        <w:t xml:space="preserve">only </w:t>
      </w:r>
      <w:r w:rsidRPr="0098411A">
        <w:rPr>
          <w:rFonts w:ascii="Book Antiqua" w:hAnsi="Book Antiqua"/>
          <w:b/>
          <w:color w:val="000000"/>
        </w:rPr>
        <w:t xml:space="preserve">proceedings </w:t>
      </w:r>
    </w:p>
    <w:p w14:paraId="48771A32" w14:textId="070FF383" w:rsidR="0098411A" w:rsidRDefault="00861637" w:rsidP="00A14ACE">
      <w:pPr>
        <w:pStyle w:val="NormalWeb"/>
        <w:numPr>
          <w:ilvl w:val="0"/>
          <w:numId w:val="11"/>
        </w:numPr>
        <w:spacing w:line="360" w:lineRule="auto"/>
        <w:jc w:val="both"/>
        <w:rPr>
          <w:rFonts w:ascii="Book Antiqua" w:hAnsi="Book Antiqua"/>
          <w:color w:val="000000"/>
        </w:rPr>
      </w:pPr>
      <w:r w:rsidRPr="00A14ACE">
        <w:rPr>
          <w:rFonts w:ascii="Book Antiqua" w:hAnsi="Book Antiqua"/>
          <w:color w:val="000000"/>
        </w:rPr>
        <w:t>W</w:t>
      </w:r>
      <w:r w:rsidR="0098411A" w:rsidRPr="00A14ACE">
        <w:rPr>
          <w:rFonts w:ascii="Book Antiqua" w:hAnsi="Book Antiqua"/>
          <w:color w:val="000000"/>
        </w:rPr>
        <w:t xml:space="preserve">here contribution and/or third party claims </w:t>
      </w:r>
      <w:r w:rsidR="004B0251" w:rsidRPr="00A14ACE">
        <w:rPr>
          <w:rFonts w:ascii="Book Antiqua" w:hAnsi="Book Antiqua"/>
          <w:color w:val="000000"/>
        </w:rPr>
        <w:t>remain on foot</w:t>
      </w:r>
      <w:r w:rsidR="00A14ACE">
        <w:rPr>
          <w:rFonts w:ascii="Book Antiqua" w:hAnsi="Book Antiqua"/>
          <w:color w:val="000000"/>
        </w:rPr>
        <w:t xml:space="preserve"> after settlement of the plaintiff’s claim</w:t>
      </w:r>
      <w:r w:rsidR="004B0251" w:rsidRPr="00A14ACE">
        <w:rPr>
          <w:rFonts w:ascii="Book Antiqua" w:hAnsi="Book Antiqua"/>
          <w:color w:val="000000"/>
        </w:rPr>
        <w:t xml:space="preserve">, the Court will grant some leeway in terms of adjournments to allow for further information gathering/negotiation, but </w:t>
      </w:r>
      <w:r w:rsidR="0098411A" w:rsidRPr="00A14ACE">
        <w:rPr>
          <w:rFonts w:ascii="Book Antiqua" w:hAnsi="Book Antiqua"/>
          <w:color w:val="000000"/>
        </w:rPr>
        <w:t>note</w:t>
      </w:r>
      <w:r w:rsidR="004B0251" w:rsidRPr="00A14ACE">
        <w:rPr>
          <w:rFonts w:ascii="Book Antiqua" w:hAnsi="Book Antiqua"/>
          <w:color w:val="000000"/>
        </w:rPr>
        <w:t>s</w:t>
      </w:r>
      <w:r w:rsidR="0098411A" w:rsidRPr="00A14ACE">
        <w:rPr>
          <w:rFonts w:ascii="Book Antiqua" w:hAnsi="Book Antiqua"/>
          <w:color w:val="000000"/>
        </w:rPr>
        <w:t xml:space="preserve"> that </w:t>
      </w:r>
      <w:r w:rsidR="004B0251" w:rsidRPr="00A14ACE">
        <w:rPr>
          <w:rFonts w:ascii="Book Antiqua" w:hAnsi="Book Antiqua"/>
          <w:color w:val="000000"/>
        </w:rPr>
        <w:t xml:space="preserve">had </w:t>
      </w:r>
      <w:r w:rsidR="0098411A" w:rsidRPr="00A14ACE">
        <w:rPr>
          <w:rFonts w:ascii="Book Antiqua" w:hAnsi="Book Antiqua"/>
          <w:color w:val="000000"/>
        </w:rPr>
        <w:t>the plaintiff’s claim run to trial</w:t>
      </w:r>
      <w:r w:rsidR="00A14ACE">
        <w:rPr>
          <w:rFonts w:ascii="Book Antiqua" w:hAnsi="Book Antiqua"/>
          <w:color w:val="000000"/>
        </w:rPr>
        <w:t xml:space="preserve">, </w:t>
      </w:r>
      <w:r w:rsidR="001A08EA">
        <w:rPr>
          <w:rFonts w:ascii="Book Antiqua" w:hAnsi="Book Antiqua"/>
          <w:color w:val="000000"/>
        </w:rPr>
        <w:t>contribution would have had to be dealt with at that time anyway.</w:t>
      </w:r>
    </w:p>
    <w:p w14:paraId="278113A6" w14:textId="77777777" w:rsidR="0098411A" w:rsidRPr="0098411A" w:rsidRDefault="0098411A" w:rsidP="0098411A">
      <w:pPr>
        <w:pStyle w:val="NormalWeb"/>
        <w:numPr>
          <w:ilvl w:val="0"/>
          <w:numId w:val="9"/>
        </w:numPr>
        <w:spacing w:line="360" w:lineRule="auto"/>
        <w:jc w:val="both"/>
        <w:rPr>
          <w:rFonts w:ascii="Book Antiqua" w:hAnsi="Book Antiqua"/>
          <w:b/>
          <w:color w:val="000000"/>
        </w:rPr>
      </w:pPr>
      <w:r w:rsidRPr="0098411A">
        <w:rPr>
          <w:rFonts w:ascii="Book Antiqua" w:hAnsi="Book Antiqua"/>
          <w:b/>
          <w:color w:val="000000"/>
        </w:rPr>
        <w:t>Management of regional dust cases</w:t>
      </w:r>
    </w:p>
    <w:p w14:paraId="1DDB8D37" w14:textId="36913D93" w:rsidR="004B0251" w:rsidRPr="00DD72FC" w:rsidRDefault="004B0251" w:rsidP="00DD72FC">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t>R</w:t>
      </w:r>
      <w:r w:rsidR="0098411A" w:rsidRPr="00DD72FC">
        <w:rPr>
          <w:rFonts w:ascii="Book Antiqua" w:hAnsi="Book Antiqua"/>
          <w:color w:val="000000"/>
        </w:rPr>
        <w:t xml:space="preserve">egional dust cases </w:t>
      </w:r>
      <w:r w:rsidRPr="00DD72FC">
        <w:rPr>
          <w:rFonts w:ascii="Book Antiqua" w:hAnsi="Book Antiqua"/>
          <w:color w:val="000000"/>
        </w:rPr>
        <w:t xml:space="preserve">are managed in the DDL but will be given a trial date in the relevant circuit and listed in the circuit </w:t>
      </w:r>
      <w:r w:rsidR="00593CF5">
        <w:rPr>
          <w:rFonts w:ascii="Book Antiqua" w:hAnsi="Book Antiqua"/>
          <w:color w:val="000000"/>
        </w:rPr>
        <w:t>C</w:t>
      </w:r>
      <w:r w:rsidRPr="00DD72FC">
        <w:rPr>
          <w:rFonts w:ascii="Book Antiqua" w:hAnsi="Book Antiqua"/>
          <w:color w:val="000000"/>
        </w:rPr>
        <w:t>all-over rather than having a Final Directions Hearing.</w:t>
      </w:r>
    </w:p>
    <w:p w14:paraId="2A78F8C1" w14:textId="0F882617" w:rsidR="0098411A" w:rsidRPr="00DD72FC" w:rsidRDefault="004B0251" w:rsidP="00DD72FC">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t>T</w:t>
      </w:r>
      <w:r w:rsidR="0098411A" w:rsidRPr="00DD72FC">
        <w:rPr>
          <w:rFonts w:ascii="Book Antiqua" w:hAnsi="Book Antiqua"/>
          <w:color w:val="000000"/>
        </w:rPr>
        <w:t>he Court endeavours to accommodate urgent cases, and</w:t>
      </w:r>
      <w:r w:rsidRPr="00DD72FC">
        <w:rPr>
          <w:rFonts w:ascii="Book Antiqua" w:hAnsi="Book Antiqua"/>
          <w:color w:val="000000"/>
        </w:rPr>
        <w:t>,</w:t>
      </w:r>
      <w:r w:rsidR="0098411A" w:rsidRPr="00DD72FC">
        <w:rPr>
          <w:rFonts w:ascii="Book Antiqua" w:hAnsi="Book Antiqua"/>
          <w:color w:val="000000"/>
        </w:rPr>
        <w:t xml:space="preserve"> unless there </w:t>
      </w:r>
      <w:r w:rsidR="00DD72FC">
        <w:rPr>
          <w:rFonts w:ascii="Book Antiqua" w:hAnsi="Book Antiqua"/>
          <w:color w:val="000000"/>
        </w:rPr>
        <w:t>is</w:t>
      </w:r>
      <w:r w:rsidR="0098411A" w:rsidRPr="00DD72FC">
        <w:rPr>
          <w:rFonts w:ascii="Book Antiqua" w:hAnsi="Book Antiqua"/>
          <w:color w:val="000000"/>
        </w:rPr>
        <w:t xml:space="preserve"> a competing matter, </w:t>
      </w:r>
      <w:r w:rsidRPr="00DD72FC">
        <w:rPr>
          <w:rFonts w:ascii="Book Antiqua" w:hAnsi="Book Antiqua"/>
          <w:color w:val="000000"/>
        </w:rPr>
        <w:t xml:space="preserve">a dust case </w:t>
      </w:r>
      <w:r w:rsidR="0098411A" w:rsidRPr="00DD72FC">
        <w:rPr>
          <w:rFonts w:ascii="Book Antiqua" w:hAnsi="Book Antiqua"/>
          <w:color w:val="000000"/>
        </w:rPr>
        <w:t xml:space="preserve">would </w:t>
      </w:r>
      <w:r w:rsidRPr="00DD72FC">
        <w:rPr>
          <w:rFonts w:ascii="Book Antiqua" w:hAnsi="Book Antiqua"/>
          <w:color w:val="000000"/>
        </w:rPr>
        <w:t xml:space="preserve">usually </w:t>
      </w:r>
      <w:r w:rsidR="0098411A" w:rsidRPr="00DD72FC">
        <w:rPr>
          <w:rFonts w:ascii="Book Antiqua" w:hAnsi="Book Antiqua"/>
          <w:color w:val="000000"/>
        </w:rPr>
        <w:t>be afforded priority in the circuit</w:t>
      </w:r>
      <w:r w:rsidRPr="00DD72FC">
        <w:rPr>
          <w:rFonts w:ascii="Book Antiqua" w:hAnsi="Book Antiqua"/>
          <w:color w:val="000000"/>
        </w:rPr>
        <w:t xml:space="preserve">, or </w:t>
      </w:r>
      <w:r w:rsidR="007A6ADE" w:rsidRPr="00DD72FC">
        <w:rPr>
          <w:rFonts w:ascii="Book Antiqua" w:hAnsi="Book Antiqua"/>
          <w:color w:val="000000"/>
        </w:rPr>
        <w:t xml:space="preserve">considered </w:t>
      </w:r>
      <w:r w:rsidRPr="00DD72FC">
        <w:rPr>
          <w:rFonts w:ascii="Book Antiqua" w:hAnsi="Book Antiqua"/>
          <w:color w:val="000000"/>
        </w:rPr>
        <w:t>for trial in Melbourne</w:t>
      </w:r>
      <w:r w:rsidR="0098411A" w:rsidRPr="00DD72FC">
        <w:rPr>
          <w:rFonts w:ascii="Book Antiqua" w:hAnsi="Book Antiqua"/>
          <w:color w:val="000000"/>
        </w:rPr>
        <w:t xml:space="preserve">. </w:t>
      </w:r>
    </w:p>
    <w:p w14:paraId="3DF31A27" w14:textId="77777777" w:rsidR="0098411A" w:rsidRPr="00414F91" w:rsidRDefault="0098411A" w:rsidP="00414F91">
      <w:pPr>
        <w:pStyle w:val="NormalWeb"/>
        <w:numPr>
          <w:ilvl w:val="0"/>
          <w:numId w:val="9"/>
        </w:numPr>
        <w:spacing w:line="360" w:lineRule="auto"/>
        <w:jc w:val="both"/>
        <w:rPr>
          <w:rFonts w:ascii="Book Antiqua" w:hAnsi="Book Antiqua"/>
          <w:b/>
          <w:color w:val="000000"/>
        </w:rPr>
      </w:pPr>
      <w:r w:rsidRPr="00414F91">
        <w:rPr>
          <w:rFonts w:ascii="Book Antiqua" w:hAnsi="Book Antiqua"/>
          <w:b/>
          <w:color w:val="000000"/>
        </w:rPr>
        <w:t>Admissions by defendants</w:t>
      </w:r>
    </w:p>
    <w:p w14:paraId="08DF5178" w14:textId="76EEC656" w:rsidR="0098411A" w:rsidRPr="00DD72FC" w:rsidRDefault="00414F91" w:rsidP="00DD72FC">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t xml:space="preserve">Defendants are encouraged to make admissions as early as possible and should provide a draft amended defence to the plaintiff </w:t>
      </w:r>
      <w:r w:rsidR="00DD72FC">
        <w:rPr>
          <w:rFonts w:ascii="Book Antiqua" w:hAnsi="Book Antiqua"/>
          <w:color w:val="000000"/>
        </w:rPr>
        <w:t xml:space="preserve">ahead of seeking leave to file and serve to </w:t>
      </w:r>
      <w:r w:rsidR="0098411A" w:rsidRPr="00DD72FC">
        <w:rPr>
          <w:rFonts w:ascii="Book Antiqua" w:hAnsi="Book Antiqua"/>
          <w:color w:val="000000"/>
        </w:rPr>
        <w:t>encourage earlier communication of issues.</w:t>
      </w:r>
    </w:p>
    <w:p w14:paraId="47361D04" w14:textId="77777777" w:rsidR="0098411A" w:rsidRPr="00414F91" w:rsidRDefault="0098411A" w:rsidP="00414F91">
      <w:pPr>
        <w:pStyle w:val="NormalWeb"/>
        <w:numPr>
          <w:ilvl w:val="0"/>
          <w:numId w:val="9"/>
        </w:numPr>
        <w:spacing w:line="360" w:lineRule="auto"/>
        <w:jc w:val="both"/>
        <w:rPr>
          <w:rFonts w:ascii="Book Antiqua" w:hAnsi="Book Antiqua"/>
          <w:b/>
          <w:color w:val="000000"/>
        </w:rPr>
      </w:pPr>
      <w:r w:rsidRPr="00414F91">
        <w:rPr>
          <w:rFonts w:ascii="Book Antiqua" w:hAnsi="Book Antiqua"/>
          <w:b/>
          <w:color w:val="000000"/>
        </w:rPr>
        <w:t>Reinstatement of companies</w:t>
      </w:r>
    </w:p>
    <w:p w14:paraId="6B4C6D62" w14:textId="3534FAF1" w:rsidR="0098411A" w:rsidRDefault="00414F91" w:rsidP="00DD72FC">
      <w:pPr>
        <w:pStyle w:val="NormalWeb"/>
        <w:numPr>
          <w:ilvl w:val="0"/>
          <w:numId w:val="11"/>
        </w:numPr>
        <w:spacing w:line="360" w:lineRule="auto"/>
        <w:jc w:val="both"/>
        <w:rPr>
          <w:rFonts w:ascii="Book Antiqua" w:hAnsi="Book Antiqua"/>
          <w:color w:val="000000"/>
        </w:rPr>
      </w:pPr>
      <w:r w:rsidRPr="00DD72FC">
        <w:rPr>
          <w:rFonts w:ascii="Book Antiqua" w:hAnsi="Book Antiqua"/>
          <w:color w:val="000000"/>
        </w:rPr>
        <w:t xml:space="preserve">Applications to </w:t>
      </w:r>
      <w:r w:rsidR="0098411A" w:rsidRPr="00DD72FC">
        <w:rPr>
          <w:rFonts w:ascii="Book Antiqua" w:hAnsi="Book Antiqua"/>
          <w:color w:val="000000"/>
        </w:rPr>
        <w:t xml:space="preserve">reinstate a deregistered company </w:t>
      </w:r>
      <w:r w:rsidRPr="00DD72FC">
        <w:rPr>
          <w:rFonts w:ascii="Book Antiqua" w:hAnsi="Book Antiqua"/>
          <w:color w:val="000000"/>
        </w:rPr>
        <w:t xml:space="preserve">should be made </w:t>
      </w:r>
      <w:r w:rsidR="0098411A" w:rsidRPr="00DD72FC">
        <w:rPr>
          <w:rFonts w:ascii="Book Antiqua" w:hAnsi="Book Antiqua"/>
          <w:color w:val="000000"/>
        </w:rPr>
        <w:t xml:space="preserve">in the </w:t>
      </w:r>
      <w:r w:rsidR="009227B4">
        <w:rPr>
          <w:rFonts w:ascii="Book Antiqua" w:hAnsi="Book Antiqua"/>
          <w:color w:val="000000"/>
        </w:rPr>
        <w:t xml:space="preserve">Commercial Court’s </w:t>
      </w:r>
      <w:r w:rsidR="0098411A" w:rsidRPr="00DD72FC">
        <w:rPr>
          <w:rFonts w:ascii="Book Antiqua" w:hAnsi="Book Antiqua"/>
          <w:color w:val="000000"/>
        </w:rPr>
        <w:t>Corporations List</w:t>
      </w:r>
      <w:r w:rsidRPr="00DD72FC">
        <w:rPr>
          <w:rFonts w:ascii="Book Antiqua" w:hAnsi="Book Antiqua"/>
          <w:color w:val="000000"/>
        </w:rPr>
        <w:t xml:space="preserve"> where requests for priority in urgent cases are usually accommodated. </w:t>
      </w:r>
    </w:p>
    <w:p w14:paraId="4C8BD048" w14:textId="67171D35" w:rsidR="00D24EC2" w:rsidRDefault="00D24EC2" w:rsidP="00D24EC2">
      <w:pPr>
        <w:pStyle w:val="NormalWeb"/>
        <w:spacing w:line="360" w:lineRule="auto"/>
        <w:jc w:val="both"/>
        <w:rPr>
          <w:rFonts w:ascii="Book Antiqua" w:hAnsi="Book Antiqua"/>
          <w:color w:val="000000"/>
        </w:rPr>
      </w:pPr>
    </w:p>
    <w:sectPr w:rsidR="00D24EC2" w:rsidSect="000E6A03">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BF2E" w14:textId="77777777" w:rsidR="00580A7F" w:rsidRDefault="00580A7F" w:rsidP="00580A7F">
      <w:pPr>
        <w:spacing w:after="0" w:line="240" w:lineRule="auto"/>
      </w:pPr>
      <w:r>
        <w:separator/>
      </w:r>
    </w:p>
  </w:endnote>
  <w:endnote w:type="continuationSeparator" w:id="0">
    <w:p w14:paraId="0DFC2794" w14:textId="77777777" w:rsidR="00580A7F" w:rsidRDefault="00580A7F" w:rsidP="0058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78018"/>
      <w:docPartObj>
        <w:docPartGallery w:val="Page Numbers (Bottom of Page)"/>
        <w:docPartUnique/>
      </w:docPartObj>
    </w:sdtPr>
    <w:sdtEndPr>
      <w:rPr>
        <w:noProof/>
      </w:rPr>
    </w:sdtEndPr>
    <w:sdtContent>
      <w:p w14:paraId="016227FB" w14:textId="76D01680" w:rsidR="005D20DE" w:rsidRDefault="005D20DE">
        <w:pPr>
          <w:pStyle w:val="Footer"/>
          <w:jc w:val="center"/>
        </w:pPr>
        <w:r>
          <w:fldChar w:fldCharType="begin"/>
        </w:r>
        <w:r>
          <w:instrText xml:space="preserve"> PAGE   \* MERGEFORMAT </w:instrText>
        </w:r>
        <w:r>
          <w:fldChar w:fldCharType="separate"/>
        </w:r>
        <w:r w:rsidR="00806FB1">
          <w:rPr>
            <w:noProof/>
          </w:rPr>
          <w:t>8</w:t>
        </w:r>
        <w:r>
          <w:rPr>
            <w:noProof/>
          </w:rPr>
          <w:fldChar w:fldCharType="end"/>
        </w:r>
      </w:p>
    </w:sdtContent>
  </w:sdt>
  <w:p w14:paraId="54533392" w14:textId="77777777" w:rsidR="00580A7F" w:rsidRDefault="00580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97A8" w14:textId="77777777" w:rsidR="00580A7F" w:rsidRDefault="00580A7F" w:rsidP="00580A7F">
      <w:pPr>
        <w:spacing w:after="0" w:line="240" w:lineRule="auto"/>
      </w:pPr>
      <w:r>
        <w:separator/>
      </w:r>
    </w:p>
  </w:footnote>
  <w:footnote w:type="continuationSeparator" w:id="0">
    <w:p w14:paraId="72950165" w14:textId="77777777" w:rsidR="00580A7F" w:rsidRDefault="00580A7F" w:rsidP="00580A7F">
      <w:pPr>
        <w:spacing w:after="0" w:line="240" w:lineRule="auto"/>
      </w:pPr>
      <w:r>
        <w:continuationSeparator/>
      </w:r>
    </w:p>
  </w:footnote>
  <w:footnote w:id="1">
    <w:p w14:paraId="5AFDC0AA" w14:textId="5C02A020" w:rsidR="00893171" w:rsidRDefault="00893171">
      <w:pPr>
        <w:pStyle w:val="FootnoteText"/>
      </w:pPr>
      <w:r>
        <w:rPr>
          <w:rStyle w:val="FootnoteReference"/>
        </w:rPr>
        <w:footnoteRef/>
      </w:r>
      <w:r>
        <w:t xml:space="preserve"> </w:t>
      </w:r>
      <w:r w:rsidRPr="00D72BDD">
        <w:rPr>
          <w:rFonts w:ascii="Book Antiqua" w:hAnsi="Book Antiqua"/>
        </w:rPr>
        <w:t>CCL - Justice Jack Forrest</w:t>
      </w:r>
      <w:r w:rsidR="000B1E25" w:rsidRPr="00D72BDD">
        <w:rPr>
          <w:rFonts w:ascii="Book Antiqua" w:hAnsi="Book Antiqua"/>
        </w:rPr>
        <w:t xml:space="preserve"> (Justice Andrew Keogh from Term 3 2017)</w:t>
      </w:r>
      <w:r w:rsidRPr="00D72BDD">
        <w:rPr>
          <w:rFonts w:ascii="Book Antiqua" w:hAnsi="Book Antiqua"/>
        </w:rPr>
        <w:t xml:space="preserve">; </w:t>
      </w:r>
      <w:r w:rsidR="00D14A11" w:rsidRPr="00D72BDD">
        <w:rPr>
          <w:rFonts w:ascii="Book Antiqua" w:hAnsi="Book Antiqua"/>
        </w:rPr>
        <w:t>PIL – Justice Rita Zammit; DDL Justices Rita Zammit and Andrew Keogh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BDE1" w14:textId="0EB20DAE" w:rsidR="00580A7F" w:rsidRDefault="00580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5FA"/>
    <w:multiLevelType w:val="hybridMultilevel"/>
    <w:tmpl w:val="A4D288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4454FC"/>
    <w:multiLevelType w:val="hybridMultilevel"/>
    <w:tmpl w:val="068EF7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51D6BE7"/>
    <w:multiLevelType w:val="hybridMultilevel"/>
    <w:tmpl w:val="80A0D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905A9"/>
    <w:multiLevelType w:val="hybridMultilevel"/>
    <w:tmpl w:val="EA2637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A9A5F28"/>
    <w:multiLevelType w:val="hybridMultilevel"/>
    <w:tmpl w:val="93A0C4DA"/>
    <w:lvl w:ilvl="0" w:tplc="0C090001">
      <w:start w:val="1"/>
      <w:numFmt w:val="bullet"/>
      <w:lvlText w:val=""/>
      <w:lvlJc w:val="left"/>
      <w:pPr>
        <w:ind w:left="1648" w:hanging="360"/>
      </w:pPr>
      <w:rPr>
        <w:rFonts w:ascii="Symbol" w:hAnsi="Symbol" w:hint="default"/>
      </w:rPr>
    </w:lvl>
    <w:lvl w:ilvl="1" w:tplc="0C090003">
      <w:start w:val="1"/>
      <w:numFmt w:val="bullet"/>
      <w:lvlText w:val="o"/>
      <w:lvlJc w:val="left"/>
      <w:pPr>
        <w:ind w:left="2368" w:hanging="360"/>
      </w:pPr>
      <w:rPr>
        <w:rFonts w:ascii="Courier New" w:hAnsi="Courier New" w:cs="Courier New" w:hint="default"/>
      </w:rPr>
    </w:lvl>
    <w:lvl w:ilvl="2" w:tplc="0C090005">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5" w15:restartNumberingAfterBreak="0">
    <w:nsid w:val="0F7249FC"/>
    <w:multiLevelType w:val="hybridMultilevel"/>
    <w:tmpl w:val="FBCA3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61E4A"/>
    <w:multiLevelType w:val="hybridMultilevel"/>
    <w:tmpl w:val="D9D43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0D4ECC"/>
    <w:multiLevelType w:val="hybridMultilevel"/>
    <w:tmpl w:val="B3C2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485E23"/>
    <w:multiLevelType w:val="hybridMultilevel"/>
    <w:tmpl w:val="64523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83F20"/>
    <w:multiLevelType w:val="hybridMultilevel"/>
    <w:tmpl w:val="96AA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65E72"/>
    <w:multiLevelType w:val="hybridMultilevel"/>
    <w:tmpl w:val="C5F8739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1C35C58"/>
    <w:multiLevelType w:val="hybridMultilevel"/>
    <w:tmpl w:val="A5D2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754D1"/>
    <w:multiLevelType w:val="hybridMultilevel"/>
    <w:tmpl w:val="16D40D9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276807CC"/>
    <w:multiLevelType w:val="hybridMultilevel"/>
    <w:tmpl w:val="A8F69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C47264"/>
    <w:multiLevelType w:val="hybridMultilevel"/>
    <w:tmpl w:val="66FE776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9DA4D3C"/>
    <w:multiLevelType w:val="hybridMultilevel"/>
    <w:tmpl w:val="FD1CD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722071"/>
    <w:multiLevelType w:val="hybridMultilevel"/>
    <w:tmpl w:val="34CCC9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670912"/>
    <w:multiLevelType w:val="hybridMultilevel"/>
    <w:tmpl w:val="EC065C18"/>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15:restartNumberingAfterBreak="0">
    <w:nsid w:val="307D6A96"/>
    <w:multiLevelType w:val="hybridMultilevel"/>
    <w:tmpl w:val="AB8CB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10B01"/>
    <w:multiLevelType w:val="hybridMultilevel"/>
    <w:tmpl w:val="B74C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2A29D6"/>
    <w:multiLevelType w:val="hybridMultilevel"/>
    <w:tmpl w:val="CA8021E6"/>
    <w:lvl w:ilvl="0" w:tplc="F37A11A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B257BA"/>
    <w:multiLevelType w:val="hybridMultilevel"/>
    <w:tmpl w:val="9B8CB5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D5185A"/>
    <w:multiLevelType w:val="hybridMultilevel"/>
    <w:tmpl w:val="F1CCD0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EB734F3"/>
    <w:multiLevelType w:val="hybridMultilevel"/>
    <w:tmpl w:val="1B34E04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3F6266BC"/>
    <w:multiLevelType w:val="hybridMultilevel"/>
    <w:tmpl w:val="BB4CF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9D584A"/>
    <w:multiLevelType w:val="hybridMultilevel"/>
    <w:tmpl w:val="9D1490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4DB90895"/>
    <w:multiLevelType w:val="hybridMultilevel"/>
    <w:tmpl w:val="E51A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57FD4"/>
    <w:multiLevelType w:val="hybridMultilevel"/>
    <w:tmpl w:val="896099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C13CEE"/>
    <w:multiLevelType w:val="hybridMultilevel"/>
    <w:tmpl w:val="58D20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AE6AC0"/>
    <w:multiLevelType w:val="hybridMultilevel"/>
    <w:tmpl w:val="AD2E2A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870209"/>
    <w:multiLevelType w:val="hybridMultilevel"/>
    <w:tmpl w:val="4C12A6CA"/>
    <w:lvl w:ilvl="0" w:tplc="DCAC73DC">
      <w:start w:val="1"/>
      <w:numFmt w:val="lowerLetter"/>
      <w:lvlText w:val="%1."/>
      <w:lvlJc w:val="left"/>
      <w:pPr>
        <w:ind w:left="1440" w:hanging="720"/>
      </w:pPr>
      <w:rPr>
        <w:rFonts w:hint="default"/>
      </w:rPr>
    </w:lvl>
    <w:lvl w:ilvl="1" w:tplc="243EB10E">
      <w:start w:val="1"/>
      <w:numFmt w:val="bullet"/>
      <w:lvlText w:val="•"/>
      <w:lvlJc w:val="left"/>
      <w:pPr>
        <w:ind w:left="2160" w:hanging="720"/>
      </w:pPr>
      <w:rPr>
        <w:rFonts w:ascii="Book Antiqua" w:eastAsia="Book Antiqua" w:hAnsi="Book Antiqua" w:cs="Book Antiqua"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690022D"/>
    <w:multiLevelType w:val="hybridMultilevel"/>
    <w:tmpl w:val="0FA0A99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2" w15:restartNumberingAfterBreak="0">
    <w:nsid w:val="67A62B26"/>
    <w:multiLevelType w:val="hybridMultilevel"/>
    <w:tmpl w:val="174E6938"/>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6B7F22C5"/>
    <w:multiLevelType w:val="hybridMultilevel"/>
    <w:tmpl w:val="0CE8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D1A01"/>
    <w:multiLevelType w:val="hybridMultilevel"/>
    <w:tmpl w:val="0B9C995C"/>
    <w:lvl w:ilvl="0" w:tplc="0C09000F">
      <w:start w:val="1"/>
      <w:numFmt w:val="decimal"/>
      <w:lvlText w:val="%1."/>
      <w:lvlJc w:val="left"/>
      <w:pPr>
        <w:ind w:left="928" w:hanging="360"/>
      </w:pPr>
      <w:rPr>
        <w:rFonts w:hint="default"/>
      </w:rPr>
    </w:lvl>
    <w:lvl w:ilvl="1" w:tplc="0C090019">
      <w:start w:val="1"/>
      <w:numFmt w:val="lowerLetter"/>
      <w:lvlText w:val="%2."/>
      <w:lvlJc w:val="left"/>
      <w:pPr>
        <w:ind w:left="1440" w:hanging="360"/>
      </w:pPr>
    </w:lvl>
    <w:lvl w:ilvl="2" w:tplc="DF8C7C52">
      <w:start w:val="1"/>
      <w:numFmt w:val="lowerRoman"/>
      <w:lvlText w:val="(%3)"/>
      <w:lvlJc w:val="left"/>
      <w:pPr>
        <w:ind w:left="2700" w:hanging="720"/>
      </w:pPr>
      <w:rPr>
        <w:rFonts w:eastAsiaTheme="minorHAnsi" w:cstheme="minorBidi" w:hint="default"/>
        <w:b/>
        <w:color w:val="00000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A561DC"/>
    <w:multiLevelType w:val="hybridMultilevel"/>
    <w:tmpl w:val="F1A8499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8971984"/>
    <w:multiLevelType w:val="hybridMultilevel"/>
    <w:tmpl w:val="3546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F052F9"/>
    <w:multiLevelType w:val="hybridMultilevel"/>
    <w:tmpl w:val="E10C0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28"/>
  </w:num>
  <w:num w:numId="5">
    <w:abstractNumId w:val="6"/>
  </w:num>
  <w:num w:numId="6">
    <w:abstractNumId w:val="8"/>
  </w:num>
  <w:num w:numId="7">
    <w:abstractNumId w:val="30"/>
  </w:num>
  <w:num w:numId="8">
    <w:abstractNumId w:val="21"/>
  </w:num>
  <w:num w:numId="9">
    <w:abstractNumId w:val="34"/>
  </w:num>
  <w:num w:numId="10">
    <w:abstractNumId w:val="3"/>
  </w:num>
  <w:num w:numId="11">
    <w:abstractNumId w:val="10"/>
  </w:num>
  <w:num w:numId="12">
    <w:abstractNumId w:val="0"/>
  </w:num>
  <w:num w:numId="13">
    <w:abstractNumId w:val="24"/>
  </w:num>
  <w:num w:numId="14">
    <w:abstractNumId w:val="15"/>
  </w:num>
  <w:num w:numId="15">
    <w:abstractNumId w:val="4"/>
  </w:num>
  <w:num w:numId="16">
    <w:abstractNumId w:val="22"/>
  </w:num>
  <w:num w:numId="17">
    <w:abstractNumId w:val="29"/>
  </w:num>
  <w:num w:numId="18">
    <w:abstractNumId w:val="35"/>
  </w:num>
  <w:num w:numId="19">
    <w:abstractNumId w:val="20"/>
  </w:num>
  <w:num w:numId="20">
    <w:abstractNumId w:val="17"/>
  </w:num>
  <w:num w:numId="21">
    <w:abstractNumId w:val="31"/>
  </w:num>
  <w:num w:numId="22">
    <w:abstractNumId w:val="12"/>
  </w:num>
  <w:num w:numId="23">
    <w:abstractNumId w:val="18"/>
  </w:num>
  <w:num w:numId="24">
    <w:abstractNumId w:val="36"/>
  </w:num>
  <w:num w:numId="25">
    <w:abstractNumId w:val="14"/>
  </w:num>
  <w:num w:numId="26">
    <w:abstractNumId w:val="1"/>
  </w:num>
  <w:num w:numId="27">
    <w:abstractNumId w:val="32"/>
  </w:num>
  <w:num w:numId="28">
    <w:abstractNumId w:val="23"/>
  </w:num>
  <w:num w:numId="29">
    <w:abstractNumId w:val="11"/>
  </w:num>
  <w:num w:numId="30">
    <w:abstractNumId w:val="33"/>
  </w:num>
  <w:num w:numId="31">
    <w:abstractNumId w:val="5"/>
  </w:num>
  <w:num w:numId="32">
    <w:abstractNumId w:val="27"/>
  </w:num>
  <w:num w:numId="33">
    <w:abstractNumId w:val="7"/>
  </w:num>
  <w:num w:numId="34">
    <w:abstractNumId w:val="25"/>
  </w:num>
  <w:num w:numId="35">
    <w:abstractNumId w:val="37"/>
  </w:num>
  <w:num w:numId="36">
    <w:abstractNumId w:val="19"/>
  </w:num>
  <w:num w:numId="37">
    <w:abstractNumId w:val="2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CE"/>
    <w:rsid w:val="0000128C"/>
    <w:rsid w:val="00001AA4"/>
    <w:rsid w:val="000023C5"/>
    <w:rsid w:val="000154EC"/>
    <w:rsid w:val="00015AD7"/>
    <w:rsid w:val="00023C1C"/>
    <w:rsid w:val="000328DF"/>
    <w:rsid w:val="0003487B"/>
    <w:rsid w:val="00065356"/>
    <w:rsid w:val="000732A0"/>
    <w:rsid w:val="00073E45"/>
    <w:rsid w:val="00083DD1"/>
    <w:rsid w:val="00084BA8"/>
    <w:rsid w:val="00094A17"/>
    <w:rsid w:val="000A6499"/>
    <w:rsid w:val="000B1E25"/>
    <w:rsid w:val="000C187D"/>
    <w:rsid w:val="000D3094"/>
    <w:rsid w:val="000D4057"/>
    <w:rsid w:val="000E2207"/>
    <w:rsid w:val="000E2236"/>
    <w:rsid w:val="000E500F"/>
    <w:rsid w:val="000E60C2"/>
    <w:rsid w:val="000E6A03"/>
    <w:rsid w:val="001118F0"/>
    <w:rsid w:val="001220DC"/>
    <w:rsid w:val="00140BE9"/>
    <w:rsid w:val="001417B2"/>
    <w:rsid w:val="0014640C"/>
    <w:rsid w:val="00152CF4"/>
    <w:rsid w:val="00162021"/>
    <w:rsid w:val="001641C1"/>
    <w:rsid w:val="00165FCA"/>
    <w:rsid w:val="00170E92"/>
    <w:rsid w:val="00173810"/>
    <w:rsid w:val="0018289D"/>
    <w:rsid w:val="00186980"/>
    <w:rsid w:val="00197AA6"/>
    <w:rsid w:val="001A08EA"/>
    <w:rsid w:val="001A4499"/>
    <w:rsid w:val="001B7C57"/>
    <w:rsid w:val="001C14FD"/>
    <w:rsid w:val="001C186C"/>
    <w:rsid w:val="001E31F1"/>
    <w:rsid w:val="001F1F9E"/>
    <w:rsid w:val="001F42A2"/>
    <w:rsid w:val="002014B9"/>
    <w:rsid w:val="00203275"/>
    <w:rsid w:val="00216680"/>
    <w:rsid w:val="00216BC8"/>
    <w:rsid w:val="002273E0"/>
    <w:rsid w:val="0023268E"/>
    <w:rsid w:val="00245BBF"/>
    <w:rsid w:val="002534C7"/>
    <w:rsid w:val="00262BB3"/>
    <w:rsid w:val="00270DEF"/>
    <w:rsid w:val="00271A71"/>
    <w:rsid w:val="0028200D"/>
    <w:rsid w:val="0028629A"/>
    <w:rsid w:val="00287CAB"/>
    <w:rsid w:val="002B0E07"/>
    <w:rsid w:val="002B2E03"/>
    <w:rsid w:val="002C74D4"/>
    <w:rsid w:val="002D1987"/>
    <w:rsid w:val="002E0B9B"/>
    <w:rsid w:val="00304B84"/>
    <w:rsid w:val="003118BA"/>
    <w:rsid w:val="003163A0"/>
    <w:rsid w:val="00330779"/>
    <w:rsid w:val="00353006"/>
    <w:rsid w:val="00353BA1"/>
    <w:rsid w:val="003570D0"/>
    <w:rsid w:val="00396C2C"/>
    <w:rsid w:val="003F62AF"/>
    <w:rsid w:val="003F6B05"/>
    <w:rsid w:val="00414F91"/>
    <w:rsid w:val="004950CA"/>
    <w:rsid w:val="004B0251"/>
    <w:rsid w:val="004B7A7A"/>
    <w:rsid w:val="004C2C85"/>
    <w:rsid w:val="004D740D"/>
    <w:rsid w:val="004E23C6"/>
    <w:rsid w:val="004E56ED"/>
    <w:rsid w:val="004F695C"/>
    <w:rsid w:val="00504CE6"/>
    <w:rsid w:val="00506442"/>
    <w:rsid w:val="00511B3A"/>
    <w:rsid w:val="00523720"/>
    <w:rsid w:val="005245E1"/>
    <w:rsid w:val="005329C0"/>
    <w:rsid w:val="00533116"/>
    <w:rsid w:val="00553D46"/>
    <w:rsid w:val="00580A7F"/>
    <w:rsid w:val="0059204D"/>
    <w:rsid w:val="0059364E"/>
    <w:rsid w:val="00593CF5"/>
    <w:rsid w:val="0059512B"/>
    <w:rsid w:val="005B0DFB"/>
    <w:rsid w:val="005B2C9A"/>
    <w:rsid w:val="005C6F0C"/>
    <w:rsid w:val="005D20DE"/>
    <w:rsid w:val="005F423E"/>
    <w:rsid w:val="005F53EA"/>
    <w:rsid w:val="00605113"/>
    <w:rsid w:val="00640A4B"/>
    <w:rsid w:val="00662CF3"/>
    <w:rsid w:val="0068352C"/>
    <w:rsid w:val="00695792"/>
    <w:rsid w:val="006D0D08"/>
    <w:rsid w:val="006F34A7"/>
    <w:rsid w:val="00710E34"/>
    <w:rsid w:val="00713295"/>
    <w:rsid w:val="00736DB8"/>
    <w:rsid w:val="00745756"/>
    <w:rsid w:val="00754C23"/>
    <w:rsid w:val="00760CF9"/>
    <w:rsid w:val="007717DF"/>
    <w:rsid w:val="007A6ADE"/>
    <w:rsid w:val="007B5749"/>
    <w:rsid w:val="007B75ED"/>
    <w:rsid w:val="007B7EDC"/>
    <w:rsid w:val="007C715E"/>
    <w:rsid w:val="007D14C7"/>
    <w:rsid w:val="007D6B22"/>
    <w:rsid w:val="007E0D6E"/>
    <w:rsid w:val="007E2863"/>
    <w:rsid w:val="007F6D3A"/>
    <w:rsid w:val="007F759A"/>
    <w:rsid w:val="00803740"/>
    <w:rsid w:val="00806492"/>
    <w:rsid w:val="00806F99"/>
    <w:rsid w:val="00806FB1"/>
    <w:rsid w:val="008100BE"/>
    <w:rsid w:val="00823AE8"/>
    <w:rsid w:val="00825A34"/>
    <w:rsid w:val="00842AF2"/>
    <w:rsid w:val="0084586A"/>
    <w:rsid w:val="00861637"/>
    <w:rsid w:val="008758D8"/>
    <w:rsid w:val="0088674F"/>
    <w:rsid w:val="008916AF"/>
    <w:rsid w:val="00892929"/>
    <w:rsid w:val="00893171"/>
    <w:rsid w:val="008A01B6"/>
    <w:rsid w:val="008B7509"/>
    <w:rsid w:val="008D614F"/>
    <w:rsid w:val="009104E7"/>
    <w:rsid w:val="0091438E"/>
    <w:rsid w:val="00921059"/>
    <w:rsid w:val="009227B4"/>
    <w:rsid w:val="00925EEB"/>
    <w:rsid w:val="0093050F"/>
    <w:rsid w:val="009309F4"/>
    <w:rsid w:val="00955E6B"/>
    <w:rsid w:val="00960BCA"/>
    <w:rsid w:val="009709AF"/>
    <w:rsid w:val="0098411A"/>
    <w:rsid w:val="00992773"/>
    <w:rsid w:val="009A23CA"/>
    <w:rsid w:val="009A2AA1"/>
    <w:rsid w:val="009B4C36"/>
    <w:rsid w:val="009B6DED"/>
    <w:rsid w:val="009B7CEC"/>
    <w:rsid w:val="009C2488"/>
    <w:rsid w:val="009D3E06"/>
    <w:rsid w:val="009E5E53"/>
    <w:rsid w:val="009E7159"/>
    <w:rsid w:val="009F2B33"/>
    <w:rsid w:val="00A0051E"/>
    <w:rsid w:val="00A11BDE"/>
    <w:rsid w:val="00A14ACE"/>
    <w:rsid w:val="00A357C9"/>
    <w:rsid w:val="00A46820"/>
    <w:rsid w:val="00A62F04"/>
    <w:rsid w:val="00A66383"/>
    <w:rsid w:val="00A83A78"/>
    <w:rsid w:val="00A94ECE"/>
    <w:rsid w:val="00A975FE"/>
    <w:rsid w:val="00AB447D"/>
    <w:rsid w:val="00AB4C3E"/>
    <w:rsid w:val="00AB6193"/>
    <w:rsid w:val="00AD5F63"/>
    <w:rsid w:val="00B0185C"/>
    <w:rsid w:val="00B3043A"/>
    <w:rsid w:val="00B45BE3"/>
    <w:rsid w:val="00B60C73"/>
    <w:rsid w:val="00B80B73"/>
    <w:rsid w:val="00B97D13"/>
    <w:rsid w:val="00BA5005"/>
    <w:rsid w:val="00BB1E82"/>
    <w:rsid w:val="00BC15AE"/>
    <w:rsid w:val="00BC60AF"/>
    <w:rsid w:val="00C0591C"/>
    <w:rsid w:val="00C2124F"/>
    <w:rsid w:val="00C2268B"/>
    <w:rsid w:val="00C364EB"/>
    <w:rsid w:val="00C506D6"/>
    <w:rsid w:val="00C63C9B"/>
    <w:rsid w:val="00C71F13"/>
    <w:rsid w:val="00C80557"/>
    <w:rsid w:val="00C86FD9"/>
    <w:rsid w:val="00C913D6"/>
    <w:rsid w:val="00C92389"/>
    <w:rsid w:val="00CB456D"/>
    <w:rsid w:val="00CE493D"/>
    <w:rsid w:val="00D03145"/>
    <w:rsid w:val="00D14A11"/>
    <w:rsid w:val="00D24EC2"/>
    <w:rsid w:val="00D336EC"/>
    <w:rsid w:val="00D52A90"/>
    <w:rsid w:val="00D64D06"/>
    <w:rsid w:val="00D67DD2"/>
    <w:rsid w:val="00D72BDD"/>
    <w:rsid w:val="00DA6671"/>
    <w:rsid w:val="00DC014D"/>
    <w:rsid w:val="00DC7C1E"/>
    <w:rsid w:val="00DD3814"/>
    <w:rsid w:val="00DD72FC"/>
    <w:rsid w:val="00DE5916"/>
    <w:rsid w:val="00DE6476"/>
    <w:rsid w:val="00DE705A"/>
    <w:rsid w:val="00DE78E2"/>
    <w:rsid w:val="00DF053E"/>
    <w:rsid w:val="00E15DC7"/>
    <w:rsid w:val="00E36A21"/>
    <w:rsid w:val="00E43E02"/>
    <w:rsid w:val="00E44820"/>
    <w:rsid w:val="00E566A2"/>
    <w:rsid w:val="00E80BA8"/>
    <w:rsid w:val="00EA27C9"/>
    <w:rsid w:val="00EB2641"/>
    <w:rsid w:val="00EB36FA"/>
    <w:rsid w:val="00EC36E5"/>
    <w:rsid w:val="00ED4FC9"/>
    <w:rsid w:val="00ED5237"/>
    <w:rsid w:val="00ED528F"/>
    <w:rsid w:val="00EE43B7"/>
    <w:rsid w:val="00F05819"/>
    <w:rsid w:val="00F116D5"/>
    <w:rsid w:val="00F254C7"/>
    <w:rsid w:val="00F31776"/>
    <w:rsid w:val="00F31CBA"/>
    <w:rsid w:val="00F330C4"/>
    <w:rsid w:val="00F3521B"/>
    <w:rsid w:val="00F4565D"/>
    <w:rsid w:val="00F47340"/>
    <w:rsid w:val="00F61D51"/>
    <w:rsid w:val="00F627FB"/>
    <w:rsid w:val="00FA0E51"/>
    <w:rsid w:val="00FC35A9"/>
    <w:rsid w:val="00FC6DF1"/>
    <w:rsid w:val="00FC7FD3"/>
    <w:rsid w:val="625DF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AECDF7A"/>
  <w15:chartTrackingRefBased/>
  <w15:docId w15:val="{EF95CF66-A9DE-4EC2-9284-B4A95A5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CE"/>
    <w:pPr>
      <w:ind w:left="720"/>
      <w:contextualSpacing/>
    </w:pPr>
  </w:style>
  <w:style w:type="paragraph" w:styleId="Header">
    <w:name w:val="header"/>
    <w:basedOn w:val="Normal"/>
    <w:link w:val="HeaderChar"/>
    <w:uiPriority w:val="99"/>
    <w:unhideWhenUsed/>
    <w:rsid w:val="00580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A7F"/>
  </w:style>
  <w:style w:type="paragraph" w:styleId="Footer">
    <w:name w:val="footer"/>
    <w:basedOn w:val="Normal"/>
    <w:link w:val="FooterChar"/>
    <w:uiPriority w:val="99"/>
    <w:unhideWhenUsed/>
    <w:rsid w:val="00580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A7F"/>
  </w:style>
  <w:style w:type="character" w:styleId="Hyperlink">
    <w:name w:val="Hyperlink"/>
    <w:basedOn w:val="DefaultParagraphFont"/>
    <w:uiPriority w:val="99"/>
    <w:unhideWhenUsed/>
    <w:rsid w:val="00C92389"/>
    <w:rPr>
      <w:color w:val="0563C1" w:themeColor="hyperlink"/>
      <w:u w:val="single"/>
    </w:rPr>
  </w:style>
  <w:style w:type="paragraph" w:styleId="NormalWeb">
    <w:name w:val="Normal (Web)"/>
    <w:basedOn w:val="Normal"/>
    <w:uiPriority w:val="99"/>
    <w:unhideWhenUsed/>
    <w:rsid w:val="00015AD7"/>
    <w:pPr>
      <w:spacing w:after="0"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015AD7"/>
    <w:rPr>
      <w:b/>
      <w:bCs/>
    </w:rPr>
  </w:style>
  <w:style w:type="paragraph" w:styleId="FootnoteText">
    <w:name w:val="footnote text"/>
    <w:basedOn w:val="Normal"/>
    <w:link w:val="FootnoteTextChar"/>
    <w:uiPriority w:val="99"/>
    <w:semiHidden/>
    <w:unhideWhenUsed/>
    <w:rsid w:val="00893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171"/>
    <w:rPr>
      <w:sz w:val="20"/>
      <w:szCs w:val="20"/>
    </w:rPr>
  </w:style>
  <w:style w:type="character" w:styleId="FootnoteReference">
    <w:name w:val="footnote reference"/>
    <w:basedOn w:val="DefaultParagraphFont"/>
    <w:uiPriority w:val="99"/>
    <w:semiHidden/>
    <w:unhideWhenUsed/>
    <w:rsid w:val="00893171"/>
    <w:rPr>
      <w:vertAlign w:val="superscript"/>
    </w:rPr>
  </w:style>
  <w:style w:type="character" w:customStyle="1" w:styleId="Mention1">
    <w:name w:val="Mention1"/>
    <w:basedOn w:val="DefaultParagraphFont"/>
    <w:uiPriority w:val="99"/>
    <w:semiHidden/>
    <w:unhideWhenUsed/>
    <w:rsid w:val="00B60C73"/>
    <w:rPr>
      <w:color w:val="2B579A"/>
      <w:shd w:val="clear" w:color="auto" w:fill="E6E6E6"/>
    </w:rPr>
  </w:style>
  <w:style w:type="paragraph" w:styleId="BalloonText">
    <w:name w:val="Balloon Text"/>
    <w:basedOn w:val="Normal"/>
    <w:link w:val="BalloonTextChar"/>
    <w:uiPriority w:val="99"/>
    <w:semiHidden/>
    <w:unhideWhenUsed/>
    <w:rsid w:val="00232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remecourt.vic.gov.au/home/contact+us/speeches/speech+what+a+judge+wants+documentary+advoc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clark@supcourt.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ivil.circuits@supcourt.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bpoenas@supreme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ff93c5-8ae8-4b09-acd5-1fa0d3a9f0ee">
      <UserInfo>
        <DisplayName>Kate Clark</DisplayName>
        <AccountId>29</AccountId>
        <AccountType/>
      </UserInfo>
      <UserInfo>
        <DisplayName>Marnie Kies</DisplayName>
        <AccountId>40</AccountId>
        <AccountType/>
      </UserInfo>
      <UserInfo>
        <DisplayName>Judicial Registrar Clayton</DisplayName>
        <AccountId>201</AccountId>
        <AccountType/>
      </UserInfo>
      <UserInfo>
        <DisplayName>Samantha Tasic</DisplayName>
        <AccountId>156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CB2070F67BA47B1D98B43569A5616" ma:contentTypeVersion="2" ma:contentTypeDescription="Create a new document." ma:contentTypeScope="" ma:versionID="6de8f39a91892fe5f5926b3c115fdcfa">
  <xsd:schema xmlns:xsd="http://www.w3.org/2001/XMLSchema" xmlns:xs="http://www.w3.org/2001/XMLSchema" xmlns:p="http://schemas.microsoft.com/office/2006/metadata/properties" xmlns:ns2="3dff93c5-8ae8-4b09-acd5-1fa0d3a9f0ee" targetNamespace="http://schemas.microsoft.com/office/2006/metadata/properties" ma:root="true" ma:fieldsID="ccbdc389b2d6bd6e6c0faf6c1b4e45f3" ns2:_="">
    <xsd:import namespace="3dff93c5-8ae8-4b09-acd5-1fa0d3a9f0e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AB7ED-99DF-411A-83DF-57B91534A525}">
  <ds:schemaRefs>
    <ds:schemaRef ds:uri="http://schemas.microsoft.com/office/2006/metadata/properties"/>
    <ds:schemaRef ds:uri="http://schemas.microsoft.com/office/2006/documentManagement/types"/>
    <ds:schemaRef ds:uri="http://schemas.openxmlformats.org/package/2006/metadata/core-properties"/>
    <ds:schemaRef ds:uri="3dff93c5-8ae8-4b09-acd5-1fa0d3a9f0ee"/>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42445EDF-915F-4600-978F-2ECFDFD146EC}">
  <ds:schemaRefs>
    <ds:schemaRef ds:uri="http://schemas.microsoft.com/sharepoint/v3/contenttype/forms"/>
  </ds:schemaRefs>
</ds:datastoreItem>
</file>

<file path=customXml/itemProps3.xml><?xml version="1.0" encoding="utf-8"?>
<ds:datastoreItem xmlns:ds="http://schemas.openxmlformats.org/officeDocument/2006/customXml" ds:itemID="{E43DBD69-4576-435F-B4BC-4CA39A5AB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3E520-EAC8-4463-A146-7950BF2B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9</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Kate Clark</cp:lastModifiedBy>
  <cp:revision>92</cp:revision>
  <cp:lastPrinted>2017-07-05T00:42:00Z</cp:lastPrinted>
  <dcterms:created xsi:type="dcterms:W3CDTF">2017-06-27T08:54:00Z</dcterms:created>
  <dcterms:modified xsi:type="dcterms:W3CDTF">2017-07-05T00:44:00Z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0x01010032ACB2070F67BA47B1D98B43569A5616</vt:lpwstr>
  </property>
</Properties>
</file>