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89" w:rsidRDefault="001D75DC">
      <w:pPr>
        <w:spacing w:after="0"/>
        <w:ind w:left="71" w:firstLine="0"/>
        <w:jc w:val="center"/>
      </w:pPr>
      <w:r>
        <w:rPr>
          <w:b/>
        </w:rPr>
        <w:t xml:space="preserve"> </w:t>
      </w:r>
    </w:p>
    <w:p w:rsidR="006F2089" w:rsidRDefault="001D75DC">
      <w:pPr>
        <w:spacing w:after="0"/>
        <w:ind w:left="71" w:firstLine="0"/>
        <w:jc w:val="center"/>
      </w:pPr>
      <w:r>
        <w:rPr>
          <w:noProof/>
        </w:rPr>
        <w:drawing>
          <wp:inline distT="0" distB="0" distL="0" distR="0">
            <wp:extent cx="1447800" cy="119786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6F2089" w:rsidRDefault="001D75DC">
      <w:pPr>
        <w:spacing w:after="0"/>
        <w:ind w:left="71" w:firstLine="0"/>
        <w:jc w:val="center"/>
      </w:pPr>
      <w:r>
        <w:rPr>
          <w:b/>
        </w:rPr>
        <w:t xml:space="preserve"> </w:t>
      </w:r>
    </w:p>
    <w:p w:rsidR="006F2089" w:rsidRDefault="001D75DC">
      <w:pPr>
        <w:spacing w:after="0"/>
        <w:ind w:left="71" w:firstLine="0"/>
        <w:jc w:val="center"/>
      </w:pPr>
      <w:r>
        <w:rPr>
          <w:b/>
        </w:rPr>
        <w:t xml:space="preserve"> </w:t>
      </w:r>
    </w:p>
    <w:p w:rsidR="006F2089" w:rsidRDefault="001D75DC">
      <w:pPr>
        <w:spacing w:after="0"/>
        <w:ind w:left="0" w:right="1" w:firstLine="0"/>
        <w:jc w:val="center"/>
      </w:pPr>
      <w:r>
        <w:rPr>
          <w:b/>
        </w:rPr>
        <w:t xml:space="preserve">Reserved Judgments </w:t>
      </w:r>
    </w:p>
    <w:p w:rsidR="006F2089" w:rsidRDefault="001D75DC">
      <w:pPr>
        <w:spacing w:after="125"/>
        <w:ind w:left="0" w:firstLine="0"/>
        <w:jc w:val="left"/>
      </w:pPr>
      <w:r>
        <w:rPr>
          <w:rFonts w:ascii="Book Antiqua" w:eastAsia="Book Antiqua" w:hAnsi="Book Antiqua" w:cs="Book Antiqua"/>
        </w:rPr>
        <w:t xml:space="preserve"> </w:t>
      </w:r>
    </w:p>
    <w:p w:rsidR="006F2089" w:rsidRDefault="001D75DC">
      <w:pPr>
        <w:spacing w:line="359" w:lineRule="auto"/>
        <w:ind w:left="-5"/>
      </w:pPr>
      <w:r>
        <w:t>If a party or practitioner wishes to enquire about a delay in the delivery of a reserved judgment of this Court in a case in which he or she is a party or acting, as the case may be, they may ordinarily raise the matter in writing with the President</w:t>
      </w:r>
      <w:r>
        <w:t xml:space="preserve"> of the </w:t>
      </w:r>
      <w:r>
        <w:t xml:space="preserve">Victorian Bar Council or the President of the Law Institute. </w:t>
      </w:r>
    </w:p>
    <w:p w:rsidR="006F2089" w:rsidRDefault="001D75DC">
      <w:pPr>
        <w:spacing w:after="173"/>
        <w:ind w:left="0" w:firstLine="0"/>
        <w:jc w:val="left"/>
      </w:pPr>
      <w:r>
        <w:rPr>
          <w:sz w:val="16"/>
        </w:rPr>
        <w:t xml:space="preserve"> </w:t>
      </w:r>
    </w:p>
    <w:p w:rsidR="006F2089" w:rsidRDefault="001D75DC">
      <w:pPr>
        <w:spacing w:after="145"/>
        <w:ind w:left="-5"/>
      </w:pPr>
      <w:r>
        <w:t xml:space="preserve">They should provide the following information: </w:t>
      </w:r>
    </w:p>
    <w:p w:rsidR="006F2089" w:rsidRDefault="001D75DC">
      <w:pPr>
        <w:numPr>
          <w:ilvl w:val="0"/>
          <w:numId w:val="1"/>
        </w:numPr>
        <w:spacing w:after="95"/>
        <w:ind w:hanging="360"/>
      </w:pPr>
      <w:r>
        <w:t xml:space="preserve">The name of the parties </w:t>
      </w:r>
    </w:p>
    <w:p w:rsidR="006F2089" w:rsidRDefault="001D75DC">
      <w:pPr>
        <w:numPr>
          <w:ilvl w:val="0"/>
          <w:numId w:val="1"/>
        </w:numPr>
        <w:spacing w:after="95"/>
        <w:ind w:hanging="360"/>
      </w:pPr>
      <w:r>
        <w:t xml:space="preserve">The number of the proceeding </w:t>
      </w:r>
    </w:p>
    <w:p w:rsidR="006F2089" w:rsidRDefault="001D75DC">
      <w:pPr>
        <w:numPr>
          <w:ilvl w:val="0"/>
          <w:numId w:val="1"/>
        </w:numPr>
        <w:spacing w:after="96"/>
        <w:ind w:hanging="360"/>
      </w:pPr>
      <w:r>
        <w:t xml:space="preserve">The name of the judge or judges whose decision is reserved </w:t>
      </w:r>
    </w:p>
    <w:p w:rsidR="006F2089" w:rsidRDefault="001D75DC">
      <w:pPr>
        <w:numPr>
          <w:ilvl w:val="0"/>
          <w:numId w:val="1"/>
        </w:numPr>
        <w:spacing w:after="95"/>
        <w:ind w:hanging="360"/>
      </w:pPr>
      <w:r>
        <w:t>The date on which the decisio</w:t>
      </w:r>
      <w:r>
        <w:t xml:space="preserve">n was reserved </w:t>
      </w:r>
    </w:p>
    <w:p w:rsidR="006F2089" w:rsidRDefault="001D75DC">
      <w:pPr>
        <w:numPr>
          <w:ilvl w:val="0"/>
          <w:numId w:val="1"/>
        </w:numPr>
        <w:ind w:hanging="360"/>
      </w:pPr>
      <w:r>
        <w:t xml:space="preserve">The number of sitting days of the hearing. </w:t>
      </w:r>
    </w:p>
    <w:p w:rsidR="006F2089" w:rsidRDefault="001D75DC">
      <w:pPr>
        <w:spacing w:after="173"/>
        <w:ind w:left="0" w:firstLine="0"/>
        <w:jc w:val="left"/>
      </w:pPr>
      <w:r>
        <w:rPr>
          <w:sz w:val="16"/>
        </w:rPr>
        <w:t xml:space="preserve"> </w:t>
      </w:r>
    </w:p>
    <w:p w:rsidR="006F2089" w:rsidRDefault="001D75DC">
      <w:pPr>
        <w:spacing w:line="359" w:lineRule="auto"/>
        <w:ind w:left="-5"/>
      </w:pPr>
      <w:r>
        <w:t xml:space="preserve">The </w:t>
      </w:r>
      <w:r>
        <w:t>President of the Bar Council or the Law Institute will refer the e</w:t>
      </w:r>
      <w:bookmarkStart w:id="0" w:name="_GoBack"/>
      <w:bookmarkEnd w:id="0"/>
      <w:r>
        <w:t>nquiry to the Chief Justice without disclosing the identity of the party or practitioner making the enquiry.  The Chief Justice will then take up th</w:t>
      </w:r>
      <w:r>
        <w:t xml:space="preserve">e matter with the judge or judges whose decision is reserved. </w:t>
      </w:r>
    </w:p>
    <w:p w:rsidR="006F2089" w:rsidRDefault="001D75DC">
      <w:pPr>
        <w:spacing w:after="173"/>
        <w:ind w:left="0" w:firstLine="0"/>
        <w:jc w:val="left"/>
      </w:pPr>
      <w:r>
        <w:rPr>
          <w:sz w:val="16"/>
        </w:rPr>
        <w:t xml:space="preserve"> </w:t>
      </w:r>
    </w:p>
    <w:p w:rsidR="006F2089" w:rsidRDefault="001D75DC">
      <w:pPr>
        <w:spacing w:line="360" w:lineRule="auto"/>
        <w:ind w:left="-5"/>
      </w:pPr>
      <w:r>
        <w:t xml:space="preserve">The Court will then notify the parties of the anticipated delivery date of the reserved judgment. </w:t>
      </w:r>
    </w:p>
    <w:p w:rsidR="006F2089" w:rsidRDefault="001D75DC">
      <w:pPr>
        <w:spacing w:after="173"/>
        <w:ind w:left="0" w:firstLine="0"/>
        <w:jc w:val="left"/>
      </w:pPr>
      <w:r>
        <w:rPr>
          <w:sz w:val="16"/>
        </w:rPr>
        <w:t xml:space="preserve"> </w:t>
      </w:r>
    </w:p>
    <w:p w:rsidR="006F2089" w:rsidRDefault="001D75DC">
      <w:pPr>
        <w:spacing w:line="360" w:lineRule="auto"/>
        <w:ind w:left="-5"/>
      </w:pPr>
      <w:r>
        <w:t xml:space="preserve">It is the aim of the Court that, as far as practicable, the delivery of a judgment occur within three months from the date from which the judgment was reserved save where the judge otherwise indicates. </w:t>
      </w:r>
    </w:p>
    <w:sectPr w:rsidR="006F2089" w:rsidSect="001D75DC">
      <w:pgSz w:w="11900" w:h="16840"/>
      <w:pgMar w:top="1440" w:right="1792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D07E5"/>
    <w:multiLevelType w:val="hybridMultilevel"/>
    <w:tmpl w:val="340AE2E2"/>
    <w:lvl w:ilvl="0" w:tplc="9BFA5D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F2CD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9A4A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B83D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B672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4AEF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FEF0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7C43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4CB9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89"/>
    <w:rsid w:val="001D75DC"/>
    <w:rsid w:val="006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F60BD-0EA9-4D97-9181-1A1EB6B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Reserved Judgments Protocol - PDF - 32KB - 1pg</vt:lpstr>
    </vt:vector>
  </TitlesOfParts>
  <Company>Victorian Department of Justice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Reserved Judgments Protocol - PDF - 32KB - 1pg</dc:title>
  <dc:subject/>
  <dc:creator>Andrew Wicking</dc:creator>
  <cp:keywords/>
  <cp:lastModifiedBy>Andrew Wicking</cp:lastModifiedBy>
  <cp:revision>2</cp:revision>
  <cp:lastPrinted>2016-10-06T04:25:00Z</cp:lastPrinted>
  <dcterms:created xsi:type="dcterms:W3CDTF">2016-10-06T04:26:00Z</dcterms:created>
  <dcterms:modified xsi:type="dcterms:W3CDTF">2016-10-06T04:26:00Z</dcterms:modified>
</cp:coreProperties>
</file>