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58F6A1B1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4B4750">
        <w:rPr>
          <w:rFonts w:ascii="Book Antiqua" w:hAnsi="Book Antiqua"/>
          <w:b/>
          <w:color w:val="000000"/>
          <w:sz w:val="28"/>
        </w:rPr>
        <w:t>13</w:t>
      </w:r>
    </w:p>
    <w:p w14:paraId="66779301" w14:textId="70F99364" w:rsidR="00271B59" w:rsidRDefault="004B4750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Examinations De Bene Esse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3A5B811D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7917BE">
        <w:rPr>
          <w:rFonts w:ascii="Book Antiqua" w:hAnsi="Book Antiqua"/>
          <w:sz w:val="24"/>
          <w:szCs w:val="24"/>
        </w:rPr>
        <w:t xml:space="preserve">Practice Note </w:t>
      </w:r>
      <w:r w:rsidRPr="007917BE">
        <w:rPr>
          <w:rFonts w:ascii="Book Antiqua" w:hAnsi="Book Antiqua"/>
          <w:sz w:val="24"/>
          <w:szCs w:val="24"/>
        </w:rPr>
        <w:t>is t</w:t>
      </w:r>
      <w:r w:rsidR="00085860">
        <w:rPr>
          <w:rFonts w:ascii="Book Antiqua" w:hAnsi="Book Antiqua"/>
          <w:sz w:val="24"/>
          <w:szCs w:val="24"/>
        </w:rPr>
        <w:t xml:space="preserve">o set out the fees chargeable by examiners for the conduct of examinations </w:t>
      </w:r>
      <w:r w:rsidR="00085860" w:rsidRPr="008B4EFB">
        <w:rPr>
          <w:rFonts w:ascii="Book Antiqua" w:hAnsi="Book Antiqua"/>
          <w:i/>
          <w:sz w:val="24"/>
          <w:szCs w:val="24"/>
        </w:rPr>
        <w:t>de bene esse</w:t>
      </w:r>
      <w:r w:rsidR="00085860">
        <w:rPr>
          <w:rFonts w:ascii="Book Antiqua" w:hAnsi="Book Antiqua"/>
          <w:sz w:val="24"/>
          <w:szCs w:val="24"/>
        </w:rPr>
        <w:t>.</w:t>
      </w:r>
    </w:p>
    <w:p w14:paraId="1A19A576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3F3F6965" w:rsidR="00FD72DE" w:rsidRPr="00277B7B" w:rsidRDefault="00B72C47" w:rsidP="00E73398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262636">
        <w:rPr>
          <w:rFonts w:ascii="Book Antiqua" w:hAnsi="Book Antiqua"/>
          <w:sz w:val="24"/>
          <w:szCs w:val="24"/>
        </w:rPr>
        <w:t>was issued on 30</w:t>
      </w:r>
      <w:r w:rsidR="00085860">
        <w:rPr>
          <w:rFonts w:ascii="Book Antiqua" w:hAnsi="Book Antiqua"/>
          <w:sz w:val="24"/>
          <w:szCs w:val="24"/>
        </w:rPr>
        <w:t xml:space="preserve"> J</w:t>
      </w:r>
      <w:r w:rsidR="00E73398">
        <w:rPr>
          <w:rFonts w:ascii="Book Antiqua" w:hAnsi="Book Antiqua"/>
          <w:sz w:val="24"/>
          <w:szCs w:val="24"/>
        </w:rPr>
        <w:t>anuary 2017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="00262636">
        <w:rPr>
          <w:rFonts w:ascii="Book Antiqua" w:hAnsi="Book Antiqua"/>
          <w:sz w:val="24"/>
          <w:szCs w:val="24"/>
        </w:rPr>
        <w:t>commences on 30</w:t>
      </w:r>
      <w:r w:rsidR="00085860">
        <w:rPr>
          <w:rFonts w:ascii="Book Antiqua" w:hAnsi="Book Antiqua"/>
          <w:sz w:val="24"/>
          <w:szCs w:val="24"/>
        </w:rPr>
        <w:t xml:space="preserve"> J</w:t>
      </w:r>
      <w:r w:rsidR="00E73398">
        <w:rPr>
          <w:rFonts w:ascii="Book Antiqua" w:hAnsi="Book Antiqua"/>
          <w:sz w:val="24"/>
          <w:szCs w:val="24"/>
        </w:rPr>
        <w:t>anuary 2017</w:t>
      </w:r>
      <w:r w:rsidRPr="00277B7B">
        <w:rPr>
          <w:rFonts w:ascii="Book Antiqua" w:hAnsi="Book Antiqua"/>
          <w:sz w:val="24"/>
          <w:szCs w:val="24"/>
        </w:rPr>
        <w:t xml:space="preserve"> and will</w:t>
      </w:r>
      <w:r w:rsidR="00085860">
        <w:rPr>
          <w:rFonts w:ascii="Book Antiqua" w:hAnsi="Book Antiqua"/>
          <w:sz w:val="24"/>
          <w:szCs w:val="24"/>
        </w:rPr>
        <w:t xml:space="preserve"> apply to examinations from that date onwards.</w:t>
      </w:r>
    </w:p>
    <w:p w14:paraId="3555EE5D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4F727F6A" w:rsidR="007917BE" w:rsidRDefault="006F60CF" w:rsidP="00E73398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5A46F2EA" w14:textId="12D76CF3" w:rsidR="006F60CF" w:rsidRDefault="00DF243F" w:rsidP="00E73398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examinations de bene esse</w:t>
      </w:r>
      <w:r>
        <w:rPr>
          <w:rFonts w:ascii="Book Antiqua" w:hAnsi="Book Antiqua"/>
          <w:sz w:val="24"/>
          <w:szCs w:val="24"/>
        </w:rPr>
        <w:t xml:space="preserve"> </w:t>
      </w:r>
      <w:r w:rsidR="008B4EFB">
        <w:rPr>
          <w:rFonts w:ascii="Book Antiqua" w:hAnsi="Book Antiqua"/>
          <w:sz w:val="24"/>
          <w:szCs w:val="24"/>
        </w:rPr>
        <w:t>include</w:t>
      </w:r>
      <w:r w:rsidR="006F60C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examinations ordered by the Court pursuant to Order 41 of Chapter 1</w:t>
      </w:r>
      <w:r w:rsidR="00C02880">
        <w:rPr>
          <w:rFonts w:ascii="Book Antiqua" w:hAnsi="Book Antiqua"/>
          <w:sz w:val="24"/>
          <w:szCs w:val="24"/>
        </w:rPr>
        <w:t>.</w:t>
      </w:r>
    </w:p>
    <w:p w14:paraId="65FDDDB5" w14:textId="77777777" w:rsidR="00B72C47" w:rsidRPr="007917BE" w:rsidRDefault="00B72C47" w:rsidP="00CD0331">
      <w:pPr>
        <w:spacing w:before="120" w:after="120"/>
        <w:jc w:val="both"/>
        <w:rPr>
          <w:rFonts w:ascii="Book Antiqua" w:hAnsi="Book Antiqua"/>
        </w:rPr>
      </w:pPr>
    </w:p>
    <w:p w14:paraId="512C75AE" w14:textId="3B551B9A" w:rsidR="004B4750" w:rsidRPr="00085860" w:rsidRDefault="00085860" w:rsidP="00085860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Fees Chargeable</w:t>
      </w:r>
    </w:p>
    <w:p w14:paraId="57A443FF" w14:textId="05A90EF5" w:rsidR="006F60CF" w:rsidRPr="006F60CF" w:rsidRDefault="004B4750" w:rsidP="00E73398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B4750">
        <w:rPr>
          <w:rFonts w:ascii="Book Antiqua" w:hAnsi="Book Antiqua"/>
          <w:sz w:val="24"/>
          <w:szCs w:val="24"/>
        </w:rPr>
        <w:t>The fees chargeable by examine</w:t>
      </w:r>
      <w:r w:rsidR="00085860">
        <w:rPr>
          <w:rFonts w:ascii="Book Antiqua" w:hAnsi="Book Antiqua"/>
          <w:sz w:val="24"/>
          <w:szCs w:val="24"/>
        </w:rPr>
        <w:t>rs</w:t>
      </w:r>
      <w:r w:rsidRPr="004B4750">
        <w:rPr>
          <w:rFonts w:ascii="Book Antiqua" w:hAnsi="Book Antiqua"/>
          <w:sz w:val="24"/>
          <w:szCs w:val="24"/>
        </w:rPr>
        <w:t xml:space="preserve"> are to be $150 upon appointment and $150 per</w:t>
      </w:r>
      <w:r w:rsidR="00085860">
        <w:rPr>
          <w:rFonts w:ascii="Book Antiqua" w:hAnsi="Book Antiqua"/>
          <w:sz w:val="24"/>
          <w:szCs w:val="24"/>
        </w:rPr>
        <w:t xml:space="preserve"> hour or part thereof</w:t>
      </w:r>
      <w:r w:rsidRPr="004B4750">
        <w:rPr>
          <w:rFonts w:ascii="Book Antiqua" w:hAnsi="Book Antiqua"/>
          <w:sz w:val="24"/>
          <w:szCs w:val="24"/>
        </w:rPr>
        <w:t>.</w:t>
      </w:r>
    </w:p>
    <w:p w14:paraId="0561F72D" w14:textId="77777777" w:rsidR="00DC24A7" w:rsidRPr="007917BE" w:rsidRDefault="00DC24A7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78D2DD2D" w14:textId="75B809B5" w:rsidR="00AB3FFA" w:rsidRPr="00277B7B" w:rsidRDefault="00262636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E73398">
        <w:rPr>
          <w:rFonts w:ascii="Book Antiqua" w:hAnsi="Book Antiqua"/>
        </w:rPr>
        <w:t xml:space="preserve"> January 2017</w:t>
      </w:r>
      <w:r w:rsidR="00277B7B" w:rsidRPr="00277B7B">
        <w:rPr>
          <w:rFonts w:ascii="Book Antiqua" w:hAnsi="Book Antiqua"/>
        </w:rPr>
        <w:t>: This Practice Note</w:t>
      </w:r>
      <w:r>
        <w:rPr>
          <w:rFonts w:ascii="Book Antiqua" w:hAnsi="Book Antiqua"/>
        </w:rPr>
        <w:t xml:space="preserve"> was issued on 30</w:t>
      </w:r>
      <w:r w:rsidR="00277B7B">
        <w:rPr>
          <w:rFonts w:ascii="Book Antiqua" w:hAnsi="Book Antiqua"/>
        </w:rPr>
        <w:t xml:space="preserve"> </w:t>
      </w:r>
      <w:r w:rsidR="00E73398">
        <w:rPr>
          <w:rFonts w:ascii="Book Antiqua" w:hAnsi="Book Antiqua"/>
        </w:rPr>
        <w:t>January 2017</w:t>
      </w:r>
      <w:r w:rsidR="00277B7B">
        <w:rPr>
          <w:rFonts w:ascii="Book Antiqua" w:hAnsi="Book Antiqua"/>
        </w:rPr>
        <w:t xml:space="preserve"> and </w:t>
      </w:r>
      <w:r w:rsidR="00277B7B" w:rsidRPr="00277B7B">
        <w:rPr>
          <w:rFonts w:ascii="Book Antiqua" w:hAnsi="Book Antiqua"/>
        </w:rPr>
        <w:t>replace</w:t>
      </w:r>
      <w:r w:rsidR="00277B7B">
        <w:rPr>
          <w:rFonts w:ascii="Book Antiqua" w:hAnsi="Book Antiqua"/>
        </w:rPr>
        <w:t>d</w:t>
      </w:r>
      <w:r w:rsidR="00085860">
        <w:rPr>
          <w:rFonts w:ascii="Book Antiqua" w:hAnsi="Book Antiqua"/>
        </w:rPr>
        <w:t xml:space="preserve"> Practice Note No 3 of 2016</w:t>
      </w:r>
    </w:p>
    <w:p w14:paraId="54E10128" w14:textId="77777777" w:rsidR="00277B7B" w:rsidRPr="007917BE" w:rsidRDefault="00277B7B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C7C0933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064CCC67" w14:textId="77777777" w:rsidR="008040DC" w:rsidRDefault="008040DC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8040DC">
        <w:rPr>
          <w:rFonts w:ascii="Book Antiqua" w:hAnsi="Book Antiqua"/>
        </w:rPr>
        <w:t>Vivienne Macgillivray</w:t>
      </w:r>
    </w:p>
    <w:p w14:paraId="520C8D0C" w14:textId="4B4A4D6E" w:rsidR="00AB3FFA" w:rsidRPr="007917BE" w:rsidRDefault="00AB3FFA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0D122A8E" w14:textId="76427E94" w:rsidR="003639B5" w:rsidRPr="007917BE" w:rsidRDefault="00262636" w:rsidP="00E73398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E73398">
        <w:rPr>
          <w:rFonts w:ascii="Book Antiqua" w:hAnsi="Book Antiqua"/>
        </w:rPr>
        <w:t xml:space="preserve"> January 2017</w:t>
      </w:r>
    </w:p>
    <w:sectPr w:rsidR="003639B5" w:rsidRPr="007917BE" w:rsidSect="003817C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2D6E79" w:rsidRDefault="002D6E79">
      <w:r>
        <w:separator/>
      </w:r>
    </w:p>
  </w:endnote>
  <w:endnote w:type="continuationSeparator" w:id="0">
    <w:p w14:paraId="53290FFB" w14:textId="77777777" w:rsidR="002D6E79" w:rsidRDefault="002D6E79">
      <w:r>
        <w:continuationSeparator/>
      </w:r>
    </w:p>
  </w:endnote>
  <w:endnote w:type="continuationNotice" w:id="1">
    <w:p w14:paraId="6D91F3CD" w14:textId="77777777" w:rsidR="002D6E79" w:rsidRDefault="002D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636">
      <w:rPr>
        <w:noProof/>
      </w:rPr>
      <w:t>1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2D6E79" w:rsidRDefault="002D6E79">
      <w:r>
        <w:separator/>
      </w:r>
    </w:p>
  </w:footnote>
  <w:footnote w:type="continuationSeparator" w:id="0">
    <w:p w14:paraId="0D75815B" w14:textId="77777777" w:rsidR="002D6E79" w:rsidRDefault="002D6E79">
      <w:r>
        <w:continuationSeparator/>
      </w:r>
    </w:p>
  </w:footnote>
  <w:footnote w:type="continuationNotice" w:id="1">
    <w:p w14:paraId="02B463D3" w14:textId="77777777" w:rsidR="002D6E79" w:rsidRDefault="002D6E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15"/>
  </w:num>
  <w:num w:numId="9">
    <w:abstractNumId w:val="2"/>
  </w:num>
  <w:num w:numId="10">
    <w:abstractNumId w:val="13"/>
  </w:num>
  <w:num w:numId="11">
    <w:abstractNumId w:val="16"/>
  </w:num>
  <w:num w:numId="12">
    <w:abstractNumId w:val="18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0"/>
  </w:num>
  <w:num w:numId="19">
    <w:abstractNumId w:val="6"/>
  </w:num>
  <w:num w:numId="20">
    <w:abstractNumId w:val="5"/>
  </w:num>
  <w:num w:numId="21">
    <w:abstractNumId w:val="12"/>
  </w:num>
  <w:num w:numId="22">
    <w:abstractNumId w:val="11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7863"/>
    <w:rsid w:val="00081A41"/>
    <w:rsid w:val="00085860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1398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634B"/>
    <w:rsid w:val="001E0318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EA1"/>
    <w:rsid w:val="00247F50"/>
    <w:rsid w:val="002572C2"/>
    <w:rsid w:val="0026005D"/>
    <w:rsid w:val="00262636"/>
    <w:rsid w:val="00265BF9"/>
    <w:rsid w:val="00271B59"/>
    <w:rsid w:val="00275A5A"/>
    <w:rsid w:val="00277B7B"/>
    <w:rsid w:val="002812ED"/>
    <w:rsid w:val="0028130B"/>
    <w:rsid w:val="00285750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5270F"/>
    <w:rsid w:val="00454495"/>
    <w:rsid w:val="00455400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4750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50A8"/>
    <w:rsid w:val="00506B52"/>
    <w:rsid w:val="00512025"/>
    <w:rsid w:val="005123B0"/>
    <w:rsid w:val="005158D2"/>
    <w:rsid w:val="005173D2"/>
    <w:rsid w:val="005278A1"/>
    <w:rsid w:val="00536927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4445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0DC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B4EFB"/>
    <w:rsid w:val="008C027C"/>
    <w:rsid w:val="008C41FA"/>
    <w:rsid w:val="008D6EBF"/>
    <w:rsid w:val="008E2F41"/>
    <w:rsid w:val="0091164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3D8D"/>
    <w:rsid w:val="009956C6"/>
    <w:rsid w:val="00996F81"/>
    <w:rsid w:val="009A0C30"/>
    <w:rsid w:val="009A16DD"/>
    <w:rsid w:val="009A45B0"/>
    <w:rsid w:val="009B1B66"/>
    <w:rsid w:val="009B3159"/>
    <w:rsid w:val="009B4787"/>
    <w:rsid w:val="009B7708"/>
    <w:rsid w:val="009C3906"/>
    <w:rsid w:val="009C393F"/>
    <w:rsid w:val="009C6B44"/>
    <w:rsid w:val="009D0D98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06E1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880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27C4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0FA6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243F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3398"/>
    <w:rsid w:val="00E74ABB"/>
    <w:rsid w:val="00E74D52"/>
    <w:rsid w:val="00E90334"/>
    <w:rsid w:val="00EA0DB8"/>
    <w:rsid w:val="00EA141C"/>
    <w:rsid w:val="00EA2EB9"/>
    <w:rsid w:val="00EA6CDF"/>
    <w:rsid w:val="00EC0977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8C93-F35B-47A8-9450-E8B2CC05C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5FFA-8516-4FEC-A1E4-38241312D5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d35400e-913e-4289-a6bb-c9c808f416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E02895-7CBD-450C-8BE7-0DB7BC02E2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C66B66-5D65-435C-AD1F-7AD917B1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14</cp:revision>
  <cp:lastPrinted>2016-11-22T03:52:00Z</cp:lastPrinted>
  <dcterms:created xsi:type="dcterms:W3CDTF">2016-04-28T08:06:00Z</dcterms:created>
  <dcterms:modified xsi:type="dcterms:W3CDTF">2016-11-29T00:07:00Z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