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02" w:rsidRPr="00C15C68" w:rsidRDefault="007B3902" w:rsidP="00D85336">
      <w:pPr>
        <w:autoSpaceDE w:val="0"/>
        <w:autoSpaceDN w:val="0"/>
        <w:adjustRightInd w:val="0"/>
        <w:jc w:val="center"/>
        <w:rPr>
          <w:b/>
          <w:bCs/>
          <w:color w:val="000000"/>
        </w:rPr>
      </w:pPr>
    </w:p>
    <w:p w:rsidR="00D85336" w:rsidRPr="00C15C68" w:rsidRDefault="00D85336" w:rsidP="00D85336">
      <w:pPr>
        <w:autoSpaceDE w:val="0"/>
        <w:autoSpaceDN w:val="0"/>
        <w:adjustRightInd w:val="0"/>
        <w:jc w:val="center"/>
        <w:rPr>
          <w:b/>
          <w:bCs/>
          <w:color w:val="000000"/>
        </w:rPr>
      </w:pPr>
    </w:p>
    <w:p w:rsidR="00D85336" w:rsidRPr="00C15C68" w:rsidRDefault="00D85336" w:rsidP="00D85336">
      <w:pPr>
        <w:autoSpaceDE w:val="0"/>
        <w:autoSpaceDN w:val="0"/>
        <w:adjustRightInd w:val="0"/>
        <w:jc w:val="center"/>
        <w:rPr>
          <w:b/>
          <w:bCs/>
          <w:color w:val="000000"/>
        </w:rPr>
      </w:pPr>
    </w:p>
    <w:p w:rsidR="00D85336" w:rsidRPr="00C15C68" w:rsidRDefault="00D85336" w:rsidP="00D85336">
      <w:pPr>
        <w:autoSpaceDE w:val="0"/>
        <w:autoSpaceDN w:val="0"/>
        <w:adjustRightInd w:val="0"/>
        <w:jc w:val="center"/>
        <w:rPr>
          <w:b/>
          <w:bCs/>
          <w:color w:val="000000"/>
        </w:rPr>
      </w:pPr>
    </w:p>
    <w:p w:rsidR="00AF72F1" w:rsidRPr="00C15C68" w:rsidRDefault="00C15C68" w:rsidP="00D85336">
      <w:pPr>
        <w:autoSpaceDE w:val="0"/>
        <w:autoSpaceDN w:val="0"/>
        <w:adjustRightInd w:val="0"/>
        <w:spacing w:line="360" w:lineRule="auto"/>
        <w:jc w:val="center"/>
        <w:rPr>
          <w:b/>
          <w:bCs/>
          <w:color w:val="000000"/>
          <w:sz w:val="44"/>
          <w:szCs w:val="44"/>
        </w:rPr>
      </w:pPr>
      <w:r>
        <w:rPr>
          <w:b/>
          <w:bCs/>
          <w:noProof/>
          <w:color w:val="000000"/>
          <w:sz w:val="44"/>
          <w:szCs w:val="44"/>
        </w:rPr>
        <w:drawing>
          <wp:anchor distT="0" distB="0" distL="114300" distR="114300" simplePos="0" relativeHeight="251657728" behindDoc="0" locked="0" layoutInCell="1" allowOverlap="0">
            <wp:simplePos x="0" y="0"/>
            <wp:positionH relativeFrom="column">
              <wp:posOffset>1933575</wp:posOffset>
            </wp:positionH>
            <wp:positionV relativeFrom="paragraph">
              <wp:posOffset>-868680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B59" w:rsidRPr="00C15C68" w:rsidRDefault="00271B59" w:rsidP="00271B59">
      <w:pPr>
        <w:autoSpaceDE w:val="0"/>
        <w:autoSpaceDN w:val="0"/>
        <w:adjustRightInd w:val="0"/>
        <w:jc w:val="center"/>
        <w:rPr>
          <w:b/>
          <w:bCs/>
          <w:color w:val="000000"/>
          <w:sz w:val="44"/>
          <w:szCs w:val="44"/>
        </w:rPr>
      </w:pPr>
      <w:r w:rsidRPr="00C15C68">
        <w:rPr>
          <w:b/>
          <w:bCs/>
          <w:color w:val="000000"/>
          <w:sz w:val="44"/>
          <w:szCs w:val="44"/>
        </w:rPr>
        <w:t xml:space="preserve">Supreme Court of </w:t>
      </w:r>
      <w:smartTag w:uri="urn:schemas-microsoft-com:office:smarttags" w:element="place">
        <w:smartTag w:uri="urn:schemas-microsoft-com:office:smarttags" w:element="State">
          <w:r w:rsidRPr="00C15C68">
            <w:rPr>
              <w:b/>
              <w:bCs/>
              <w:color w:val="000000"/>
              <w:sz w:val="44"/>
              <w:szCs w:val="44"/>
            </w:rPr>
            <w:t>Victoria</w:t>
          </w:r>
        </w:smartTag>
      </w:smartTag>
    </w:p>
    <w:p w:rsidR="00271B59" w:rsidRPr="00C15C68" w:rsidRDefault="00271B59" w:rsidP="00271B59">
      <w:pPr>
        <w:autoSpaceDE w:val="0"/>
        <w:autoSpaceDN w:val="0"/>
        <w:adjustRightInd w:val="0"/>
        <w:jc w:val="center"/>
        <w:rPr>
          <w:b/>
          <w:color w:val="000000"/>
          <w:sz w:val="36"/>
          <w:szCs w:val="32"/>
        </w:rPr>
      </w:pPr>
      <w:r w:rsidRPr="00C15C68">
        <w:rPr>
          <w:b/>
          <w:color w:val="000000"/>
          <w:sz w:val="36"/>
          <w:szCs w:val="32"/>
        </w:rPr>
        <w:t>Common Law Division</w:t>
      </w:r>
    </w:p>
    <w:p w:rsidR="00271B59" w:rsidRPr="00C15C68" w:rsidRDefault="00271B59" w:rsidP="00271B59">
      <w:pPr>
        <w:autoSpaceDE w:val="0"/>
        <w:autoSpaceDN w:val="0"/>
        <w:adjustRightInd w:val="0"/>
        <w:spacing w:line="360" w:lineRule="auto"/>
        <w:jc w:val="center"/>
        <w:rPr>
          <w:b/>
          <w:color w:val="000000"/>
          <w:u w:val="single"/>
        </w:rPr>
      </w:pPr>
    </w:p>
    <w:p w:rsidR="00271B59" w:rsidRPr="00C15C68" w:rsidRDefault="00271B59" w:rsidP="002B0403">
      <w:pPr>
        <w:autoSpaceDE w:val="0"/>
        <w:autoSpaceDN w:val="0"/>
        <w:adjustRightInd w:val="0"/>
        <w:spacing w:line="360" w:lineRule="auto"/>
        <w:contextualSpacing/>
        <w:jc w:val="center"/>
        <w:rPr>
          <w:b/>
          <w:color w:val="000000"/>
          <w:sz w:val="28"/>
        </w:rPr>
      </w:pPr>
      <w:r w:rsidRPr="00C15C68">
        <w:rPr>
          <w:b/>
          <w:color w:val="000000"/>
          <w:sz w:val="28"/>
        </w:rPr>
        <w:t>Practice Note No.</w:t>
      </w:r>
      <w:r w:rsidRPr="00C15C68" w:rsidDel="00FD6D10">
        <w:rPr>
          <w:b/>
          <w:color w:val="000000"/>
          <w:sz w:val="28"/>
        </w:rPr>
        <w:t xml:space="preserve"> </w:t>
      </w:r>
      <w:r w:rsidR="0015455E" w:rsidRPr="00C15C68">
        <w:rPr>
          <w:b/>
          <w:color w:val="000000"/>
          <w:sz w:val="28"/>
        </w:rPr>
        <w:t>4</w:t>
      </w:r>
      <w:r w:rsidRPr="00C15C68">
        <w:rPr>
          <w:b/>
          <w:color w:val="000000"/>
          <w:sz w:val="28"/>
        </w:rPr>
        <w:t xml:space="preserve"> </w:t>
      </w:r>
      <w:r w:rsidR="0015455E" w:rsidRPr="00C15C68">
        <w:rPr>
          <w:b/>
          <w:color w:val="000000"/>
          <w:sz w:val="28"/>
        </w:rPr>
        <w:t>of 2015</w:t>
      </w:r>
    </w:p>
    <w:p w:rsidR="00271B59" w:rsidRPr="00C15C68" w:rsidRDefault="006A383F" w:rsidP="002B0403">
      <w:pPr>
        <w:autoSpaceDE w:val="0"/>
        <w:autoSpaceDN w:val="0"/>
        <w:adjustRightInd w:val="0"/>
        <w:spacing w:line="360" w:lineRule="auto"/>
        <w:contextualSpacing/>
        <w:jc w:val="center"/>
        <w:rPr>
          <w:b/>
          <w:color w:val="000000"/>
          <w:sz w:val="28"/>
        </w:rPr>
      </w:pPr>
      <w:r w:rsidRPr="00C15C68">
        <w:rPr>
          <w:b/>
          <w:color w:val="000000"/>
          <w:sz w:val="28"/>
        </w:rPr>
        <w:t>Major Torts</w:t>
      </w:r>
      <w:r w:rsidR="00271B59" w:rsidRPr="00C15C68">
        <w:rPr>
          <w:b/>
          <w:color w:val="000000"/>
          <w:sz w:val="28"/>
        </w:rPr>
        <w:t xml:space="preserve"> List</w:t>
      </w:r>
    </w:p>
    <w:p w:rsidR="00D85336" w:rsidRPr="00C15C68" w:rsidRDefault="00D85336" w:rsidP="002B0403">
      <w:pPr>
        <w:autoSpaceDE w:val="0"/>
        <w:autoSpaceDN w:val="0"/>
        <w:adjustRightInd w:val="0"/>
        <w:spacing w:line="360" w:lineRule="auto"/>
        <w:contextualSpacing/>
        <w:jc w:val="center"/>
        <w:rPr>
          <w:color w:val="000000"/>
        </w:rPr>
      </w:pPr>
    </w:p>
    <w:p w:rsidR="00306CF1" w:rsidRPr="00C15C68" w:rsidRDefault="00306CF1" w:rsidP="002B0403">
      <w:pPr>
        <w:autoSpaceDE w:val="0"/>
        <w:autoSpaceDN w:val="0"/>
        <w:adjustRightInd w:val="0"/>
        <w:spacing w:line="360" w:lineRule="auto"/>
        <w:contextualSpacing/>
        <w:jc w:val="center"/>
        <w:rPr>
          <w:color w:val="000000"/>
        </w:rPr>
      </w:pPr>
    </w:p>
    <w:p w:rsidR="00306CF1" w:rsidRPr="00C15C68" w:rsidRDefault="00306CF1" w:rsidP="002B0403">
      <w:pPr>
        <w:autoSpaceDE w:val="0"/>
        <w:autoSpaceDN w:val="0"/>
        <w:adjustRightInd w:val="0"/>
        <w:spacing w:line="360" w:lineRule="auto"/>
        <w:contextualSpacing/>
        <w:jc w:val="center"/>
        <w:rPr>
          <w:color w:val="000000"/>
        </w:rPr>
      </w:pPr>
    </w:p>
    <w:p w:rsidR="008515EE" w:rsidRPr="00C15C68" w:rsidRDefault="00C02583" w:rsidP="00C15C68">
      <w:pPr>
        <w:pStyle w:val="Heading1"/>
      </w:pPr>
      <w:r w:rsidRPr="00C15C68">
        <w:t>1.</w:t>
      </w:r>
      <w:r w:rsidRPr="00C15C68">
        <w:tab/>
        <w:t>INTRODUCTION</w:t>
      </w:r>
    </w:p>
    <w:p w:rsidR="003D6D44" w:rsidRPr="00C15C68" w:rsidRDefault="003D6D44" w:rsidP="002B0403">
      <w:pPr>
        <w:spacing w:line="360" w:lineRule="auto"/>
        <w:ind w:left="720" w:hanging="720"/>
        <w:contextualSpacing/>
        <w:jc w:val="both"/>
      </w:pPr>
    </w:p>
    <w:p w:rsidR="00C02583" w:rsidRPr="00C15C68" w:rsidRDefault="00C02583" w:rsidP="002B0403">
      <w:pPr>
        <w:spacing w:line="360" w:lineRule="auto"/>
        <w:ind w:left="720" w:hanging="720"/>
        <w:contextualSpacing/>
        <w:jc w:val="both"/>
      </w:pPr>
      <w:r w:rsidRPr="00C15C68">
        <w:t>1.1</w:t>
      </w:r>
      <w:r w:rsidRPr="00C15C68">
        <w:tab/>
      </w:r>
      <w:r w:rsidR="008846D6" w:rsidRPr="00C15C68">
        <w:t xml:space="preserve">This Practice Note replaces </w:t>
      </w:r>
      <w:r w:rsidR="00025D9D" w:rsidRPr="00C15C68">
        <w:rPr>
          <w:i/>
        </w:rPr>
        <w:t>Practice Note No. 1</w:t>
      </w:r>
      <w:r w:rsidR="008846D6" w:rsidRPr="00C15C68">
        <w:rPr>
          <w:i/>
        </w:rPr>
        <w:t xml:space="preserve"> of 201</w:t>
      </w:r>
      <w:r w:rsidR="00025D9D" w:rsidRPr="00C15C68">
        <w:rPr>
          <w:i/>
        </w:rPr>
        <w:t>2</w:t>
      </w:r>
      <w:r w:rsidR="00C60BB4" w:rsidRPr="00C15C68">
        <w:t xml:space="preserve">, and provides updated guidance on the operation of the </w:t>
      </w:r>
      <w:r w:rsidR="00025D9D" w:rsidRPr="00C15C68">
        <w:t>Major Torts</w:t>
      </w:r>
      <w:r w:rsidR="00C60BB4" w:rsidRPr="00C15C68">
        <w:t xml:space="preserve"> List</w:t>
      </w:r>
      <w:r w:rsidR="00DE2909" w:rsidRPr="00C15C68">
        <w:t xml:space="preserve"> (</w:t>
      </w:r>
      <w:r w:rsidR="00DE2909" w:rsidRPr="00C15C68">
        <w:rPr>
          <w:b/>
          <w:i/>
        </w:rPr>
        <w:t>List</w:t>
      </w:r>
      <w:r w:rsidR="00DE2909" w:rsidRPr="00C15C68">
        <w:t>), a specialist case management list</w:t>
      </w:r>
      <w:r w:rsidR="00C60BB4" w:rsidRPr="00C15C68">
        <w:t xml:space="preserve"> </w:t>
      </w:r>
      <w:r w:rsidR="00007DBA" w:rsidRPr="00C15C68">
        <w:t>within the Common Law Division of the Supreme Court of Victoria (</w:t>
      </w:r>
      <w:r w:rsidR="00007DBA" w:rsidRPr="00C15C68">
        <w:rPr>
          <w:b/>
          <w:i/>
        </w:rPr>
        <w:t>Court</w:t>
      </w:r>
      <w:r w:rsidR="00007DBA" w:rsidRPr="00C15C68">
        <w:t>)</w:t>
      </w:r>
      <w:r w:rsidR="008846D6" w:rsidRPr="00C15C68">
        <w:t xml:space="preserve">. </w:t>
      </w:r>
      <w:r w:rsidRPr="00C15C68">
        <w:t xml:space="preserve">The procedures set out in this Practice Note will apply from </w:t>
      </w:r>
      <w:r w:rsidR="00474F94" w:rsidRPr="00C15C68">
        <w:t xml:space="preserve">1 </w:t>
      </w:r>
      <w:r w:rsidR="00E87D76" w:rsidRPr="00C15C68">
        <w:t>January 2015</w:t>
      </w:r>
      <w:r w:rsidRPr="00C15C68">
        <w:t xml:space="preserve"> to relevant proceedings commenced in the </w:t>
      </w:r>
      <w:r w:rsidR="0018061B" w:rsidRPr="00C15C68">
        <w:t>Trial Division</w:t>
      </w:r>
      <w:r w:rsidR="003D6D44" w:rsidRPr="00C15C68">
        <w:t xml:space="preserve"> of the</w:t>
      </w:r>
      <w:r w:rsidR="00553534" w:rsidRPr="00C15C68">
        <w:t xml:space="preserve"> </w:t>
      </w:r>
      <w:r w:rsidR="008846D6" w:rsidRPr="00C15C68">
        <w:t>Court</w:t>
      </w:r>
      <w:r w:rsidR="00FD2962" w:rsidRPr="00C15C68">
        <w:t>.</w:t>
      </w:r>
    </w:p>
    <w:p w:rsidR="007F0D68" w:rsidRPr="00C15C68" w:rsidRDefault="007F0D68" w:rsidP="002B0403">
      <w:pPr>
        <w:spacing w:line="360" w:lineRule="auto"/>
        <w:ind w:left="720" w:hanging="720"/>
        <w:contextualSpacing/>
        <w:jc w:val="both"/>
      </w:pPr>
    </w:p>
    <w:p w:rsidR="00785BA1" w:rsidRPr="00C15C68" w:rsidRDefault="00C02583" w:rsidP="002B0403">
      <w:pPr>
        <w:spacing w:line="360" w:lineRule="auto"/>
        <w:ind w:left="720" w:hanging="720"/>
        <w:contextualSpacing/>
        <w:jc w:val="both"/>
      </w:pPr>
      <w:r w:rsidRPr="00C15C68">
        <w:t>1.2</w:t>
      </w:r>
      <w:r w:rsidRPr="00C15C68">
        <w:tab/>
      </w:r>
      <w:r w:rsidR="00785BA1" w:rsidRPr="00C15C68">
        <w:t>The List is designed to facilitate and expedite t</w:t>
      </w:r>
      <w:r w:rsidR="004617E2" w:rsidRPr="00C15C68">
        <w:t>he passage of</w:t>
      </w:r>
      <w:r w:rsidR="00785BA1" w:rsidRPr="00C15C68">
        <w:t xml:space="preserve"> signif</w:t>
      </w:r>
      <w:r w:rsidR="004617E2" w:rsidRPr="00C15C68">
        <w:t>icant tortious claims to trial.</w:t>
      </w:r>
    </w:p>
    <w:p w:rsidR="00785BA1" w:rsidRPr="00C15C68" w:rsidRDefault="00785BA1" w:rsidP="002B0403">
      <w:pPr>
        <w:spacing w:line="360" w:lineRule="auto"/>
        <w:ind w:left="720" w:hanging="720"/>
        <w:contextualSpacing/>
        <w:jc w:val="both"/>
      </w:pPr>
    </w:p>
    <w:p w:rsidR="00C02583" w:rsidRPr="00C15C68" w:rsidRDefault="00785BA1" w:rsidP="002B0403">
      <w:pPr>
        <w:spacing w:line="360" w:lineRule="auto"/>
        <w:ind w:left="720" w:hanging="720"/>
        <w:contextualSpacing/>
        <w:jc w:val="both"/>
      </w:pPr>
      <w:r w:rsidRPr="00C15C68">
        <w:t>1.3</w:t>
      </w:r>
      <w:r w:rsidRPr="00C15C68">
        <w:tab/>
      </w:r>
      <w:r w:rsidR="00C02583" w:rsidRPr="00C15C68">
        <w:t>The Judge</w:t>
      </w:r>
      <w:r w:rsidR="008846D6" w:rsidRPr="00C15C68">
        <w:t xml:space="preserve"> </w:t>
      </w:r>
      <w:r w:rsidR="00C02583" w:rsidRPr="00C15C68">
        <w:t>in</w:t>
      </w:r>
      <w:r w:rsidR="008846D6" w:rsidRPr="00C15C68">
        <w:t xml:space="preserve"> </w:t>
      </w:r>
      <w:r w:rsidR="00796E2E" w:rsidRPr="00C15C68">
        <w:t xml:space="preserve">Charge of the </w:t>
      </w:r>
      <w:r w:rsidR="00C02583" w:rsidRPr="00C15C68">
        <w:t xml:space="preserve">List </w:t>
      </w:r>
      <w:r w:rsidR="007A2D3D" w:rsidRPr="00C15C68">
        <w:t>(</w:t>
      </w:r>
      <w:r w:rsidR="007A2D3D" w:rsidRPr="00C15C68">
        <w:rPr>
          <w:b/>
          <w:i/>
        </w:rPr>
        <w:t>Judge in Charge</w:t>
      </w:r>
      <w:r w:rsidR="007A2D3D" w:rsidRPr="00C15C68">
        <w:t xml:space="preserve">) </w:t>
      </w:r>
      <w:r w:rsidR="00996F81" w:rsidRPr="00C15C68">
        <w:t>is</w:t>
      </w:r>
      <w:r w:rsidR="007A1449" w:rsidRPr="00C15C68">
        <w:t xml:space="preserve"> Justice </w:t>
      </w:r>
      <w:r w:rsidR="00025D9D" w:rsidRPr="00C15C68">
        <w:t>Dixon</w:t>
      </w:r>
      <w:r w:rsidR="008846D6" w:rsidRPr="00C15C68">
        <w:t>.</w:t>
      </w:r>
      <w:r w:rsidR="00377999" w:rsidRPr="00C15C68">
        <w:t xml:space="preserve"> </w:t>
      </w:r>
      <w:r w:rsidR="00BA536E" w:rsidRPr="00C15C68">
        <w:t>His</w:t>
      </w:r>
      <w:r w:rsidR="00C02583" w:rsidRPr="00C15C68">
        <w:t xml:space="preserve"> Honour</w:t>
      </w:r>
      <w:r w:rsidR="00996F81" w:rsidRPr="00C15C68">
        <w:t xml:space="preserve"> is</w:t>
      </w:r>
      <w:r w:rsidR="00C02583" w:rsidRPr="00C15C68">
        <w:t xml:space="preserve"> assisted by </w:t>
      </w:r>
      <w:r w:rsidR="006921D0" w:rsidRPr="00C15C68">
        <w:t xml:space="preserve">Associate </w:t>
      </w:r>
      <w:r w:rsidR="00B40971" w:rsidRPr="00C15C68">
        <w:t>Justice</w:t>
      </w:r>
      <w:r w:rsidR="006921D0" w:rsidRPr="00C15C68">
        <w:t xml:space="preserve"> Zammit</w:t>
      </w:r>
      <w:r w:rsidR="00C02583" w:rsidRPr="00C15C68">
        <w:t>.</w:t>
      </w:r>
    </w:p>
    <w:p w:rsidR="00B40971" w:rsidRPr="00C15C68" w:rsidRDefault="00B40971" w:rsidP="002B0403">
      <w:pPr>
        <w:spacing w:line="360" w:lineRule="auto"/>
        <w:ind w:left="720" w:hanging="720"/>
        <w:contextualSpacing/>
        <w:jc w:val="both"/>
      </w:pPr>
    </w:p>
    <w:p w:rsidR="00025D9D" w:rsidRPr="00C15C68" w:rsidRDefault="00785BA1" w:rsidP="002B0403">
      <w:pPr>
        <w:spacing w:line="360" w:lineRule="auto"/>
        <w:ind w:left="720" w:hanging="720"/>
        <w:contextualSpacing/>
        <w:jc w:val="both"/>
      </w:pPr>
      <w:r w:rsidRPr="00C15C68">
        <w:t>1.4</w:t>
      </w:r>
      <w:r w:rsidR="00B40971" w:rsidRPr="00C15C68">
        <w:tab/>
      </w:r>
      <w:r w:rsidR="00025D9D" w:rsidRPr="00C15C68">
        <w:t>References in this Pr</w:t>
      </w:r>
      <w:r w:rsidR="00BF7CB2" w:rsidRPr="00C15C68">
        <w:t xml:space="preserve">actice Note to </w:t>
      </w:r>
      <w:r w:rsidR="00BF7CB2" w:rsidRPr="00C15C68">
        <w:rPr>
          <w:b/>
          <w:i/>
        </w:rPr>
        <w:t>Associate</w:t>
      </w:r>
      <w:r w:rsidR="00025D9D" w:rsidRPr="00C15C68">
        <w:t xml:space="preserve"> are to be read as references to the Associate to the Judge in Charge.</w:t>
      </w:r>
    </w:p>
    <w:p w:rsidR="00306CF1" w:rsidRPr="00C15C68" w:rsidRDefault="00306CF1" w:rsidP="002B0403">
      <w:pPr>
        <w:spacing w:line="360" w:lineRule="auto"/>
        <w:ind w:left="720" w:hanging="720"/>
        <w:contextualSpacing/>
        <w:jc w:val="both"/>
        <w:rPr>
          <w:b/>
        </w:rPr>
      </w:pPr>
    </w:p>
    <w:p w:rsidR="00306CF1" w:rsidRDefault="00306CF1" w:rsidP="002B0403">
      <w:pPr>
        <w:spacing w:line="360" w:lineRule="auto"/>
        <w:ind w:left="720" w:hanging="720"/>
        <w:contextualSpacing/>
        <w:jc w:val="both"/>
        <w:rPr>
          <w:b/>
        </w:rPr>
      </w:pPr>
    </w:p>
    <w:p w:rsidR="00C15C68" w:rsidRPr="00C15C68" w:rsidRDefault="00C15C68" w:rsidP="002B0403">
      <w:pPr>
        <w:spacing w:line="360" w:lineRule="auto"/>
        <w:ind w:left="720" w:hanging="720"/>
        <w:contextualSpacing/>
        <w:jc w:val="both"/>
        <w:rPr>
          <w:b/>
        </w:rPr>
      </w:pPr>
    </w:p>
    <w:p w:rsidR="00C02583" w:rsidRPr="00C15C68" w:rsidRDefault="00C02583" w:rsidP="00C15C68">
      <w:pPr>
        <w:pStyle w:val="Heading1"/>
      </w:pPr>
      <w:r w:rsidRPr="00C15C68">
        <w:lastRenderedPageBreak/>
        <w:t>2.</w:t>
      </w:r>
      <w:r w:rsidRPr="00C15C68">
        <w:tab/>
      </w:r>
      <w:r w:rsidR="007A2D3D" w:rsidRPr="00C15C68">
        <w:t xml:space="preserve">PROCEEDINGS SUITABLE FOR </w:t>
      </w:r>
      <w:r w:rsidRPr="00C15C68">
        <w:t>INCLUSION IN THE LIST</w:t>
      </w:r>
    </w:p>
    <w:p w:rsidR="00C02583" w:rsidRPr="00C15C68" w:rsidRDefault="00C02583" w:rsidP="002B0403">
      <w:pPr>
        <w:spacing w:line="360" w:lineRule="auto"/>
        <w:ind w:left="720" w:hanging="720"/>
        <w:contextualSpacing/>
        <w:jc w:val="both"/>
      </w:pPr>
    </w:p>
    <w:p w:rsidR="00D87FD1" w:rsidRPr="00C15C68" w:rsidRDefault="00C02583" w:rsidP="002B0403">
      <w:pPr>
        <w:spacing w:line="360" w:lineRule="auto"/>
        <w:ind w:left="720" w:hanging="720"/>
        <w:contextualSpacing/>
        <w:jc w:val="both"/>
      </w:pPr>
      <w:r w:rsidRPr="00C15C68">
        <w:t>2.1</w:t>
      </w:r>
      <w:r w:rsidRPr="00C15C68">
        <w:tab/>
      </w:r>
      <w:r w:rsidR="004617E2" w:rsidRPr="00C15C68">
        <w:t xml:space="preserve">Large, complex or otherwise significant tortious claims should be initiated in the </w:t>
      </w:r>
      <w:r w:rsidR="00362AA2" w:rsidRPr="00C15C68">
        <w:t>List.</w:t>
      </w:r>
    </w:p>
    <w:p w:rsidR="00362AA2" w:rsidRPr="00C15C68" w:rsidRDefault="00362AA2" w:rsidP="002B0403">
      <w:pPr>
        <w:spacing w:line="360" w:lineRule="auto"/>
        <w:ind w:left="720" w:hanging="720"/>
        <w:contextualSpacing/>
        <w:jc w:val="both"/>
      </w:pPr>
    </w:p>
    <w:p w:rsidR="003D00ED" w:rsidRPr="00C15C68" w:rsidRDefault="003D00ED" w:rsidP="002B0403">
      <w:pPr>
        <w:spacing w:line="360" w:lineRule="auto"/>
        <w:ind w:left="720" w:hanging="720"/>
        <w:contextualSpacing/>
        <w:jc w:val="both"/>
      </w:pPr>
      <w:r w:rsidRPr="00C15C68">
        <w:t>2.2</w:t>
      </w:r>
      <w:r w:rsidRPr="00C15C68">
        <w:tab/>
      </w:r>
      <w:r w:rsidR="00B02685" w:rsidRPr="00C15C68">
        <w:t>A</w:t>
      </w:r>
      <w:r w:rsidRPr="00C15C68">
        <w:t>l</w:t>
      </w:r>
      <w:r w:rsidR="00B02685" w:rsidRPr="00C15C68">
        <w:t xml:space="preserve">l defamation proceedings should </w:t>
      </w:r>
      <w:r w:rsidRPr="00C15C68">
        <w:t>be initiated in the List.</w:t>
      </w:r>
    </w:p>
    <w:p w:rsidR="003D00ED" w:rsidRPr="00C15C68" w:rsidRDefault="003D00ED" w:rsidP="002B0403">
      <w:pPr>
        <w:spacing w:line="360" w:lineRule="auto"/>
        <w:ind w:left="720" w:hanging="720"/>
        <w:contextualSpacing/>
        <w:jc w:val="both"/>
      </w:pPr>
    </w:p>
    <w:p w:rsidR="00362AA2" w:rsidRPr="00C15C68" w:rsidRDefault="003D00ED" w:rsidP="002B0403">
      <w:pPr>
        <w:spacing w:line="360" w:lineRule="auto"/>
        <w:ind w:left="720" w:hanging="720"/>
        <w:contextualSpacing/>
        <w:jc w:val="both"/>
      </w:pPr>
      <w:r w:rsidRPr="00C15C68">
        <w:t>2.3</w:t>
      </w:r>
      <w:r w:rsidR="00362AA2" w:rsidRPr="00C15C68">
        <w:tab/>
        <w:t xml:space="preserve">Without limiting the generality of paragraph 2.1, </w:t>
      </w:r>
      <w:r w:rsidR="00067F68" w:rsidRPr="00C15C68">
        <w:t xml:space="preserve">the following proceedings </w:t>
      </w:r>
      <w:r w:rsidRPr="00C15C68">
        <w:t>should be initiated</w:t>
      </w:r>
      <w:r w:rsidR="00067F68" w:rsidRPr="00C15C68">
        <w:t xml:space="preserve"> in the List:</w:t>
      </w:r>
    </w:p>
    <w:p w:rsidR="007F0D68" w:rsidRPr="00C15C68" w:rsidRDefault="003D00ED" w:rsidP="002B0403">
      <w:pPr>
        <w:numPr>
          <w:ilvl w:val="0"/>
          <w:numId w:val="18"/>
        </w:numPr>
        <w:spacing w:line="360" w:lineRule="auto"/>
        <w:contextualSpacing/>
        <w:jc w:val="both"/>
      </w:pPr>
      <w:r w:rsidRPr="00C15C68">
        <w:t xml:space="preserve">Personal injury proceedings involving a </w:t>
      </w:r>
      <w:r w:rsidR="00BF7CB2" w:rsidRPr="00C15C68">
        <w:t>plaintiff who</w:t>
      </w:r>
      <w:r w:rsidR="007F0D68" w:rsidRPr="00C15C68">
        <w:t xml:space="preserve"> is alle</w:t>
      </w:r>
      <w:r w:rsidRPr="00C15C68">
        <w:t>ged to have suffered catastrophic</w:t>
      </w:r>
      <w:r w:rsidR="007F0D68" w:rsidRPr="00C15C68">
        <w:t xml:space="preserve"> personal injuries</w:t>
      </w:r>
      <w:r w:rsidR="0047702C" w:rsidRPr="00C15C68">
        <w:t xml:space="preserve"> (other personal injury proceedings are managed in the </w:t>
      </w:r>
      <w:r w:rsidR="0047702C" w:rsidRPr="00C15C68">
        <w:rPr>
          <w:b/>
        </w:rPr>
        <w:t>Personal Injuries List</w:t>
      </w:r>
      <w:r w:rsidR="0047702C" w:rsidRPr="00C15C68">
        <w:t xml:space="preserve"> – see </w:t>
      </w:r>
      <w:r w:rsidR="00134D79">
        <w:rPr>
          <w:i/>
        </w:rPr>
        <w:t>Practice Note No. 3</w:t>
      </w:r>
      <w:bookmarkStart w:id="0" w:name="_GoBack"/>
      <w:bookmarkEnd w:id="0"/>
      <w:r w:rsidR="0047702C" w:rsidRPr="00C15C68">
        <w:rPr>
          <w:i/>
        </w:rPr>
        <w:t xml:space="preserve"> of 2015</w:t>
      </w:r>
      <w:r w:rsidR="0047702C" w:rsidRPr="00C15C68">
        <w:t>);</w:t>
      </w:r>
    </w:p>
    <w:p w:rsidR="003D00ED" w:rsidRPr="00C15C68" w:rsidRDefault="003D00ED" w:rsidP="002B0403">
      <w:pPr>
        <w:numPr>
          <w:ilvl w:val="0"/>
          <w:numId w:val="18"/>
        </w:numPr>
        <w:spacing w:line="360" w:lineRule="auto"/>
        <w:contextualSpacing/>
        <w:jc w:val="both"/>
      </w:pPr>
      <w:r w:rsidRPr="00C15C68">
        <w:t>Complex person</w:t>
      </w:r>
      <w:r w:rsidR="00B02685" w:rsidRPr="00C15C68">
        <w:t>al injury proceedings</w:t>
      </w:r>
      <w:r w:rsidRPr="00C15C68">
        <w:t xml:space="preserve"> involving three or more defendants</w:t>
      </w:r>
      <w:r w:rsidR="0032333E" w:rsidRPr="00C15C68">
        <w:t xml:space="preserve"> or third parties</w:t>
      </w:r>
      <w:r w:rsidRPr="00C15C68">
        <w:t>;</w:t>
      </w:r>
    </w:p>
    <w:p w:rsidR="003D00ED" w:rsidRPr="00C15C68" w:rsidRDefault="003D00ED" w:rsidP="002B0403">
      <w:pPr>
        <w:numPr>
          <w:ilvl w:val="0"/>
          <w:numId w:val="18"/>
        </w:numPr>
        <w:spacing w:line="360" w:lineRule="auto"/>
        <w:contextualSpacing/>
        <w:jc w:val="both"/>
      </w:pPr>
      <w:r w:rsidRPr="00C15C68">
        <w:t>Complex tortious claims for economic lo</w:t>
      </w:r>
      <w:r w:rsidR="00B02685" w:rsidRPr="00C15C68">
        <w:t>ss or property damage</w:t>
      </w:r>
      <w:r w:rsidRPr="00C15C68">
        <w:t xml:space="preserve"> involving </w:t>
      </w:r>
      <w:r w:rsidR="0032333E" w:rsidRPr="00C15C68">
        <w:t>multiple claims</w:t>
      </w:r>
      <w:r w:rsidR="009E55A8" w:rsidRPr="00C15C68">
        <w:t>,</w:t>
      </w:r>
      <w:r w:rsidR="0032333E" w:rsidRPr="00C15C68">
        <w:t xml:space="preserve"> or </w:t>
      </w:r>
      <w:r w:rsidRPr="00C15C68">
        <w:t>three or more defendants</w:t>
      </w:r>
      <w:r w:rsidR="0032333E" w:rsidRPr="00C15C68">
        <w:t xml:space="preserve"> or third parties</w:t>
      </w:r>
      <w:r w:rsidRPr="00C15C68">
        <w:t>;</w:t>
      </w:r>
    </w:p>
    <w:p w:rsidR="000266B4" w:rsidRPr="00C15C68" w:rsidRDefault="000266B4" w:rsidP="002B0403">
      <w:pPr>
        <w:numPr>
          <w:ilvl w:val="0"/>
          <w:numId w:val="18"/>
        </w:numPr>
        <w:spacing w:line="360" w:lineRule="auto"/>
        <w:contextualSpacing/>
        <w:jc w:val="both"/>
      </w:pPr>
      <w:r w:rsidRPr="00C15C68">
        <w:t>Complex tortious claims that involve multiple plaintiffs;</w:t>
      </w:r>
    </w:p>
    <w:p w:rsidR="007F0D68" w:rsidRPr="00C15C68" w:rsidRDefault="00340B94" w:rsidP="002B0403">
      <w:pPr>
        <w:numPr>
          <w:ilvl w:val="0"/>
          <w:numId w:val="18"/>
        </w:numPr>
        <w:spacing w:line="360" w:lineRule="auto"/>
        <w:contextualSpacing/>
        <w:jc w:val="both"/>
      </w:pPr>
      <w:r w:rsidRPr="00C15C68">
        <w:t>Class actions</w:t>
      </w:r>
      <w:r w:rsidR="003D00ED" w:rsidRPr="00C15C68">
        <w:t xml:space="preserve"> where the </w:t>
      </w:r>
      <w:r w:rsidR="0032333E" w:rsidRPr="00C15C68">
        <w:t xml:space="preserve">predominant </w:t>
      </w:r>
      <w:r w:rsidR="003D00ED" w:rsidRPr="00C15C68">
        <w:t>cause of action is based in tort</w:t>
      </w:r>
      <w:r w:rsidRPr="00C15C68">
        <w:t>;</w:t>
      </w:r>
      <w:r w:rsidR="000266B4" w:rsidRPr="00C15C68">
        <w:t xml:space="preserve"> and</w:t>
      </w:r>
    </w:p>
    <w:p w:rsidR="00B02685" w:rsidRPr="00C15C68" w:rsidRDefault="00B02685" w:rsidP="002B0403">
      <w:pPr>
        <w:numPr>
          <w:ilvl w:val="0"/>
          <w:numId w:val="18"/>
        </w:numPr>
        <w:spacing w:line="360" w:lineRule="auto"/>
        <w:contextualSpacing/>
        <w:jc w:val="both"/>
      </w:pPr>
      <w:r w:rsidRPr="00C15C68">
        <w:t>Tortious claims of significant public interest.</w:t>
      </w:r>
    </w:p>
    <w:p w:rsidR="001E18BD" w:rsidRPr="00C15C68" w:rsidRDefault="001E18BD" w:rsidP="002B0403">
      <w:pPr>
        <w:spacing w:line="360" w:lineRule="auto"/>
        <w:contextualSpacing/>
        <w:jc w:val="both"/>
      </w:pPr>
    </w:p>
    <w:p w:rsidR="00CB2EDD" w:rsidRPr="00C15C68" w:rsidRDefault="003D00ED" w:rsidP="002B0403">
      <w:pPr>
        <w:spacing w:line="360" w:lineRule="auto"/>
        <w:ind w:left="720" w:hanging="720"/>
        <w:contextualSpacing/>
        <w:jc w:val="both"/>
      </w:pPr>
      <w:r w:rsidRPr="00C15C68">
        <w:t>2.4</w:t>
      </w:r>
      <w:r w:rsidR="007E2608" w:rsidRPr="00C15C68">
        <w:tab/>
      </w:r>
      <w:r w:rsidR="00D73AE4" w:rsidRPr="00C15C68">
        <w:t xml:space="preserve">Associated proceedings that derive from proceedings of the nature set out in paragraph 2.1 should also </w:t>
      </w:r>
      <w:r w:rsidR="00785BA1" w:rsidRPr="00C15C68">
        <w:t>be initiated in the List</w:t>
      </w:r>
      <w:r w:rsidR="0032333E" w:rsidRPr="00C15C68">
        <w:t>, where the primary proceeding is managed in the List</w:t>
      </w:r>
      <w:r w:rsidR="00785BA1" w:rsidRPr="00C15C68">
        <w:t xml:space="preserve">. </w:t>
      </w:r>
      <w:r w:rsidR="0032333E" w:rsidRPr="00C15C68">
        <w:t>For example,</w:t>
      </w:r>
      <w:r w:rsidR="00D73AE4" w:rsidRPr="00C15C68">
        <w:t xml:space="preserve"> </w:t>
      </w:r>
      <w:r w:rsidR="009E55A8" w:rsidRPr="00C15C68">
        <w:t xml:space="preserve">a </w:t>
      </w:r>
      <w:r w:rsidR="00D73AE4" w:rsidRPr="00C15C68">
        <w:t>p</w:t>
      </w:r>
      <w:r w:rsidR="009E55A8" w:rsidRPr="00C15C68">
        <w:t xml:space="preserve">roceeding </w:t>
      </w:r>
      <w:r w:rsidR="00CB2EDD" w:rsidRPr="00C15C68">
        <w:t xml:space="preserve">brought by </w:t>
      </w:r>
      <w:r w:rsidR="001913C5" w:rsidRPr="00C15C68">
        <w:t xml:space="preserve">the </w:t>
      </w:r>
      <w:r w:rsidR="00CB2EDD" w:rsidRPr="00C15C68">
        <w:t>T</w:t>
      </w:r>
      <w:r w:rsidR="00271B59" w:rsidRPr="00C15C68">
        <w:t xml:space="preserve">ransport </w:t>
      </w:r>
      <w:r w:rsidR="00CB2EDD" w:rsidRPr="00C15C68">
        <w:t>A</w:t>
      </w:r>
      <w:r w:rsidR="00271B59" w:rsidRPr="00C15C68">
        <w:t xml:space="preserve">ccident </w:t>
      </w:r>
      <w:r w:rsidR="00CB2EDD" w:rsidRPr="00C15C68">
        <w:t>C</w:t>
      </w:r>
      <w:r w:rsidR="00271B59" w:rsidRPr="00C15C68">
        <w:t>ommission</w:t>
      </w:r>
      <w:r w:rsidR="00CB2EDD" w:rsidRPr="00C15C68">
        <w:t xml:space="preserve"> under </w:t>
      </w:r>
      <w:r w:rsidR="008846D6" w:rsidRPr="00C15C68">
        <w:t xml:space="preserve">section </w:t>
      </w:r>
      <w:r w:rsidR="00CB2EDD" w:rsidRPr="00C15C68">
        <w:t xml:space="preserve">104 of the </w:t>
      </w:r>
      <w:r w:rsidR="001913C5" w:rsidRPr="00C15C68">
        <w:rPr>
          <w:i/>
        </w:rPr>
        <w:t>Transport Accident Act</w:t>
      </w:r>
      <w:r w:rsidR="00796E2E" w:rsidRPr="00C15C68">
        <w:rPr>
          <w:i/>
        </w:rPr>
        <w:t xml:space="preserve"> 1986</w:t>
      </w:r>
      <w:r w:rsidR="007E2608" w:rsidRPr="00C15C68">
        <w:t xml:space="preserve"> or by the</w:t>
      </w:r>
      <w:r w:rsidR="001913C5" w:rsidRPr="00C15C68">
        <w:t xml:space="preserve"> </w:t>
      </w:r>
      <w:r w:rsidR="00CB2EDD" w:rsidRPr="00C15C68">
        <w:t>V</w:t>
      </w:r>
      <w:r w:rsidR="00271B59" w:rsidRPr="00C15C68">
        <w:t xml:space="preserve">ictorian </w:t>
      </w:r>
      <w:proofErr w:type="spellStart"/>
      <w:r w:rsidR="00CB2EDD" w:rsidRPr="00C15C68">
        <w:t>W</w:t>
      </w:r>
      <w:r w:rsidR="00271B59" w:rsidRPr="00C15C68">
        <w:t>orkcover</w:t>
      </w:r>
      <w:proofErr w:type="spellEnd"/>
      <w:r w:rsidR="00271B59" w:rsidRPr="00C15C68">
        <w:t xml:space="preserve"> </w:t>
      </w:r>
      <w:r w:rsidR="00CB2EDD" w:rsidRPr="00C15C68">
        <w:t>A</w:t>
      </w:r>
      <w:r w:rsidR="00271B59" w:rsidRPr="00C15C68">
        <w:t>uthority</w:t>
      </w:r>
      <w:r w:rsidR="00CB2EDD" w:rsidRPr="00C15C68">
        <w:t xml:space="preserve"> under s</w:t>
      </w:r>
      <w:r w:rsidR="008846D6" w:rsidRPr="00C15C68">
        <w:t xml:space="preserve">ection </w:t>
      </w:r>
      <w:r w:rsidR="00CB2EDD" w:rsidRPr="00C15C68">
        <w:t xml:space="preserve">138 of the </w:t>
      </w:r>
      <w:r w:rsidR="001913C5" w:rsidRPr="00C15C68">
        <w:rPr>
          <w:i/>
        </w:rPr>
        <w:t>Accident Compensation Act</w:t>
      </w:r>
      <w:r w:rsidR="00796E2E" w:rsidRPr="00C15C68">
        <w:rPr>
          <w:i/>
        </w:rPr>
        <w:t xml:space="preserve"> 1985</w:t>
      </w:r>
      <w:r w:rsidR="0032333E" w:rsidRPr="00C15C68">
        <w:t>.</w:t>
      </w:r>
    </w:p>
    <w:p w:rsidR="00067F68" w:rsidRPr="00C15C68" w:rsidRDefault="00067F68" w:rsidP="002B0403">
      <w:pPr>
        <w:spacing w:line="360" w:lineRule="auto"/>
        <w:ind w:left="720" w:hanging="720"/>
        <w:contextualSpacing/>
        <w:jc w:val="both"/>
      </w:pPr>
    </w:p>
    <w:p w:rsidR="0056656E" w:rsidRPr="00C15C68" w:rsidRDefault="00067F68" w:rsidP="002B0403">
      <w:pPr>
        <w:spacing w:line="360" w:lineRule="auto"/>
        <w:ind w:left="720" w:hanging="720"/>
        <w:contextualSpacing/>
        <w:jc w:val="both"/>
      </w:pPr>
      <w:r w:rsidRPr="00C15C68">
        <w:t>2.5</w:t>
      </w:r>
      <w:r w:rsidRPr="00C15C68">
        <w:tab/>
      </w:r>
      <w:r w:rsidR="0056656E" w:rsidRPr="00C15C68">
        <w:t xml:space="preserve">However, where the cause of action </w:t>
      </w:r>
      <w:r w:rsidR="00F14188" w:rsidRPr="00C15C68">
        <w:t xml:space="preserve">arose in regional Victoria, </w:t>
      </w:r>
      <w:r w:rsidR="0056656E" w:rsidRPr="00C15C68">
        <w:t xml:space="preserve">or where the majority of witnesses or parties reside in regional Victoria, </w:t>
      </w:r>
      <w:r w:rsidR="00785BA1" w:rsidRPr="00C15C68">
        <w:t>proceedings of the natu</w:t>
      </w:r>
      <w:r w:rsidRPr="00C15C68">
        <w:t>re set out in paragraphs 2.1 to 2.4</w:t>
      </w:r>
      <w:r w:rsidR="00BD4C37" w:rsidRPr="00C15C68">
        <w:t xml:space="preserve"> should be initiated in</w:t>
      </w:r>
      <w:r w:rsidR="0056656E" w:rsidRPr="00C15C68">
        <w:t xml:space="preserve"> the </w:t>
      </w:r>
      <w:r w:rsidR="0056656E" w:rsidRPr="00C15C68">
        <w:rPr>
          <w:b/>
        </w:rPr>
        <w:t>Civil Circuit List</w:t>
      </w:r>
      <w:r w:rsidR="0056656E" w:rsidRPr="00C15C68">
        <w:t xml:space="preserve"> (see </w:t>
      </w:r>
      <w:r w:rsidR="0056656E" w:rsidRPr="00C15C68">
        <w:rPr>
          <w:i/>
        </w:rPr>
        <w:t xml:space="preserve">Practice Note No. </w:t>
      </w:r>
      <w:r w:rsidR="00E26A60">
        <w:rPr>
          <w:i/>
        </w:rPr>
        <w:t>1</w:t>
      </w:r>
      <w:r w:rsidR="0056656E" w:rsidRPr="00C15C68">
        <w:rPr>
          <w:i/>
        </w:rPr>
        <w:t xml:space="preserve"> of 2015</w:t>
      </w:r>
      <w:r w:rsidR="0056656E" w:rsidRPr="00C15C68">
        <w:t>).</w:t>
      </w:r>
    </w:p>
    <w:p w:rsidR="0032333E" w:rsidRPr="00C15C68" w:rsidRDefault="0032333E" w:rsidP="002B0403">
      <w:pPr>
        <w:spacing w:line="360" w:lineRule="auto"/>
        <w:ind w:left="720" w:hanging="720"/>
        <w:contextualSpacing/>
        <w:jc w:val="both"/>
      </w:pPr>
    </w:p>
    <w:p w:rsidR="007A2D3D" w:rsidRPr="00C15C68" w:rsidRDefault="007A2D3D" w:rsidP="00C15C68">
      <w:pPr>
        <w:pStyle w:val="Heading1"/>
      </w:pPr>
      <w:r w:rsidRPr="00C15C68">
        <w:lastRenderedPageBreak/>
        <w:t>3.</w:t>
      </w:r>
      <w:r w:rsidRPr="00C15C68">
        <w:tab/>
        <w:t>PROCEDURE FOR ENTRY INTO THE LIST</w:t>
      </w:r>
    </w:p>
    <w:p w:rsidR="007A2D3D" w:rsidRPr="00C15C68" w:rsidRDefault="007A2D3D" w:rsidP="002B0403">
      <w:pPr>
        <w:spacing w:line="360" w:lineRule="auto"/>
        <w:contextualSpacing/>
        <w:jc w:val="both"/>
      </w:pPr>
    </w:p>
    <w:p w:rsidR="00785BA1" w:rsidRPr="00C15C68" w:rsidRDefault="007A2D3D" w:rsidP="002B0403">
      <w:pPr>
        <w:spacing w:line="360" w:lineRule="auto"/>
        <w:ind w:left="720" w:hanging="720"/>
        <w:contextualSpacing/>
        <w:jc w:val="both"/>
      </w:pPr>
      <w:r w:rsidRPr="00C15C68">
        <w:t>3.1</w:t>
      </w:r>
      <w:r w:rsidR="00DC24A7" w:rsidRPr="00C15C68">
        <w:tab/>
        <w:t>Proceedings of the nature set out in paragraph</w:t>
      </w:r>
      <w:r w:rsidR="00796E2E" w:rsidRPr="00C15C68">
        <w:t>s</w:t>
      </w:r>
      <w:r w:rsidR="00DC24A7" w:rsidRPr="00C15C68">
        <w:t xml:space="preserve"> 2.1</w:t>
      </w:r>
      <w:r w:rsidR="003D6D44" w:rsidRPr="00C15C68">
        <w:t xml:space="preserve"> to 2.4</w:t>
      </w:r>
      <w:r w:rsidR="00DC24A7" w:rsidRPr="00C15C68">
        <w:t xml:space="preserve"> should be initiated in the List by</w:t>
      </w:r>
      <w:r w:rsidRPr="00C15C68">
        <w:t xml:space="preserve"> </w:t>
      </w:r>
      <w:r w:rsidR="00DC24A7" w:rsidRPr="00C15C68">
        <w:t xml:space="preserve">endorsing the heading of </w:t>
      </w:r>
      <w:r w:rsidR="00796E2E" w:rsidRPr="00C15C68">
        <w:t>the originating process “</w:t>
      </w:r>
      <w:r w:rsidR="00D73AE4" w:rsidRPr="00C15C68">
        <w:t>Major Torts</w:t>
      </w:r>
      <w:r w:rsidR="00DC24A7" w:rsidRPr="00C15C68">
        <w:t xml:space="preserve"> List”. </w:t>
      </w:r>
      <w:r w:rsidRPr="00C15C68">
        <w:t>The heading of all subsequent documents filed in the proceeding should also be endorsed</w:t>
      </w:r>
      <w:r w:rsidR="00022A4C" w:rsidRPr="00C15C68">
        <w:t xml:space="preserve"> “Major Torts List”.</w:t>
      </w:r>
    </w:p>
    <w:p w:rsidR="00DC24A7" w:rsidRPr="00C15C68" w:rsidRDefault="00DC24A7" w:rsidP="002B0403">
      <w:pPr>
        <w:spacing w:line="360" w:lineRule="auto"/>
        <w:ind w:left="720" w:hanging="720"/>
        <w:contextualSpacing/>
        <w:jc w:val="both"/>
      </w:pPr>
    </w:p>
    <w:p w:rsidR="00DC24A7" w:rsidRPr="00C15C68" w:rsidRDefault="007A2D3D" w:rsidP="002B0403">
      <w:pPr>
        <w:spacing w:line="360" w:lineRule="auto"/>
        <w:ind w:left="720" w:hanging="720"/>
        <w:contextualSpacing/>
        <w:jc w:val="both"/>
      </w:pPr>
      <w:r w:rsidRPr="00C15C68">
        <w:t>3.2</w:t>
      </w:r>
      <w:r w:rsidR="00DC24A7" w:rsidRPr="00C15C68">
        <w:tab/>
        <w:t xml:space="preserve">If </w:t>
      </w:r>
      <w:r w:rsidR="00EF5C7D" w:rsidRPr="00C15C68">
        <w:t>at any time after the initiation</w:t>
      </w:r>
      <w:r w:rsidR="00DC24A7" w:rsidRPr="00C15C68">
        <w:t xml:space="preserve"> of a proceeding it appea</w:t>
      </w:r>
      <w:r w:rsidR="00796E2E" w:rsidRPr="00C15C68">
        <w:t xml:space="preserve">rs to the Court that it is </w:t>
      </w:r>
      <w:r w:rsidR="00DC24A7" w:rsidRPr="00C15C68">
        <w:t>appropriate t</w:t>
      </w:r>
      <w:r w:rsidR="0032333E" w:rsidRPr="00C15C68">
        <w:t>o have the proceeding managed</w:t>
      </w:r>
      <w:r w:rsidR="00DC24A7" w:rsidRPr="00C15C68">
        <w:t xml:space="preserve"> in the List, the proceeding may be transferred </w:t>
      </w:r>
      <w:r w:rsidR="004F61E8" w:rsidRPr="00C15C68">
        <w:t>in</w:t>
      </w:r>
      <w:r w:rsidR="00DC24A7" w:rsidRPr="00C15C68">
        <w:t>to the List</w:t>
      </w:r>
      <w:r w:rsidR="00DF4878" w:rsidRPr="00C15C68">
        <w:t xml:space="preserve"> on the Court’s own motion</w:t>
      </w:r>
      <w:r w:rsidR="00DC24A7" w:rsidRPr="00C15C68">
        <w:t>.</w:t>
      </w:r>
    </w:p>
    <w:p w:rsidR="00796E2E" w:rsidRPr="00C15C68" w:rsidRDefault="00796E2E" w:rsidP="002B0403">
      <w:pPr>
        <w:spacing w:line="360" w:lineRule="auto"/>
        <w:ind w:left="720" w:hanging="720"/>
        <w:contextualSpacing/>
        <w:jc w:val="both"/>
      </w:pPr>
    </w:p>
    <w:p w:rsidR="00796E2E" w:rsidRPr="00C15C68" w:rsidRDefault="007A2D3D" w:rsidP="002B0403">
      <w:pPr>
        <w:spacing w:line="360" w:lineRule="auto"/>
        <w:ind w:left="720" w:hanging="720"/>
        <w:contextualSpacing/>
        <w:jc w:val="both"/>
      </w:pPr>
      <w:r w:rsidRPr="00C15C68">
        <w:t>3.3</w:t>
      </w:r>
      <w:r w:rsidR="00796E2E" w:rsidRPr="00C15C68">
        <w:tab/>
        <w:t xml:space="preserve">Conversely, a proceeding initiated in the List </w:t>
      </w:r>
      <w:r w:rsidR="004F61E8" w:rsidRPr="00C15C68">
        <w:t xml:space="preserve">may be transferred out of the List on the Court’s own motion if it appears to the Court that it is appropriate to have the proceeding </w:t>
      </w:r>
      <w:r w:rsidR="0032333E" w:rsidRPr="00C15C68">
        <w:t>managed</w:t>
      </w:r>
      <w:r w:rsidR="008E5278" w:rsidRPr="00C15C68">
        <w:t xml:space="preserve"> in a different</w:t>
      </w:r>
      <w:r w:rsidR="004F61E8" w:rsidRPr="00C15C68">
        <w:t xml:space="preserve"> list.</w:t>
      </w:r>
    </w:p>
    <w:p w:rsidR="00014B10" w:rsidRPr="00C15C68" w:rsidRDefault="00014B10" w:rsidP="002B0403">
      <w:pPr>
        <w:spacing w:line="360" w:lineRule="auto"/>
        <w:contextualSpacing/>
        <w:jc w:val="both"/>
      </w:pPr>
    </w:p>
    <w:p w:rsidR="00CB2EDD" w:rsidRPr="00C15C68" w:rsidRDefault="007A2D3D" w:rsidP="002B0403">
      <w:pPr>
        <w:spacing w:line="360" w:lineRule="auto"/>
        <w:ind w:left="720" w:hanging="720"/>
        <w:contextualSpacing/>
        <w:jc w:val="both"/>
      </w:pPr>
      <w:r w:rsidRPr="00C15C68">
        <w:t>3.4</w:t>
      </w:r>
      <w:r w:rsidR="00CB2EDD" w:rsidRPr="00C15C68">
        <w:tab/>
        <w:t xml:space="preserve">No additional fees will be payable for the inclusion of </w:t>
      </w:r>
      <w:r w:rsidR="004F61E8" w:rsidRPr="00C15C68">
        <w:t>a proceeding</w:t>
      </w:r>
      <w:r w:rsidR="00CB2EDD" w:rsidRPr="00C15C68">
        <w:t xml:space="preserve"> in the List.</w:t>
      </w:r>
      <w:r w:rsidR="00233272" w:rsidRPr="00C15C68">
        <w:t xml:space="preserve"> </w:t>
      </w:r>
    </w:p>
    <w:p w:rsidR="00CB2EDD" w:rsidRPr="00C15C68" w:rsidRDefault="00CB2EDD" w:rsidP="002B0403">
      <w:pPr>
        <w:spacing w:line="360" w:lineRule="auto"/>
        <w:contextualSpacing/>
        <w:jc w:val="both"/>
      </w:pPr>
    </w:p>
    <w:p w:rsidR="00CB2EDD" w:rsidRPr="00C15C68" w:rsidRDefault="007A2D3D" w:rsidP="00C15C68">
      <w:pPr>
        <w:pStyle w:val="Heading1"/>
      </w:pPr>
      <w:r w:rsidRPr="00C15C68">
        <w:t>4.</w:t>
      </w:r>
      <w:r w:rsidRPr="00C15C68">
        <w:tab/>
      </w:r>
      <w:r w:rsidR="00CB2EDD" w:rsidRPr="00C15C68">
        <w:t>DIRECTIONS HEARING</w:t>
      </w:r>
      <w:r w:rsidRPr="00C15C68">
        <w:t>S</w:t>
      </w:r>
    </w:p>
    <w:p w:rsidR="00CE4442" w:rsidRPr="00C15C68" w:rsidRDefault="00CE4442" w:rsidP="002B0403">
      <w:pPr>
        <w:spacing w:line="360" w:lineRule="auto"/>
        <w:contextualSpacing/>
        <w:jc w:val="both"/>
      </w:pPr>
    </w:p>
    <w:p w:rsidR="00900F73" w:rsidRPr="00C15C68" w:rsidRDefault="007A2D3D" w:rsidP="002B0403">
      <w:pPr>
        <w:spacing w:line="360" w:lineRule="auto"/>
        <w:ind w:left="720" w:hanging="720"/>
        <w:contextualSpacing/>
        <w:jc w:val="both"/>
      </w:pPr>
      <w:r w:rsidRPr="00C15C68">
        <w:t>4</w:t>
      </w:r>
      <w:r w:rsidR="00BD4C37" w:rsidRPr="00C15C68">
        <w:t>.1</w:t>
      </w:r>
      <w:r w:rsidR="004F61E8" w:rsidRPr="00C15C68">
        <w:t xml:space="preserve"> </w:t>
      </w:r>
      <w:r w:rsidR="00022A4C" w:rsidRPr="00C15C68">
        <w:tab/>
      </w:r>
      <w:r w:rsidR="00900F73" w:rsidRPr="00C15C68">
        <w:t>Directions hearings</w:t>
      </w:r>
      <w:r w:rsidR="003D6D44" w:rsidRPr="00C15C68">
        <w:t xml:space="preserve"> in proceedings in the List are</w:t>
      </w:r>
      <w:r w:rsidR="00A82237" w:rsidRPr="00C15C68">
        <w:t xml:space="preserve"> heard </w:t>
      </w:r>
      <w:r w:rsidRPr="00C15C68">
        <w:t xml:space="preserve">before the Judge in Charge </w:t>
      </w:r>
      <w:r w:rsidR="00A82237" w:rsidRPr="00C15C68">
        <w:t>at 9.30am on</w:t>
      </w:r>
      <w:r w:rsidR="00900F73" w:rsidRPr="00C15C68">
        <w:t xml:space="preserve"> Fridays </w:t>
      </w:r>
      <w:r w:rsidR="0032333E" w:rsidRPr="00C15C68">
        <w:t xml:space="preserve">(usually fortnightly) </w:t>
      </w:r>
      <w:r w:rsidR="00900F73" w:rsidRPr="00C15C68">
        <w:t>during the Court sitting terms</w:t>
      </w:r>
      <w:r w:rsidRPr="00C15C68">
        <w:t xml:space="preserve"> (</w:t>
      </w:r>
      <w:r w:rsidRPr="00C15C68">
        <w:rPr>
          <w:b/>
          <w:i/>
        </w:rPr>
        <w:t>List directions</w:t>
      </w:r>
      <w:r w:rsidR="00FF6DBB" w:rsidRPr="00C15C68">
        <w:rPr>
          <w:b/>
          <w:i/>
        </w:rPr>
        <w:t xml:space="preserve"> day</w:t>
      </w:r>
      <w:r w:rsidRPr="00C15C68">
        <w:t>)</w:t>
      </w:r>
      <w:r w:rsidR="00900F73" w:rsidRPr="00C15C68">
        <w:t xml:space="preserve">. </w:t>
      </w:r>
      <w:r w:rsidR="00FF6DBB" w:rsidRPr="00C15C68">
        <w:t>The specific dates</w:t>
      </w:r>
      <w:r w:rsidR="008620E5" w:rsidRPr="00C15C68">
        <w:t xml:space="preserve"> a</w:t>
      </w:r>
      <w:r w:rsidR="00F14188" w:rsidRPr="00C15C68">
        <w:t>re</w:t>
      </w:r>
      <w:r w:rsidR="00A82237" w:rsidRPr="00C15C68">
        <w:t xml:space="preserve"> on the Court website.</w:t>
      </w:r>
    </w:p>
    <w:p w:rsidR="00BD4C37" w:rsidRPr="00C15C68" w:rsidRDefault="00BD4C37" w:rsidP="00BD4C37">
      <w:pPr>
        <w:spacing w:line="360" w:lineRule="auto"/>
        <w:ind w:left="720" w:hanging="720"/>
        <w:contextualSpacing/>
        <w:jc w:val="both"/>
      </w:pPr>
    </w:p>
    <w:p w:rsidR="00BD4C37" w:rsidRPr="00C15C68" w:rsidRDefault="00BD4C37" w:rsidP="00BD4C37">
      <w:pPr>
        <w:spacing w:line="360" w:lineRule="auto"/>
        <w:ind w:left="720" w:hanging="720"/>
        <w:contextualSpacing/>
        <w:jc w:val="both"/>
      </w:pPr>
      <w:r w:rsidRPr="00C15C68">
        <w:t>4.2</w:t>
      </w:r>
      <w:r w:rsidRPr="00C15C68">
        <w:tab/>
        <w:t>The Court will generally notify the parties of the date and time of the first directions hearing within 14 days of the filing of the first defence.</w:t>
      </w:r>
      <w:r w:rsidR="0032333E" w:rsidRPr="00C15C68">
        <w:rPr>
          <w:rStyle w:val="FootnoteReference"/>
        </w:rPr>
        <w:footnoteReference w:id="2"/>
      </w:r>
    </w:p>
    <w:p w:rsidR="00BD4C37" w:rsidRPr="00C15C68" w:rsidRDefault="00BD4C37" w:rsidP="002B0403">
      <w:pPr>
        <w:spacing w:line="360" w:lineRule="auto"/>
        <w:ind w:left="720" w:hanging="720"/>
        <w:contextualSpacing/>
        <w:jc w:val="both"/>
      </w:pPr>
    </w:p>
    <w:p w:rsidR="00207053" w:rsidRPr="00C15C68" w:rsidRDefault="007A2D3D" w:rsidP="00BD4C37">
      <w:pPr>
        <w:spacing w:line="360" w:lineRule="auto"/>
        <w:ind w:left="720" w:hanging="720"/>
        <w:contextualSpacing/>
        <w:jc w:val="both"/>
      </w:pPr>
      <w:r w:rsidRPr="00C15C68">
        <w:t>4</w:t>
      </w:r>
      <w:r w:rsidR="00A82237" w:rsidRPr="00C15C68">
        <w:t>.3</w:t>
      </w:r>
      <w:r w:rsidR="00A82237" w:rsidRPr="00C15C68">
        <w:tab/>
      </w:r>
      <w:r w:rsidR="004F61E8" w:rsidRPr="00C15C68">
        <w:t>The plaintiff’s solicitors are encouraged to deliver proposed consent orders to all other</w:t>
      </w:r>
      <w:r w:rsidR="003E2DED" w:rsidRPr="00C15C68">
        <w:t xml:space="preserve"> parties in advance of all</w:t>
      </w:r>
      <w:r w:rsidR="004F61E8" w:rsidRPr="00C15C68">
        <w:t xml:space="preserve"> directions hearing</w:t>
      </w:r>
      <w:r w:rsidR="003E2DED" w:rsidRPr="00C15C68">
        <w:t>s</w:t>
      </w:r>
      <w:r w:rsidR="004F61E8" w:rsidRPr="00C15C68">
        <w:t>, with a view to obtaining orders by consent without the need for an a</w:t>
      </w:r>
      <w:r w:rsidR="00F14188" w:rsidRPr="00C15C68">
        <w:t>ppearance. The parties</w:t>
      </w:r>
      <w:r w:rsidR="00F83227" w:rsidRPr="00C15C68">
        <w:t xml:space="preserve"> should email</w:t>
      </w:r>
      <w:r w:rsidR="00207053" w:rsidRPr="00C15C68">
        <w:t xml:space="preserve"> </w:t>
      </w:r>
      <w:r w:rsidR="004F61E8" w:rsidRPr="00C15C68">
        <w:t>minutes of consent</w:t>
      </w:r>
      <w:r w:rsidR="00666E4A" w:rsidRPr="00C15C68">
        <w:t xml:space="preserve"> </w:t>
      </w:r>
      <w:r w:rsidR="004F61E8" w:rsidRPr="00C15C68">
        <w:t xml:space="preserve">to the </w:t>
      </w:r>
      <w:r w:rsidR="00A82237" w:rsidRPr="00C15C68">
        <w:t>Associate</w:t>
      </w:r>
      <w:r w:rsidR="008E5278" w:rsidRPr="00C15C68">
        <w:t xml:space="preserve"> </w:t>
      </w:r>
      <w:r w:rsidRPr="00C15C68">
        <w:t>by 1.00pm two days</w:t>
      </w:r>
      <w:r w:rsidR="00BD4C37" w:rsidRPr="00C15C68">
        <w:t xml:space="preserve"> prior to the</w:t>
      </w:r>
      <w:r w:rsidR="004F61E8" w:rsidRPr="00C15C68">
        <w:t xml:space="preserve"> directions hearing. Any proposed orders should be </w:t>
      </w:r>
      <w:r w:rsidR="00F83227" w:rsidRPr="00C15C68">
        <w:t>drawn from the template</w:t>
      </w:r>
      <w:r w:rsidR="00207053" w:rsidRPr="00C15C68">
        <w:t xml:space="preserve"> </w:t>
      </w:r>
      <w:r w:rsidR="00207053" w:rsidRPr="00C15C68">
        <w:lastRenderedPageBreak/>
        <w:t xml:space="preserve">orders set out in </w:t>
      </w:r>
      <w:r w:rsidR="00207053" w:rsidRPr="00C15C68">
        <w:rPr>
          <w:b/>
        </w:rPr>
        <w:t>Schedule 1</w:t>
      </w:r>
      <w:r w:rsidR="00207053" w:rsidRPr="00C15C68">
        <w:t>, adapted as appropriate, and should be submitted in both Word and signed PDF format:</w:t>
      </w:r>
    </w:p>
    <w:p w:rsidR="00BD4C37" w:rsidRPr="00C15C68" w:rsidRDefault="00BD4C37" w:rsidP="00BD4C37">
      <w:pPr>
        <w:numPr>
          <w:ilvl w:val="0"/>
          <w:numId w:val="29"/>
        </w:numPr>
        <w:spacing w:line="360" w:lineRule="auto"/>
        <w:contextualSpacing/>
        <w:jc w:val="both"/>
      </w:pPr>
      <w:r w:rsidRPr="00C15C68">
        <w:t>At a first directions hearing, the Court</w:t>
      </w:r>
      <w:r w:rsidR="00B426FA" w:rsidRPr="00C15C68">
        <w:t xml:space="preserve"> would normally deal with directions</w:t>
      </w:r>
      <w:r w:rsidRPr="00C15C68">
        <w:t xml:space="preserve"> involving pleadings, particulars, discovery and interrogatories;</w:t>
      </w:r>
    </w:p>
    <w:p w:rsidR="00BD4C37" w:rsidRPr="00C15C68" w:rsidRDefault="00BD4C37" w:rsidP="00BD4C37">
      <w:pPr>
        <w:numPr>
          <w:ilvl w:val="0"/>
          <w:numId w:val="29"/>
        </w:numPr>
        <w:spacing w:line="360" w:lineRule="auto"/>
        <w:contextualSpacing/>
        <w:jc w:val="both"/>
      </w:pPr>
      <w:r w:rsidRPr="00C15C68">
        <w:t>At a second directions hearing, the Court would ordinarily make directions for the preparation o</w:t>
      </w:r>
      <w:r w:rsidR="00B426FA" w:rsidRPr="00C15C68">
        <w:t>f expert evidence and</w:t>
      </w:r>
      <w:r w:rsidR="00F83227" w:rsidRPr="00C15C68">
        <w:t xml:space="preserve"> for</w:t>
      </w:r>
      <w:r w:rsidRPr="00C15C68">
        <w:t xml:space="preserve"> mediation, and set the proceeding down for trial</w:t>
      </w:r>
      <w:r w:rsidR="00F83227" w:rsidRPr="00C15C68">
        <w:t xml:space="preserve"> with trial preparation and conduct directions</w:t>
      </w:r>
      <w:r w:rsidR="00B426FA" w:rsidRPr="00C15C68">
        <w:t>; and</w:t>
      </w:r>
    </w:p>
    <w:p w:rsidR="00BD4C37" w:rsidRPr="00C15C68" w:rsidRDefault="00BD4C37" w:rsidP="00BD4C37">
      <w:pPr>
        <w:numPr>
          <w:ilvl w:val="0"/>
          <w:numId w:val="29"/>
        </w:numPr>
        <w:spacing w:line="360" w:lineRule="auto"/>
        <w:contextualSpacing/>
        <w:jc w:val="both"/>
      </w:pPr>
      <w:r w:rsidRPr="00C15C68">
        <w:t>A final directions hearing will be held shortly prior to the trial date to confirm that the proceeding is ready for trial</w:t>
      </w:r>
      <w:r w:rsidR="00F83227" w:rsidRPr="00C15C68">
        <w:t xml:space="preserve">, </w:t>
      </w:r>
      <w:r w:rsidR="00BF7CB2" w:rsidRPr="00C15C68">
        <w:t xml:space="preserve">to confirm </w:t>
      </w:r>
      <w:r w:rsidR="00F83227" w:rsidRPr="00C15C68">
        <w:t>the sitting day estimate, and for any further trial conduct directions to be made</w:t>
      </w:r>
      <w:r w:rsidRPr="00C15C68">
        <w:t>.</w:t>
      </w:r>
    </w:p>
    <w:p w:rsidR="00BD4C37" w:rsidRPr="00C15C68" w:rsidRDefault="00BD4C37" w:rsidP="00BD4C37">
      <w:pPr>
        <w:spacing w:line="360" w:lineRule="auto"/>
        <w:ind w:left="720" w:hanging="720"/>
        <w:contextualSpacing/>
        <w:jc w:val="both"/>
      </w:pPr>
    </w:p>
    <w:p w:rsidR="00BD4C37" w:rsidRPr="00C15C68" w:rsidRDefault="00BD4C37" w:rsidP="00BD4C37">
      <w:pPr>
        <w:spacing w:line="360" w:lineRule="auto"/>
        <w:ind w:left="720" w:hanging="720"/>
        <w:contextualSpacing/>
        <w:jc w:val="both"/>
      </w:pPr>
      <w:r w:rsidRPr="00C15C68">
        <w:t>4.4</w:t>
      </w:r>
      <w:r w:rsidRPr="00C15C68">
        <w:tab/>
        <w:t>Parties are reminded that, pursuant to s</w:t>
      </w:r>
      <w:r w:rsidR="000D0AB0" w:rsidRPr="00C15C68">
        <w:t>ection</w:t>
      </w:r>
      <w:r w:rsidRPr="00C15C68">
        <w:t xml:space="preserve"> 65G of the </w:t>
      </w:r>
      <w:r w:rsidRPr="00C15C68">
        <w:rPr>
          <w:i/>
        </w:rPr>
        <w:t>Civil Procedure Act 2010</w:t>
      </w:r>
      <w:r w:rsidRPr="00C15C68">
        <w:t>, directions must be sought from the C</w:t>
      </w:r>
      <w:r w:rsidR="000D0AB0" w:rsidRPr="00C15C68">
        <w:t>ourt as soon as practicable by a</w:t>
      </w:r>
      <w:r w:rsidRPr="00C15C68">
        <w:t xml:space="preserve"> party </w:t>
      </w:r>
      <w:r w:rsidR="000D0AB0" w:rsidRPr="00C15C68">
        <w:t xml:space="preserve">that </w:t>
      </w:r>
      <w:r w:rsidRPr="00C15C68">
        <w:t>intends to adduce expert evidence at trial, or becomes aware that they may adduce expert evidence at trial.</w:t>
      </w:r>
    </w:p>
    <w:p w:rsidR="00BD4C37" w:rsidRPr="00C15C68" w:rsidRDefault="00BD4C37" w:rsidP="00BD4C37">
      <w:pPr>
        <w:spacing w:line="360" w:lineRule="auto"/>
        <w:ind w:left="720" w:hanging="720"/>
        <w:contextualSpacing/>
        <w:jc w:val="both"/>
      </w:pPr>
    </w:p>
    <w:p w:rsidR="00BD4C37" w:rsidRPr="00C15C68" w:rsidRDefault="000D0AB0" w:rsidP="00BD4C37">
      <w:pPr>
        <w:spacing w:line="360" w:lineRule="auto"/>
        <w:ind w:left="720" w:hanging="720"/>
        <w:contextualSpacing/>
        <w:jc w:val="both"/>
      </w:pPr>
      <w:r w:rsidRPr="00C15C68">
        <w:t>4.5</w:t>
      </w:r>
      <w:r w:rsidRPr="00C15C68">
        <w:tab/>
        <w:t>All p</w:t>
      </w:r>
      <w:r w:rsidR="00BD4C37" w:rsidRPr="00C15C68">
        <w:t xml:space="preserve">arties are required to appear at scheduled directions hearings unless otherwise advised by the Associate. If an appearance is </w:t>
      </w:r>
      <w:r w:rsidRPr="00C15C68">
        <w:t>required</w:t>
      </w:r>
      <w:r w:rsidR="00BD4C37" w:rsidRPr="00C15C68">
        <w:t xml:space="preserve">, an indication of the matters that are likely to be in issue, a time estimate, and a scanned copy of any material parties intend to rely on should be emailed to the Associate by 1.00pm on </w:t>
      </w:r>
      <w:r w:rsidR="00F83227" w:rsidRPr="00C15C68">
        <w:t>the day prior to the directions hearing</w:t>
      </w:r>
      <w:r w:rsidR="00BD4C37" w:rsidRPr="00C15C68">
        <w:t>.</w:t>
      </w:r>
    </w:p>
    <w:p w:rsidR="000A3A37" w:rsidRPr="00C15C68" w:rsidRDefault="000A3A37" w:rsidP="002B0403">
      <w:pPr>
        <w:spacing w:line="360" w:lineRule="auto"/>
        <w:ind w:left="720" w:hanging="720"/>
        <w:contextualSpacing/>
        <w:jc w:val="both"/>
      </w:pPr>
    </w:p>
    <w:p w:rsidR="00233272" w:rsidRPr="00C15C68" w:rsidRDefault="00233272" w:rsidP="002B0403">
      <w:pPr>
        <w:spacing w:line="360" w:lineRule="auto"/>
        <w:ind w:left="720" w:hanging="720"/>
        <w:contextualSpacing/>
        <w:jc w:val="both"/>
      </w:pPr>
      <w:r w:rsidRPr="00C15C68">
        <w:t>4.6</w:t>
      </w:r>
      <w:r w:rsidRPr="00C15C68">
        <w:tab/>
        <w:t>Par</w:t>
      </w:r>
      <w:r w:rsidR="009E55A8" w:rsidRPr="00C15C68">
        <w:t>ties are required to make</w:t>
      </w:r>
      <w:r w:rsidRPr="00C15C68">
        <w:t xml:space="preserve"> arrangements for the provision of transcr</w:t>
      </w:r>
      <w:r w:rsidR="00F14188" w:rsidRPr="00C15C68">
        <w:t>ipt of all directions hearings.</w:t>
      </w:r>
    </w:p>
    <w:p w:rsidR="00233272" w:rsidRPr="00C15C68" w:rsidRDefault="00233272" w:rsidP="002B0403">
      <w:pPr>
        <w:spacing w:line="360" w:lineRule="auto"/>
        <w:ind w:left="720" w:hanging="720"/>
        <w:contextualSpacing/>
        <w:jc w:val="both"/>
      </w:pPr>
    </w:p>
    <w:p w:rsidR="00E87D76" w:rsidRPr="00C15C68" w:rsidRDefault="008620E5" w:rsidP="00C15C68">
      <w:pPr>
        <w:pStyle w:val="Heading1"/>
      </w:pPr>
      <w:r w:rsidRPr="00C15C68">
        <w:t>5</w:t>
      </w:r>
      <w:r w:rsidR="000C2CE1" w:rsidRPr="00C15C68">
        <w:t>.</w:t>
      </w:r>
      <w:r w:rsidR="000C2CE1" w:rsidRPr="00C15C68">
        <w:tab/>
      </w:r>
      <w:r w:rsidR="00E87D76" w:rsidRPr="00C15C68">
        <w:t>INTERLOCUTORY APPLICATIONS</w:t>
      </w:r>
    </w:p>
    <w:p w:rsidR="00E87D76" w:rsidRPr="00C15C68" w:rsidRDefault="00E87D76" w:rsidP="002B0403">
      <w:pPr>
        <w:spacing w:line="360" w:lineRule="auto"/>
        <w:ind w:left="720" w:hanging="720"/>
        <w:contextualSpacing/>
        <w:jc w:val="both"/>
      </w:pPr>
    </w:p>
    <w:p w:rsidR="00E87D76" w:rsidRPr="00C15C68" w:rsidRDefault="008620E5" w:rsidP="002B0403">
      <w:pPr>
        <w:spacing w:line="360" w:lineRule="auto"/>
        <w:ind w:left="720" w:hanging="720"/>
        <w:contextualSpacing/>
        <w:jc w:val="both"/>
      </w:pPr>
      <w:r w:rsidRPr="00C15C68">
        <w:t>5</w:t>
      </w:r>
      <w:r w:rsidR="00E87D76" w:rsidRPr="00C15C68">
        <w:t>.1</w:t>
      </w:r>
      <w:r w:rsidR="00E87D76" w:rsidRPr="00C15C68">
        <w:tab/>
        <w:t>All interlocutory applications are to be ma</w:t>
      </w:r>
      <w:r w:rsidR="00FF6DBB" w:rsidRPr="00C15C68">
        <w:t xml:space="preserve">de by summons, returnable </w:t>
      </w:r>
      <w:r w:rsidR="00F83227" w:rsidRPr="00C15C68">
        <w:t xml:space="preserve">before the Judge in Charge </w:t>
      </w:r>
      <w:r w:rsidR="00FF6DBB" w:rsidRPr="00C15C68">
        <w:t>on a</w:t>
      </w:r>
      <w:r w:rsidR="007A2D3D" w:rsidRPr="00C15C68">
        <w:t xml:space="preserve"> List directions</w:t>
      </w:r>
      <w:r w:rsidR="00FF6DBB" w:rsidRPr="00C15C68">
        <w:t xml:space="preserve"> day</w:t>
      </w:r>
      <w:r w:rsidR="007A2D3D" w:rsidRPr="00C15C68">
        <w:t>.</w:t>
      </w:r>
    </w:p>
    <w:p w:rsidR="00FF6DBB" w:rsidRPr="00C15C68" w:rsidRDefault="00FF6DBB" w:rsidP="002B0403">
      <w:pPr>
        <w:spacing w:line="360" w:lineRule="auto"/>
        <w:ind w:left="720" w:hanging="720"/>
        <w:contextualSpacing/>
        <w:jc w:val="both"/>
      </w:pPr>
    </w:p>
    <w:p w:rsidR="00FF6DBB" w:rsidRPr="00C15C68" w:rsidRDefault="00FF6DBB" w:rsidP="002B0403">
      <w:pPr>
        <w:spacing w:line="360" w:lineRule="auto"/>
        <w:ind w:left="720" w:hanging="720"/>
        <w:contextualSpacing/>
        <w:jc w:val="both"/>
      </w:pPr>
      <w:r w:rsidRPr="00C15C68">
        <w:lastRenderedPageBreak/>
        <w:t>5.2</w:t>
      </w:r>
      <w:r w:rsidRPr="00C15C68">
        <w:tab/>
      </w:r>
      <w:r w:rsidR="00BD299C" w:rsidRPr="00C15C68">
        <w:t>A</w:t>
      </w:r>
      <w:r w:rsidR="00B6773A" w:rsidRPr="00C15C68">
        <w:t xml:space="preserve"> time estimate and</w:t>
      </w:r>
      <w:r w:rsidR="00BD299C" w:rsidRPr="00C15C68">
        <w:t xml:space="preserve"> a scanned copy of any material</w:t>
      </w:r>
      <w:r w:rsidR="00B6773A" w:rsidRPr="00C15C68">
        <w:t xml:space="preserve"> parties intend to rely on (including any exhibits to affidavits</w:t>
      </w:r>
      <w:r w:rsidR="00F83227" w:rsidRPr="00C15C68">
        <w:t xml:space="preserve"> and an outline of submissions</w:t>
      </w:r>
      <w:r w:rsidR="00B6773A" w:rsidRPr="00C15C68">
        <w:t>) should be emailed to the Associate by 1.00pm on the day prior to the</w:t>
      </w:r>
      <w:r w:rsidR="000D0AB0" w:rsidRPr="00C15C68">
        <w:t xml:space="preserve"> hearing</w:t>
      </w:r>
      <w:r w:rsidR="00B6773A" w:rsidRPr="00C15C68">
        <w:t>.</w:t>
      </w:r>
    </w:p>
    <w:p w:rsidR="00E87D76" w:rsidRPr="00C15C68" w:rsidRDefault="00E87D76" w:rsidP="002B0403">
      <w:pPr>
        <w:spacing w:line="360" w:lineRule="auto"/>
        <w:ind w:left="720" w:hanging="720"/>
        <w:contextualSpacing/>
        <w:jc w:val="both"/>
        <w:rPr>
          <w:b/>
        </w:rPr>
      </w:pPr>
    </w:p>
    <w:p w:rsidR="008620E5" w:rsidRPr="00C15C68" w:rsidRDefault="00FF6DBB" w:rsidP="002B0403">
      <w:pPr>
        <w:spacing w:line="360" w:lineRule="auto"/>
        <w:ind w:left="720" w:hanging="720"/>
        <w:contextualSpacing/>
        <w:jc w:val="both"/>
      </w:pPr>
      <w:r w:rsidRPr="00C15C68">
        <w:t>5.3</w:t>
      </w:r>
      <w:r w:rsidR="008620E5" w:rsidRPr="00C15C68">
        <w:tab/>
        <w:t>Depending on the complexity and time estimate of</w:t>
      </w:r>
      <w:r w:rsidR="000A3A37" w:rsidRPr="00C15C68">
        <w:t xml:space="preserve"> any application, it may</w:t>
      </w:r>
      <w:r w:rsidR="00F83227" w:rsidRPr="00C15C68">
        <w:t xml:space="preserve"> be adjourned for</w:t>
      </w:r>
      <w:r w:rsidR="008620E5" w:rsidRPr="00C15C68">
        <w:t xml:space="preserve"> a sp</w:t>
      </w:r>
      <w:r w:rsidR="002D1A54" w:rsidRPr="00C15C68">
        <w:t>ecial fixture or referred to an associate j</w:t>
      </w:r>
      <w:r w:rsidR="00734E4D" w:rsidRPr="00C15C68">
        <w:t>udge</w:t>
      </w:r>
      <w:r w:rsidR="008620E5" w:rsidRPr="00C15C68">
        <w:t xml:space="preserve"> for hearing.</w:t>
      </w:r>
    </w:p>
    <w:p w:rsidR="008620E5" w:rsidRPr="00C15C68" w:rsidRDefault="008620E5" w:rsidP="002B0403">
      <w:pPr>
        <w:spacing w:line="360" w:lineRule="auto"/>
        <w:ind w:left="720" w:hanging="720"/>
        <w:contextualSpacing/>
        <w:jc w:val="both"/>
        <w:rPr>
          <w:b/>
        </w:rPr>
      </w:pPr>
    </w:p>
    <w:p w:rsidR="00552BDA" w:rsidRPr="00C15C68" w:rsidRDefault="008620E5" w:rsidP="00C15C68">
      <w:pPr>
        <w:pStyle w:val="Heading1"/>
      </w:pPr>
      <w:r w:rsidRPr="00C15C68">
        <w:t>6</w:t>
      </w:r>
      <w:r w:rsidR="00552BDA" w:rsidRPr="00C15C68">
        <w:t>.</w:t>
      </w:r>
      <w:r w:rsidR="00552BDA" w:rsidRPr="00C15C68">
        <w:tab/>
        <w:t>INTERROGATORIES</w:t>
      </w:r>
    </w:p>
    <w:p w:rsidR="00552BDA" w:rsidRPr="00C15C68" w:rsidRDefault="00552BDA" w:rsidP="002B0403">
      <w:pPr>
        <w:spacing w:line="360" w:lineRule="auto"/>
        <w:ind w:left="720" w:hanging="720"/>
        <w:contextualSpacing/>
        <w:jc w:val="both"/>
        <w:rPr>
          <w:b/>
        </w:rPr>
      </w:pPr>
    </w:p>
    <w:p w:rsidR="00552BDA" w:rsidRPr="00C15C68" w:rsidRDefault="008620E5" w:rsidP="002B0403">
      <w:pPr>
        <w:spacing w:line="360" w:lineRule="auto"/>
        <w:ind w:left="720" w:hanging="720"/>
        <w:contextualSpacing/>
        <w:jc w:val="both"/>
      </w:pPr>
      <w:r w:rsidRPr="00C15C68">
        <w:t>6</w:t>
      </w:r>
      <w:r w:rsidR="00552BDA" w:rsidRPr="00C15C68">
        <w:t>.1</w:t>
      </w:r>
      <w:r w:rsidR="00552BDA" w:rsidRPr="00C15C68">
        <w:tab/>
      </w:r>
      <w:r w:rsidR="000D0AB0" w:rsidRPr="00C15C68">
        <w:t>Without the leave of the C</w:t>
      </w:r>
      <w:r w:rsidR="000A3A37" w:rsidRPr="00C15C68">
        <w:t>ourt, t</w:t>
      </w:r>
      <w:r w:rsidR="00552BDA" w:rsidRPr="00C15C68">
        <w:t>he number of interrogatories served in proceedings in the List should be limited to thirty (including sub-parts).</w:t>
      </w:r>
    </w:p>
    <w:p w:rsidR="00552BDA" w:rsidRPr="00C15C68" w:rsidRDefault="00552BDA" w:rsidP="002B0403">
      <w:pPr>
        <w:spacing w:line="360" w:lineRule="auto"/>
        <w:ind w:left="720" w:hanging="720"/>
        <w:contextualSpacing/>
        <w:jc w:val="both"/>
      </w:pPr>
    </w:p>
    <w:p w:rsidR="00552BDA" w:rsidRPr="00C15C68" w:rsidRDefault="008620E5" w:rsidP="002B0403">
      <w:pPr>
        <w:spacing w:line="360" w:lineRule="auto"/>
        <w:ind w:left="720" w:hanging="720"/>
        <w:contextualSpacing/>
        <w:jc w:val="both"/>
      </w:pPr>
      <w:r w:rsidRPr="00C15C68">
        <w:t>6</w:t>
      </w:r>
      <w:r w:rsidR="00552BDA" w:rsidRPr="00C15C68">
        <w:t>.2</w:t>
      </w:r>
      <w:r w:rsidR="00552BDA" w:rsidRPr="00C15C68">
        <w:tab/>
        <w:t xml:space="preserve">In motor vehicle accident and industrial accident cases, interrogatories </w:t>
      </w:r>
      <w:r w:rsidR="00F83227" w:rsidRPr="00C15C68">
        <w:t>should be confined</w:t>
      </w:r>
      <w:r w:rsidR="00552BDA" w:rsidRPr="00C15C68">
        <w:t xml:space="preserve"> to questions of liability.</w:t>
      </w:r>
    </w:p>
    <w:p w:rsidR="0017758E" w:rsidRPr="00C15C68" w:rsidRDefault="0017758E" w:rsidP="002B0403">
      <w:pPr>
        <w:spacing w:line="360" w:lineRule="auto"/>
        <w:ind w:left="720" w:hanging="720"/>
        <w:contextualSpacing/>
        <w:jc w:val="both"/>
        <w:rPr>
          <w:b/>
        </w:rPr>
      </w:pPr>
    </w:p>
    <w:p w:rsidR="000C2CE1" w:rsidRPr="00C15C68" w:rsidRDefault="00B6773A" w:rsidP="00C15C68">
      <w:pPr>
        <w:pStyle w:val="Heading1"/>
      </w:pPr>
      <w:r w:rsidRPr="00C15C68">
        <w:t>7</w:t>
      </w:r>
      <w:r w:rsidR="0017758E" w:rsidRPr="00C15C68">
        <w:t>.</w:t>
      </w:r>
      <w:r w:rsidR="0017758E" w:rsidRPr="00C15C68">
        <w:tab/>
      </w:r>
      <w:r w:rsidR="000C2CE1" w:rsidRPr="00C15C68">
        <w:t>COMMUNICATIONS WITH THE COURT</w:t>
      </w:r>
    </w:p>
    <w:p w:rsidR="000C2CE1" w:rsidRPr="00C15C68" w:rsidRDefault="000C2CE1" w:rsidP="002B0403">
      <w:pPr>
        <w:spacing w:line="360" w:lineRule="auto"/>
        <w:ind w:left="720" w:hanging="720"/>
        <w:contextualSpacing/>
        <w:jc w:val="both"/>
        <w:rPr>
          <w:b/>
        </w:rPr>
      </w:pPr>
    </w:p>
    <w:p w:rsidR="00C02F5C" w:rsidRPr="00C15C68" w:rsidRDefault="00B6773A" w:rsidP="002B0403">
      <w:pPr>
        <w:spacing w:line="360" w:lineRule="auto"/>
        <w:ind w:left="720" w:hanging="720"/>
        <w:contextualSpacing/>
        <w:jc w:val="both"/>
      </w:pPr>
      <w:r w:rsidRPr="00C15C68">
        <w:t>7</w:t>
      </w:r>
      <w:r w:rsidR="008B3490" w:rsidRPr="00C15C68">
        <w:t>.1</w:t>
      </w:r>
      <w:r w:rsidR="000C2CE1" w:rsidRPr="00C15C68">
        <w:tab/>
      </w:r>
      <w:r w:rsidR="00553534" w:rsidRPr="00C15C68">
        <w:t>At all stages of the proceeding, communications with the Court should be by email w</w:t>
      </w:r>
      <w:r w:rsidR="00552BDA" w:rsidRPr="00C15C68">
        <w:t>ith a copy to all other parties</w:t>
      </w:r>
      <w:r w:rsidR="00F14188" w:rsidRPr="00C15C68">
        <w:t>,</w:t>
      </w:r>
      <w:r w:rsidR="002B0403" w:rsidRPr="00C15C68">
        <w:t xml:space="preserve"> and should be confined to uncontroversial matters.</w:t>
      </w:r>
      <w:r w:rsidR="00F14188" w:rsidRPr="00C15C68">
        <w:t xml:space="preserve"> </w:t>
      </w:r>
      <w:r w:rsidR="002B0403" w:rsidRPr="00C15C68">
        <w:t>C</w:t>
      </w:r>
      <w:r w:rsidR="00702016" w:rsidRPr="00C15C68">
        <w:t>ontact details for the Associate</w:t>
      </w:r>
      <w:r w:rsidR="002B0403" w:rsidRPr="00C15C68">
        <w:t xml:space="preserve"> are</w:t>
      </w:r>
      <w:r w:rsidR="00C752A5" w:rsidRPr="00C15C68">
        <w:t xml:space="preserve"> on the Court website.</w:t>
      </w:r>
    </w:p>
    <w:p w:rsidR="003E2DED" w:rsidRPr="00C15C68" w:rsidRDefault="003E2DED" w:rsidP="00702016">
      <w:pPr>
        <w:spacing w:line="360" w:lineRule="auto"/>
        <w:ind w:left="720" w:hanging="720"/>
        <w:jc w:val="both"/>
      </w:pPr>
    </w:p>
    <w:p w:rsidR="002A0521" w:rsidRPr="00C15C68" w:rsidRDefault="002A0521" w:rsidP="00702016">
      <w:pPr>
        <w:spacing w:line="360" w:lineRule="auto"/>
        <w:ind w:left="720" w:hanging="720"/>
        <w:jc w:val="both"/>
      </w:pPr>
    </w:p>
    <w:p w:rsidR="002A0521" w:rsidRPr="00C15C68" w:rsidRDefault="002A0521" w:rsidP="00702016">
      <w:pPr>
        <w:spacing w:line="360" w:lineRule="auto"/>
        <w:ind w:left="720" w:hanging="720"/>
        <w:jc w:val="both"/>
      </w:pPr>
    </w:p>
    <w:p w:rsidR="002A0521" w:rsidRPr="00C15C68" w:rsidRDefault="002A0521" w:rsidP="00702016">
      <w:pPr>
        <w:spacing w:line="360" w:lineRule="auto"/>
        <w:ind w:left="720" w:hanging="720"/>
        <w:jc w:val="both"/>
      </w:pPr>
    </w:p>
    <w:p w:rsidR="002A0521" w:rsidRPr="00C15C68" w:rsidRDefault="002A0521" w:rsidP="002A0521">
      <w:pPr>
        <w:spacing w:line="360" w:lineRule="auto"/>
        <w:ind w:left="720" w:hanging="720"/>
        <w:jc w:val="right"/>
      </w:pPr>
      <w:r w:rsidRPr="00C15C68">
        <w:t>Vivienne Macgillivray</w:t>
      </w:r>
    </w:p>
    <w:p w:rsidR="002A0521" w:rsidRPr="00C15C68" w:rsidRDefault="002A0521" w:rsidP="002A0521">
      <w:pPr>
        <w:spacing w:line="360" w:lineRule="auto"/>
        <w:ind w:left="720" w:hanging="720"/>
        <w:jc w:val="right"/>
      </w:pPr>
      <w:r w:rsidRPr="00C15C68">
        <w:t>Executive Associate to the Chief Justice</w:t>
      </w:r>
    </w:p>
    <w:p w:rsidR="002A0521" w:rsidRPr="00C15C68" w:rsidRDefault="002A0521" w:rsidP="002A0521">
      <w:pPr>
        <w:spacing w:line="360" w:lineRule="auto"/>
        <w:ind w:left="720" w:hanging="720"/>
        <w:jc w:val="right"/>
      </w:pPr>
      <w:r w:rsidRPr="00C15C68">
        <w:t>5 November 2014</w:t>
      </w:r>
    </w:p>
    <w:p w:rsidR="003E2DED" w:rsidRPr="00C15C68" w:rsidRDefault="003E2DED" w:rsidP="002D1A54">
      <w:pPr>
        <w:ind w:left="720" w:hanging="720"/>
        <w:jc w:val="center"/>
        <w:rPr>
          <w:b/>
        </w:rPr>
      </w:pPr>
      <w:r w:rsidRPr="00C15C68">
        <w:br w:type="page"/>
      </w:r>
      <w:r w:rsidRPr="00C15C68">
        <w:rPr>
          <w:b/>
        </w:rPr>
        <w:lastRenderedPageBreak/>
        <w:t>SCHEDULE 1</w:t>
      </w:r>
    </w:p>
    <w:p w:rsidR="003E2DED" w:rsidRPr="00C15C68" w:rsidRDefault="003E2DED" w:rsidP="002D1A54">
      <w:pPr>
        <w:ind w:left="720" w:hanging="720"/>
        <w:jc w:val="center"/>
        <w:rPr>
          <w:b/>
        </w:rPr>
      </w:pPr>
      <w:r w:rsidRPr="00C15C68">
        <w:rPr>
          <w:b/>
        </w:rPr>
        <w:t>Major Torts List</w:t>
      </w:r>
    </w:p>
    <w:p w:rsidR="003E2DED" w:rsidRPr="00C15C68" w:rsidRDefault="00F83227" w:rsidP="002D1A54">
      <w:pPr>
        <w:ind w:left="720" w:hanging="720"/>
        <w:jc w:val="center"/>
        <w:rPr>
          <w:b/>
        </w:rPr>
      </w:pPr>
      <w:r w:rsidRPr="00C15C68">
        <w:rPr>
          <w:b/>
        </w:rPr>
        <w:t>Template orders for directions on the papers</w:t>
      </w:r>
    </w:p>
    <w:p w:rsidR="003E2DED" w:rsidRPr="00C15C68" w:rsidRDefault="003E2DED" w:rsidP="003E2DED">
      <w:pPr>
        <w:spacing w:line="360" w:lineRule="auto"/>
        <w:ind w:left="720" w:hanging="720"/>
        <w:jc w:val="center"/>
      </w:pPr>
    </w:p>
    <w:p w:rsidR="00F83227" w:rsidRPr="00C15C68" w:rsidRDefault="00F83227" w:rsidP="00F83227">
      <w:pPr>
        <w:spacing w:line="360" w:lineRule="auto"/>
        <w:ind w:left="706"/>
        <w:contextualSpacing/>
        <w:jc w:val="both"/>
        <w:rPr>
          <w:b/>
          <w:lang w:val="en-US"/>
        </w:rPr>
      </w:pPr>
      <w:r w:rsidRPr="00C15C68">
        <w:rPr>
          <w:b/>
          <w:lang w:val="en-US"/>
        </w:rPr>
        <w:t>First Directions Interlocutory steps</w:t>
      </w:r>
    </w:p>
    <w:p w:rsidR="00F83227" w:rsidRPr="00C15C68" w:rsidRDefault="00F83227" w:rsidP="00F83227">
      <w:pPr>
        <w:numPr>
          <w:ilvl w:val="0"/>
          <w:numId w:val="27"/>
        </w:numPr>
        <w:spacing w:line="360" w:lineRule="auto"/>
        <w:ind w:left="706" w:hanging="706"/>
        <w:contextualSpacing/>
        <w:jc w:val="both"/>
        <w:rPr>
          <w:lang w:val="en-US"/>
        </w:rPr>
      </w:pPr>
      <w:r w:rsidRPr="00C15C68">
        <w:t xml:space="preserve">By </w:t>
      </w:r>
      <w:r w:rsidR="009E55A8" w:rsidRPr="00C15C68">
        <w:t>[</w:t>
      </w:r>
      <w:r w:rsidR="009E55A8" w:rsidRPr="00C15C68">
        <w:tab/>
      </w:r>
      <w:r w:rsidR="009E55A8" w:rsidRPr="00C15C68">
        <w:tab/>
        <w:t>]</w:t>
      </w:r>
      <w:r w:rsidRPr="00C15C68">
        <w:t>,</w:t>
      </w:r>
      <w:r w:rsidR="009E55A8" w:rsidRPr="00C15C68">
        <w:t xml:space="preserve"> the D</w:t>
      </w:r>
      <w:r w:rsidRPr="00C15C68">
        <w:t>efendant shall file and serve its defence [or other pleadings as appropriate]</w:t>
      </w:r>
      <w:r w:rsidRPr="00C15C68">
        <w:rPr>
          <w:lang w:val="en-US"/>
        </w:rPr>
        <w:t>.</w:t>
      </w:r>
    </w:p>
    <w:p w:rsidR="00F83227" w:rsidRPr="00C15C68" w:rsidRDefault="00F83227" w:rsidP="00F83227">
      <w:pPr>
        <w:numPr>
          <w:ilvl w:val="0"/>
          <w:numId w:val="27"/>
        </w:numPr>
        <w:spacing w:line="360" w:lineRule="auto"/>
        <w:ind w:left="706" w:hanging="706"/>
        <w:contextualSpacing/>
        <w:jc w:val="both"/>
        <w:rPr>
          <w:lang w:val="en-US"/>
        </w:rPr>
      </w:pPr>
      <w:r w:rsidRPr="00C15C68">
        <w:rPr>
          <w:color w:val="000000"/>
        </w:rPr>
        <w:t xml:space="preserve">By </w:t>
      </w:r>
      <w:r w:rsidR="009E55A8" w:rsidRPr="00C15C68">
        <w:rPr>
          <w:color w:val="000000"/>
        </w:rPr>
        <w:t>[</w:t>
      </w:r>
      <w:r w:rsidR="009E55A8" w:rsidRPr="00C15C68">
        <w:rPr>
          <w:color w:val="000000"/>
        </w:rPr>
        <w:tab/>
      </w:r>
      <w:r w:rsidR="009E55A8" w:rsidRPr="00C15C68">
        <w:rPr>
          <w:color w:val="000000"/>
        </w:rPr>
        <w:tab/>
        <w:t>]</w:t>
      </w:r>
      <w:r w:rsidRPr="00C15C68">
        <w:rPr>
          <w:color w:val="000000"/>
        </w:rPr>
        <w:t>,</w:t>
      </w:r>
      <w:r w:rsidRPr="00C15C68">
        <w:rPr>
          <w:color w:val="548DD4"/>
        </w:rPr>
        <w:t xml:space="preserve"> </w:t>
      </w:r>
      <w:r w:rsidRPr="00C15C68">
        <w:rPr>
          <w:color w:val="000000"/>
        </w:rPr>
        <w:t xml:space="preserve">each party shall file and serve on all other parties an affidavit of documents. </w:t>
      </w:r>
    </w:p>
    <w:p w:rsidR="00F83227" w:rsidRPr="00C15C68" w:rsidRDefault="00F83227" w:rsidP="00F83227">
      <w:pPr>
        <w:numPr>
          <w:ilvl w:val="0"/>
          <w:numId w:val="27"/>
        </w:numPr>
        <w:spacing w:line="360" w:lineRule="auto"/>
        <w:ind w:left="706" w:hanging="706"/>
        <w:contextualSpacing/>
        <w:jc w:val="both"/>
        <w:rPr>
          <w:lang w:val="en-US"/>
        </w:rPr>
      </w:pPr>
      <w:r w:rsidRPr="00C15C68">
        <w:t xml:space="preserve">By </w:t>
      </w:r>
      <w:r w:rsidR="009E55A8" w:rsidRPr="00C15C68">
        <w:t>[</w:t>
      </w:r>
      <w:r w:rsidR="009E55A8" w:rsidRPr="00C15C68">
        <w:tab/>
      </w:r>
      <w:r w:rsidR="009E55A8" w:rsidRPr="00C15C68">
        <w:tab/>
        <w:t>]</w:t>
      </w:r>
      <w:r w:rsidRPr="00C15C68">
        <w:t>,</w:t>
      </w:r>
      <w:r w:rsidRPr="00C15C68">
        <w:rPr>
          <w:color w:val="000000"/>
        </w:rPr>
        <w:t xml:space="preserve"> all parties shall complete inspection of documents.</w:t>
      </w:r>
    </w:p>
    <w:p w:rsidR="00F83227" w:rsidRPr="00C15C68" w:rsidRDefault="00F83227" w:rsidP="00F83227">
      <w:pPr>
        <w:numPr>
          <w:ilvl w:val="0"/>
          <w:numId w:val="27"/>
        </w:numPr>
        <w:spacing w:line="360" w:lineRule="auto"/>
        <w:ind w:left="706" w:hanging="706"/>
        <w:contextualSpacing/>
        <w:jc w:val="both"/>
        <w:rPr>
          <w:lang w:val="en-US"/>
        </w:rPr>
      </w:pPr>
      <w:r w:rsidRPr="00C15C68">
        <w:t xml:space="preserve">By </w:t>
      </w:r>
      <w:r w:rsidR="009E55A8" w:rsidRPr="00C15C68">
        <w:t>[</w:t>
      </w:r>
      <w:r w:rsidR="009E55A8" w:rsidRPr="00C15C68">
        <w:tab/>
      </w:r>
      <w:r w:rsidR="009E55A8" w:rsidRPr="00C15C68">
        <w:tab/>
        <w:t>]</w:t>
      </w:r>
      <w:r w:rsidRPr="00C15C68">
        <w:t>, the parties shall issue any subpoena under Order 42A.</w:t>
      </w:r>
    </w:p>
    <w:p w:rsidR="00F83227" w:rsidRPr="00C15C68" w:rsidRDefault="00F83227" w:rsidP="00F83227">
      <w:pPr>
        <w:numPr>
          <w:ilvl w:val="0"/>
          <w:numId w:val="27"/>
        </w:numPr>
        <w:spacing w:line="360" w:lineRule="auto"/>
        <w:ind w:left="706" w:hanging="706"/>
        <w:contextualSpacing/>
        <w:jc w:val="both"/>
        <w:rPr>
          <w:lang w:val="en-US"/>
        </w:rPr>
      </w:pPr>
      <w:r w:rsidRPr="00C15C68">
        <w:rPr>
          <w:color w:val="000000"/>
        </w:rPr>
        <w:t xml:space="preserve">By </w:t>
      </w:r>
      <w:r w:rsidR="009E55A8" w:rsidRPr="00C15C68">
        <w:rPr>
          <w:color w:val="000000"/>
        </w:rPr>
        <w:t>[</w:t>
      </w:r>
      <w:r w:rsidR="009E55A8" w:rsidRPr="00C15C68">
        <w:rPr>
          <w:color w:val="000000"/>
        </w:rPr>
        <w:tab/>
      </w:r>
      <w:r w:rsidR="009E55A8" w:rsidRPr="00C15C68">
        <w:rPr>
          <w:color w:val="000000"/>
        </w:rPr>
        <w:tab/>
        <w:t>]</w:t>
      </w:r>
      <w:r w:rsidRPr="00C15C68">
        <w:rPr>
          <w:color w:val="000000"/>
        </w:rPr>
        <w:t>, all parties shall file and serve any interrogatories for the examination of any other party.</w:t>
      </w:r>
    </w:p>
    <w:p w:rsidR="00F83227" w:rsidRPr="00C15C68" w:rsidRDefault="00F83227" w:rsidP="00F83227">
      <w:pPr>
        <w:numPr>
          <w:ilvl w:val="0"/>
          <w:numId w:val="27"/>
        </w:numPr>
        <w:spacing w:line="360" w:lineRule="auto"/>
        <w:ind w:left="706" w:hanging="706"/>
        <w:contextualSpacing/>
        <w:jc w:val="both"/>
        <w:rPr>
          <w:lang w:val="en-US"/>
        </w:rPr>
      </w:pPr>
      <w:r w:rsidRPr="00C15C68">
        <w:t xml:space="preserve">By </w:t>
      </w:r>
      <w:r w:rsidR="009E55A8" w:rsidRPr="00C15C68">
        <w:t>[</w:t>
      </w:r>
      <w:r w:rsidR="009E55A8" w:rsidRPr="00C15C68">
        <w:tab/>
      </w:r>
      <w:r w:rsidR="009E55A8" w:rsidRPr="00C15C68">
        <w:tab/>
        <w:t>]</w:t>
      </w:r>
      <w:r w:rsidRPr="00C15C68">
        <w:t>,</w:t>
      </w:r>
      <w:r w:rsidRPr="00C15C68">
        <w:rPr>
          <w:color w:val="548DD4"/>
        </w:rPr>
        <w:t xml:space="preserve"> </w:t>
      </w:r>
      <w:r w:rsidRPr="00C15C68">
        <w:rPr>
          <w:color w:val="000000"/>
        </w:rPr>
        <w:t>any party interrogated shall file and serve answers to interrogatories. The answers are to be served on all other parties.</w:t>
      </w:r>
    </w:p>
    <w:p w:rsidR="00F83227" w:rsidRPr="00C15C68" w:rsidRDefault="00F83227" w:rsidP="00F83227">
      <w:pPr>
        <w:numPr>
          <w:ilvl w:val="0"/>
          <w:numId w:val="27"/>
        </w:numPr>
        <w:spacing w:line="360" w:lineRule="auto"/>
        <w:ind w:left="706" w:hanging="706"/>
        <w:contextualSpacing/>
        <w:jc w:val="both"/>
        <w:rPr>
          <w:lang w:val="en-US"/>
        </w:rPr>
      </w:pPr>
      <w:r w:rsidRPr="00C15C68">
        <w:rPr>
          <w:color w:val="000000"/>
        </w:rPr>
        <w:t xml:space="preserve">By </w:t>
      </w:r>
      <w:r w:rsidR="009E55A8" w:rsidRPr="00C15C68">
        <w:t>[</w:t>
      </w:r>
      <w:r w:rsidR="009E55A8" w:rsidRPr="00C15C68">
        <w:tab/>
      </w:r>
      <w:r w:rsidR="009E55A8" w:rsidRPr="00C15C68">
        <w:tab/>
        <w:t>]</w:t>
      </w:r>
      <w:r w:rsidRPr="00C15C68">
        <w:rPr>
          <w:color w:val="000000"/>
        </w:rPr>
        <w:t>, all parties shall comply with Order 33 in relation to medical reports [and Order 44 in relation to expert reports] and all reports are to be served on all other parties.</w:t>
      </w:r>
    </w:p>
    <w:p w:rsidR="00F83227" w:rsidRPr="00C15C68" w:rsidRDefault="00F83227" w:rsidP="00F83227">
      <w:pPr>
        <w:numPr>
          <w:ilvl w:val="0"/>
          <w:numId w:val="27"/>
        </w:numPr>
        <w:spacing w:line="360" w:lineRule="auto"/>
        <w:ind w:left="706" w:hanging="706"/>
        <w:contextualSpacing/>
        <w:jc w:val="both"/>
        <w:rPr>
          <w:lang w:val="en-US"/>
        </w:rPr>
      </w:pPr>
      <w:r w:rsidRPr="00C15C68">
        <w:t>By</w:t>
      </w:r>
      <w:r w:rsidR="00BF7CB2" w:rsidRPr="00C15C68">
        <w:t xml:space="preserve"> </w:t>
      </w:r>
      <w:r w:rsidR="009E55A8" w:rsidRPr="00C15C68">
        <w:t>[</w:t>
      </w:r>
      <w:r w:rsidR="009E55A8" w:rsidRPr="00C15C68">
        <w:tab/>
      </w:r>
      <w:r w:rsidR="009E55A8" w:rsidRPr="00C15C68">
        <w:tab/>
        <w:t>]</w:t>
      </w:r>
      <w:r w:rsidRPr="00C15C68">
        <w:t>,</w:t>
      </w:r>
      <w:r w:rsidR="009E55A8" w:rsidRPr="00C15C68">
        <w:rPr>
          <w:color w:val="000000"/>
        </w:rPr>
        <w:t xml:space="preserve"> the P</w:t>
      </w:r>
      <w:r w:rsidRPr="00C15C68">
        <w:rPr>
          <w:color w:val="000000"/>
        </w:rPr>
        <w:t>laintiff shall deliver a list particularising any special damages, loss of earnings and loss of e</w:t>
      </w:r>
      <w:r w:rsidR="009E55A8" w:rsidRPr="00C15C68">
        <w:rPr>
          <w:color w:val="000000"/>
        </w:rPr>
        <w:t>arning capacity claimed by the P</w:t>
      </w:r>
      <w:r w:rsidRPr="00C15C68">
        <w:rPr>
          <w:color w:val="000000"/>
        </w:rPr>
        <w:t>laintiff.</w:t>
      </w:r>
    </w:p>
    <w:p w:rsidR="00F83227" w:rsidRPr="00C15C68" w:rsidRDefault="00F83227" w:rsidP="00F83227">
      <w:pPr>
        <w:spacing w:line="360" w:lineRule="auto"/>
        <w:ind w:left="706"/>
        <w:contextualSpacing/>
        <w:jc w:val="both"/>
        <w:rPr>
          <w:lang w:val="en-US"/>
        </w:rPr>
      </w:pPr>
    </w:p>
    <w:p w:rsidR="00F83227" w:rsidRPr="00C15C68" w:rsidRDefault="00F83227" w:rsidP="00F83227">
      <w:pPr>
        <w:spacing w:line="360" w:lineRule="auto"/>
        <w:ind w:left="702"/>
        <w:contextualSpacing/>
        <w:jc w:val="both"/>
        <w:rPr>
          <w:b/>
          <w:lang w:val="en-US"/>
        </w:rPr>
      </w:pPr>
      <w:r w:rsidRPr="00C15C68">
        <w:rPr>
          <w:b/>
          <w:color w:val="000000"/>
        </w:rPr>
        <w:t>Alternative</w:t>
      </w:r>
      <w:r w:rsidRPr="00C15C68">
        <w:rPr>
          <w:color w:val="000000"/>
        </w:rPr>
        <w:t xml:space="preserve"> </w:t>
      </w:r>
      <w:r w:rsidRPr="00C15C68">
        <w:rPr>
          <w:b/>
          <w:color w:val="000000"/>
        </w:rPr>
        <w:t xml:space="preserve"> dispute resolution</w:t>
      </w:r>
    </w:p>
    <w:p w:rsidR="00F83227" w:rsidRPr="00C15C68" w:rsidRDefault="00F83227" w:rsidP="00F83227">
      <w:pPr>
        <w:numPr>
          <w:ilvl w:val="0"/>
          <w:numId w:val="27"/>
        </w:numPr>
        <w:spacing w:line="360" w:lineRule="auto"/>
        <w:contextualSpacing/>
        <w:jc w:val="both"/>
        <w:rPr>
          <w:lang w:val="en-US"/>
        </w:rPr>
      </w:pPr>
      <w:r w:rsidRPr="00C15C68">
        <w:rPr>
          <w:rFonts w:eastAsia="Calibri"/>
          <w:color w:val="000000"/>
        </w:rPr>
        <w:t>The proceeding is referred to a Mediator to be agreed between the parties or, in default of agreement, to be appointed by the Court, such med</w:t>
      </w:r>
      <w:r w:rsidR="009E55A8" w:rsidRPr="00C15C68">
        <w:rPr>
          <w:rFonts w:eastAsia="Calibri"/>
          <w:color w:val="000000"/>
        </w:rPr>
        <w:t>iation to be completed before [</w:t>
      </w:r>
      <w:r w:rsidR="009E55A8" w:rsidRPr="00C15C68">
        <w:rPr>
          <w:rFonts w:eastAsia="Calibri"/>
          <w:color w:val="000000"/>
        </w:rPr>
        <w:tab/>
      </w:r>
      <w:r w:rsidR="009E55A8" w:rsidRPr="00C15C68">
        <w:rPr>
          <w:rFonts w:eastAsia="Calibri"/>
          <w:color w:val="000000"/>
        </w:rPr>
        <w:tab/>
        <w:t>]</w:t>
      </w:r>
      <w:r w:rsidRPr="00C15C68">
        <w:rPr>
          <w:rFonts w:eastAsia="Calibri"/>
          <w:color w:val="000000"/>
        </w:rPr>
        <w:t>, by which date the Mediator shall report to the court and to the associate to the managing judge about the completion of the mediation.</w:t>
      </w:r>
    </w:p>
    <w:p w:rsidR="00F83227" w:rsidRPr="00C15C68" w:rsidRDefault="009E55A8" w:rsidP="00F83227">
      <w:pPr>
        <w:pStyle w:val="Heading1"/>
        <w:keepNext w:val="0"/>
        <w:numPr>
          <w:ilvl w:val="0"/>
          <w:numId w:val="27"/>
        </w:numPr>
        <w:spacing w:before="0" w:after="0" w:line="360" w:lineRule="auto"/>
        <w:contextualSpacing/>
        <w:jc w:val="both"/>
        <w:rPr>
          <w:b w:val="0"/>
          <w:szCs w:val="24"/>
        </w:rPr>
      </w:pPr>
      <w:r w:rsidRPr="00C15C68">
        <w:rPr>
          <w:b w:val="0"/>
          <w:szCs w:val="24"/>
        </w:rPr>
        <w:t>The solicitors for the P</w:t>
      </w:r>
      <w:r w:rsidR="00BF7CB2" w:rsidRPr="00C15C68">
        <w:rPr>
          <w:b w:val="0"/>
          <w:szCs w:val="24"/>
        </w:rPr>
        <w:t>laintiff</w:t>
      </w:r>
      <w:r w:rsidR="00F83227" w:rsidRPr="00C15C68">
        <w:rPr>
          <w:b w:val="0"/>
          <w:szCs w:val="24"/>
        </w:rPr>
        <w:t xml:space="preserve"> shall, after such consultation, deliver to the Mediator a copy of this order, all pleadings (including further particulars) and a copy of any other relevant information as agreed, and take all steps necessary to ensure that the mediation commences as soon as practicable.</w:t>
      </w:r>
    </w:p>
    <w:p w:rsidR="00F83227" w:rsidRPr="00C15C68" w:rsidRDefault="00F83227" w:rsidP="00F83227">
      <w:pPr>
        <w:pStyle w:val="Heading1"/>
        <w:keepNext w:val="0"/>
        <w:numPr>
          <w:ilvl w:val="0"/>
          <w:numId w:val="27"/>
        </w:numPr>
        <w:spacing w:before="0" w:after="0" w:line="360" w:lineRule="auto"/>
        <w:contextualSpacing/>
        <w:jc w:val="both"/>
        <w:rPr>
          <w:b w:val="0"/>
          <w:szCs w:val="24"/>
        </w:rPr>
      </w:pPr>
      <w:r w:rsidRPr="00C15C68">
        <w:rPr>
          <w:b w:val="0"/>
          <w:szCs w:val="24"/>
        </w:rPr>
        <w:t xml:space="preserve">Those persons who have the ultimate responsibility for deciding whether to settle the dispute and the terms of </w:t>
      </w:r>
      <w:r w:rsidR="00BF7CB2" w:rsidRPr="00C15C68">
        <w:rPr>
          <w:b w:val="0"/>
          <w:szCs w:val="24"/>
        </w:rPr>
        <w:t>any settlement, and the legal representatives</w:t>
      </w:r>
      <w:r w:rsidRPr="00C15C68">
        <w:rPr>
          <w:b w:val="0"/>
          <w:szCs w:val="24"/>
        </w:rPr>
        <w:t xml:space="preserve"> who have ultimate responsibility to advise the parties in relation to the dispute and its settlement shall attend the mediation.</w:t>
      </w:r>
    </w:p>
    <w:p w:rsidR="00F83227" w:rsidRPr="00C15C68" w:rsidRDefault="00F83227" w:rsidP="00F83227">
      <w:pPr>
        <w:numPr>
          <w:ilvl w:val="0"/>
          <w:numId w:val="27"/>
        </w:numPr>
        <w:spacing w:line="360" w:lineRule="auto"/>
        <w:contextualSpacing/>
        <w:jc w:val="both"/>
        <w:rPr>
          <w:lang w:val="en-US"/>
        </w:rPr>
      </w:pPr>
      <w:r w:rsidRPr="00C15C68">
        <w:lastRenderedPageBreak/>
        <w:t>Subject to any further order, the costs of the mediation shall be paid in the first instance by the parties in equal shares.</w:t>
      </w:r>
    </w:p>
    <w:p w:rsidR="00F83227" w:rsidRPr="00C15C68" w:rsidRDefault="00F83227" w:rsidP="00F83227">
      <w:pPr>
        <w:numPr>
          <w:ilvl w:val="0"/>
          <w:numId w:val="27"/>
        </w:numPr>
        <w:spacing w:line="360" w:lineRule="auto"/>
        <w:contextualSpacing/>
        <w:jc w:val="both"/>
        <w:rPr>
          <w:lang w:val="en-US"/>
        </w:rPr>
      </w:pPr>
      <w:r w:rsidRPr="00C15C68">
        <w:rPr>
          <w:color w:val="000000"/>
        </w:rPr>
        <w:t>The parties must forthwith notify the Associate to the Honourable Associate Justice Daly in the event of the proceeding being resolved before the date fixed for the trial.</w:t>
      </w:r>
    </w:p>
    <w:p w:rsidR="00F83227" w:rsidRPr="00C15C68" w:rsidRDefault="00F83227" w:rsidP="00F83227">
      <w:pPr>
        <w:spacing w:line="360" w:lineRule="auto"/>
        <w:ind w:left="702"/>
        <w:contextualSpacing/>
        <w:jc w:val="both"/>
        <w:rPr>
          <w:lang w:val="en-US"/>
        </w:rPr>
      </w:pPr>
    </w:p>
    <w:p w:rsidR="00F83227" w:rsidRPr="00C15C68" w:rsidRDefault="00F83227" w:rsidP="00F83227">
      <w:pPr>
        <w:spacing w:line="360" w:lineRule="auto"/>
        <w:ind w:left="-3" w:firstLine="705"/>
        <w:contextualSpacing/>
        <w:jc w:val="both"/>
        <w:rPr>
          <w:b/>
          <w:lang w:val="en-US"/>
        </w:rPr>
      </w:pPr>
      <w:r w:rsidRPr="00C15C68">
        <w:rPr>
          <w:b/>
          <w:lang w:val="en-US"/>
        </w:rPr>
        <w:t>Expert Evidence</w:t>
      </w:r>
    </w:p>
    <w:p w:rsidR="00F83227" w:rsidRPr="00C15C68" w:rsidRDefault="00F83227" w:rsidP="00F83227">
      <w:pPr>
        <w:numPr>
          <w:ilvl w:val="0"/>
          <w:numId w:val="27"/>
        </w:numPr>
        <w:spacing w:line="360" w:lineRule="auto"/>
        <w:contextualSpacing/>
        <w:jc w:val="both"/>
        <w:rPr>
          <w:lang w:val="en-US"/>
        </w:rPr>
      </w:pPr>
      <w:r w:rsidRPr="00C15C68">
        <w:rPr>
          <w:lang w:val="en-US"/>
        </w:rPr>
        <w:t>At the first available opportunity, the parties sh</w:t>
      </w:r>
      <w:r w:rsidR="009E55A8" w:rsidRPr="00C15C68">
        <w:rPr>
          <w:lang w:val="en-US"/>
        </w:rPr>
        <w:t>ould inform the C</w:t>
      </w:r>
      <w:r w:rsidRPr="00C15C68">
        <w:rPr>
          <w:lang w:val="en-US"/>
        </w:rPr>
        <w:t xml:space="preserve">ourt that </w:t>
      </w:r>
      <w:r w:rsidRPr="00C15C68">
        <w:t xml:space="preserve">a party intends </w:t>
      </w:r>
      <w:r w:rsidR="00BF7CB2" w:rsidRPr="00C15C68">
        <w:t xml:space="preserve">to </w:t>
      </w:r>
      <w:r w:rsidRPr="00C15C68">
        <w:t>or may adduce expert evidence at trial.</w:t>
      </w:r>
      <w:r w:rsidR="00A41EF6" w:rsidRPr="00C15C68">
        <w:rPr>
          <w:rStyle w:val="FootnoteReference"/>
        </w:rPr>
        <w:footnoteReference w:id="3"/>
      </w:r>
    </w:p>
    <w:p w:rsidR="00F83227" w:rsidRPr="00C15C68" w:rsidRDefault="009E55A8" w:rsidP="00F83227">
      <w:pPr>
        <w:pStyle w:val="Num1"/>
        <w:numPr>
          <w:ilvl w:val="0"/>
          <w:numId w:val="27"/>
        </w:numPr>
        <w:tabs>
          <w:tab w:val="clear" w:pos="567"/>
        </w:tabs>
        <w:rPr>
          <w:rFonts w:ascii="Times New Roman" w:hAnsi="Times New Roman" w:cs="Times New Roman"/>
        </w:rPr>
      </w:pPr>
      <w:r w:rsidRPr="00C15C68">
        <w:rPr>
          <w:rFonts w:ascii="Times New Roman" w:hAnsi="Times New Roman" w:cs="Times New Roman"/>
        </w:rPr>
        <w:t>By</w:t>
      </w:r>
      <w:r w:rsidR="00BF7CB2" w:rsidRPr="00C15C68">
        <w:rPr>
          <w:rFonts w:ascii="Times New Roman" w:hAnsi="Times New Roman" w:cs="Times New Roman"/>
        </w:rPr>
        <w:t xml:space="preserve"> </w:t>
      </w:r>
      <w:r w:rsidRPr="00C15C68">
        <w:rPr>
          <w:rFonts w:ascii="Times New Roman" w:hAnsi="Times New Roman" w:cs="Times New Roman"/>
        </w:rPr>
        <w:t>[</w:t>
      </w:r>
      <w:r w:rsidRPr="00C15C68">
        <w:rPr>
          <w:rFonts w:ascii="Times New Roman" w:hAnsi="Times New Roman" w:cs="Times New Roman"/>
        </w:rPr>
        <w:tab/>
      </w:r>
      <w:r w:rsidRPr="00C15C68">
        <w:rPr>
          <w:rFonts w:ascii="Times New Roman" w:hAnsi="Times New Roman" w:cs="Times New Roman"/>
        </w:rPr>
        <w:tab/>
        <w:t>]</w:t>
      </w:r>
      <w:r w:rsidR="00F83227" w:rsidRPr="00C15C68">
        <w:rPr>
          <w:rFonts w:ascii="Times New Roman" w:hAnsi="Times New Roman" w:cs="Times New Roman"/>
        </w:rPr>
        <w:t xml:space="preserve">, the expert witnesses to give evidence at the trial shall jointly confer in conclaves of experts of like specialisation. </w:t>
      </w:r>
    </w:p>
    <w:p w:rsidR="00F83227" w:rsidRPr="00C15C68" w:rsidRDefault="00F83227" w:rsidP="00F83227">
      <w:pPr>
        <w:pStyle w:val="Num1"/>
        <w:numPr>
          <w:ilvl w:val="0"/>
          <w:numId w:val="27"/>
        </w:numPr>
        <w:tabs>
          <w:tab w:val="clear" w:pos="567"/>
        </w:tabs>
        <w:rPr>
          <w:rFonts w:ascii="Times New Roman" w:hAnsi="Times New Roman" w:cs="Times New Roman"/>
        </w:rPr>
      </w:pPr>
      <w:r w:rsidRPr="00C15C68">
        <w:rPr>
          <w:rFonts w:ascii="Times New Roman" w:hAnsi="Times New Roman" w:cs="Times New Roman"/>
        </w:rPr>
        <w:t>In addition to the matters previously addressed by the experts in their respective reports filed in the proceeding, the experts must address the following matters in their conference:</w:t>
      </w:r>
    </w:p>
    <w:p w:rsidR="00F83227" w:rsidRPr="00C15C68" w:rsidRDefault="00F83227" w:rsidP="00F83227">
      <w:pPr>
        <w:pStyle w:val="Num3"/>
        <w:numPr>
          <w:ilvl w:val="1"/>
          <w:numId w:val="27"/>
        </w:numPr>
        <w:rPr>
          <w:rFonts w:ascii="Times New Roman" w:hAnsi="Times New Roman" w:cs="Times New Roman"/>
        </w:rPr>
      </w:pPr>
      <w:r w:rsidRPr="00C15C68">
        <w:rPr>
          <w:rFonts w:ascii="Times New Roman" w:hAnsi="Times New Roman" w:cs="Times New Roman"/>
        </w:rPr>
        <w:t>Expert group A: [Insert any additional questions agree</w:t>
      </w:r>
      <w:r w:rsidR="009E55A8" w:rsidRPr="00C15C68">
        <w:rPr>
          <w:rFonts w:ascii="Times New Roman" w:hAnsi="Times New Roman" w:cs="Times New Roman"/>
        </w:rPr>
        <w:t>d</w:t>
      </w:r>
      <w:r w:rsidRPr="00C15C68">
        <w:rPr>
          <w:rFonts w:ascii="Times New Roman" w:hAnsi="Times New Roman" w:cs="Times New Roman"/>
        </w:rPr>
        <w:t xml:space="preserve"> between the parties</w:t>
      </w:r>
      <w:r w:rsidR="009E55A8" w:rsidRPr="00C15C68">
        <w:rPr>
          <w:rFonts w:ascii="Times New Roman" w:hAnsi="Times New Roman" w:cs="Times New Roman"/>
        </w:rPr>
        <w:t>,</w:t>
      </w:r>
      <w:r w:rsidRPr="00C15C68">
        <w:rPr>
          <w:rFonts w:ascii="Times New Roman" w:hAnsi="Times New Roman" w:cs="Times New Roman"/>
        </w:rPr>
        <w:t xml:space="preserve"> as appropriate].</w:t>
      </w:r>
    </w:p>
    <w:p w:rsidR="00F83227" w:rsidRPr="00C15C68" w:rsidRDefault="00F83227" w:rsidP="00F83227">
      <w:pPr>
        <w:pStyle w:val="Num3"/>
        <w:numPr>
          <w:ilvl w:val="1"/>
          <w:numId w:val="27"/>
        </w:numPr>
        <w:rPr>
          <w:rFonts w:ascii="Times New Roman" w:hAnsi="Times New Roman" w:cs="Times New Roman"/>
        </w:rPr>
      </w:pPr>
      <w:r w:rsidRPr="00C15C68">
        <w:rPr>
          <w:rFonts w:ascii="Times New Roman" w:hAnsi="Times New Roman" w:cs="Times New Roman"/>
        </w:rPr>
        <w:t>Expert group B: [Insert any additional questions agree</w:t>
      </w:r>
      <w:r w:rsidR="009E55A8" w:rsidRPr="00C15C68">
        <w:rPr>
          <w:rFonts w:ascii="Times New Roman" w:hAnsi="Times New Roman" w:cs="Times New Roman"/>
        </w:rPr>
        <w:t>d</w:t>
      </w:r>
      <w:r w:rsidRPr="00C15C68">
        <w:rPr>
          <w:rFonts w:ascii="Times New Roman" w:hAnsi="Times New Roman" w:cs="Times New Roman"/>
        </w:rPr>
        <w:t xml:space="preserve"> between the parties</w:t>
      </w:r>
      <w:r w:rsidR="009E55A8" w:rsidRPr="00C15C68">
        <w:rPr>
          <w:rFonts w:ascii="Times New Roman" w:hAnsi="Times New Roman" w:cs="Times New Roman"/>
        </w:rPr>
        <w:t>,</w:t>
      </w:r>
      <w:r w:rsidRPr="00C15C68">
        <w:rPr>
          <w:rFonts w:ascii="Times New Roman" w:hAnsi="Times New Roman" w:cs="Times New Roman"/>
        </w:rPr>
        <w:t xml:space="preserve"> as appropriate].</w:t>
      </w:r>
    </w:p>
    <w:p w:rsidR="00F83227" w:rsidRPr="00C15C68" w:rsidRDefault="009E55A8" w:rsidP="00F83227">
      <w:pPr>
        <w:pStyle w:val="Num1"/>
        <w:numPr>
          <w:ilvl w:val="0"/>
          <w:numId w:val="27"/>
        </w:numPr>
        <w:tabs>
          <w:tab w:val="clear" w:pos="567"/>
        </w:tabs>
        <w:rPr>
          <w:rFonts w:ascii="Times New Roman" w:hAnsi="Times New Roman" w:cs="Times New Roman"/>
        </w:rPr>
      </w:pPr>
      <w:r w:rsidRPr="00C15C68">
        <w:rPr>
          <w:rFonts w:ascii="Times New Roman" w:hAnsi="Times New Roman" w:cs="Times New Roman"/>
        </w:rPr>
        <w:t>The experts (</w:t>
      </w:r>
      <w:r w:rsidR="00F83227" w:rsidRPr="00C15C68">
        <w:rPr>
          <w:rFonts w:ascii="Times New Roman" w:hAnsi="Times New Roman" w:cs="Times New Roman"/>
        </w:rPr>
        <w:t xml:space="preserve">not the parties </w:t>
      </w:r>
      <w:r w:rsidRPr="00C15C68">
        <w:rPr>
          <w:rFonts w:ascii="Times New Roman" w:hAnsi="Times New Roman" w:cs="Times New Roman"/>
        </w:rPr>
        <w:t>or their legal representatives)</w:t>
      </w:r>
      <w:r w:rsidR="00F83227" w:rsidRPr="00C15C68">
        <w:rPr>
          <w:rFonts w:ascii="Times New Roman" w:hAnsi="Times New Roman" w:cs="Times New Roman"/>
        </w:rPr>
        <w:t xml:space="preserve"> are to determine the venue and procedure to be adopted at the conference. In the event that agreement cannot be reached about any matter relevant to the conference or joint report to the court, further dir</w:t>
      </w:r>
      <w:r w:rsidRPr="00C15C68">
        <w:rPr>
          <w:rFonts w:ascii="Times New Roman" w:hAnsi="Times New Roman" w:cs="Times New Roman"/>
        </w:rPr>
        <w:t>ections may be sought from the C</w:t>
      </w:r>
      <w:r w:rsidR="00F83227" w:rsidRPr="00C15C68">
        <w:rPr>
          <w:rFonts w:ascii="Times New Roman" w:hAnsi="Times New Roman" w:cs="Times New Roman"/>
        </w:rPr>
        <w:t xml:space="preserve">ourt. </w:t>
      </w:r>
    </w:p>
    <w:p w:rsidR="00F83227" w:rsidRPr="00C15C68" w:rsidRDefault="00F83227" w:rsidP="00F83227">
      <w:pPr>
        <w:pStyle w:val="Num1"/>
        <w:numPr>
          <w:ilvl w:val="0"/>
          <w:numId w:val="27"/>
        </w:numPr>
        <w:tabs>
          <w:tab w:val="clear" w:pos="567"/>
        </w:tabs>
        <w:rPr>
          <w:rFonts w:ascii="Times New Roman" w:hAnsi="Times New Roman" w:cs="Times New Roman"/>
        </w:rPr>
      </w:pPr>
      <w:r w:rsidRPr="00C15C68">
        <w:rPr>
          <w:rFonts w:ascii="Times New Roman" w:hAnsi="Times New Roman" w:cs="Times New Roman"/>
        </w:rPr>
        <w:t>The parties and the</w:t>
      </w:r>
      <w:r w:rsidR="00BF7CB2" w:rsidRPr="00C15C68">
        <w:rPr>
          <w:rFonts w:ascii="Times New Roman" w:hAnsi="Times New Roman" w:cs="Times New Roman"/>
        </w:rPr>
        <w:t>ir</w:t>
      </w:r>
      <w:r w:rsidRPr="00C15C68">
        <w:rPr>
          <w:rFonts w:ascii="Times New Roman" w:hAnsi="Times New Roman" w:cs="Times New Roman"/>
        </w:rPr>
        <w:t xml:space="preserve"> legal representatives must not seek to restrict the freedom of the experts at the conference in identifying the matters on which they agree.</w:t>
      </w:r>
    </w:p>
    <w:p w:rsidR="00F83227" w:rsidRPr="00C15C68" w:rsidRDefault="00F83227" w:rsidP="00F83227">
      <w:pPr>
        <w:pStyle w:val="Num1"/>
        <w:numPr>
          <w:ilvl w:val="0"/>
          <w:numId w:val="27"/>
        </w:numPr>
        <w:tabs>
          <w:tab w:val="clear" w:pos="567"/>
        </w:tabs>
        <w:rPr>
          <w:rFonts w:ascii="Times New Roman" w:hAnsi="Times New Roman" w:cs="Times New Roman"/>
        </w:rPr>
      </w:pPr>
      <w:r w:rsidRPr="00C15C68">
        <w:rPr>
          <w:rFonts w:ascii="Times New Roman" w:hAnsi="Times New Roman" w:cs="Times New Roman"/>
        </w:rPr>
        <w:t>Following the conference, the experts shall prepare a succinct joint written report for the Court, recording:</w:t>
      </w:r>
    </w:p>
    <w:p w:rsidR="00F83227" w:rsidRPr="00C15C68" w:rsidRDefault="00F83227" w:rsidP="00F83227">
      <w:pPr>
        <w:pStyle w:val="Num2"/>
        <w:numPr>
          <w:ilvl w:val="1"/>
          <w:numId w:val="27"/>
        </w:numPr>
        <w:rPr>
          <w:rFonts w:ascii="Times New Roman" w:hAnsi="Times New Roman" w:cs="Times New Roman"/>
        </w:rPr>
      </w:pPr>
      <w:r w:rsidRPr="00C15C68">
        <w:rPr>
          <w:rFonts w:ascii="Times New Roman" w:hAnsi="Times New Roman" w:cs="Times New Roman"/>
        </w:rPr>
        <w:t>The fact that they have met and discussed the matters on which they are directed to confer;</w:t>
      </w:r>
    </w:p>
    <w:p w:rsidR="00F83227" w:rsidRPr="00C15C68" w:rsidRDefault="00F83227" w:rsidP="00F83227">
      <w:pPr>
        <w:pStyle w:val="Num2"/>
        <w:numPr>
          <w:ilvl w:val="1"/>
          <w:numId w:val="27"/>
        </w:numPr>
        <w:rPr>
          <w:rFonts w:ascii="Times New Roman" w:hAnsi="Times New Roman" w:cs="Times New Roman"/>
        </w:rPr>
      </w:pPr>
      <w:r w:rsidRPr="00C15C68">
        <w:rPr>
          <w:rFonts w:ascii="Times New Roman" w:hAnsi="Times New Roman" w:cs="Times New Roman"/>
        </w:rPr>
        <w:lastRenderedPageBreak/>
        <w:t>The matters on which they agree;</w:t>
      </w:r>
    </w:p>
    <w:p w:rsidR="00F83227" w:rsidRPr="00C15C68" w:rsidRDefault="00F83227" w:rsidP="00F83227">
      <w:pPr>
        <w:pStyle w:val="Num2"/>
        <w:numPr>
          <w:ilvl w:val="1"/>
          <w:numId w:val="27"/>
        </w:numPr>
        <w:rPr>
          <w:rFonts w:ascii="Times New Roman" w:hAnsi="Times New Roman" w:cs="Times New Roman"/>
        </w:rPr>
      </w:pPr>
      <w:r w:rsidRPr="00C15C68">
        <w:rPr>
          <w:rFonts w:ascii="Times New Roman" w:hAnsi="Times New Roman" w:cs="Times New Roman"/>
        </w:rPr>
        <w:t>The matters on which they disagree; and</w:t>
      </w:r>
    </w:p>
    <w:p w:rsidR="00F83227" w:rsidRPr="00C15C68" w:rsidRDefault="00F83227" w:rsidP="00F83227">
      <w:pPr>
        <w:pStyle w:val="Num2"/>
        <w:numPr>
          <w:ilvl w:val="1"/>
          <w:numId w:val="27"/>
        </w:numPr>
        <w:rPr>
          <w:rFonts w:ascii="Times New Roman" w:hAnsi="Times New Roman" w:cs="Times New Roman"/>
        </w:rPr>
      </w:pPr>
      <w:r w:rsidRPr="00C15C68">
        <w:rPr>
          <w:rFonts w:ascii="Times New Roman" w:hAnsi="Times New Roman" w:cs="Times New Roman"/>
        </w:rPr>
        <w:t>A brief summary of the reasons for disagreement.</w:t>
      </w:r>
    </w:p>
    <w:p w:rsidR="00F83227" w:rsidRPr="00C15C68" w:rsidRDefault="00F83227" w:rsidP="00F83227">
      <w:pPr>
        <w:pStyle w:val="Num1"/>
        <w:numPr>
          <w:ilvl w:val="0"/>
          <w:numId w:val="27"/>
        </w:numPr>
        <w:tabs>
          <w:tab w:val="clear" w:pos="567"/>
        </w:tabs>
        <w:rPr>
          <w:rFonts w:ascii="Times New Roman" w:hAnsi="Times New Roman" w:cs="Times New Roman"/>
        </w:rPr>
      </w:pPr>
      <w:r w:rsidRPr="00C15C68">
        <w:rPr>
          <w:rFonts w:ascii="Times New Roman" w:hAnsi="Times New Roman" w:cs="Times New Roman"/>
        </w:rPr>
        <w:t>Each expert attending a conference is to be provided with a copy of this order and the reports of the experts with whom they will confer.</w:t>
      </w:r>
    </w:p>
    <w:p w:rsidR="009E55A8" w:rsidRPr="00C15C68" w:rsidRDefault="009E55A8" w:rsidP="00F83227">
      <w:pPr>
        <w:pStyle w:val="Num1"/>
        <w:numPr>
          <w:ilvl w:val="0"/>
          <w:numId w:val="27"/>
        </w:numPr>
        <w:tabs>
          <w:tab w:val="clear" w:pos="567"/>
        </w:tabs>
        <w:rPr>
          <w:rFonts w:ascii="Times New Roman" w:hAnsi="Times New Roman" w:cs="Times New Roman"/>
        </w:rPr>
      </w:pPr>
      <w:r w:rsidRPr="00C15C68">
        <w:rPr>
          <w:rFonts w:ascii="Times New Roman" w:hAnsi="Times New Roman" w:cs="Times New Roman"/>
        </w:rPr>
        <w:t>Each expert must affix their</w:t>
      </w:r>
      <w:r w:rsidR="00F83227" w:rsidRPr="00C15C68">
        <w:rPr>
          <w:rFonts w:ascii="Times New Roman" w:hAnsi="Times New Roman" w:cs="Times New Roman"/>
        </w:rPr>
        <w:t xml:space="preserve"> respective signatures to the report, and the report must be provided to the Court and the p</w:t>
      </w:r>
      <w:r w:rsidRPr="00C15C68">
        <w:rPr>
          <w:rFonts w:ascii="Times New Roman" w:hAnsi="Times New Roman" w:cs="Times New Roman"/>
        </w:rPr>
        <w:t xml:space="preserve">arties on or before </w:t>
      </w:r>
    </w:p>
    <w:p w:rsidR="00F83227" w:rsidRPr="00C15C68" w:rsidRDefault="009E55A8" w:rsidP="009E55A8">
      <w:pPr>
        <w:pStyle w:val="Num1"/>
        <w:numPr>
          <w:ilvl w:val="0"/>
          <w:numId w:val="0"/>
        </w:numPr>
        <w:tabs>
          <w:tab w:val="clear" w:pos="567"/>
        </w:tabs>
        <w:ind w:left="702"/>
        <w:rPr>
          <w:rFonts w:ascii="Times New Roman" w:hAnsi="Times New Roman" w:cs="Times New Roman"/>
        </w:rPr>
      </w:pPr>
      <w:r w:rsidRPr="00C15C68">
        <w:rPr>
          <w:rFonts w:ascii="Times New Roman" w:hAnsi="Times New Roman" w:cs="Times New Roman"/>
        </w:rPr>
        <w:t>[</w:t>
      </w:r>
      <w:r w:rsidRPr="00C15C68">
        <w:rPr>
          <w:rFonts w:ascii="Times New Roman" w:hAnsi="Times New Roman" w:cs="Times New Roman"/>
        </w:rPr>
        <w:tab/>
      </w:r>
      <w:r w:rsidRPr="00C15C68">
        <w:rPr>
          <w:rFonts w:ascii="Times New Roman" w:hAnsi="Times New Roman" w:cs="Times New Roman"/>
        </w:rPr>
        <w:tab/>
      </w:r>
      <w:r w:rsidR="00F83227" w:rsidRPr="00C15C68">
        <w:rPr>
          <w:rFonts w:ascii="Times New Roman" w:hAnsi="Times New Roman" w:cs="Times New Roman"/>
        </w:rPr>
        <w:t xml:space="preserve">].  </w:t>
      </w:r>
    </w:p>
    <w:p w:rsidR="00F83227" w:rsidRPr="00C15C68" w:rsidRDefault="00F83227" w:rsidP="00F83227">
      <w:pPr>
        <w:pStyle w:val="Num1"/>
        <w:numPr>
          <w:ilvl w:val="0"/>
          <w:numId w:val="27"/>
        </w:numPr>
        <w:tabs>
          <w:tab w:val="clear" w:pos="567"/>
        </w:tabs>
        <w:rPr>
          <w:rFonts w:ascii="Times New Roman" w:hAnsi="Times New Roman" w:cs="Times New Roman"/>
        </w:rPr>
      </w:pPr>
      <w:r w:rsidRPr="00C15C68">
        <w:rPr>
          <w:rFonts w:ascii="Times New Roman" w:hAnsi="Times New Roman" w:cs="Times New Roman"/>
        </w:rPr>
        <w:t>The experts attending each conference will give evidence at the trial concurrently.</w:t>
      </w:r>
    </w:p>
    <w:p w:rsidR="00F83227" w:rsidRPr="00C15C68" w:rsidRDefault="00F83227" w:rsidP="00F83227">
      <w:pPr>
        <w:pStyle w:val="Num1"/>
        <w:numPr>
          <w:ilvl w:val="0"/>
          <w:numId w:val="27"/>
        </w:numPr>
        <w:tabs>
          <w:tab w:val="clear" w:pos="567"/>
        </w:tabs>
        <w:rPr>
          <w:rFonts w:ascii="Times New Roman" w:hAnsi="Times New Roman" w:cs="Times New Roman"/>
        </w:rPr>
      </w:pPr>
      <w:r w:rsidRPr="00C15C68">
        <w:rPr>
          <w:rFonts w:ascii="Times New Roman" w:hAnsi="Times New Roman" w:cs="Times New Roman"/>
        </w:rPr>
        <w:t>Subject to any further order, the costs of the conferences, including any administrative expenses incurred, shall be, in the first instance, borne equally by the parties.</w:t>
      </w:r>
    </w:p>
    <w:p w:rsidR="00F83227" w:rsidRPr="00C15C68" w:rsidRDefault="00F83227" w:rsidP="00F83227">
      <w:pPr>
        <w:spacing w:line="360" w:lineRule="auto"/>
        <w:ind w:left="-3" w:firstLine="705"/>
        <w:contextualSpacing/>
        <w:jc w:val="both"/>
        <w:rPr>
          <w:b/>
          <w:lang w:val="en-US"/>
        </w:rPr>
      </w:pPr>
    </w:p>
    <w:p w:rsidR="00F83227" w:rsidRPr="00C15C68" w:rsidRDefault="00F83227" w:rsidP="00F83227">
      <w:pPr>
        <w:keepNext/>
        <w:spacing w:line="360" w:lineRule="auto"/>
        <w:ind w:firstLine="706"/>
        <w:contextualSpacing/>
        <w:jc w:val="both"/>
        <w:rPr>
          <w:b/>
          <w:lang w:val="en-US"/>
        </w:rPr>
      </w:pPr>
      <w:r w:rsidRPr="00C15C68">
        <w:rPr>
          <w:b/>
          <w:lang w:val="en-US"/>
        </w:rPr>
        <w:t>Trial date</w:t>
      </w:r>
    </w:p>
    <w:p w:rsidR="00F83227" w:rsidRPr="00C15C68" w:rsidRDefault="00F83227" w:rsidP="00F83227">
      <w:pPr>
        <w:numPr>
          <w:ilvl w:val="0"/>
          <w:numId w:val="27"/>
        </w:numPr>
        <w:spacing w:line="360" w:lineRule="auto"/>
        <w:ind w:left="706" w:hanging="706"/>
        <w:contextualSpacing/>
        <w:jc w:val="both"/>
        <w:rPr>
          <w:lang w:val="en-US"/>
        </w:rPr>
      </w:pPr>
      <w:r w:rsidRPr="00C15C68">
        <w:rPr>
          <w:color w:val="000000"/>
        </w:rPr>
        <w:t>The proceeding is fixed for trial [by jury] on</w:t>
      </w:r>
      <w:r w:rsidR="009E55A8" w:rsidRPr="00C15C68">
        <w:rPr>
          <w:color w:val="000000"/>
        </w:rPr>
        <w:t xml:space="preserve"> [</w:t>
      </w:r>
      <w:r w:rsidR="009E55A8" w:rsidRPr="00C15C68">
        <w:rPr>
          <w:color w:val="000000"/>
        </w:rPr>
        <w:tab/>
      </w:r>
      <w:r w:rsidR="009E55A8" w:rsidRPr="00C15C68">
        <w:rPr>
          <w:color w:val="000000"/>
        </w:rPr>
        <w:tab/>
        <w:t xml:space="preserve">] </w:t>
      </w:r>
      <w:r w:rsidRPr="00C15C68">
        <w:rPr>
          <w:color w:val="000000"/>
        </w:rPr>
        <w:t>based on the parties’ estimate of</w:t>
      </w:r>
      <w:r w:rsidR="006A12D8" w:rsidRPr="00C15C68">
        <w:rPr>
          <w:color w:val="000000"/>
        </w:rPr>
        <w:t xml:space="preserve"> [</w:t>
      </w:r>
      <w:r w:rsidR="006A12D8" w:rsidRPr="00C15C68">
        <w:rPr>
          <w:color w:val="000000"/>
        </w:rPr>
        <w:tab/>
      </w:r>
      <w:r w:rsidR="006A12D8" w:rsidRPr="00C15C68">
        <w:rPr>
          <w:color w:val="000000"/>
        </w:rPr>
        <w:tab/>
        <w:t xml:space="preserve">] </w:t>
      </w:r>
      <w:r w:rsidRPr="00C15C68">
        <w:rPr>
          <w:color w:val="000000"/>
        </w:rPr>
        <w:t>sitting days</w:t>
      </w:r>
      <w:r w:rsidRPr="00C15C68">
        <w:rPr>
          <w:lang w:val="en-US"/>
        </w:rPr>
        <w:t xml:space="preserve">. </w:t>
      </w:r>
    </w:p>
    <w:p w:rsidR="00F83227" w:rsidRPr="00C15C68" w:rsidRDefault="009E55A8" w:rsidP="00F83227">
      <w:pPr>
        <w:numPr>
          <w:ilvl w:val="0"/>
          <w:numId w:val="27"/>
        </w:numPr>
        <w:spacing w:line="360" w:lineRule="auto"/>
        <w:ind w:left="706" w:hanging="706"/>
        <w:contextualSpacing/>
        <w:jc w:val="both"/>
        <w:rPr>
          <w:lang w:val="en-US"/>
        </w:rPr>
      </w:pPr>
      <w:r w:rsidRPr="00C15C68">
        <w:rPr>
          <w:color w:val="000000"/>
        </w:rPr>
        <w:t>The P</w:t>
      </w:r>
      <w:r w:rsidR="00F83227" w:rsidRPr="00C15C68">
        <w:rPr>
          <w:color w:val="000000"/>
        </w:rPr>
        <w:t>laintiff shall pay the setting down for trial fee no later than 30 days prior to the trial date</w:t>
      </w:r>
      <w:r w:rsidR="00F83227" w:rsidRPr="00C15C68">
        <w:rPr>
          <w:lang w:val="en-US"/>
        </w:rPr>
        <w:t>.</w:t>
      </w:r>
    </w:p>
    <w:p w:rsidR="00F83227" w:rsidRPr="00C15C68" w:rsidRDefault="00F83227" w:rsidP="00F83227">
      <w:pPr>
        <w:numPr>
          <w:ilvl w:val="0"/>
          <w:numId w:val="27"/>
        </w:numPr>
        <w:spacing w:line="360" w:lineRule="auto"/>
        <w:ind w:left="706" w:hanging="706"/>
        <w:contextualSpacing/>
        <w:jc w:val="both"/>
        <w:rPr>
          <w:lang w:val="en-US"/>
        </w:rPr>
      </w:pPr>
      <w:r w:rsidRPr="00C15C68">
        <w:rPr>
          <w:color w:val="000000"/>
        </w:rPr>
        <w:t>[</w:t>
      </w:r>
      <w:r w:rsidR="009E55A8" w:rsidRPr="00C15C68">
        <w:rPr>
          <w:color w:val="000000"/>
        </w:rPr>
        <w:t>The D</w:t>
      </w:r>
      <w:r w:rsidRPr="00C15C68">
        <w:rPr>
          <w:color w:val="000000"/>
        </w:rPr>
        <w:t>efendant shall pay the first day jury fee no later than 30 days prior to the trial date</w:t>
      </w:r>
      <w:r w:rsidRPr="00C15C68">
        <w:rPr>
          <w:lang w:val="en-US"/>
        </w:rPr>
        <w:t>.]</w:t>
      </w:r>
    </w:p>
    <w:p w:rsidR="00F83227" w:rsidRPr="00C15C68" w:rsidRDefault="00F83227" w:rsidP="00F83227">
      <w:pPr>
        <w:spacing w:line="360" w:lineRule="auto"/>
        <w:ind w:left="-3" w:firstLine="705"/>
        <w:contextualSpacing/>
        <w:jc w:val="both"/>
        <w:rPr>
          <w:b/>
          <w:lang w:val="en-US"/>
        </w:rPr>
      </w:pPr>
    </w:p>
    <w:p w:rsidR="00F83227" w:rsidRPr="00C15C68" w:rsidRDefault="00F83227" w:rsidP="00F83227">
      <w:pPr>
        <w:spacing w:line="360" w:lineRule="auto"/>
        <w:ind w:left="-3" w:firstLine="705"/>
        <w:contextualSpacing/>
        <w:jc w:val="both"/>
        <w:rPr>
          <w:b/>
          <w:lang w:val="en-US"/>
        </w:rPr>
      </w:pPr>
      <w:r w:rsidRPr="00C15C68">
        <w:rPr>
          <w:b/>
          <w:lang w:val="en-US"/>
        </w:rPr>
        <w:t>Trial Directions</w:t>
      </w:r>
    </w:p>
    <w:p w:rsidR="00F83227" w:rsidRPr="00C15C68" w:rsidRDefault="009E55A8" w:rsidP="00F83227">
      <w:pPr>
        <w:numPr>
          <w:ilvl w:val="0"/>
          <w:numId w:val="27"/>
        </w:numPr>
        <w:spacing w:line="360" w:lineRule="auto"/>
        <w:ind w:left="706" w:hanging="706"/>
        <w:contextualSpacing/>
        <w:jc w:val="both"/>
        <w:rPr>
          <w:lang w:val="en-US"/>
        </w:rPr>
      </w:pPr>
      <w:r w:rsidRPr="00C15C68">
        <w:t>By [</w:t>
      </w:r>
      <w:r w:rsidRPr="00C15C68">
        <w:tab/>
      </w:r>
      <w:r w:rsidRPr="00C15C68">
        <w:tab/>
        <w:t>]</w:t>
      </w:r>
      <w:r w:rsidR="00F83227" w:rsidRPr="00C15C68">
        <w:t>, the parties shall each file and serve a list of the witnesses they intend to call during the trial of this proceeding.</w:t>
      </w:r>
    </w:p>
    <w:p w:rsidR="00F83227" w:rsidRPr="00C15C68" w:rsidRDefault="009E55A8" w:rsidP="00F83227">
      <w:pPr>
        <w:numPr>
          <w:ilvl w:val="0"/>
          <w:numId w:val="27"/>
        </w:numPr>
        <w:spacing w:line="360" w:lineRule="auto"/>
        <w:ind w:left="706" w:hanging="706"/>
        <w:contextualSpacing/>
        <w:jc w:val="both"/>
      </w:pPr>
      <w:r w:rsidRPr="00C15C68">
        <w:t>By [</w:t>
      </w:r>
      <w:r w:rsidRPr="00C15C68">
        <w:tab/>
      </w:r>
      <w:r w:rsidRPr="00C15C68">
        <w:tab/>
        <w:t>]</w:t>
      </w:r>
      <w:r w:rsidR="00F83227" w:rsidRPr="00C15C68">
        <w:t>, the legal representatives for the parties shall have met, or otherwise communicated about, and agreed on the contents of a Court Book for the trial of this proceeding.</w:t>
      </w:r>
    </w:p>
    <w:p w:rsidR="00F83227" w:rsidRPr="00C15C68" w:rsidRDefault="00F83227" w:rsidP="00F83227">
      <w:pPr>
        <w:numPr>
          <w:ilvl w:val="0"/>
          <w:numId w:val="27"/>
        </w:numPr>
        <w:spacing w:line="360" w:lineRule="auto"/>
        <w:ind w:left="706" w:hanging="706"/>
        <w:contextualSpacing/>
        <w:jc w:val="both"/>
      </w:pPr>
      <w:r w:rsidRPr="00C15C68">
        <w:t>The Plain</w:t>
      </w:r>
      <w:r w:rsidR="00BF7CB2" w:rsidRPr="00C15C68">
        <w:t>tiff shall prepare a paginated Court B</w:t>
      </w:r>
      <w:r w:rsidRPr="00C15C68">
        <w:t>ook containing the following documents:</w:t>
      </w:r>
    </w:p>
    <w:p w:rsidR="00F83227" w:rsidRPr="00C15C68" w:rsidRDefault="009E55A8" w:rsidP="00F83227">
      <w:pPr>
        <w:numPr>
          <w:ilvl w:val="1"/>
          <w:numId w:val="27"/>
        </w:numPr>
        <w:spacing w:line="360" w:lineRule="auto"/>
        <w:contextualSpacing/>
        <w:jc w:val="both"/>
      </w:pPr>
      <w:r w:rsidRPr="00C15C68">
        <w:t>T</w:t>
      </w:r>
      <w:r w:rsidR="00F83227" w:rsidRPr="00C15C68">
        <w:t>he current (only) pleadings including particulars;</w:t>
      </w:r>
    </w:p>
    <w:p w:rsidR="00F83227" w:rsidRPr="00C15C68" w:rsidRDefault="00F83227" w:rsidP="00F83227">
      <w:pPr>
        <w:numPr>
          <w:ilvl w:val="1"/>
          <w:numId w:val="27"/>
        </w:numPr>
        <w:spacing w:line="360" w:lineRule="auto"/>
        <w:contextualSpacing/>
        <w:jc w:val="both"/>
      </w:pPr>
      <w:r w:rsidRPr="00C15C68">
        <w:lastRenderedPageBreak/>
        <w:t>Statements under O</w:t>
      </w:r>
      <w:r w:rsidR="009E55A8" w:rsidRPr="00C15C68">
        <w:t>rder</w:t>
      </w:r>
      <w:r w:rsidRPr="00C15C68">
        <w:t xml:space="preserve"> 33 or O</w:t>
      </w:r>
      <w:r w:rsidR="009E55A8" w:rsidRPr="00C15C68">
        <w:t>rder</w:t>
      </w:r>
      <w:r w:rsidRPr="00C15C68">
        <w:t xml:space="preserve"> 44 to be relied on at trial;</w:t>
      </w:r>
    </w:p>
    <w:p w:rsidR="00F83227" w:rsidRPr="00C15C68" w:rsidRDefault="009E55A8" w:rsidP="00F83227">
      <w:pPr>
        <w:numPr>
          <w:ilvl w:val="1"/>
          <w:numId w:val="27"/>
        </w:numPr>
        <w:spacing w:line="360" w:lineRule="auto"/>
        <w:contextualSpacing/>
        <w:jc w:val="both"/>
      </w:pPr>
      <w:r w:rsidRPr="00C15C68">
        <w:t>A</w:t>
      </w:r>
      <w:r w:rsidR="00F83227" w:rsidRPr="00C15C68">
        <w:t>ll documents, in date order, which any party expects to tender in opening, in evidence in chief, or through cross examination;</w:t>
      </w:r>
      <w:r w:rsidRPr="00C15C68">
        <w:t xml:space="preserve"> and</w:t>
      </w:r>
    </w:p>
    <w:p w:rsidR="00F83227" w:rsidRPr="00C15C68" w:rsidRDefault="009E55A8" w:rsidP="00F83227">
      <w:pPr>
        <w:numPr>
          <w:ilvl w:val="1"/>
          <w:numId w:val="27"/>
        </w:numPr>
        <w:spacing w:line="360" w:lineRule="auto"/>
        <w:contextualSpacing/>
        <w:jc w:val="both"/>
      </w:pPr>
      <w:r w:rsidRPr="00C15C68">
        <w:t>A</w:t>
      </w:r>
      <w:r w:rsidR="00F83227" w:rsidRPr="00C15C68">
        <w:t>n index of the contents in e-format (Excel).</w:t>
      </w:r>
    </w:p>
    <w:p w:rsidR="00F83227" w:rsidRPr="00C15C68" w:rsidRDefault="009E55A8" w:rsidP="00F83227">
      <w:pPr>
        <w:numPr>
          <w:ilvl w:val="0"/>
          <w:numId w:val="27"/>
        </w:numPr>
        <w:spacing w:line="360" w:lineRule="auto"/>
        <w:contextualSpacing/>
        <w:jc w:val="both"/>
        <w:rPr>
          <w:lang w:val="en-US"/>
        </w:rPr>
      </w:pPr>
      <w:r w:rsidRPr="00C15C68">
        <w:rPr>
          <w:lang w:val="en-US"/>
        </w:rPr>
        <w:t>By [</w:t>
      </w:r>
      <w:r w:rsidRPr="00C15C68">
        <w:rPr>
          <w:lang w:val="en-US"/>
        </w:rPr>
        <w:tab/>
      </w:r>
      <w:r w:rsidRPr="00C15C68">
        <w:rPr>
          <w:lang w:val="en-US"/>
        </w:rPr>
        <w:tab/>
        <w:t>]</w:t>
      </w:r>
      <w:r w:rsidR="00F83227" w:rsidRPr="00C15C68">
        <w:rPr>
          <w:lang w:val="en-US"/>
        </w:rPr>
        <w:t>, t</w:t>
      </w:r>
      <w:r w:rsidRPr="00C15C68">
        <w:rPr>
          <w:lang w:val="en-US"/>
        </w:rPr>
        <w:t>he P</w:t>
      </w:r>
      <w:r w:rsidR="00F83227" w:rsidRPr="00C15C68">
        <w:rPr>
          <w:lang w:val="en-US"/>
        </w:rPr>
        <w:t>laintiff shall deliver a copy of</w:t>
      </w:r>
      <w:r w:rsidRPr="00C15C68">
        <w:rPr>
          <w:lang w:val="en-US"/>
        </w:rPr>
        <w:t xml:space="preserve"> the agreed Court Book to each D</w:t>
      </w:r>
      <w:r w:rsidR="00F83227" w:rsidRPr="00C15C68">
        <w:rPr>
          <w:lang w:val="en-US"/>
        </w:rPr>
        <w:t xml:space="preserve">efendant and </w:t>
      </w:r>
      <w:r w:rsidRPr="00C15C68">
        <w:rPr>
          <w:lang w:val="en-US"/>
        </w:rPr>
        <w:t>each Third P</w:t>
      </w:r>
      <w:r w:rsidR="00F83227" w:rsidRPr="00C15C68">
        <w:rPr>
          <w:lang w:val="en-US"/>
        </w:rPr>
        <w:t>arty.</w:t>
      </w:r>
    </w:p>
    <w:p w:rsidR="00F83227" w:rsidRPr="00C15C68" w:rsidRDefault="009E55A8" w:rsidP="00F83227">
      <w:pPr>
        <w:numPr>
          <w:ilvl w:val="0"/>
          <w:numId w:val="27"/>
        </w:numPr>
        <w:spacing w:line="360" w:lineRule="auto"/>
        <w:contextualSpacing/>
        <w:jc w:val="both"/>
        <w:rPr>
          <w:lang w:val="en-US"/>
        </w:rPr>
      </w:pPr>
      <w:r w:rsidRPr="00C15C68">
        <w:rPr>
          <w:lang w:val="en-US"/>
        </w:rPr>
        <w:t>The P</w:t>
      </w:r>
      <w:r w:rsidR="00F83227" w:rsidRPr="00C15C68">
        <w:rPr>
          <w:lang w:val="en-US"/>
        </w:rPr>
        <w:t xml:space="preserve">laintiff shall have </w:t>
      </w:r>
      <w:r w:rsidRPr="00C15C68">
        <w:rPr>
          <w:lang w:val="en-US"/>
        </w:rPr>
        <w:t>available, prior to opening their case, two copies of the Court Book for the use of the C</w:t>
      </w:r>
      <w:r w:rsidR="00F83227" w:rsidRPr="00C15C68">
        <w:rPr>
          <w:lang w:val="en-US"/>
        </w:rPr>
        <w:t>ourt and the witness</w:t>
      </w:r>
      <w:r w:rsidR="00BF7CB2" w:rsidRPr="00C15C68">
        <w:rPr>
          <w:lang w:val="en-US"/>
        </w:rPr>
        <w:t>es</w:t>
      </w:r>
      <w:r w:rsidR="00F83227" w:rsidRPr="00C15C68">
        <w:rPr>
          <w:lang w:val="en-US"/>
        </w:rPr>
        <w:t>.</w:t>
      </w:r>
    </w:p>
    <w:p w:rsidR="00F83227" w:rsidRPr="00C15C68" w:rsidRDefault="00F83227" w:rsidP="00F83227">
      <w:pPr>
        <w:spacing w:line="360" w:lineRule="auto"/>
        <w:ind w:left="720"/>
        <w:contextualSpacing/>
        <w:jc w:val="both"/>
        <w:rPr>
          <w:b/>
          <w:lang w:val="en-US"/>
        </w:rPr>
      </w:pPr>
    </w:p>
    <w:p w:rsidR="00F83227" w:rsidRPr="00C15C68" w:rsidRDefault="00F83227" w:rsidP="00F83227">
      <w:pPr>
        <w:spacing w:line="360" w:lineRule="auto"/>
        <w:ind w:left="-3" w:firstLine="705"/>
        <w:contextualSpacing/>
        <w:jc w:val="both"/>
        <w:rPr>
          <w:b/>
          <w:lang w:val="en-US"/>
        </w:rPr>
      </w:pPr>
      <w:r w:rsidRPr="00C15C68">
        <w:rPr>
          <w:b/>
          <w:lang w:val="en-US"/>
        </w:rPr>
        <w:t>Other matters</w:t>
      </w:r>
    </w:p>
    <w:p w:rsidR="00F83227" w:rsidRPr="00C15C68" w:rsidRDefault="00F83227" w:rsidP="00F83227">
      <w:pPr>
        <w:numPr>
          <w:ilvl w:val="0"/>
          <w:numId w:val="27"/>
        </w:numPr>
        <w:spacing w:line="360" w:lineRule="auto"/>
        <w:contextualSpacing/>
        <w:jc w:val="both"/>
        <w:rPr>
          <w:lang w:val="en-US"/>
        </w:rPr>
      </w:pPr>
      <w:r w:rsidRPr="00C15C68">
        <w:t>The proceeding</w:t>
      </w:r>
      <w:r w:rsidR="009E55A8" w:rsidRPr="00C15C68">
        <w:t xml:space="preserve"> is adjourned to [</w:t>
      </w:r>
      <w:r w:rsidR="009E55A8" w:rsidRPr="00C15C68">
        <w:tab/>
      </w:r>
      <w:r w:rsidR="009E55A8" w:rsidRPr="00C15C68">
        <w:tab/>
        <w:t xml:space="preserve">] </w:t>
      </w:r>
      <w:r w:rsidRPr="00C15C68">
        <w:t>for directions.</w:t>
      </w:r>
      <w:r w:rsidR="00A41EF6" w:rsidRPr="00C15C68">
        <w:rPr>
          <w:rStyle w:val="FootnoteReference"/>
        </w:rPr>
        <w:footnoteReference w:id="4"/>
      </w:r>
    </w:p>
    <w:p w:rsidR="00F83227" w:rsidRPr="00C15C68" w:rsidRDefault="00F83227" w:rsidP="00F83227">
      <w:pPr>
        <w:numPr>
          <w:ilvl w:val="0"/>
          <w:numId w:val="27"/>
        </w:numPr>
        <w:spacing w:line="360" w:lineRule="auto"/>
        <w:contextualSpacing/>
        <w:jc w:val="both"/>
      </w:pPr>
      <w:r w:rsidRPr="00C15C68">
        <w:rPr>
          <w:color w:val="000000"/>
        </w:rPr>
        <w:t>In the event of default by either party in compliance with any time limit impose</w:t>
      </w:r>
      <w:r w:rsidR="009E55A8" w:rsidRPr="00C15C68">
        <w:rPr>
          <w:color w:val="000000"/>
        </w:rPr>
        <w:t>d by these orders</w:t>
      </w:r>
      <w:r w:rsidRPr="00C15C68">
        <w:rPr>
          <w:color w:val="000000"/>
        </w:rPr>
        <w:t>:</w:t>
      </w:r>
    </w:p>
    <w:p w:rsidR="00F83227" w:rsidRPr="00C15C68" w:rsidRDefault="00F83227" w:rsidP="00F83227">
      <w:pPr>
        <w:numPr>
          <w:ilvl w:val="0"/>
          <w:numId w:val="31"/>
        </w:numPr>
        <w:spacing w:line="360" w:lineRule="auto"/>
        <w:contextualSpacing/>
        <w:jc w:val="both"/>
      </w:pPr>
      <w:r w:rsidRPr="00C15C68">
        <w:rPr>
          <w:color w:val="000000"/>
        </w:rPr>
        <w:t>The parties shall forthwith following that default use their best endeavours to agree a substitute appropriate time limit that avoids any delay in preparation of this proceeding for trial; and</w:t>
      </w:r>
    </w:p>
    <w:p w:rsidR="00F83227" w:rsidRPr="00C15C68" w:rsidRDefault="00F83227" w:rsidP="00F83227">
      <w:pPr>
        <w:numPr>
          <w:ilvl w:val="0"/>
          <w:numId w:val="31"/>
        </w:numPr>
        <w:spacing w:line="360" w:lineRule="auto"/>
        <w:contextualSpacing/>
        <w:jc w:val="both"/>
      </w:pPr>
      <w:r w:rsidRPr="00C15C68">
        <w:t>[Where a trial date is set] A</w:t>
      </w:r>
      <w:r w:rsidRPr="00C15C68">
        <w:rPr>
          <w:color w:val="000000"/>
        </w:rPr>
        <w:t>ny application to vacate the trial date must be made promptly to the Honourable Associate Justice Daly and, in any event, not later than 30 days before the date on which the proceeding is fixed for trial.</w:t>
      </w:r>
    </w:p>
    <w:p w:rsidR="00F83227" w:rsidRPr="00C15C68" w:rsidRDefault="00BF7CB2" w:rsidP="00F83227">
      <w:pPr>
        <w:numPr>
          <w:ilvl w:val="0"/>
          <w:numId w:val="27"/>
        </w:numPr>
        <w:spacing w:line="360" w:lineRule="auto"/>
        <w:contextualSpacing/>
        <w:jc w:val="both"/>
        <w:rPr>
          <w:lang w:val="en-US"/>
        </w:rPr>
      </w:pPr>
      <w:r w:rsidRPr="00C15C68">
        <w:rPr>
          <w:color w:val="000000"/>
        </w:rPr>
        <w:t>[</w:t>
      </w:r>
      <w:r w:rsidR="00F83227" w:rsidRPr="00C15C68">
        <w:rPr>
          <w:color w:val="000000"/>
        </w:rPr>
        <w:t>Costs are reserved</w:t>
      </w:r>
      <w:r w:rsidRPr="00C15C68">
        <w:rPr>
          <w:color w:val="000000"/>
        </w:rPr>
        <w:t>.]</w:t>
      </w:r>
      <w:r w:rsidR="00F83227" w:rsidRPr="00C15C68">
        <w:rPr>
          <w:color w:val="000000"/>
        </w:rPr>
        <w:t xml:space="preserve"> </w:t>
      </w:r>
      <w:r w:rsidRPr="00C15C68">
        <w:rPr>
          <w:color w:val="000000"/>
        </w:rPr>
        <w:t xml:space="preserve">/ </w:t>
      </w:r>
      <w:r w:rsidR="00F83227" w:rsidRPr="00C15C68">
        <w:rPr>
          <w:color w:val="000000"/>
        </w:rPr>
        <w:t>[The costs of the parties be costs in the proceeding].</w:t>
      </w:r>
    </w:p>
    <w:p w:rsidR="00F83227" w:rsidRPr="00C15C68" w:rsidRDefault="00F83227" w:rsidP="00F83227">
      <w:pPr>
        <w:numPr>
          <w:ilvl w:val="0"/>
          <w:numId w:val="27"/>
        </w:numPr>
        <w:spacing w:line="360" w:lineRule="auto"/>
        <w:contextualSpacing/>
        <w:jc w:val="both"/>
        <w:rPr>
          <w:lang w:val="en-US"/>
        </w:rPr>
      </w:pPr>
      <w:r w:rsidRPr="00C15C68">
        <w:rPr>
          <w:color w:val="000000"/>
        </w:rPr>
        <w:t>Liberty to apply is reserved.</w:t>
      </w:r>
    </w:p>
    <w:p w:rsidR="003E2DED" w:rsidRPr="00C15C68" w:rsidRDefault="003E2DED" w:rsidP="003E2DED">
      <w:pPr>
        <w:spacing w:line="360" w:lineRule="auto"/>
        <w:ind w:left="720" w:hanging="720"/>
        <w:jc w:val="center"/>
      </w:pPr>
    </w:p>
    <w:sectPr w:rsidR="003E2DED" w:rsidRPr="00C15C68">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F4" w:rsidRDefault="00670DF4">
      <w:r>
        <w:separator/>
      </w:r>
    </w:p>
  </w:endnote>
  <w:endnote w:type="continuationSeparator" w:id="0">
    <w:p w:rsidR="00670DF4" w:rsidRDefault="00670DF4">
      <w:r>
        <w:continuationSeparator/>
      </w:r>
    </w:p>
  </w:endnote>
  <w:endnote w:type="continuationNotice" w:id="1">
    <w:p w:rsidR="00670DF4" w:rsidRDefault="00670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2C" w:rsidRDefault="0047702C">
    <w:pPr>
      <w:pStyle w:val="Footer"/>
      <w:jc w:val="right"/>
    </w:pPr>
    <w:r>
      <w:fldChar w:fldCharType="begin"/>
    </w:r>
    <w:r>
      <w:instrText xml:space="preserve"> PAGE   \* MERGEFORMAT </w:instrText>
    </w:r>
    <w:r>
      <w:fldChar w:fldCharType="separate"/>
    </w:r>
    <w:r w:rsidR="00134D79">
      <w:rPr>
        <w:noProof/>
      </w:rPr>
      <w:t>2</w:t>
    </w:r>
    <w:r>
      <w:rPr>
        <w:noProof/>
      </w:rPr>
      <w:fldChar w:fldCharType="end"/>
    </w:r>
  </w:p>
  <w:p w:rsidR="0047702C" w:rsidRDefault="00477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F4" w:rsidRDefault="00670DF4">
      <w:r>
        <w:separator/>
      </w:r>
    </w:p>
  </w:footnote>
  <w:footnote w:type="continuationSeparator" w:id="0">
    <w:p w:rsidR="00670DF4" w:rsidRDefault="00670DF4">
      <w:r>
        <w:continuationSeparator/>
      </w:r>
    </w:p>
  </w:footnote>
  <w:footnote w:type="continuationNotice" w:id="1">
    <w:p w:rsidR="00670DF4" w:rsidRDefault="00670DF4"/>
  </w:footnote>
  <w:footnote w:id="2">
    <w:p w:rsidR="0047702C" w:rsidRDefault="0047702C">
      <w:pPr>
        <w:pStyle w:val="FootnoteText"/>
      </w:pPr>
      <w:r>
        <w:rPr>
          <w:rStyle w:val="FootnoteReference"/>
        </w:rPr>
        <w:footnoteRef/>
      </w:r>
      <w:r>
        <w:t xml:space="preserve"> It is no longer necessary to issue a summo</w:t>
      </w:r>
      <w:r w:rsidR="00F14188">
        <w:t>ns for admission to the List or</w:t>
      </w:r>
      <w:r>
        <w:t xml:space="preserve"> for a first directions hearing.</w:t>
      </w:r>
    </w:p>
  </w:footnote>
  <w:footnote w:id="3">
    <w:p w:rsidR="0047702C" w:rsidRDefault="0047702C">
      <w:pPr>
        <w:pStyle w:val="FootnoteText"/>
      </w:pPr>
      <w:r>
        <w:rPr>
          <w:rStyle w:val="FootnoteReference"/>
        </w:rPr>
        <w:footnoteRef/>
      </w:r>
      <w:r>
        <w:t xml:space="preserve"> A notation in ‘other matters’ in an order on the papers will be appropriate where the pleadings have not closed</w:t>
      </w:r>
      <w:r w:rsidR="00F14188">
        <w:t>,</w:t>
      </w:r>
      <w:r>
        <w:t xml:space="preserve"> or before discovery.</w:t>
      </w:r>
    </w:p>
  </w:footnote>
  <w:footnote w:id="4">
    <w:p w:rsidR="0047702C" w:rsidRDefault="0047702C">
      <w:pPr>
        <w:pStyle w:val="FootnoteText"/>
      </w:pPr>
      <w:r>
        <w:rPr>
          <w:rStyle w:val="FootnoteReference"/>
        </w:rPr>
        <w:footnoteRef/>
      </w:r>
      <w:r>
        <w:t xml:space="preserve"> A proceeding in the List must be adjourned to a further directions hearing until the final directions hearing confirming readiness for trial.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02C" w:rsidRDefault="0047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92039"/>
    <w:multiLevelType w:val="hybridMultilevel"/>
    <w:tmpl w:val="CE6C99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8">
    <w:nsid w:val="28BA1288"/>
    <w:multiLevelType w:val="hybridMultilevel"/>
    <w:tmpl w:val="61509EFC"/>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2A960717"/>
    <w:multiLevelType w:val="hybridMultilevel"/>
    <w:tmpl w:val="0AD0287E"/>
    <w:lvl w:ilvl="0" w:tplc="646012FE">
      <w:start w:val="1"/>
      <w:numFmt w:val="decimal"/>
      <w:lvlText w:val="%1."/>
      <w:lvlJc w:val="left"/>
      <w:pPr>
        <w:tabs>
          <w:tab w:val="num" w:pos="702"/>
        </w:tabs>
        <w:ind w:left="702"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1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nsid w:val="3DE241A6"/>
    <w:multiLevelType w:val="hybridMultilevel"/>
    <w:tmpl w:val="5F5E37D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45D259DC"/>
    <w:multiLevelType w:val="hybridMultilevel"/>
    <w:tmpl w:val="97B21B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8703211"/>
    <w:multiLevelType w:val="hybridMultilevel"/>
    <w:tmpl w:val="646606D6"/>
    <w:lvl w:ilvl="0" w:tplc="646012FE">
      <w:start w:val="1"/>
      <w:numFmt w:val="decimal"/>
      <w:lvlText w:val="%1."/>
      <w:lvlJc w:val="left"/>
      <w:pPr>
        <w:tabs>
          <w:tab w:val="num" w:pos="702"/>
        </w:tabs>
        <w:ind w:left="702"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18">
    <w:nsid w:val="4B3F0537"/>
    <w:multiLevelType w:val="hybridMultilevel"/>
    <w:tmpl w:val="97B21B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51087915"/>
    <w:multiLevelType w:val="hybridMultilevel"/>
    <w:tmpl w:val="BD447C6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4DB7BC3"/>
    <w:multiLevelType w:val="hybridMultilevel"/>
    <w:tmpl w:val="8A60F51E"/>
    <w:lvl w:ilvl="0" w:tplc="646012FE">
      <w:start w:val="1"/>
      <w:numFmt w:val="decimal"/>
      <w:lvlText w:val="%1."/>
      <w:lvlJc w:val="left"/>
      <w:pPr>
        <w:tabs>
          <w:tab w:val="num" w:pos="702"/>
        </w:tabs>
        <w:ind w:left="702" w:hanging="705"/>
      </w:pPr>
      <w:rPr>
        <w:rFonts w:hint="default"/>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24">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nsid w:val="6D6E6CEB"/>
    <w:multiLevelType w:val="multilevel"/>
    <w:tmpl w:val="A800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3A4F5D"/>
    <w:multiLevelType w:val="hybridMultilevel"/>
    <w:tmpl w:val="E452B13C"/>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29">
    <w:nsid w:val="70AF381F"/>
    <w:multiLevelType w:val="hybridMultilevel"/>
    <w:tmpl w:val="77CA11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D6F5119"/>
    <w:multiLevelType w:val="hybridMultilevel"/>
    <w:tmpl w:val="FFE6DE46"/>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0"/>
  </w:num>
  <w:num w:numId="3">
    <w:abstractNumId w:val="21"/>
  </w:num>
  <w:num w:numId="4">
    <w:abstractNumId w:val="31"/>
  </w:num>
  <w:num w:numId="5">
    <w:abstractNumId w:val="5"/>
  </w:num>
  <w:num w:numId="6">
    <w:abstractNumId w:val="24"/>
  </w:num>
  <w:num w:numId="7">
    <w:abstractNumId w:val="25"/>
  </w:num>
  <w:num w:numId="8">
    <w:abstractNumId w:val="15"/>
  </w:num>
  <w:num w:numId="9">
    <w:abstractNumId w:val="2"/>
  </w:num>
  <w:num w:numId="10">
    <w:abstractNumId w:val="14"/>
  </w:num>
  <w:num w:numId="11">
    <w:abstractNumId w:val="20"/>
  </w:num>
  <w:num w:numId="12">
    <w:abstractNumId w:val="22"/>
  </w:num>
  <w:num w:numId="13">
    <w:abstractNumId w:val="4"/>
  </w:num>
  <w:num w:numId="14">
    <w:abstractNumId w:val="3"/>
  </w:num>
  <w:num w:numId="15">
    <w:abstractNumId w:val="11"/>
  </w:num>
  <w:num w:numId="16">
    <w:abstractNumId w:val="0"/>
  </w:num>
  <w:num w:numId="17">
    <w:abstractNumId w:val="6"/>
  </w:num>
  <w:num w:numId="18">
    <w:abstractNumId w:val="12"/>
  </w:num>
  <w:num w:numId="19">
    <w:abstractNumId w:val="8"/>
  </w:num>
  <w:num w:numId="20">
    <w:abstractNumId w:val="13"/>
  </w:num>
  <w:num w:numId="21">
    <w:abstractNumId w:val="1"/>
  </w:num>
  <w:num w:numId="22">
    <w:abstractNumId w:val="29"/>
  </w:num>
  <w:num w:numId="23">
    <w:abstractNumId w:val="30"/>
  </w:num>
  <w:num w:numId="24">
    <w:abstractNumId w:val="19"/>
  </w:num>
  <w:num w:numId="25">
    <w:abstractNumId w:val="27"/>
  </w:num>
  <w:num w:numId="26">
    <w:abstractNumId w:val="28"/>
  </w:num>
  <w:num w:numId="27">
    <w:abstractNumId w:val="17"/>
  </w:num>
  <w:num w:numId="28">
    <w:abstractNumId w:val="9"/>
  </w:num>
  <w:num w:numId="29">
    <w:abstractNumId w:val="18"/>
  </w:num>
  <w:num w:numId="30">
    <w:abstractNumId w:val="23"/>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36"/>
    <w:rsid w:val="00000850"/>
    <w:rsid w:val="00007DBA"/>
    <w:rsid w:val="000118DD"/>
    <w:rsid w:val="0001288E"/>
    <w:rsid w:val="000128D0"/>
    <w:rsid w:val="00013D3B"/>
    <w:rsid w:val="00014B10"/>
    <w:rsid w:val="00022A4C"/>
    <w:rsid w:val="00025863"/>
    <w:rsid w:val="00025D9D"/>
    <w:rsid w:val="000266B4"/>
    <w:rsid w:val="0003306E"/>
    <w:rsid w:val="00034D85"/>
    <w:rsid w:val="00035057"/>
    <w:rsid w:val="00036894"/>
    <w:rsid w:val="00037D26"/>
    <w:rsid w:val="00043448"/>
    <w:rsid w:val="00055F43"/>
    <w:rsid w:val="000566C3"/>
    <w:rsid w:val="00067F68"/>
    <w:rsid w:val="00070CA2"/>
    <w:rsid w:val="00070D66"/>
    <w:rsid w:val="00071A96"/>
    <w:rsid w:val="00073139"/>
    <w:rsid w:val="00073769"/>
    <w:rsid w:val="00077863"/>
    <w:rsid w:val="00081A41"/>
    <w:rsid w:val="00095BA5"/>
    <w:rsid w:val="000A1DE7"/>
    <w:rsid w:val="000A27D1"/>
    <w:rsid w:val="000A3A37"/>
    <w:rsid w:val="000A4F62"/>
    <w:rsid w:val="000A553C"/>
    <w:rsid w:val="000A6B76"/>
    <w:rsid w:val="000B2E54"/>
    <w:rsid w:val="000B5F50"/>
    <w:rsid w:val="000C0998"/>
    <w:rsid w:val="000C1777"/>
    <w:rsid w:val="000C2CE1"/>
    <w:rsid w:val="000C4A41"/>
    <w:rsid w:val="000C5F4B"/>
    <w:rsid w:val="000C75E1"/>
    <w:rsid w:val="000D07F1"/>
    <w:rsid w:val="000D0AB0"/>
    <w:rsid w:val="000D3250"/>
    <w:rsid w:val="000D5E28"/>
    <w:rsid w:val="000D7A64"/>
    <w:rsid w:val="000E12FA"/>
    <w:rsid w:val="000F3B18"/>
    <w:rsid w:val="000F6EA7"/>
    <w:rsid w:val="00100006"/>
    <w:rsid w:val="00101EC5"/>
    <w:rsid w:val="00125C07"/>
    <w:rsid w:val="00133A51"/>
    <w:rsid w:val="00134D79"/>
    <w:rsid w:val="00140683"/>
    <w:rsid w:val="00143136"/>
    <w:rsid w:val="00144DAA"/>
    <w:rsid w:val="00145C92"/>
    <w:rsid w:val="00145D28"/>
    <w:rsid w:val="0015063E"/>
    <w:rsid w:val="0015455E"/>
    <w:rsid w:val="00155A8E"/>
    <w:rsid w:val="0015650D"/>
    <w:rsid w:val="00161CA2"/>
    <w:rsid w:val="001716EF"/>
    <w:rsid w:val="00171E00"/>
    <w:rsid w:val="00173C5E"/>
    <w:rsid w:val="0017758E"/>
    <w:rsid w:val="0018061B"/>
    <w:rsid w:val="001913C5"/>
    <w:rsid w:val="00194089"/>
    <w:rsid w:val="00194A80"/>
    <w:rsid w:val="001A5036"/>
    <w:rsid w:val="001A5B39"/>
    <w:rsid w:val="001A667F"/>
    <w:rsid w:val="001A7651"/>
    <w:rsid w:val="001B3484"/>
    <w:rsid w:val="001B4283"/>
    <w:rsid w:val="001B7E2C"/>
    <w:rsid w:val="001C116C"/>
    <w:rsid w:val="001C2F4B"/>
    <w:rsid w:val="001E18BD"/>
    <w:rsid w:val="00207053"/>
    <w:rsid w:val="00217758"/>
    <w:rsid w:val="00217E88"/>
    <w:rsid w:val="002218C5"/>
    <w:rsid w:val="0022666D"/>
    <w:rsid w:val="00233272"/>
    <w:rsid w:val="0023426A"/>
    <w:rsid w:val="00234B7B"/>
    <w:rsid w:val="00241A4E"/>
    <w:rsid w:val="00247F50"/>
    <w:rsid w:val="0026005D"/>
    <w:rsid w:val="00265BF9"/>
    <w:rsid w:val="00271B59"/>
    <w:rsid w:val="00275A5A"/>
    <w:rsid w:val="0028130B"/>
    <w:rsid w:val="002A0521"/>
    <w:rsid w:val="002B0403"/>
    <w:rsid w:val="002B465A"/>
    <w:rsid w:val="002C1134"/>
    <w:rsid w:val="002C426A"/>
    <w:rsid w:val="002C4974"/>
    <w:rsid w:val="002D0AB0"/>
    <w:rsid w:val="002D0FD3"/>
    <w:rsid w:val="002D1A54"/>
    <w:rsid w:val="002D23D8"/>
    <w:rsid w:val="002E0F6B"/>
    <w:rsid w:val="002E6B43"/>
    <w:rsid w:val="002E7FD2"/>
    <w:rsid w:val="002F1755"/>
    <w:rsid w:val="002F4D7F"/>
    <w:rsid w:val="00300F4B"/>
    <w:rsid w:val="00302981"/>
    <w:rsid w:val="00305761"/>
    <w:rsid w:val="00306CF1"/>
    <w:rsid w:val="00307B60"/>
    <w:rsid w:val="00310655"/>
    <w:rsid w:val="00310A32"/>
    <w:rsid w:val="00311051"/>
    <w:rsid w:val="003166D1"/>
    <w:rsid w:val="00321C75"/>
    <w:rsid w:val="0032286C"/>
    <w:rsid w:val="0032333E"/>
    <w:rsid w:val="00334DD3"/>
    <w:rsid w:val="00340257"/>
    <w:rsid w:val="00340B94"/>
    <w:rsid w:val="0034260E"/>
    <w:rsid w:val="00350055"/>
    <w:rsid w:val="003500B9"/>
    <w:rsid w:val="003508E0"/>
    <w:rsid w:val="00353E4C"/>
    <w:rsid w:val="00356593"/>
    <w:rsid w:val="00357A0D"/>
    <w:rsid w:val="00362AA2"/>
    <w:rsid w:val="00365BBD"/>
    <w:rsid w:val="00365D0E"/>
    <w:rsid w:val="00367AD0"/>
    <w:rsid w:val="003709F4"/>
    <w:rsid w:val="00377999"/>
    <w:rsid w:val="00381991"/>
    <w:rsid w:val="00386C9F"/>
    <w:rsid w:val="00387DB3"/>
    <w:rsid w:val="00391CA0"/>
    <w:rsid w:val="003945D8"/>
    <w:rsid w:val="00396EF2"/>
    <w:rsid w:val="00397AAE"/>
    <w:rsid w:val="003A7A5A"/>
    <w:rsid w:val="003A7E6C"/>
    <w:rsid w:val="003B0F93"/>
    <w:rsid w:val="003B7248"/>
    <w:rsid w:val="003C10F8"/>
    <w:rsid w:val="003C343E"/>
    <w:rsid w:val="003C5C64"/>
    <w:rsid w:val="003C62F1"/>
    <w:rsid w:val="003D00ED"/>
    <w:rsid w:val="003D6D44"/>
    <w:rsid w:val="003E2DED"/>
    <w:rsid w:val="003E4D6B"/>
    <w:rsid w:val="003E6152"/>
    <w:rsid w:val="003F0D9C"/>
    <w:rsid w:val="00404CB0"/>
    <w:rsid w:val="00414B77"/>
    <w:rsid w:val="0042138B"/>
    <w:rsid w:val="00434BEE"/>
    <w:rsid w:val="004361F0"/>
    <w:rsid w:val="00441431"/>
    <w:rsid w:val="00454495"/>
    <w:rsid w:val="00455D46"/>
    <w:rsid w:val="00461361"/>
    <w:rsid w:val="004617E2"/>
    <w:rsid w:val="00471414"/>
    <w:rsid w:val="00474F94"/>
    <w:rsid w:val="0047702C"/>
    <w:rsid w:val="00482EBE"/>
    <w:rsid w:val="00483F1E"/>
    <w:rsid w:val="004912F2"/>
    <w:rsid w:val="00492363"/>
    <w:rsid w:val="00492476"/>
    <w:rsid w:val="00494220"/>
    <w:rsid w:val="004946BD"/>
    <w:rsid w:val="0049669C"/>
    <w:rsid w:val="00496F08"/>
    <w:rsid w:val="004B2A72"/>
    <w:rsid w:val="004B5756"/>
    <w:rsid w:val="004B6E9A"/>
    <w:rsid w:val="004C1FFA"/>
    <w:rsid w:val="004C29B1"/>
    <w:rsid w:val="004D1112"/>
    <w:rsid w:val="004E1038"/>
    <w:rsid w:val="004E1052"/>
    <w:rsid w:val="004E10CA"/>
    <w:rsid w:val="004E284B"/>
    <w:rsid w:val="004F61E8"/>
    <w:rsid w:val="004F7E81"/>
    <w:rsid w:val="0050429E"/>
    <w:rsid w:val="00506B52"/>
    <w:rsid w:val="00512025"/>
    <w:rsid w:val="005123B0"/>
    <w:rsid w:val="005158D2"/>
    <w:rsid w:val="005278A1"/>
    <w:rsid w:val="00541EAB"/>
    <w:rsid w:val="00547600"/>
    <w:rsid w:val="00550871"/>
    <w:rsid w:val="00552BDA"/>
    <w:rsid w:val="005534A5"/>
    <w:rsid w:val="00553534"/>
    <w:rsid w:val="00554A65"/>
    <w:rsid w:val="0055503D"/>
    <w:rsid w:val="00561105"/>
    <w:rsid w:val="0056389E"/>
    <w:rsid w:val="00565B62"/>
    <w:rsid w:val="0056656E"/>
    <w:rsid w:val="00571E15"/>
    <w:rsid w:val="00575849"/>
    <w:rsid w:val="005825BE"/>
    <w:rsid w:val="00593530"/>
    <w:rsid w:val="005A291A"/>
    <w:rsid w:val="005A386C"/>
    <w:rsid w:val="005A4134"/>
    <w:rsid w:val="005A59BA"/>
    <w:rsid w:val="005A68BF"/>
    <w:rsid w:val="005B499F"/>
    <w:rsid w:val="005B5CFE"/>
    <w:rsid w:val="005B7E00"/>
    <w:rsid w:val="005C49DF"/>
    <w:rsid w:val="005C542A"/>
    <w:rsid w:val="005C7F57"/>
    <w:rsid w:val="005D3383"/>
    <w:rsid w:val="005E04B4"/>
    <w:rsid w:val="005E3BB5"/>
    <w:rsid w:val="005E5273"/>
    <w:rsid w:val="005E704A"/>
    <w:rsid w:val="005F02B1"/>
    <w:rsid w:val="005F067C"/>
    <w:rsid w:val="00607B05"/>
    <w:rsid w:val="006124C3"/>
    <w:rsid w:val="006135A6"/>
    <w:rsid w:val="00613FA8"/>
    <w:rsid w:val="00625C50"/>
    <w:rsid w:val="0062755D"/>
    <w:rsid w:val="00634832"/>
    <w:rsid w:val="00635413"/>
    <w:rsid w:val="00636D64"/>
    <w:rsid w:val="00637EE8"/>
    <w:rsid w:val="006513DD"/>
    <w:rsid w:val="00655347"/>
    <w:rsid w:val="006613C4"/>
    <w:rsid w:val="00666E4A"/>
    <w:rsid w:val="006676CA"/>
    <w:rsid w:val="00670DF4"/>
    <w:rsid w:val="006710C3"/>
    <w:rsid w:val="006763E3"/>
    <w:rsid w:val="00676B57"/>
    <w:rsid w:val="00676CE9"/>
    <w:rsid w:val="0067716A"/>
    <w:rsid w:val="0068364B"/>
    <w:rsid w:val="00686402"/>
    <w:rsid w:val="0069029C"/>
    <w:rsid w:val="00691BC6"/>
    <w:rsid w:val="006921D0"/>
    <w:rsid w:val="00695864"/>
    <w:rsid w:val="006A12D8"/>
    <w:rsid w:val="006A29AF"/>
    <w:rsid w:val="006A34BA"/>
    <w:rsid w:val="006A383F"/>
    <w:rsid w:val="006A386D"/>
    <w:rsid w:val="006A74CE"/>
    <w:rsid w:val="006C55DA"/>
    <w:rsid w:val="006D3FA2"/>
    <w:rsid w:val="006E6E2F"/>
    <w:rsid w:val="006F0255"/>
    <w:rsid w:val="006F0430"/>
    <w:rsid w:val="006F3E76"/>
    <w:rsid w:val="006F3FAF"/>
    <w:rsid w:val="006F5F1C"/>
    <w:rsid w:val="006F6748"/>
    <w:rsid w:val="007006DF"/>
    <w:rsid w:val="00702016"/>
    <w:rsid w:val="00704897"/>
    <w:rsid w:val="007107C6"/>
    <w:rsid w:val="00715F27"/>
    <w:rsid w:val="00720BE1"/>
    <w:rsid w:val="00722648"/>
    <w:rsid w:val="00734E4D"/>
    <w:rsid w:val="00737442"/>
    <w:rsid w:val="00741D9B"/>
    <w:rsid w:val="007453B3"/>
    <w:rsid w:val="0074724C"/>
    <w:rsid w:val="00750736"/>
    <w:rsid w:val="0075230A"/>
    <w:rsid w:val="00752628"/>
    <w:rsid w:val="00755325"/>
    <w:rsid w:val="00756FE4"/>
    <w:rsid w:val="00767B98"/>
    <w:rsid w:val="00780A47"/>
    <w:rsid w:val="00780F23"/>
    <w:rsid w:val="00785BA1"/>
    <w:rsid w:val="007951CA"/>
    <w:rsid w:val="00796E2E"/>
    <w:rsid w:val="007A0780"/>
    <w:rsid w:val="007A1449"/>
    <w:rsid w:val="007A1D8C"/>
    <w:rsid w:val="007A2D3D"/>
    <w:rsid w:val="007B3902"/>
    <w:rsid w:val="007C6118"/>
    <w:rsid w:val="007D0506"/>
    <w:rsid w:val="007D1D95"/>
    <w:rsid w:val="007E24CA"/>
    <w:rsid w:val="007E2608"/>
    <w:rsid w:val="007E5564"/>
    <w:rsid w:val="007F0D68"/>
    <w:rsid w:val="007F1253"/>
    <w:rsid w:val="007F7938"/>
    <w:rsid w:val="007F7C28"/>
    <w:rsid w:val="007F7F97"/>
    <w:rsid w:val="00802FC4"/>
    <w:rsid w:val="00804B57"/>
    <w:rsid w:val="008119D2"/>
    <w:rsid w:val="0082465E"/>
    <w:rsid w:val="0082476F"/>
    <w:rsid w:val="00831D0F"/>
    <w:rsid w:val="00833DE9"/>
    <w:rsid w:val="00834079"/>
    <w:rsid w:val="00835C7C"/>
    <w:rsid w:val="00836099"/>
    <w:rsid w:val="008429C5"/>
    <w:rsid w:val="008434C3"/>
    <w:rsid w:val="00845023"/>
    <w:rsid w:val="00850A46"/>
    <w:rsid w:val="008515EE"/>
    <w:rsid w:val="00854FD4"/>
    <w:rsid w:val="00856DAB"/>
    <w:rsid w:val="0086055D"/>
    <w:rsid w:val="008620E5"/>
    <w:rsid w:val="00872BAD"/>
    <w:rsid w:val="00880069"/>
    <w:rsid w:val="0088136E"/>
    <w:rsid w:val="008846D6"/>
    <w:rsid w:val="00892D21"/>
    <w:rsid w:val="00892FF7"/>
    <w:rsid w:val="008942F1"/>
    <w:rsid w:val="008B0EC2"/>
    <w:rsid w:val="008B1575"/>
    <w:rsid w:val="008B31F9"/>
    <w:rsid w:val="008B3490"/>
    <w:rsid w:val="008B47EA"/>
    <w:rsid w:val="008C027C"/>
    <w:rsid w:val="008C41FA"/>
    <w:rsid w:val="008E2F41"/>
    <w:rsid w:val="008E5278"/>
    <w:rsid w:val="00900F73"/>
    <w:rsid w:val="0091164B"/>
    <w:rsid w:val="00916516"/>
    <w:rsid w:val="0092369B"/>
    <w:rsid w:val="009251C5"/>
    <w:rsid w:val="00934959"/>
    <w:rsid w:val="009349A0"/>
    <w:rsid w:val="00940734"/>
    <w:rsid w:val="00940F44"/>
    <w:rsid w:val="00941002"/>
    <w:rsid w:val="00947689"/>
    <w:rsid w:val="0095377B"/>
    <w:rsid w:val="00955CBF"/>
    <w:rsid w:val="009579B5"/>
    <w:rsid w:val="0096128D"/>
    <w:rsid w:val="00961DC1"/>
    <w:rsid w:val="00963A32"/>
    <w:rsid w:val="00970632"/>
    <w:rsid w:val="00975561"/>
    <w:rsid w:val="0098076E"/>
    <w:rsid w:val="00984A84"/>
    <w:rsid w:val="00987FD8"/>
    <w:rsid w:val="00990B3C"/>
    <w:rsid w:val="00993D8D"/>
    <w:rsid w:val="009956C6"/>
    <w:rsid w:val="00996F81"/>
    <w:rsid w:val="009A16DD"/>
    <w:rsid w:val="009A45B0"/>
    <w:rsid w:val="009B3159"/>
    <w:rsid w:val="009B5906"/>
    <w:rsid w:val="009B7708"/>
    <w:rsid w:val="009C3906"/>
    <w:rsid w:val="009C393F"/>
    <w:rsid w:val="009C6B44"/>
    <w:rsid w:val="009D1753"/>
    <w:rsid w:val="009E55A8"/>
    <w:rsid w:val="009E5E09"/>
    <w:rsid w:val="009E714C"/>
    <w:rsid w:val="009F27F0"/>
    <w:rsid w:val="00A00F9E"/>
    <w:rsid w:val="00A02D5F"/>
    <w:rsid w:val="00A03CC1"/>
    <w:rsid w:val="00A04BF1"/>
    <w:rsid w:val="00A13D3C"/>
    <w:rsid w:val="00A1734D"/>
    <w:rsid w:val="00A222B3"/>
    <w:rsid w:val="00A25FDD"/>
    <w:rsid w:val="00A41EF6"/>
    <w:rsid w:val="00A64EE1"/>
    <w:rsid w:val="00A67FC3"/>
    <w:rsid w:val="00A715A8"/>
    <w:rsid w:val="00A7773B"/>
    <w:rsid w:val="00A82237"/>
    <w:rsid w:val="00A86757"/>
    <w:rsid w:val="00A9278B"/>
    <w:rsid w:val="00A933C3"/>
    <w:rsid w:val="00A937DF"/>
    <w:rsid w:val="00AA0705"/>
    <w:rsid w:val="00AA1BA4"/>
    <w:rsid w:val="00AB61BD"/>
    <w:rsid w:val="00AB6B2D"/>
    <w:rsid w:val="00AB6B88"/>
    <w:rsid w:val="00AC2F4D"/>
    <w:rsid w:val="00AE3CE5"/>
    <w:rsid w:val="00AF29CC"/>
    <w:rsid w:val="00AF72F1"/>
    <w:rsid w:val="00AF7BEA"/>
    <w:rsid w:val="00B0217A"/>
    <w:rsid w:val="00B02685"/>
    <w:rsid w:val="00B03FB3"/>
    <w:rsid w:val="00B210B9"/>
    <w:rsid w:val="00B2533E"/>
    <w:rsid w:val="00B26EE9"/>
    <w:rsid w:val="00B27212"/>
    <w:rsid w:val="00B31D34"/>
    <w:rsid w:val="00B323E2"/>
    <w:rsid w:val="00B366E1"/>
    <w:rsid w:val="00B37F5F"/>
    <w:rsid w:val="00B40971"/>
    <w:rsid w:val="00B41CB2"/>
    <w:rsid w:val="00B426FA"/>
    <w:rsid w:val="00B4335D"/>
    <w:rsid w:val="00B43CA5"/>
    <w:rsid w:val="00B445A4"/>
    <w:rsid w:val="00B50C4E"/>
    <w:rsid w:val="00B50EBD"/>
    <w:rsid w:val="00B53468"/>
    <w:rsid w:val="00B57556"/>
    <w:rsid w:val="00B6220E"/>
    <w:rsid w:val="00B6773A"/>
    <w:rsid w:val="00B84551"/>
    <w:rsid w:val="00B86CFD"/>
    <w:rsid w:val="00B91665"/>
    <w:rsid w:val="00B92511"/>
    <w:rsid w:val="00BA467D"/>
    <w:rsid w:val="00BA4AA3"/>
    <w:rsid w:val="00BA536E"/>
    <w:rsid w:val="00BB025F"/>
    <w:rsid w:val="00BB1CFE"/>
    <w:rsid w:val="00BB3539"/>
    <w:rsid w:val="00BB6A06"/>
    <w:rsid w:val="00BC63FD"/>
    <w:rsid w:val="00BC7826"/>
    <w:rsid w:val="00BD299C"/>
    <w:rsid w:val="00BD4C37"/>
    <w:rsid w:val="00BD4E3C"/>
    <w:rsid w:val="00BD53FE"/>
    <w:rsid w:val="00BE1071"/>
    <w:rsid w:val="00BE5E45"/>
    <w:rsid w:val="00BE6133"/>
    <w:rsid w:val="00BF2411"/>
    <w:rsid w:val="00BF5F87"/>
    <w:rsid w:val="00BF6922"/>
    <w:rsid w:val="00BF764E"/>
    <w:rsid w:val="00BF7CB2"/>
    <w:rsid w:val="00BF7EB5"/>
    <w:rsid w:val="00C02583"/>
    <w:rsid w:val="00C02F5C"/>
    <w:rsid w:val="00C03C6C"/>
    <w:rsid w:val="00C15C68"/>
    <w:rsid w:val="00C16227"/>
    <w:rsid w:val="00C16789"/>
    <w:rsid w:val="00C25E34"/>
    <w:rsid w:val="00C27E6B"/>
    <w:rsid w:val="00C310B9"/>
    <w:rsid w:val="00C342D5"/>
    <w:rsid w:val="00C348B0"/>
    <w:rsid w:val="00C401CD"/>
    <w:rsid w:val="00C4035A"/>
    <w:rsid w:val="00C53183"/>
    <w:rsid w:val="00C55128"/>
    <w:rsid w:val="00C56BF0"/>
    <w:rsid w:val="00C56DF5"/>
    <w:rsid w:val="00C570CC"/>
    <w:rsid w:val="00C60BB4"/>
    <w:rsid w:val="00C65F24"/>
    <w:rsid w:val="00C752A5"/>
    <w:rsid w:val="00C96FB5"/>
    <w:rsid w:val="00C979D7"/>
    <w:rsid w:val="00CB2437"/>
    <w:rsid w:val="00CB2EDD"/>
    <w:rsid w:val="00CC2810"/>
    <w:rsid w:val="00CC6705"/>
    <w:rsid w:val="00CD791D"/>
    <w:rsid w:val="00CE0037"/>
    <w:rsid w:val="00CE4442"/>
    <w:rsid w:val="00CE44A3"/>
    <w:rsid w:val="00CE46FB"/>
    <w:rsid w:val="00CE520C"/>
    <w:rsid w:val="00CF07B3"/>
    <w:rsid w:val="00CF18F8"/>
    <w:rsid w:val="00CF4BEC"/>
    <w:rsid w:val="00CF5F3A"/>
    <w:rsid w:val="00CF6054"/>
    <w:rsid w:val="00CF6947"/>
    <w:rsid w:val="00D005FF"/>
    <w:rsid w:val="00D00C1F"/>
    <w:rsid w:val="00D16016"/>
    <w:rsid w:val="00D1679C"/>
    <w:rsid w:val="00D226B3"/>
    <w:rsid w:val="00D23C64"/>
    <w:rsid w:val="00D244E3"/>
    <w:rsid w:val="00D246E6"/>
    <w:rsid w:val="00D25933"/>
    <w:rsid w:val="00D26B29"/>
    <w:rsid w:val="00D3340C"/>
    <w:rsid w:val="00D44645"/>
    <w:rsid w:val="00D54B74"/>
    <w:rsid w:val="00D55E46"/>
    <w:rsid w:val="00D62946"/>
    <w:rsid w:val="00D62C14"/>
    <w:rsid w:val="00D636CD"/>
    <w:rsid w:val="00D66FF2"/>
    <w:rsid w:val="00D71E39"/>
    <w:rsid w:val="00D73AE4"/>
    <w:rsid w:val="00D77D53"/>
    <w:rsid w:val="00D809E3"/>
    <w:rsid w:val="00D85336"/>
    <w:rsid w:val="00D86A6A"/>
    <w:rsid w:val="00D87FD1"/>
    <w:rsid w:val="00D961E3"/>
    <w:rsid w:val="00DA1E21"/>
    <w:rsid w:val="00DA284A"/>
    <w:rsid w:val="00DB304D"/>
    <w:rsid w:val="00DB6F51"/>
    <w:rsid w:val="00DB7EBE"/>
    <w:rsid w:val="00DC0370"/>
    <w:rsid w:val="00DC1D8A"/>
    <w:rsid w:val="00DC24A7"/>
    <w:rsid w:val="00DC5BE7"/>
    <w:rsid w:val="00DC66BB"/>
    <w:rsid w:val="00DD1823"/>
    <w:rsid w:val="00DE2909"/>
    <w:rsid w:val="00DE6424"/>
    <w:rsid w:val="00DE6CBB"/>
    <w:rsid w:val="00DF032B"/>
    <w:rsid w:val="00DF1F28"/>
    <w:rsid w:val="00DF4878"/>
    <w:rsid w:val="00DF52D4"/>
    <w:rsid w:val="00E05506"/>
    <w:rsid w:val="00E0551B"/>
    <w:rsid w:val="00E1106C"/>
    <w:rsid w:val="00E15CF5"/>
    <w:rsid w:val="00E16169"/>
    <w:rsid w:val="00E20381"/>
    <w:rsid w:val="00E2055A"/>
    <w:rsid w:val="00E23A7E"/>
    <w:rsid w:val="00E25646"/>
    <w:rsid w:val="00E26A60"/>
    <w:rsid w:val="00E2776C"/>
    <w:rsid w:val="00E35F0B"/>
    <w:rsid w:val="00E52E8C"/>
    <w:rsid w:val="00E54AD4"/>
    <w:rsid w:val="00E61AA5"/>
    <w:rsid w:val="00E62BC4"/>
    <w:rsid w:val="00E66EDC"/>
    <w:rsid w:val="00E74D52"/>
    <w:rsid w:val="00E86A05"/>
    <w:rsid w:val="00E87D76"/>
    <w:rsid w:val="00E90334"/>
    <w:rsid w:val="00EA0DB8"/>
    <w:rsid w:val="00EA141C"/>
    <w:rsid w:val="00EA2EB9"/>
    <w:rsid w:val="00EA6CDF"/>
    <w:rsid w:val="00EC046C"/>
    <w:rsid w:val="00EC4A6A"/>
    <w:rsid w:val="00EC6B3A"/>
    <w:rsid w:val="00ED25C1"/>
    <w:rsid w:val="00ED61FE"/>
    <w:rsid w:val="00EE6009"/>
    <w:rsid w:val="00EF1683"/>
    <w:rsid w:val="00EF2F58"/>
    <w:rsid w:val="00EF5C7D"/>
    <w:rsid w:val="00F0621A"/>
    <w:rsid w:val="00F07C59"/>
    <w:rsid w:val="00F14188"/>
    <w:rsid w:val="00F24E6E"/>
    <w:rsid w:val="00F25EF5"/>
    <w:rsid w:val="00F33797"/>
    <w:rsid w:val="00F43EC5"/>
    <w:rsid w:val="00F521A3"/>
    <w:rsid w:val="00F52A10"/>
    <w:rsid w:val="00F630C6"/>
    <w:rsid w:val="00F80F7B"/>
    <w:rsid w:val="00F83227"/>
    <w:rsid w:val="00F92CBA"/>
    <w:rsid w:val="00FA51CA"/>
    <w:rsid w:val="00FA7259"/>
    <w:rsid w:val="00FA7381"/>
    <w:rsid w:val="00FA7B26"/>
    <w:rsid w:val="00FB60BC"/>
    <w:rsid w:val="00FC350B"/>
    <w:rsid w:val="00FC4A80"/>
    <w:rsid w:val="00FC697E"/>
    <w:rsid w:val="00FC7E16"/>
    <w:rsid w:val="00FD0B7E"/>
    <w:rsid w:val="00FD2962"/>
    <w:rsid w:val="00FD2DBF"/>
    <w:rsid w:val="00FD41F1"/>
    <w:rsid w:val="00FD4655"/>
    <w:rsid w:val="00FD6D10"/>
    <w:rsid w:val="00FE13F6"/>
    <w:rsid w:val="00FE2DE4"/>
    <w:rsid w:val="00FE6711"/>
    <w:rsid w:val="00FE744B"/>
    <w:rsid w:val="00FF1DE7"/>
    <w:rsid w:val="00FF32AD"/>
    <w:rsid w:val="00FF6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36"/>
    <w:rPr>
      <w:sz w:val="24"/>
      <w:szCs w:val="24"/>
    </w:rPr>
  </w:style>
  <w:style w:type="paragraph" w:styleId="Heading1">
    <w:name w:val="heading 1"/>
    <w:basedOn w:val="Normal"/>
    <w:next w:val="Normal"/>
    <w:link w:val="Heading1Char"/>
    <w:autoRedefine/>
    <w:qFormat/>
    <w:rsid w:val="00C15C68"/>
    <w:pPr>
      <w:keepNext/>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C15C68"/>
    <w:rPr>
      <w:b/>
      <w:bCs/>
      <w:kern w:val="32"/>
      <w:sz w:val="24"/>
      <w:szCs w:val="32"/>
    </w:rPr>
  </w:style>
  <w:style w:type="paragraph" w:customStyle="1" w:styleId="Default">
    <w:name w:val="Default"/>
    <w:rsid w:val="00940F44"/>
    <w:pPr>
      <w:autoSpaceDE w:val="0"/>
      <w:autoSpaceDN w:val="0"/>
      <w:adjustRightInd w:val="0"/>
    </w:pPr>
    <w:rPr>
      <w:color w:val="000000"/>
      <w:sz w:val="24"/>
      <w:szCs w:val="24"/>
    </w:rPr>
  </w:style>
  <w:style w:type="paragraph" w:customStyle="1" w:styleId="Num1">
    <w:name w:val="Num 1"/>
    <w:rsid w:val="00F83227"/>
    <w:pPr>
      <w:numPr>
        <w:numId w:val="32"/>
      </w:numPr>
      <w:tabs>
        <w:tab w:val="left" w:pos="567"/>
      </w:tabs>
      <w:spacing w:before="120" w:after="120" w:line="360" w:lineRule="auto"/>
      <w:ind w:left="567" w:hanging="567"/>
    </w:pPr>
    <w:rPr>
      <w:rFonts w:ascii="Book Antiqua" w:hAnsi="Book Antiqua" w:cs="Arial"/>
      <w:sz w:val="24"/>
      <w:lang w:eastAsia="en-US"/>
    </w:rPr>
  </w:style>
  <w:style w:type="paragraph" w:customStyle="1" w:styleId="Num2">
    <w:name w:val="Num 2"/>
    <w:rsid w:val="00F83227"/>
    <w:pPr>
      <w:numPr>
        <w:ilvl w:val="1"/>
        <w:numId w:val="32"/>
      </w:numPr>
      <w:tabs>
        <w:tab w:val="left" w:pos="1134"/>
      </w:tabs>
      <w:spacing w:before="120" w:after="120" w:line="360" w:lineRule="auto"/>
      <w:ind w:left="1134" w:hanging="567"/>
    </w:pPr>
    <w:rPr>
      <w:rFonts w:ascii="Book Antiqua" w:hAnsi="Book Antiqua" w:cs="Arial"/>
      <w:sz w:val="24"/>
      <w:lang w:eastAsia="en-US"/>
    </w:rPr>
  </w:style>
  <w:style w:type="paragraph" w:customStyle="1" w:styleId="Num3">
    <w:name w:val="Num 3"/>
    <w:rsid w:val="00F83227"/>
    <w:pPr>
      <w:tabs>
        <w:tab w:val="left" w:pos="1701"/>
        <w:tab w:val="num" w:pos="2007"/>
        <w:tab w:val="num" w:pos="2160"/>
      </w:tabs>
      <w:spacing w:before="120" w:after="120" w:line="360" w:lineRule="auto"/>
      <w:ind w:left="1701" w:hanging="567"/>
    </w:pPr>
    <w:rPr>
      <w:rFonts w:ascii="Book Antiqua" w:hAnsi="Book Antiqua" w:cs="Arial"/>
      <w:sz w:val="24"/>
      <w:lang w:eastAsia="en-US"/>
    </w:rPr>
  </w:style>
  <w:style w:type="paragraph" w:customStyle="1" w:styleId="Indent1">
    <w:name w:val="Indent 1"/>
    <w:rsid w:val="00F83227"/>
    <w:pPr>
      <w:numPr>
        <w:ilvl w:val="2"/>
        <w:numId w:val="32"/>
      </w:numPr>
      <w:tabs>
        <w:tab w:val="clear" w:pos="2007"/>
      </w:tabs>
      <w:spacing w:before="120" w:after="120" w:line="360" w:lineRule="auto"/>
      <w:ind w:left="567" w:firstLine="0"/>
    </w:pPr>
    <w:rPr>
      <w:rFonts w:ascii="Arial"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336"/>
    <w:rPr>
      <w:sz w:val="24"/>
      <w:szCs w:val="24"/>
    </w:rPr>
  </w:style>
  <w:style w:type="paragraph" w:styleId="Heading1">
    <w:name w:val="heading 1"/>
    <w:basedOn w:val="Normal"/>
    <w:next w:val="Normal"/>
    <w:link w:val="Heading1Char"/>
    <w:autoRedefine/>
    <w:qFormat/>
    <w:rsid w:val="00C15C68"/>
    <w:pPr>
      <w:keepNext/>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C15C68"/>
    <w:rPr>
      <w:b/>
      <w:bCs/>
      <w:kern w:val="32"/>
      <w:sz w:val="24"/>
      <w:szCs w:val="32"/>
    </w:rPr>
  </w:style>
  <w:style w:type="paragraph" w:customStyle="1" w:styleId="Default">
    <w:name w:val="Default"/>
    <w:rsid w:val="00940F44"/>
    <w:pPr>
      <w:autoSpaceDE w:val="0"/>
      <w:autoSpaceDN w:val="0"/>
      <w:adjustRightInd w:val="0"/>
    </w:pPr>
    <w:rPr>
      <w:color w:val="000000"/>
      <w:sz w:val="24"/>
      <w:szCs w:val="24"/>
    </w:rPr>
  </w:style>
  <w:style w:type="paragraph" w:customStyle="1" w:styleId="Num1">
    <w:name w:val="Num 1"/>
    <w:rsid w:val="00F83227"/>
    <w:pPr>
      <w:numPr>
        <w:numId w:val="32"/>
      </w:numPr>
      <w:tabs>
        <w:tab w:val="left" w:pos="567"/>
      </w:tabs>
      <w:spacing w:before="120" w:after="120" w:line="360" w:lineRule="auto"/>
      <w:ind w:left="567" w:hanging="567"/>
    </w:pPr>
    <w:rPr>
      <w:rFonts w:ascii="Book Antiqua" w:hAnsi="Book Antiqua" w:cs="Arial"/>
      <w:sz w:val="24"/>
      <w:lang w:eastAsia="en-US"/>
    </w:rPr>
  </w:style>
  <w:style w:type="paragraph" w:customStyle="1" w:styleId="Num2">
    <w:name w:val="Num 2"/>
    <w:rsid w:val="00F83227"/>
    <w:pPr>
      <w:numPr>
        <w:ilvl w:val="1"/>
        <w:numId w:val="32"/>
      </w:numPr>
      <w:tabs>
        <w:tab w:val="left" w:pos="1134"/>
      </w:tabs>
      <w:spacing w:before="120" w:after="120" w:line="360" w:lineRule="auto"/>
      <w:ind w:left="1134" w:hanging="567"/>
    </w:pPr>
    <w:rPr>
      <w:rFonts w:ascii="Book Antiqua" w:hAnsi="Book Antiqua" w:cs="Arial"/>
      <w:sz w:val="24"/>
      <w:lang w:eastAsia="en-US"/>
    </w:rPr>
  </w:style>
  <w:style w:type="paragraph" w:customStyle="1" w:styleId="Num3">
    <w:name w:val="Num 3"/>
    <w:rsid w:val="00F83227"/>
    <w:pPr>
      <w:tabs>
        <w:tab w:val="left" w:pos="1701"/>
        <w:tab w:val="num" w:pos="2007"/>
        <w:tab w:val="num" w:pos="2160"/>
      </w:tabs>
      <w:spacing w:before="120" w:after="120" w:line="360" w:lineRule="auto"/>
      <w:ind w:left="1701" w:hanging="567"/>
    </w:pPr>
    <w:rPr>
      <w:rFonts w:ascii="Book Antiqua" w:hAnsi="Book Antiqua" w:cs="Arial"/>
      <w:sz w:val="24"/>
      <w:lang w:eastAsia="en-US"/>
    </w:rPr>
  </w:style>
  <w:style w:type="paragraph" w:customStyle="1" w:styleId="Indent1">
    <w:name w:val="Indent 1"/>
    <w:rsid w:val="00F83227"/>
    <w:pPr>
      <w:numPr>
        <w:ilvl w:val="2"/>
        <w:numId w:val="32"/>
      </w:numPr>
      <w:tabs>
        <w:tab w:val="clear" w:pos="2007"/>
      </w:tabs>
      <w:spacing w:before="120" w:after="120" w:line="360" w:lineRule="auto"/>
      <w:ind w:left="567" w:firstLine="0"/>
    </w:pPr>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06431653">
      <w:bodyDiv w:val="1"/>
      <w:marLeft w:val="0"/>
      <w:marRight w:val="0"/>
      <w:marTop w:val="0"/>
      <w:marBottom w:val="0"/>
      <w:divBdr>
        <w:top w:val="none" w:sz="0" w:space="0" w:color="auto"/>
        <w:left w:val="none" w:sz="0" w:space="0" w:color="auto"/>
        <w:bottom w:val="none" w:sz="0" w:space="0" w:color="auto"/>
        <w:right w:val="none" w:sz="0" w:space="0" w:color="auto"/>
      </w:divBdr>
      <w:divsChild>
        <w:div w:id="1521042971">
          <w:marLeft w:val="0"/>
          <w:marRight w:val="0"/>
          <w:marTop w:val="0"/>
          <w:marBottom w:val="0"/>
          <w:divBdr>
            <w:top w:val="none" w:sz="0" w:space="0" w:color="auto"/>
            <w:left w:val="none" w:sz="0" w:space="0" w:color="auto"/>
            <w:bottom w:val="none" w:sz="0" w:space="0" w:color="auto"/>
            <w:right w:val="none" w:sz="0" w:space="0" w:color="auto"/>
          </w:divBdr>
          <w:divsChild>
            <w:div w:id="1363435949">
              <w:marLeft w:val="0"/>
              <w:marRight w:val="0"/>
              <w:marTop w:val="0"/>
              <w:marBottom w:val="0"/>
              <w:divBdr>
                <w:top w:val="none" w:sz="0" w:space="0" w:color="auto"/>
                <w:left w:val="none" w:sz="0" w:space="0" w:color="auto"/>
                <w:bottom w:val="none" w:sz="0" w:space="0" w:color="auto"/>
                <w:right w:val="none" w:sz="0" w:space="0" w:color="auto"/>
              </w:divBdr>
              <w:divsChild>
                <w:div w:id="19896266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16575590">
      <w:bodyDiv w:val="1"/>
      <w:marLeft w:val="0"/>
      <w:marRight w:val="0"/>
      <w:marTop w:val="0"/>
      <w:marBottom w:val="0"/>
      <w:divBdr>
        <w:top w:val="none" w:sz="0" w:space="0" w:color="auto"/>
        <w:left w:val="none" w:sz="0" w:space="0" w:color="auto"/>
        <w:bottom w:val="none" w:sz="0" w:space="0" w:color="auto"/>
        <w:right w:val="none" w:sz="0" w:space="0" w:color="auto"/>
      </w:divBdr>
      <w:divsChild>
        <w:div w:id="1158375337">
          <w:marLeft w:val="0"/>
          <w:marRight w:val="0"/>
          <w:marTop w:val="0"/>
          <w:marBottom w:val="0"/>
          <w:divBdr>
            <w:top w:val="none" w:sz="0" w:space="0" w:color="auto"/>
            <w:left w:val="none" w:sz="0" w:space="0" w:color="auto"/>
            <w:bottom w:val="none" w:sz="0" w:space="0" w:color="auto"/>
            <w:right w:val="none" w:sz="0" w:space="0" w:color="auto"/>
          </w:divBdr>
          <w:divsChild>
            <w:div w:id="453910045">
              <w:marLeft w:val="0"/>
              <w:marRight w:val="0"/>
              <w:marTop w:val="0"/>
              <w:marBottom w:val="0"/>
              <w:divBdr>
                <w:top w:val="none" w:sz="0" w:space="0" w:color="auto"/>
                <w:left w:val="none" w:sz="0" w:space="0" w:color="auto"/>
                <w:bottom w:val="none" w:sz="0" w:space="0" w:color="auto"/>
                <w:right w:val="none" w:sz="0" w:space="0" w:color="auto"/>
              </w:divBdr>
              <w:divsChild>
                <w:div w:id="1745407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9B0D7E09265A419F03B6951BDD7ED6" ma:contentTypeVersion="1" ma:contentTypeDescription="Create a new document." ma:contentTypeScope="" ma:versionID="848a964f34604051caabb44acb1cc8b2">
  <xsd:schema xmlns:xsd="http://www.w3.org/2001/XMLSchema" xmlns:xs="http://www.w3.org/2001/XMLSchema" xmlns:p="http://schemas.microsoft.com/office/2006/metadata/properties" xmlns:ns3="079f852e-5e1f-442b-8157-bcfa9a404e25" targetNamespace="http://schemas.microsoft.com/office/2006/metadata/properties" ma:root="true" ma:fieldsID="44cf692a4a842114386482213bcd6353" ns3:_="">
    <xsd:import namespace="079f852e-5e1f-442b-8157-bcfa9a404e2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f852e-5e1f-442b-8157-bcfa9a404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1472-842D-4E4F-8752-F1636490F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f852e-5e1f-442b-8157-bcfa9a404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99E7F-2431-461D-ACBF-E1E42796F734}">
  <ds:schemaRefs>
    <ds:schemaRef ds:uri="http://schemas.microsoft.com/sharepoint/v3/contenttype/forms"/>
  </ds:schemaRefs>
</ds:datastoreItem>
</file>

<file path=customXml/itemProps3.xml><?xml version="1.0" encoding="utf-8"?>
<ds:datastoreItem xmlns:ds="http://schemas.openxmlformats.org/officeDocument/2006/customXml" ds:itemID="{8549D92C-853C-4498-9536-600FE6546CC1}">
  <ds:schemaRefs>
    <ds:schemaRef ds:uri="http://schemas.microsoft.com/office/2006/metadata/longProperties"/>
  </ds:schemaRefs>
</ds:datastoreItem>
</file>

<file path=customXml/itemProps4.xml><?xml version="1.0" encoding="utf-8"?>
<ds:datastoreItem xmlns:ds="http://schemas.openxmlformats.org/officeDocument/2006/customXml" ds:itemID="{F0E42D75-9ECC-44F6-8DE8-9A4FF83FD8DF}">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079f852e-5e1f-442b-8157-bcfa9a404e25"/>
    <ds:schemaRef ds:uri="http://www.w3.org/XML/1998/namespace"/>
  </ds:schemaRefs>
</ds:datastoreItem>
</file>

<file path=customXml/itemProps5.xml><?xml version="1.0" encoding="utf-8"?>
<ds:datastoreItem xmlns:ds="http://schemas.openxmlformats.org/officeDocument/2006/customXml" ds:itemID="{F82BD2DF-EFF6-4F20-8928-B75FE10C5628}">
  <ds:schemaRefs>
    <ds:schemaRef ds:uri="http://schemas.openxmlformats.org/officeDocument/2006/bibliography"/>
  </ds:schemaRefs>
</ds:datastoreItem>
</file>

<file path=customXml/itemProps6.xml><?xml version="1.0" encoding="utf-8"?>
<ds:datastoreItem xmlns:ds="http://schemas.openxmlformats.org/officeDocument/2006/customXml" ds:itemID="{F27FF04E-16DD-4B6D-9F41-D9CDA9D9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Practice Note No. 4 of 2015 Major Torts List</vt:lpstr>
    </vt:vector>
  </TitlesOfParts>
  <Company>Supreme Court of Victoria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4 of 2015 Major Torts List</dc:title>
  <dc:subject/>
  <dc:creator>Supreme Court of Victoria </dc:creator>
  <cp:keywords/>
  <dc:description/>
  <cp:lastModifiedBy>Viv Macgillivray</cp:lastModifiedBy>
  <cp:revision>5</cp:revision>
  <cp:lastPrinted>2014-10-08T23:52:00Z</cp:lastPrinted>
  <dcterms:created xsi:type="dcterms:W3CDTF">2014-12-08T04:45:00Z</dcterms:created>
  <dcterms:modified xsi:type="dcterms:W3CDTF">2015-01-29T05:47:00Z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