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25" w:rsidRPr="005E2DF1" w:rsidRDefault="00270D25" w:rsidP="00270D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DF1"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052D0621" wp14:editId="2B50C35B">
            <wp:extent cx="1123950" cy="1123950"/>
            <wp:effectExtent l="0" t="0" r="0" b="0"/>
            <wp:docPr id="1" name="Picture 1" descr="http://confluence-scv/download/attachments/1082116/SCV_RGB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fluence-scv/download/attachments/1082116/SCV_RGB_B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AC3" w:rsidRPr="005E2DF1" w:rsidRDefault="00BF7AC3" w:rsidP="00270D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0D25" w:rsidRPr="005E2DF1" w:rsidRDefault="00EE434D" w:rsidP="00270D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2DF1">
        <w:rPr>
          <w:rFonts w:ascii="Times New Roman" w:hAnsi="Times New Roman" w:cs="Times New Roman"/>
          <w:b/>
          <w:sz w:val="36"/>
          <w:szCs w:val="36"/>
        </w:rPr>
        <w:t>Notice to the Profession</w:t>
      </w:r>
    </w:p>
    <w:p w:rsidR="00270D25" w:rsidRPr="005E2DF1" w:rsidRDefault="00270D25" w:rsidP="00270D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0D25" w:rsidRPr="005E2DF1" w:rsidRDefault="005E2DF1" w:rsidP="00270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DF1">
        <w:rPr>
          <w:rFonts w:ascii="Times New Roman" w:hAnsi="Times New Roman" w:cs="Times New Roman"/>
          <w:b/>
          <w:sz w:val="28"/>
          <w:szCs w:val="28"/>
        </w:rPr>
        <w:t>Updated Practice Court procedures (</w:t>
      </w:r>
      <w:r w:rsidR="003C4699">
        <w:rPr>
          <w:rFonts w:ascii="Times New Roman" w:hAnsi="Times New Roman" w:cs="Times New Roman"/>
          <w:b/>
          <w:sz w:val="28"/>
          <w:szCs w:val="28"/>
        </w:rPr>
        <w:t>Commercial Court</w:t>
      </w:r>
      <w:r w:rsidRPr="005E2DF1">
        <w:rPr>
          <w:rFonts w:ascii="Times New Roman" w:hAnsi="Times New Roman" w:cs="Times New Roman"/>
          <w:b/>
          <w:sz w:val="28"/>
          <w:szCs w:val="28"/>
        </w:rPr>
        <w:t>)</w:t>
      </w:r>
    </w:p>
    <w:p w:rsidR="00151B8C" w:rsidRPr="005E2DF1" w:rsidRDefault="00151B8C" w:rsidP="00881E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2DF1" w:rsidRPr="005E2DF1" w:rsidRDefault="005E2DF1" w:rsidP="00881E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760C" w:rsidRPr="001E760C" w:rsidRDefault="001E760C" w:rsidP="001E7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60C">
        <w:rPr>
          <w:rFonts w:ascii="Times New Roman" w:hAnsi="Times New Roman" w:cs="Times New Roman"/>
          <w:sz w:val="24"/>
          <w:szCs w:val="24"/>
        </w:rPr>
        <w:t>From 29 February 2016, urgent applications involving a commercial dispute will no longer be heard in the Practice Court but instead will be dealt with in accordance with the procedures set out below.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60C" w:rsidRPr="001E760C" w:rsidRDefault="001E760C" w:rsidP="001E7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0C" w:rsidRPr="001E760C" w:rsidRDefault="001E760C" w:rsidP="001E7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60C">
        <w:rPr>
          <w:rFonts w:ascii="Times New Roman" w:hAnsi="Times New Roman" w:cs="Times New Roman"/>
          <w:sz w:val="24"/>
          <w:szCs w:val="24"/>
        </w:rPr>
        <w:t xml:space="preserve">During </w:t>
      </w:r>
      <w:r w:rsidRPr="001E760C">
        <w:rPr>
          <w:rFonts w:ascii="Times New Roman" w:hAnsi="Times New Roman" w:cs="Times New Roman"/>
          <w:b/>
          <w:sz w:val="24"/>
          <w:szCs w:val="24"/>
        </w:rPr>
        <w:t>ordinary business hours</w:t>
      </w:r>
      <w:r w:rsidRPr="001E760C">
        <w:rPr>
          <w:rFonts w:ascii="Times New Roman" w:hAnsi="Times New Roman" w:cs="Times New Roman"/>
          <w:sz w:val="24"/>
          <w:szCs w:val="24"/>
        </w:rPr>
        <w:t>, an application for genuinely urgent relief may be made as follows:</w:t>
      </w:r>
    </w:p>
    <w:p w:rsidR="001E760C" w:rsidRPr="001E760C" w:rsidRDefault="001E760C" w:rsidP="001E7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0C" w:rsidRPr="001E760C" w:rsidRDefault="001E760C" w:rsidP="001E760C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60C">
        <w:rPr>
          <w:rFonts w:ascii="Times New Roman" w:hAnsi="Times New Roman" w:cs="Times New Roman"/>
          <w:sz w:val="24"/>
          <w:szCs w:val="24"/>
        </w:rPr>
        <w:t xml:space="preserve">Where a proceeding has not yet been commenced or, if commenced, is not yet under management by a nominated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E760C">
        <w:rPr>
          <w:rFonts w:ascii="Times New Roman" w:hAnsi="Times New Roman" w:cs="Times New Roman"/>
          <w:sz w:val="24"/>
          <w:szCs w:val="24"/>
        </w:rPr>
        <w:t>udge, by contacting the Commercial Court Registry on 03 9603 4105.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60C">
        <w:rPr>
          <w:rFonts w:ascii="Times New Roman" w:hAnsi="Times New Roman" w:cs="Times New Roman"/>
          <w:sz w:val="24"/>
          <w:szCs w:val="24"/>
        </w:rPr>
        <w:t>The application may, depending on the nature of the matter and judicial availability, either be referred to the Commercial Court Duty Judge or the Corporations List Managing Judge.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60C" w:rsidRPr="001E760C" w:rsidRDefault="001E760C" w:rsidP="001E7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0C" w:rsidRPr="001E760C" w:rsidRDefault="001E760C" w:rsidP="001E760C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60C">
        <w:rPr>
          <w:rFonts w:ascii="Times New Roman" w:hAnsi="Times New Roman" w:cs="Times New Roman"/>
          <w:sz w:val="24"/>
          <w:szCs w:val="24"/>
        </w:rPr>
        <w:t xml:space="preserve">Where a proceeding is under management by a nominated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E760C">
        <w:rPr>
          <w:rFonts w:ascii="Times New Roman" w:hAnsi="Times New Roman" w:cs="Times New Roman"/>
          <w:sz w:val="24"/>
          <w:szCs w:val="24"/>
        </w:rPr>
        <w:t xml:space="preserve">udge, by contacting the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E760C">
        <w:rPr>
          <w:rFonts w:ascii="Times New Roman" w:hAnsi="Times New Roman" w:cs="Times New Roman"/>
          <w:sz w:val="24"/>
          <w:szCs w:val="24"/>
        </w:rPr>
        <w:t xml:space="preserve">ssociate to the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E760C">
        <w:rPr>
          <w:rFonts w:ascii="Times New Roman" w:hAnsi="Times New Roman" w:cs="Times New Roman"/>
          <w:sz w:val="24"/>
          <w:szCs w:val="24"/>
        </w:rPr>
        <w:t>udge and then informing the Commercial Court Registry of the allocated return date.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60C">
        <w:rPr>
          <w:rFonts w:ascii="Times New Roman" w:hAnsi="Times New Roman" w:cs="Times New Roman"/>
          <w:sz w:val="24"/>
          <w:szCs w:val="24"/>
        </w:rPr>
        <w:t xml:space="preserve">If the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E760C">
        <w:rPr>
          <w:rFonts w:ascii="Times New Roman" w:hAnsi="Times New Roman" w:cs="Times New Roman"/>
          <w:sz w:val="24"/>
          <w:szCs w:val="24"/>
        </w:rPr>
        <w:t xml:space="preserve">ssociate to the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E760C">
        <w:rPr>
          <w:rFonts w:ascii="Times New Roman" w:hAnsi="Times New Roman" w:cs="Times New Roman"/>
          <w:sz w:val="24"/>
          <w:szCs w:val="24"/>
        </w:rPr>
        <w:t xml:space="preserve">anaging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E760C">
        <w:rPr>
          <w:rFonts w:ascii="Times New Roman" w:hAnsi="Times New Roman" w:cs="Times New Roman"/>
          <w:sz w:val="24"/>
          <w:szCs w:val="24"/>
        </w:rPr>
        <w:t>udge is unavailable, practitioners should contact the Commercial Court Registry on the above number.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60C" w:rsidRPr="001E760C" w:rsidRDefault="001E760C" w:rsidP="001E7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0C" w:rsidRPr="001E760C" w:rsidRDefault="001E760C" w:rsidP="001E7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60C">
        <w:rPr>
          <w:rFonts w:ascii="Times New Roman" w:hAnsi="Times New Roman" w:cs="Times New Roman"/>
          <w:sz w:val="24"/>
          <w:szCs w:val="24"/>
        </w:rPr>
        <w:t xml:space="preserve">An application for urgent relief before the Commercial Court Duty Judge may be initiated </w:t>
      </w:r>
      <w:r w:rsidRPr="001E760C">
        <w:rPr>
          <w:rFonts w:ascii="Times New Roman" w:hAnsi="Times New Roman" w:cs="Times New Roman"/>
          <w:b/>
          <w:sz w:val="24"/>
          <w:szCs w:val="24"/>
        </w:rPr>
        <w:t>outside ordinary business hours</w:t>
      </w:r>
      <w:r w:rsidRPr="001E760C">
        <w:rPr>
          <w:rFonts w:ascii="Times New Roman" w:hAnsi="Times New Roman" w:cs="Times New Roman"/>
          <w:sz w:val="24"/>
          <w:szCs w:val="24"/>
        </w:rPr>
        <w:t xml:space="preserve"> by calling the ‘urgent applications’ telephone number notified on the </w:t>
      </w:r>
      <w:hyperlink r:id="rId10" w:history="1">
        <w:r w:rsidRPr="000C0783">
          <w:rPr>
            <w:rStyle w:val="Hyperlink"/>
            <w:rFonts w:ascii="Times New Roman" w:hAnsi="Times New Roman" w:cs="Times New Roman"/>
            <w:sz w:val="24"/>
            <w:szCs w:val="24"/>
          </w:rPr>
          <w:t>Commercial Court page</w:t>
        </w:r>
      </w:hyperlink>
      <w:r w:rsidRPr="001E760C">
        <w:rPr>
          <w:rFonts w:ascii="Times New Roman" w:hAnsi="Times New Roman" w:cs="Times New Roman"/>
          <w:sz w:val="24"/>
          <w:szCs w:val="24"/>
        </w:rPr>
        <w:t xml:space="preserve"> of the Supreme Court website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60C" w:rsidRPr="001E760C" w:rsidRDefault="001E760C" w:rsidP="001E7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0C" w:rsidRPr="001E760C" w:rsidRDefault="001E760C" w:rsidP="001E7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60C">
        <w:rPr>
          <w:rFonts w:ascii="Times New Roman" w:hAnsi="Times New Roman" w:cs="Times New Roman"/>
          <w:sz w:val="24"/>
          <w:szCs w:val="24"/>
        </w:rPr>
        <w:t>An applicant seeking urgent relief must be in a position to provide the person so contacted with the information set out in the Schedule to this Notice.</w:t>
      </w:r>
    </w:p>
    <w:p w:rsidR="001E760C" w:rsidRPr="001E760C" w:rsidRDefault="001E760C" w:rsidP="001E7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0C" w:rsidRPr="001E760C" w:rsidRDefault="001E760C" w:rsidP="001E7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60C">
        <w:rPr>
          <w:rFonts w:ascii="Times New Roman" w:hAnsi="Times New Roman" w:cs="Times New Roman"/>
          <w:sz w:val="24"/>
          <w:szCs w:val="24"/>
        </w:rPr>
        <w:t xml:space="preserve">The protocols for making urgent applications in the Arbitration List as set out in </w:t>
      </w:r>
      <w:hyperlink r:id="rId11" w:history="1">
        <w:r w:rsidRPr="000C0783">
          <w:rPr>
            <w:rStyle w:val="Hyperlink"/>
            <w:rFonts w:ascii="Times New Roman" w:hAnsi="Times New Roman" w:cs="Times New Roman"/>
            <w:sz w:val="24"/>
            <w:szCs w:val="24"/>
          </w:rPr>
          <w:t>Practice Note 8 of 2014</w:t>
        </w:r>
      </w:hyperlink>
      <w:r w:rsidRPr="001E760C">
        <w:rPr>
          <w:rFonts w:ascii="Times New Roman" w:hAnsi="Times New Roman" w:cs="Times New Roman"/>
          <w:sz w:val="24"/>
          <w:szCs w:val="24"/>
        </w:rPr>
        <w:t xml:space="preserve"> continue to apply. </w:t>
      </w:r>
    </w:p>
    <w:p w:rsidR="001E760C" w:rsidRPr="001E760C" w:rsidRDefault="001E760C" w:rsidP="001E76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60C">
        <w:rPr>
          <w:rFonts w:ascii="Times New Roman" w:hAnsi="Times New Roman" w:cs="Times New Roman"/>
          <w:sz w:val="24"/>
          <w:szCs w:val="24"/>
        </w:rPr>
        <w:br w:type="page"/>
      </w:r>
      <w:r w:rsidRPr="001E760C">
        <w:rPr>
          <w:rFonts w:ascii="Times New Roman" w:hAnsi="Times New Roman" w:cs="Times New Roman"/>
          <w:b/>
          <w:sz w:val="24"/>
          <w:szCs w:val="24"/>
        </w:rPr>
        <w:lastRenderedPageBreak/>
        <w:t>Schedule</w:t>
      </w:r>
    </w:p>
    <w:p w:rsidR="0004121D" w:rsidRDefault="0004121D" w:rsidP="001E76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60C" w:rsidRDefault="001E760C" w:rsidP="001E76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60C">
        <w:rPr>
          <w:rFonts w:ascii="Times New Roman" w:hAnsi="Times New Roman" w:cs="Times New Roman"/>
          <w:b/>
          <w:sz w:val="24"/>
          <w:szCs w:val="24"/>
        </w:rPr>
        <w:t>Information to be provided by party making urgent application</w:t>
      </w:r>
    </w:p>
    <w:p w:rsidR="0004121D" w:rsidRPr="001E760C" w:rsidRDefault="0004121D" w:rsidP="001E76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8"/>
        <w:gridCol w:w="4544"/>
      </w:tblGrid>
      <w:tr w:rsidR="001E760C" w:rsidRPr="001E760C" w:rsidTr="00A73F3D">
        <w:tc>
          <w:tcPr>
            <w:tcW w:w="4098" w:type="dxa"/>
            <w:shd w:val="clear" w:color="auto" w:fill="auto"/>
          </w:tcPr>
          <w:p w:rsidR="001E760C" w:rsidRPr="001E760C" w:rsidRDefault="001E760C" w:rsidP="001E76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4" w:type="dxa"/>
            <w:shd w:val="clear" w:color="auto" w:fill="auto"/>
          </w:tcPr>
          <w:p w:rsidR="001E760C" w:rsidRPr="0004121D" w:rsidRDefault="001E760C" w:rsidP="001E760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1D">
              <w:rPr>
                <w:rFonts w:ascii="Times New Roman" w:hAnsi="Times New Roman" w:cs="Times New Roman"/>
                <w:b/>
                <w:sz w:val="24"/>
                <w:szCs w:val="24"/>
              </w:rPr>
              <w:t>Example only</w:t>
            </w:r>
          </w:p>
        </w:tc>
      </w:tr>
      <w:tr w:rsidR="001E760C" w:rsidRPr="001E760C" w:rsidTr="00A73F3D">
        <w:tc>
          <w:tcPr>
            <w:tcW w:w="4098" w:type="dxa"/>
            <w:shd w:val="clear" w:color="auto" w:fill="auto"/>
          </w:tcPr>
          <w:p w:rsidR="001E760C" w:rsidRPr="001E760C" w:rsidRDefault="001E760C" w:rsidP="001E76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0C">
              <w:rPr>
                <w:rFonts w:ascii="Times New Roman" w:hAnsi="Times New Roman" w:cs="Times New Roman"/>
                <w:sz w:val="24"/>
                <w:szCs w:val="24"/>
              </w:rPr>
              <w:t xml:space="preserve">New proceeding </w:t>
            </w:r>
          </w:p>
        </w:tc>
        <w:tc>
          <w:tcPr>
            <w:tcW w:w="4544" w:type="dxa"/>
            <w:shd w:val="clear" w:color="auto" w:fill="auto"/>
          </w:tcPr>
          <w:p w:rsidR="001E760C" w:rsidRPr="001E760C" w:rsidRDefault="001E760C" w:rsidP="001E76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0C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1E760C" w:rsidRPr="001E760C" w:rsidTr="00A73F3D">
        <w:tc>
          <w:tcPr>
            <w:tcW w:w="4098" w:type="dxa"/>
            <w:shd w:val="clear" w:color="auto" w:fill="auto"/>
          </w:tcPr>
          <w:p w:rsidR="001E760C" w:rsidRPr="001E760C" w:rsidRDefault="001E760C" w:rsidP="001E76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0C">
              <w:rPr>
                <w:rFonts w:ascii="Times New Roman" w:hAnsi="Times New Roman" w:cs="Times New Roman"/>
                <w:sz w:val="24"/>
                <w:szCs w:val="24"/>
              </w:rPr>
              <w:t>Existing proceeding</w:t>
            </w:r>
          </w:p>
        </w:tc>
        <w:tc>
          <w:tcPr>
            <w:tcW w:w="4544" w:type="dxa"/>
            <w:shd w:val="clear" w:color="auto" w:fill="auto"/>
          </w:tcPr>
          <w:p w:rsidR="001E760C" w:rsidRPr="001E760C" w:rsidRDefault="001E760C" w:rsidP="001E76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0C">
              <w:rPr>
                <w:rFonts w:ascii="Times New Roman" w:hAnsi="Times New Roman" w:cs="Times New Roman"/>
                <w:sz w:val="24"/>
                <w:szCs w:val="24"/>
              </w:rPr>
              <w:t>File number: S ECI 2015 123123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760C" w:rsidRPr="001E760C" w:rsidTr="00A73F3D">
        <w:tc>
          <w:tcPr>
            <w:tcW w:w="4098" w:type="dxa"/>
            <w:shd w:val="clear" w:color="auto" w:fill="auto"/>
          </w:tcPr>
          <w:p w:rsidR="001E760C" w:rsidRPr="001E760C" w:rsidRDefault="001E760C" w:rsidP="001E76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0C">
              <w:rPr>
                <w:rFonts w:ascii="Times New Roman" w:hAnsi="Times New Roman" w:cs="Times New Roman"/>
                <w:sz w:val="24"/>
                <w:szCs w:val="24"/>
              </w:rPr>
              <w:t>Applicant and legal representative</w:t>
            </w:r>
          </w:p>
        </w:tc>
        <w:tc>
          <w:tcPr>
            <w:tcW w:w="4544" w:type="dxa"/>
            <w:shd w:val="clear" w:color="auto" w:fill="auto"/>
          </w:tcPr>
          <w:p w:rsidR="001E760C" w:rsidRPr="001E760C" w:rsidRDefault="001E760C" w:rsidP="001E76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0C">
              <w:rPr>
                <w:rFonts w:ascii="Times New Roman" w:hAnsi="Times New Roman" w:cs="Times New Roman"/>
                <w:sz w:val="24"/>
                <w:szCs w:val="24"/>
              </w:rPr>
              <w:t>Name/Name</w:t>
            </w:r>
          </w:p>
          <w:p w:rsidR="001E760C" w:rsidRPr="001E760C" w:rsidRDefault="001E760C" w:rsidP="001E76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0C">
              <w:rPr>
                <w:rFonts w:ascii="Times New Roman" w:hAnsi="Times New Roman" w:cs="Times New Roman"/>
                <w:sz w:val="24"/>
                <w:szCs w:val="24"/>
              </w:rPr>
              <w:t>Legal representative contact number:</w:t>
            </w:r>
          </w:p>
        </w:tc>
      </w:tr>
      <w:tr w:rsidR="001E760C" w:rsidRPr="001E760C" w:rsidTr="00A73F3D">
        <w:tc>
          <w:tcPr>
            <w:tcW w:w="4098" w:type="dxa"/>
            <w:shd w:val="clear" w:color="auto" w:fill="auto"/>
          </w:tcPr>
          <w:p w:rsidR="001E760C" w:rsidRPr="001E760C" w:rsidRDefault="001E760C" w:rsidP="001E76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0C">
              <w:rPr>
                <w:rFonts w:ascii="Times New Roman" w:hAnsi="Times New Roman" w:cs="Times New Roman"/>
                <w:sz w:val="24"/>
                <w:szCs w:val="24"/>
              </w:rPr>
              <w:t>Respondent and legal representative</w:t>
            </w:r>
          </w:p>
        </w:tc>
        <w:tc>
          <w:tcPr>
            <w:tcW w:w="4544" w:type="dxa"/>
            <w:shd w:val="clear" w:color="auto" w:fill="auto"/>
          </w:tcPr>
          <w:p w:rsidR="001E760C" w:rsidRPr="001E760C" w:rsidRDefault="001E760C" w:rsidP="001E76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0C">
              <w:rPr>
                <w:rFonts w:ascii="Times New Roman" w:hAnsi="Times New Roman" w:cs="Times New Roman"/>
                <w:sz w:val="24"/>
                <w:szCs w:val="24"/>
              </w:rPr>
              <w:t>Name/Name</w:t>
            </w:r>
          </w:p>
          <w:p w:rsidR="001E760C" w:rsidRPr="001E760C" w:rsidRDefault="001E760C" w:rsidP="001E76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0C">
              <w:rPr>
                <w:rFonts w:ascii="Times New Roman" w:hAnsi="Times New Roman" w:cs="Times New Roman"/>
                <w:sz w:val="24"/>
                <w:szCs w:val="24"/>
              </w:rPr>
              <w:t>Legal representative contact number:</w:t>
            </w:r>
          </w:p>
        </w:tc>
      </w:tr>
      <w:tr w:rsidR="001E760C" w:rsidRPr="001E760C" w:rsidTr="00A73F3D">
        <w:tc>
          <w:tcPr>
            <w:tcW w:w="4098" w:type="dxa"/>
            <w:shd w:val="clear" w:color="auto" w:fill="auto"/>
          </w:tcPr>
          <w:p w:rsidR="001E760C" w:rsidRPr="001E760C" w:rsidRDefault="001E760C" w:rsidP="001E76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0C">
              <w:rPr>
                <w:rFonts w:ascii="Times New Roman" w:hAnsi="Times New Roman" w:cs="Times New Roman"/>
                <w:sz w:val="24"/>
                <w:szCs w:val="24"/>
              </w:rPr>
              <w:t>Nature of Application</w:t>
            </w:r>
          </w:p>
        </w:tc>
        <w:tc>
          <w:tcPr>
            <w:tcW w:w="4544" w:type="dxa"/>
            <w:shd w:val="clear" w:color="auto" w:fill="auto"/>
          </w:tcPr>
          <w:p w:rsidR="001E760C" w:rsidRPr="001E760C" w:rsidRDefault="0004121D" w:rsidP="001E76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0C">
              <w:rPr>
                <w:rFonts w:ascii="Times New Roman" w:hAnsi="Times New Roman" w:cs="Times New Roman"/>
                <w:sz w:val="24"/>
                <w:szCs w:val="24"/>
              </w:rPr>
              <w:t>E.g.</w:t>
            </w:r>
            <w:r w:rsidR="001E760C" w:rsidRPr="001E760C">
              <w:rPr>
                <w:rFonts w:ascii="Times New Roman" w:hAnsi="Times New Roman" w:cs="Times New Roman"/>
                <w:sz w:val="24"/>
                <w:szCs w:val="24"/>
              </w:rPr>
              <w:t xml:space="preserve"> Restraining order to prevent re-entry to premises by Respondent. Respondent alleges breaches of lease which are denied by Applicant who operates a business from the premises. Applicant seeks an interim injunction to prevent re-entry and disruption to business pending hearing and determination of substantive issues regarding lease conditions.</w:t>
            </w:r>
          </w:p>
        </w:tc>
      </w:tr>
      <w:tr w:rsidR="001E760C" w:rsidRPr="001E760C" w:rsidTr="00A73F3D">
        <w:tc>
          <w:tcPr>
            <w:tcW w:w="4098" w:type="dxa"/>
            <w:shd w:val="clear" w:color="auto" w:fill="auto"/>
          </w:tcPr>
          <w:p w:rsidR="001E760C" w:rsidRPr="001E760C" w:rsidRDefault="001E760C" w:rsidP="001E76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0C">
              <w:rPr>
                <w:rFonts w:ascii="Times New Roman" w:hAnsi="Times New Roman" w:cs="Times New Roman"/>
                <w:sz w:val="24"/>
                <w:szCs w:val="24"/>
              </w:rPr>
              <w:t>Reason for urgency</w:t>
            </w:r>
          </w:p>
        </w:tc>
        <w:tc>
          <w:tcPr>
            <w:tcW w:w="4544" w:type="dxa"/>
            <w:shd w:val="clear" w:color="auto" w:fill="auto"/>
          </w:tcPr>
          <w:p w:rsidR="001E760C" w:rsidRPr="001E760C" w:rsidRDefault="001E760C" w:rsidP="001E76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0C">
              <w:rPr>
                <w:rFonts w:ascii="Times New Roman" w:hAnsi="Times New Roman" w:cs="Times New Roman"/>
                <w:sz w:val="24"/>
                <w:szCs w:val="24"/>
              </w:rPr>
              <w:t xml:space="preserve">Respondent issued a Notice of intention to re-enter premises within 48 hours at 9am this morning and despite several discussions between the </w:t>
            </w:r>
            <w:proofErr w:type="gramStart"/>
            <w:r w:rsidRPr="001E760C">
              <w:rPr>
                <w:rFonts w:ascii="Times New Roman" w:hAnsi="Times New Roman" w:cs="Times New Roman"/>
                <w:sz w:val="24"/>
                <w:szCs w:val="24"/>
              </w:rPr>
              <w:t>parties</w:t>
            </w:r>
            <w:proofErr w:type="gramEnd"/>
            <w:r w:rsidRPr="001E760C">
              <w:rPr>
                <w:rFonts w:ascii="Times New Roman" w:hAnsi="Times New Roman" w:cs="Times New Roman"/>
                <w:sz w:val="24"/>
                <w:szCs w:val="24"/>
              </w:rPr>
              <w:t xml:space="preserve"> solicitors, the Respondent’s solicitor has refused to give any assurance to delay re-entry pending hearing of substantial issues or give an undertaking as to damages.</w:t>
            </w:r>
          </w:p>
        </w:tc>
      </w:tr>
      <w:tr w:rsidR="001E760C" w:rsidRPr="001E760C" w:rsidTr="00A73F3D">
        <w:tc>
          <w:tcPr>
            <w:tcW w:w="4098" w:type="dxa"/>
            <w:shd w:val="clear" w:color="auto" w:fill="auto"/>
          </w:tcPr>
          <w:p w:rsidR="001E760C" w:rsidRPr="001E760C" w:rsidRDefault="001E760C" w:rsidP="001E76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0C">
              <w:rPr>
                <w:rFonts w:ascii="Times New Roman" w:hAnsi="Times New Roman" w:cs="Times New Roman"/>
                <w:sz w:val="24"/>
                <w:szCs w:val="24"/>
              </w:rPr>
              <w:t>On notice/ex parte/no respondent</w:t>
            </w:r>
          </w:p>
        </w:tc>
        <w:tc>
          <w:tcPr>
            <w:tcW w:w="4544" w:type="dxa"/>
            <w:shd w:val="clear" w:color="auto" w:fill="auto"/>
          </w:tcPr>
          <w:p w:rsidR="001E760C" w:rsidRPr="001E760C" w:rsidRDefault="001E760C" w:rsidP="001E76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0C">
              <w:rPr>
                <w:rFonts w:ascii="Times New Roman" w:hAnsi="Times New Roman" w:cs="Times New Roman"/>
                <w:sz w:val="24"/>
                <w:szCs w:val="24"/>
              </w:rPr>
              <w:t>On notice</w:t>
            </w:r>
          </w:p>
        </w:tc>
      </w:tr>
      <w:tr w:rsidR="001E760C" w:rsidRPr="001E760C" w:rsidTr="00A73F3D">
        <w:tc>
          <w:tcPr>
            <w:tcW w:w="4098" w:type="dxa"/>
            <w:shd w:val="clear" w:color="auto" w:fill="auto"/>
          </w:tcPr>
          <w:p w:rsidR="001E760C" w:rsidRPr="001E760C" w:rsidRDefault="001E760C" w:rsidP="001E76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0C">
              <w:rPr>
                <w:rFonts w:ascii="Times New Roman" w:hAnsi="Times New Roman" w:cs="Times New Roman"/>
                <w:sz w:val="24"/>
                <w:szCs w:val="24"/>
              </w:rPr>
              <w:t>Counsel briefed</w:t>
            </w:r>
          </w:p>
        </w:tc>
        <w:tc>
          <w:tcPr>
            <w:tcW w:w="4544" w:type="dxa"/>
            <w:shd w:val="clear" w:color="auto" w:fill="auto"/>
          </w:tcPr>
          <w:p w:rsidR="001E760C" w:rsidRPr="001E760C" w:rsidRDefault="001E760C" w:rsidP="001E76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0C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  <w:proofErr w:type="spellStart"/>
            <w:r w:rsidRPr="001E760C">
              <w:rPr>
                <w:rFonts w:ascii="Times New Roman" w:hAnsi="Times New Roman" w:cs="Times New Roman"/>
                <w:sz w:val="24"/>
                <w:szCs w:val="24"/>
              </w:rPr>
              <w:t>Rumpole</w:t>
            </w:r>
            <w:proofErr w:type="spellEnd"/>
            <w:r w:rsidRPr="001E760C">
              <w:rPr>
                <w:rFonts w:ascii="Times New Roman" w:hAnsi="Times New Roman" w:cs="Times New Roman"/>
                <w:sz w:val="24"/>
                <w:szCs w:val="24"/>
              </w:rPr>
              <w:t xml:space="preserve"> of Old Bailey Chambers</w:t>
            </w:r>
          </w:p>
        </w:tc>
      </w:tr>
      <w:tr w:rsidR="001E760C" w:rsidRPr="001E760C" w:rsidTr="00A73F3D">
        <w:tc>
          <w:tcPr>
            <w:tcW w:w="4098" w:type="dxa"/>
            <w:shd w:val="clear" w:color="auto" w:fill="auto"/>
          </w:tcPr>
          <w:p w:rsidR="001E760C" w:rsidRPr="001E760C" w:rsidRDefault="001E760C" w:rsidP="001E76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0C">
              <w:rPr>
                <w:rFonts w:ascii="Times New Roman" w:hAnsi="Times New Roman" w:cs="Times New Roman"/>
                <w:sz w:val="24"/>
                <w:szCs w:val="24"/>
              </w:rPr>
              <w:t>Hearing estimate</w:t>
            </w:r>
          </w:p>
        </w:tc>
        <w:tc>
          <w:tcPr>
            <w:tcW w:w="4544" w:type="dxa"/>
            <w:shd w:val="clear" w:color="auto" w:fill="auto"/>
          </w:tcPr>
          <w:p w:rsidR="001E760C" w:rsidRPr="001E760C" w:rsidRDefault="001E760C" w:rsidP="001E76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0C">
              <w:rPr>
                <w:rFonts w:ascii="Times New Roman" w:hAnsi="Times New Roman" w:cs="Times New Roman"/>
                <w:sz w:val="24"/>
                <w:szCs w:val="24"/>
              </w:rPr>
              <w:t>1-2 hours</w:t>
            </w:r>
          </w:p>
        </w:tc>
      </w:tr>
      <w:tr w:rsidR="001E760C" w:rsidRPr="001E760C" w:rsidTr="00A73F3D">
        <w:tc>
          <w:tcPr>
            <w:tcW w:w="4098" w:type="dxa"/>
            <w:shd w:val="clear" w:color="auto" w:fill="auto"/>
          </w:tcPr>
          <w:p w:rsidR="001E760C" w:rsidRPr="001E760C" w:rsidRDefault="001E760C" w:rsidP="001E76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0C">
              <w:rPr>
                <w:rFonts w:ascii="Times New Roman" w:hAnsi="Times New Roman" w:cs="Times New Roman"/>
                <w:sz w:val="24"/>
                <w:szCs w:val="24"/>
              </w:rPr>
              <w:t>Preferred date(s) and time(s)</w:t>
            </w:r>
          </w:p>
          <w:p w:rsidR="001E760C" w:rsidRPr="001E760C" w:rsidRDefault="001E760C" w:rsidP="001E76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1E760C" w:rsidRPr="001E760C" w:rsidRDefault="001E760C" w:rsidP="001E76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0C">
              <w:rPr>
                <w:rFonts w:ascii="Times New Roman" w:hAnsi="Times New Roman" w:cs="Times New Roman"/>
                <w:sz w:val="24"/>
                <w:szCs w:val="24"/>
              </w:rPr>
              <w:t>Tomorrow any time</w:t>
            </w:r>
          </w:p>
        </w:tc>
      </w:tr>
      <w:tr w:rsidR="001E760C" w:rsidRPr="001E760C" w:rsidTr="00A73F3D">
        <w:tc>
          <w:tcPr>
            <w:tcW w:w="4098" w:type="dxa"/>
            <w:shd w:val="clear" w:color="auto" w:fill="auto"/>
          </w:tcPr>
          <w:p w:rsidR="001E760C" w:rsidRPr="001E760C" w:rsidRDefault="001E760C" w:rsidP="001E76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0C">
              <w:rPr>
                <w:rFonts w:ascii="Times New Roman" w:hAnsi="Times New Roman" w:cs="Times New Roman"/>
                <w:sz w:val="24"/>
                <w:szCs w:val="24"/>
              </w:rPr>
              <w:t>When will documents be filed?</w:t>
            </w:r>
          </w:p>
        </w:tc>
        <w:tc>
          <w:tcPr>
            <w:tcW w:w="4544" w:type="dxa"/>
            <w:shd w:val="clear" w:color="auto" w:fill="auto"/>
          </w:tcPr>
          <w:p w:rsidR="001E760C" w:rsidRPr="001E760C" w:rsidRDefault="001E760C" w:rsidP="001E76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0C">
              <w:rPr>
                <w:rFonts w:ascii="Times New Roman" w:hAnsi="Times New Roman" w:cs="Times New Roman"/>
                <w:sz w:val="24"/>
                <w:szCs w:val="24"/>
              </w:rPr>
              <w:t>Today by 4pm</w:t>
            </w:r>
          </w:p>
        </w:tc>
      </w:tr>
    </w:tbl>
    <w:p w:rsidR="0023337C" w:rsidRPr="005E2DF1" w:rsidRDefault="0023337C" w:rsidP="005E2DF1">
      <w:pPr>
        <w:spacing w:after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sectPr w:rsidR="0023337C" w:rsidRPr="005E2DF1" w:rsidSect="00792C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8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3E4" w:rsidRDefault="009823E4" w:rsidP="00270D25">
      <w:pPr>
        <w:spacing w:after="0" w:line="240" w:lineRule="auto"/>
      </w:pPr>
      <w:r>
        <w:separator/>
      </w:r>
    </w:p>
  </w:endnote>
  <w:endnote w:type="continuationSeparator" w:id="0">
    <w:p w:rsidR="009823E4" w:rsidRDefault="009823E4" w:rsidP="0027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C6" w:rsidRDefault="006E30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171071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23E4" w:rsidRPr="005B7BE2" w:rsidRDefault="0067586E" w:rsidP="00792C16">
        <w:pPr>
          <w:pStyle w:val="Footer"/>
          <w:rPr>
            <w:rFonts w:ascii="Times New Roman" w:hAnsi="Times New Roman" w:cs="Times New Roman"/>
            <w:b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Notice to the Profession</w:t>
        </w:r>
        <w:r w:rsidR="00792C16" w:rsidRPr="00376FD3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376FD3">
          <w:rPr>
            <w:rFonts w:ascii="Times New Roman" w:hAnsi="Times New Roman" w:cs="Times New Roman"/>
            <w:sz w:val="20"/>
            <w:szCs w:val="20"/>
          </w:rPr>
          <w:t>–</w:t>
        </w:r>
        <w:r w:rsidR="00792C16" w:rsidRPr="005B7BE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5B7BE2" w:rsidRPr="005B7BE2">
          <w:rPr>
            <w:rFonts w:ascii="Times New Roman" w:hAnsi="Times New Roman" w:cs="Times New Roman"/>
            <w:sz w:val="20"/>
            <w:szCs w:val="20"/>
          </w:rPr>
          <w:t>Updated Practice Court procedures (</w:t>
        </w:r>
        <w:r w:rsidR="0004121D">
          <w:rPr>
            <w:rFonts w:ascii="Times New Roman" w:hAnsi="Times New Roman" w:cs="Times New Roman"/>
            <w:sz w:val="20"/>
            <w:szCs w:val="20"/>
          </w:rPr>
          <w:t>Commercial Court</w:t>
        </w:r>
        <w:r w:rsidR="005B7BE2" w:rsidRPr="005B7BE2">
          <w:rPr>
            <w:rFonts w:ascii="Times New Roman" w:hAnsi="Times New Roman" w:cs="Times New Roman"/>
            <w:sz w:val="20"/>
            <w:szCs w:val="20"/>
          </w:rPr>
          <w:t>)</w:t>
        </w:r>
        <w:r w:rsidR="005B7BE2">
          <w:rPr>
            <w:rFonts w:ascii="Times New Roman" w:hAnsi="Times New Roman" w:cs="Times New Roman"/>
            <w:b/>
            <w:sz w:val="20"/>
            <w:szCs w:val="20"/>
          </w:rPr>
          <w:tab/>
        </w:r>
        <w:r w:rsidR="00792C16" w:rsidRPr="00376FD3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="00792C16"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="00792C16" w:rsidRPr="00376FD3">
          <w:rPr>
            <w:rFonts w:ascii="Times New Roman" w:hAnsi="Times New Roman" w:cs="Times New Roman"/>
            <w:bCs/>
            <w:sz w:val="20"/>
            <w:szCs w:val="20"/>
          </w:rPr>
          <w:instrText xml:space="preserve"> PAGE  \* Arabic  \* MERGEFORMAT </w:instrText>
        </w:r>
        <w:r w:rsidR="00792C16"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A6776F">
          <w:rPr>
            <w:rFonts w:ascii="Times New Roman" w:hAnsi="Times New Roman" w:cs="Times New Roman"/>
            <w:bCs/>
            <w:noProof/>
            <w:sz w:val="20"/>
            <w:szCs w:val="20"/>
          </w:rPr>
          <w:t>2</w:t>
        </w:r>
        <w:r w:rsidR="00792C16"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="00792C16" w:rsidRPr="00376FD3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="00792C16"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="00792C16" w:rsidRPr="00376FD3">
          <w:rPr>
            <w:rFonts w:ascii="Times New Roman" w:hAnsi="Times New Roman" w:cs="Times New Roman"/>
            <w:bCs/>
            <w:sz w:val="20"/>
            <w:szCs w:val="20"/>
          </w:rPr>
          <w:instrText xml:space="preserve"> NUMPAGES  \* Arabic  \* MERGEFORMAT </w:instrText>
        </w:r>
        <w:r w:rsidR="00792C16"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A6776F">
          <w:rPr>
            <w:rFonts w:ascii="Times New Roman" w:hAnsi="Times New Roman" w:cs="Times New Roman"/>
            <w:bCs/>
            <w:noProof/>
            <w:sz w:val="20"/>
            <w:szCs w:val="20"/>
          </w:rPr>
          <w:t>2</w:t>
        </w:r>
        <w:r w:rsidR="00792C16"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p>
    </w:sdtContent>
  </w:sdt>
  <w:p w:rsidR="009823E4" w:rsidRDefault="009823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36908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2C16" w:rsidRPr="00792C16" w:rsidRDefault="00792C16" w:rsidP="00792C16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92C16">
          <w:rPr>
            <w:rFonts w:ascii="Times New Roman" w:hAnsi="Times New Roman" w:cs="Times New Roman"/>
            <w:sz w:val="20"/>
            <w:szCs w:val="20"/>
          </w:rPr>
          <w:tab/>
        </w:r>
        <w:r w:rsidRPr="00376FD3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instrText xml:space="preserve"> PAGE  \* Arabic  \* MERGEFORMAT </w:instrTex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A6776F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Pr="00376FD3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instrText xml:space="preserve"> NUMPAGES  \* Arabic  \* MERGEFORMAT </w:instrTex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A6776F">
          <w:rPr>
            <w:rFonts w:ascii="Times New Roman" w:hAnsi="Times New Roman" w:cs="Times New Roman"/>
            <w:bCs/>
            <w:noProof/>
            <w:sz w:val="20"/>
            <w:szCs w:val="20"/>
          </w:rPr>
          <w:t>2</w:t>
        </w:r>
        <w:r w:rsidRPr="00376FD3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p>
    </w:sdtContent>
  </w:sdt>
  <w:p w:rsidR="00792C16" w:rsidRDefault="00792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3E4" w:rsidRDefault="009823E4" w:rsidP="00270D25">
      <w:pPr>
        <w:spacing w:after="0" w:line="240" w:lineRule="auto"/>
      </w:pPr>
      <w:r>
        <w:separator/>
      </w:r>
    </w:p>
  </w:footnote>
  <w:footnote w:type="continuationSeparator" w:id="0">
    <w:p w:rsidR="009823E4" w:rsidRDefault="009823E4" w:rsidP="0027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C6" w:rsidRDefault="006E30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16" w:rsidRPr="00792C16" w:rsidRDefault="00A609FC" w:rsidP="00792C16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Supreme Court of </w:t>
    </w:r>
    <w:r w:rsidRPr="00A609FC">
      <w:rPr>
        <w:rFonts w:ascii="Times New Roman" w:hAnsi="Times New Roman" w:cs="Times New Roman"/>
        <w:sz w:val="20"/>
        <w:szCs w:val="20"/>
      </w:rPr>
      <w:t>Victoria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BC702B">
      <w:rPr>
        <w:rFonts w:ascii="Times New Roman" w:hAnsi="Times New Roman" w:cs="Times New Roman"/>
        <w:sz w:val="20"/>
        <w:szCs w:val="20"/>
      </w:rPr>
      <w:t>17 Fe</w:t>
    </w:r>
    <w:bookmarkStart w:id="0" w:name="_GoBack"/>
    <w:bookmarkEnd w:id="0"/>
    <w:r w:rsidR="00BC702B">
      <w:rPr>
        <w:rFonts w:ascii="Times New Roman" w:hAnsi="Times New Roman" w:cs="Times New Roman"/>
        <w:sz w:val="20"/>
        <w:szCs w:val="20"/>
      </w:rPr>
      <w:t>bruary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C6" w:rsidRDefault="006E30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334D5"/>
    <w:multiLevelType w:val="hybridMultilevel"/>
    <w:tmpl w:val="209A0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1411"/>
    <w:multiLevelType w:val="hybridMultilevel"/>
    <w:tmpl w:val="208290DA"/>
    <w:lvl w:ilvl="0" w:tplc="0C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0" w:hanging="360"/>
      </w:pPr>
    </w:lvl>
    <w:lvl w:ilvl="2" w:tplc="0C09001B" w:tentative="1">
      <w:start w:val="1"/>
      <w:numFmt w:val="lowerRoman"/>
      <w:lvlText w:val="%3."/>
      <w:lvlJc w:val="right"/>
      <w:pPr>
        <w:ind w:left="720" w:hanging="180"/>
      </w:pPr>
    </w:lvl>
    <w:lvl w:ilvl="3" w:tplc="0C09000F" w:tentative="1">
      <w:start w:val="1"/>
      <w:numFmt w:val="decimal"/>
      <w:lvlText w:val="%4."/>
      <w:lvlJc w:val="left"/>
      <w:pPr>
        <w:ind w:left="1440" w:hanging="360"/>
      </w:pPr>
    </w:lvl>
    <w:lvl w:ilvl="4" w:tplc="0C090019" w:tentative="1">
      <w:start w:val="1"/>
      <w:numFmt w:val="lowerLetter"/>
      <w:lvlText w:val="%5."/>
      <w:lvlJc w:val="left"/>
      <w:pPr>
        <w:ind w:left="2160" w:hanging="360"/>
      </w:pPr>
    </w:lvl>
    <w:lvl w:ilvl="5" w:tplc="0C09001B" w:tentative="1">
      <w:start w:val="1"/>
      <w:numFmt w:val="lowerRoman"/>
      <w:lvlText w:val="%6."/>
      <w:lvlJc w:val="right"/>
      <w:pPr>
        <w:ind w:left="2880" w:hanging="180"/>
      </w:pPr>
    </w:lvl>
    <w:lvl w:ilvl="6" w:tplc="0C09000F" w:tentative="1">
      <w:start w:val="1"/>
      <w:numFmt w:val="decimal"/>
      <w:lvlText w:val="%7."/>
      <w:lvlJc w:val="left"/>
      <w:pPr>
        <w:ind w:left="3600" w:hanging="360"/>
      </w:pPr>
    </w:lvl>
    <w:lvl w:ilvl="7" w:tplc="0C090019" w:tentative="1">
      <w:start w:val="1"/>
      <w:numFmt w:val="lowerLetter"/>
      <w:lvlText w:val="%8."/>
      <w:lvlJc w:val="left"/>
      <w:pPr>
        <w:ind w:left="4320" w:hanging="360"/>
      </w:pPr>
    </w:lvl>
    <w:lvl w:ilvl="8" w:tplc="0C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17DA477F"/>
    <w:multiLevelType w:val="hybridMultilevel"/>
    <w:tmpl w:val="2C24B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577F5"/>
    <w:multiLevelType w:val="hybridMultilevel"/>
    <w:tmpl w:val="EFD4226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D522F0"/>
    <w:multiLevelType w:val="hybridMultilevel"/>
    <w:tmpl w:val="1EACF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43228"/>
    <w:multiLevelType w:val="hybridMultilevel"/>
    <w:tmpl w:val="C284FA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40957"/>
    <w:multiLevelType w:val="hybridMultilevel"/>
    <w:tmpl w:val="1864F47C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E4363C"/>
    <w:multiLevelType w:val="hybridMultilevel"/>
    <w:tmpl w:val="D85CE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14953"/>
    <w:multiLevelType w:val="hybridMultilevel"/>
    <w:tmpl w:val="65806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E47EE"/>
    <w:multiLevelType w:val="hybridMultilevel"/>
    <w:tmpl w:val="720E1576"/>
    <w:lvl w:ilvl="0" w:tplc="56AEE0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40067"/>
    <w:multiLevelType w:val="hybridMultilevel"/>
    <w:tmpl w:val="5A527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5230E"/>
    <w:multiLevelType w:val="hybridMultilevel"/>
    <w:tmpl w:val="FAAEAAC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B5880"/>
    <w:multiLevelType w:val="hybridMultilevel"/>
    <w:tmpl w:val="FAF88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04E66"/>
    <w:multiLevelType w:val="hybridMultilevel"/>
    <w:tmpl w:val="EC8AF7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B63A0"/>
    <w:multiLevelType w:val="hybridMultilevel"/>
    <w:tmpl w:val="66207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757C3"/>
    <w:multiLevelType w:val="hybridMultilevel"/>
    <w:tmpl w:val="28A211D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7F05CE"/>
    <w:multiLevelType w:val="hybridMultilevel"/>
    <w:tmpl w:val="D2FA78B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5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F2"/>
    <w:rsid w:val="0004121D"/>
    <w:rsid w:val="000454A2"/>
    <w:rsid w:val="00054B4C"/>
    <w:rsid w:val="00071B54"/>
    <w:rsid w:val="00080004"/>
    <w:rsid w:val="00082E94"/>
    <w:rsid w:val="000A32D8"/>
    <w:rsid w:val="000A71AC"/>
    <w:rsid w:val="000B4C00"/>
    <w:rsid w:val="000B50D6"/>
    <w:rsid w:val="000C0783"/>
    <w:rsid w:val="000D44DD"/>
    <w:rsid w:val="0010305C"/>
    <w:rsid w:val="00106D9C"/>
    <w:rsid w:val="001160FC"/>
    <w:rsid w:val="00131D76"/>
    <w:rsid w:val="001516CA"/>
    <w:rsid w:val="00151B8C"/>
    <w:rsid w:val="00157399"/>
    <w:rsid w:val="001670FE"/>
    <w:rsid w:val="001730CA"/>
    <w:rsid w:val="001E56E4"/>
    <w:rsid w:val="001E760C"/>
    <w:rsid w:val="001E7B94"/>
    <w:rsid w:val="00215381"/>
    <w:rsid w:val="00230F7F"/>
    <w:rsid w:val="0023337C"/>
    <w:rsid w:val="00237CC5"/>
    <w:rsid w:val="00252E3F"/>
    <w:rsid w:val="00260F42"/>
    <w:rsid w:val="00264AB9"/>
    <w:rsid w:val="00270D25"/>
    <w:rsid w:val="0029684F"/>
    <w:rsid w:val="002B3DD3"/>
    <w:rsid w:val="002C4DA3"/>
    <w:rsid w:val="002D0D4B"/>
    <w:rsid w:val="002D19B9"/>
    <w:rsid w:val="00305B20"/>
    <w:rsid w:val="0034416C"/>
    <w:rsid w:val="00346DDB"/>
    <w:rsid w:val="003501F8"/>
    <w:rsid w:val="0036016E"/>
    <w:rsid w:val="0037198F"/>
    <w:rsid w:val="00376FD3"/>
    <w:rsid w:val="0038456B"/>
    <w:rsid w:val="003940A7"/>
    <w:rsid w:val="003B1678"/>
    <w:rsid w:val="003C4699"/>
    <w:rsid w:val="003C797F"/>
    <w:rsid w:val="003F2550"/>
    <w:rsid w:val="00433C65"/>
    <w:rsid w:val="00466C0D"/>
    <w:rsid w:val="004A60CC"/>
    <w:rsid w:val="004A7684"/>
    <w:rsid w:val="004C1E8C"/>
    <w:rsid w:val="004E17E9"/>
    <w:rsid w:val="005033B3"/>
    <w:rsid w:val="005062E1"/>
    <w:rsid w:val="005115C5"/>
    <w:rsid w:val="005121E2"/>
    <w:rsid w:val="00513E05"/>
    <w:rsid w:val="005273A8"/>
    <w:rsid w:val="0052758A"/>
    <w:rsid w:val="00540D3A"/>
    <w:rsid w:val="00564BAA"/>
    <w:rsid w:val="00567016"/>
    <w:rsid w:val="00585DCD"/>
    <w:rsid w:val="005A10F0"/>
    <w:rsid w:val="005B6AA1"/>
    <w:rsid w:val="005B7BE2"/>
    <w:rsid w:val="005C7732"/>
    <w:rsid w:val="005E2DF1"/>
    <w:rsid w:val="005F1AF2"/>
    <w:rsid w:val="00603012"/>
    <w:rsid w:val="006041D7"/>
    <w:rsid w:val="00606BDD"/>
    <w:rsid w:val="0064588C"/>
    <w:rsid w:val="00656564"/>
    <w:rsid w:val="00656C33"/>
    <w:rsid w:val="0066652C"/>
    <w:rsid w:val="0067586E"/>
    <w:rsid w:val="006E0A8E"/>
    <w:rsid w:val="006E30C6"/>
    <w:rsid w:val="00717A86"/>
    <w:rsid w:val="00750C38"/>
    <w:rsid w:val="00792C16"/>
    <w:rsid w:val="007B438D"/>
    <w:rsid w:val="007B54F2"/>
    <w:rsid w:val="007B5DF8"/>
    <w:rsid w:val="007B7F06"/>
    <w:rsid w:val="007C1D16"/>
    <w:rsid w:val="007C7DC6"/>
    <w:rsid w:val="007D29D4"/>
    <w:rsid w:val="007D3ECB"/>
    <w:rsid w:val="007D49F6"/>
    <w:rsid w:val="007E175B"/>
    <w:rsid w:val="007F680C"/>
    <w:rsid w:val="008010EF"/>
    <w:rsid w:val="008043C3"/>
    <w:rsid w:val="0081362F"/>
    <w:rsid w:val="008165DA"/>
    <w:rsid w:val="00853A3B"/>
    <w:rsid w:val="00864402"/>
    <w:rsid w:val="00874810"/>
    <w:rsid w:val="00881ED0"/>
    <w:rsid w:val="009034E0"/>
    <w:rsid w:val="0091375D"/>
    <w:rsid w:val="00950064"/>
    <w:rsid w:val="00950249"/>
    <w:rsid w:val="00951DBF"/>
    <w:rsid w:val="0096608C"/>
    <w:rsid w:val="00973024"/>
    <w:rsid w:val="00981951"/>
    <w:rsid w:val="009823E4"/>
    <w:rsid w:val="009B6AA8"/>
    <w:rsid w:val="009E008E"/>
    <w:rsid w:val="009E5F0A"/>
    <w:rsid w:val="009F1402"/>
    <w:rsid w:val="00A02F28"/>
    <w:rsid w:val="00A03861"/>
    <w:rsid w:val="00A47510"/>
    <w:rsid w:val="00A609FC"/>
    <w:rsid w:val="00A629F0"/>
    <w:rsid w:val="00A6776F"/>
    <w:rsid w:val="00A92DFC"/>
    <w:rsid w:val="00AA1ED1"/>
    <w:rsid w:val="00AF3018"/>
    <w:rsid w:val="00B133B0"/>
    <w:rsid w:val="00B13C09"/>
    <w:rsid w:val="00B2423B"/>
    <w:rsid w:val="00B2517B"/>
    <w:rsid w:val="00B30595"/>
    <w:rsid w:val="00B50375"/>
    <w:rsid w:val="00B5578D"/>
    <w:rsid w:val="00B65004"/>
    <w:rsid w:val="00B737DB"/>
    <w:rsid w:val="00B8480B"/>
    <w:rsid w:val="00BC022E"/>
    <w:rsid w:val="00BC57C6"/>
    <w:rsid w:val="00BC702B"/>
    <w:rsid w:val="00BD214F"/>
    <w:rsid w:val="00BD6E46"/>
    <w:rsid w:val="00BE049D"/>
    <w:rsid w:val="00BF6A90"/>
    <w:rsid w:val="00BF7AC3"/>
    <w:rsid w:val="00BF7E13"/>
    <w:rsid w:val="00C53C9E"/>
    <w:rsid w:val="00C96892"/>
    <w:rsid w:val="00CA788C"/>
    <w:rsid w:val="00CC2FDB"/>
    <w:rsid w:val="00CD39D5"/>
    <w:rsid w:val="00CF2112"/>
    <w:rsid w:val="00D065D6"/>
    <w:rsid w:val="00D137C0"/>
    <w:rsid w:val="00D1750B"/>
    <w:rsid w:val="00D2329C"/>
    <w:rsid w:val="00D32BF3"/>
    <w:rsid w:val="00D37F0C"/>
    <w:rsid w:val="00D40552"/>
    <w:rsid w:val="00D85977"/>
    <w:rsid w:val="00DD7C88"/>
    <w:rsid w:val="00DE7899"/>
    <w:rsid w:val="00DF368C"/>
    <w:rsid w:val="00DF3844"/>
    <w:rsid w:val="00DF5752"/>
    <w:rsid w:val="00E0058F"/>
    <w:rsid w:val="00E03333"/>
    <w:rsid w:val="00E04FA5"/>
    <w:rsid w:val="00E11E9F"/>
    <w:rsid w:val="00E24AB3"/>
    <w:rsid w:val="00E45DC2"/>
    <w:rsid w:val="00E622E0"/>
    <w:rsid w:val="00E85145"/>
    <w:rsid w:val="00EB1FB1"/>
    <w:rsid w:val="00EC589B"/>
    <w:rsid w:val="00ED2493"/>
    <w:rsid w:val="00EE434D"/>
    <w:rsid w:val="00F34D48"/>
    <w:rsid w:val="00F773D5"/>
    <w:rsid w:val="00FB08B3"/>
    <w:rsid w:val="00FB1A5C"/>
    <w:rsid w:val="00FD0ADF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C2A8F50-472E-41D7-9962-AEB4D7D6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2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D25"/>
  </w:style>
  <w:style w:type="paragraph" w:styleId="Footer">
    <w:name w:val="footer"/>
    <w:basedOn w:val="Normal"/>
    <w:link w:val="FooterChar"/>
    <w:uiPriority w:val="99"/>
    <w:unhideWhenUsed/>
    <w:rsid w:val="00270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D25"/>
  </w:style>
  <w:style w:type="character" w:styleId="CommentReference">
    <w:name w:val="annotation reference"/>
    <w:basedOn w:val="DefaultParagraphFont"/>
    <w:uiPriority w:val="99"/>
    <w:semiHidden/>
    <w:unhideWhenUsed/>
    <w:rsid w:val="00E85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14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7E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E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7E1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2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premecourt.vic.gov.au/home/law+and+practice/rules+and+practice+notes/practice+note+8+of+2014+commercial+arbitration+busines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upremecourt.vic.gov.au/home/law+and+practice/areas+of+the+court/commercial+cour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confluence-scv/download/attachments/1082116/SCV_RGB_B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FBF0D-31E9-4AD6-BAC1-DE0AC4A9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Victoria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Murphy</dc:creator>
  <cp:keywords/>
  <dc:description/>
  <cp:lastModifiedBy>Bronwyn Gardiner</cp:lastModifiedBy>
  <cp:revision>3</cp:revision>
  <cp:lastPrinted>2016-02-16T22:30:00Z</cp:lastPrinted>
  <dcterms:created xsi:type="dcterms:W3CDTF">2016-02-16T22:29:00Z</dcterms:created>
  <dcterms:modified xsi:type="dcterms:W3CDTF">2016-02-16T22:30:00Z</dcterms:modified>
</cp:coreProperties>
</file>