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347FE10"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CL 1</w:t>
      </w:r>
    </w:p>
    <w:p w14:paraId="66779301" w14:textId="2C26855A" w:rsidR="00271B59" w:rsidRDefault="000117C7"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Civil Circuit 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A50A22" w:rsidRDefault="00A50A22" w:rsidP="00931493">
      <w:pPr>
        <w:pStyle w:val="ListParagraph"/>
        <w:keepNext/>
        <w:numPr>
          <w:ilvl w:val="0"/>
          <w:numId w:val="30"/>
        </w:numPr>
        <w:autoSpaceDE w:val="0"/>
        <w:autoSpaceDN w:val="0"/>
        <w:adjustRightInd w:val="0"/>
        <w:spacing w:before="120" w:after="120"/>
        <w:rPr>
          <w:rFonts w:ascii="Book Antiqua" w:hAnsi="Book Antiqua"/>
          <w:b/>
          <w:color w:val="000000"/>
          <w:sz w:val="36"/>
        </w:rPr>
      </w:pPr>
      <w:r w:rsidRPr="00A50A22">
        <w:rPr>
          <w:rFonts w:ascii="Book Antiqua" w:hAnsi="Book Antiqua"/>
          <w:b/>
          <w:sz w:val="24"/>
        </w:rPr>
        <w:t>INTRODUCTION</w:t>
      </w:r>
    </w:p>
    <w:p w14:paraId="48A07A23" w14:textId="77777777" w:rsidR="00A50A22" w:rsidRPr="007917BE" w:rsidRDefault="00A50A22" w:rsidP="00931493">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Pr>
          <w:rFonts w:ascii="Book Antiqua" w:hAnsi="Book Antiqua"/>
          <w:sz w:val="24"/>
          <w:szCs w:val="24"/>
        </w:rPr>
        <w:t>authorised</w:t>
      </w:r>
      <w:r w:rsidRPr="007917BE">
        <w:rPr>
          <w:rFonts w:ascii="Book Antiqua" w:hAnsi="Book Antiqua"/>
          <w:sz w:val="24"/>
          <w:szCs w:val="24"/>
        </w:rPr>
        <w:t xml:space="preserve"> the </w:t>
      </w:r>
      <w:r>
        <w:rPr>
          <w:rFonts w:ascii="Book Antiqua" w:hAnsi="Book Antiqua"/>
          <w:sz w:val="24"/>
          <w:szCs w:val="24"/>
        </w:rPr>
        <w:t>issue</w:t>
      </w:r>
      <w:r w:rsidRPr="007917BE">
        <w:rPr>
          <w:rFonts w:ascii="Book Antiqua" w:hAnsi="Book Antiqua"/>
          <w:sz w:val="24"/>
          <w:szCs w:val="24"/>
        </w:rPr>
        <w:t xml:space="preserve"> of the following Practice Note.</w:t>
      </w:r>
    </w:p>
    <w:p w14:paraId="4F7A6C80" w14:textId="2CC0082B" w:rsidR="00A50A22" w:rsidRDefault="00A50A22" w:rsidP="00931493">
      <w:pPr>
        <w:pStyle w:val="ListParagraph"/>
        <w:numPr>
          <w:ilvl w:val="1"/>
          <w:numId w:val="30"/>
        </w:numPr>
        <w:spacing w:before="120" w:after="120"/>
        <w:jc w:val="both"/>
        <w:rPr>
          <w:rFonts w:ascii="Book Antiqua" w:hAnsi="Book Antiqua"/>
          <w:sz w:val="24"/>
          <w:szCs w:val="24"/>
        </w:rPr>
      </w:pPr>
      <w:r w:rsidRPr="007917BE">
        <w:rPr>
          <w:rFonts w:ascii="Book Antiqua" w:hAnsi="Book Antiqua"/>
          <w:sz w:val="24"/>
          <w:szCs w:val="24"/>
        </w:rPr>
        <w:t>The purpose of this Practice Note is t</w:t>
      </w:r>
      <w:r>
        <w:rPr>
          <w:rFonts w:ascii="Book Antiqua" w:hAnsi="Book Antiqua"/>
          <w:sz w:val="24"/>
          <w:szCs w:val="24"/>
        </w:rPr>
        <w:t>o describe the procedures to be followed in</w:t>
      </w:r>
      <w:r w:rsidR="00641C0A">
        <w:rPr>
          <w:rFonts w:ascii="Book Antiqua" w:hAnsi="Book Antiqua"/>
          <w:sz w:val="24"/>
          <w:szCs w:val="24"/>
        </w:rPr>
        <w:t xml:space="preserve"> the</w:t>
      </w:r>
      <w:r>
        <w:rPr>
          <w:rFonts w:ascii="Book Antiqua" w:hAnsi="Book Antiqua"/>
          <w:sz w:val="24"/>
          <w:szCs w:val="24"/>
        </w:rPr>
        <w:t xml:space="preserve"> Civil Circuit List. </w:t>
      </w:r>
      <w:r w:rsidR="00D34297">
        <w:rPr>
          <w:rFonts w:ascii="Book Antiqua" w:hAnsi="Book Antiqua"/>
          <w:sz w:val="24"/>
          <w:szCs w:val="24"/>
        </w:rPr>
        <w:t xml:space="preserve"> </w:t>
      </w:r>
      <w:r>
        <w:rPr>
          <w:rFonts w:ascii="Book Antiqua" w:hAnsi="Book Antiqua"/>
          <w:sz w:val="24"/>
          <w:szCs w:val="24"/>
        </w:rPr>
        <w:t>The List is a case management list within the Common Law Division of the Court.</w:t>
      </w:r>
    </w:p>
    <w:p w14:paraId="26A157E6" w14:textId="6D704905" w:rsidR="00A50A22" w:rsidRDefault="00A50A22" w:rsidP="00931493">
      <w:pPr>
        <w:pStyle w:val="ListParagraph"/>
        <w:numPr>
          <w:ilvl w:val="1"/>
          <w:numId w:val="30"/>
        </w:numPr>
        <w:spacing w:before="120" w:after="120"/>
        <w:jc w:val="both"/>
        <w:rPr>
          <w:rFonts w:ascii="Book Antiqua" w:hAnsi="Book Antiqua"/>
          <w:sz w:val="24"/>
          <w:szCs w:val="24"/>
        </w:rPr>
      </w:pPr>
      <w:r w:rsidRPr="00281E4F">
        <w:rPr>
          <w:rFonts w:ascii="Book Antiqua" w:hAnsi="Book Antiqua"/>
          <w:sz w:val="24"/>
          <w:szCs w:val="24"/>
        </w:rPr>
        <w:t xml:space="preserve">To provide parties residing in regional Victoria with greater access to the Court, civil trials may be heard in Ballarat, Bendigo, Geelong, Hamilton, Horsham, Mildura, Morwell, Sale, Shepparton, Wangaratta, Warrnambool and Wodonga. </w:t>
      </w:r>
      <w:r w:rsidR="00D34297">
        <w:rPr>
          <w:rFonts w:ascii="Book Antiqua" w:hAnsi="Book Antiqua"/>
          <w:sz w:val="24"/>
          <w:szCs w:val="24"/>
        </w:rPr>
        <w:t xml:space="preserve"> </w:t>
      </w:r>
      <w:r w:rsidRPr="00281E4F">
        <w:rPr>
          <w:rFonts w:ascii="Book Antiqua" w:hAnsi="Book Antiqua"/>
          <w:sz w:val="24"/>
          <w:szCs w:val="24"/>
        </w:rPr>
        <w:t>The purpose of the List is to co-ordinate the hearing of civil trials in these locations.</w:t>
      </w:r>
    </w:p>
    <w:p w14:paraId="5420E1BE" w14:textId="77777777" w:rsidR="00A50A22" w:rsidRPr="00A50A22" w:rsidRDefault="00A50A22" w:rsidP="00931493">
      <w:pPr>
        <w:spacing w:before="120" w:after="120"/>
        <w:jc w:val="both"/>
        <w:rPr>
          <w:rFonts w:ascii="Book Antiqua" w:hAnsi="Book Antiqua"/>
        </w:rPr>
      </w:pPr>
    </w:p>
    <w:p w14:paraId="46B7AF83" w14:textId="26A7C8D0" w:rsidR="00A50A22" w:rsidRPr="00FD4B3F" w:rsidRDefault="00A50A22" w:rsidP="00931493">
      <w:pPr>
        <w:pStyle w:val="ListParagraph"/>
        <w:keepNext/>
        <w:numPr>
          <w:ilvl w:val="0"/>
          <w:numId w:val="30"/>
        </w:numPr>
        <w:autoSpaceDE w:val="0"/>
        <w:autoSpaceDN w:val="0"/>
        <w:adjustRightInd w:val="0"/>
        <w:spacing w:before="120" w:after="120"/>
        <w:rPr>
          <w:rFonts w:ascii="Book Antiqua" w:hAnsi="Book Antiqua"/>
          <w:sz w:val="24"/>
          <w:szCs w:val="24"/>
        </w:rPr>
      </w:pPr>
      <w:r w:rsidRPr="00FD4B3F">
        <w:rPr>
          <w:rFonts w:ascii="Book Antiqua" w:hAnsi="Book Antiqua"/>
          <w:b/>
          <w:sz w:val="24"/>
        </w:rPr>
        <w:t>DEFINITIONS</w:t>
      </w:r>
    </w:p>
    <w:p w14:paraId="2E1BCC71" w14:textId="77777777" w:rsidR="00A50A22" w:rsidRDefault="00A50A22" w:rsidP="00931493">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In this Practice Note:</w:t>
      </w:r>
    </w:p>
    <w:p w14:paraId="2FB236E9" w14:textId="6E74C9D7" w:rsidR="004C36A5" w:rsidRDefault="00A50A22" w:rsidP="00931493">
      <w:pPr>
        <w:pStyle w:val="ListParagraph"/>
        <w:spacing w:before="120" w:after="120"/>
        <w:ind w:left="360" w:firstLine="360"/>
        <w:jc w:val="both"/>
        <w:rPr>
          <w:rFonts w:ascii="Book Antiqua" w:hAnsi="Book Antiqua"/>
          <w:sz w:val="24"/>
          <w:szCs w:val="24"/>
        </w:rPr>
      </w:pPr>
      <w:r w:rsidRPr="00A50A22">
        <w:rPr>
          <w:rFonts w:ascii="Book Antiqua" w:hAnsi="Book Antiqua"/>
          <w:b/>
          <w:i/>
          <w:sz w:val="24"/>
          <w:szCs w:val="24"/>
        </w:rPr>
        <w:t>List</w:t>
      </w:r>
      <w:r w:rsidR="00931493">
        <w:rPr>
          <w:rFonts w:ascii="Book Antiqua" w:hAnsi="Book Antiqua"/>
          <w:sz w:val="24"/>
          <w:szCs w:val="24"/>
        </w:rPr>
        <w:t xml:space="preserve"> means the Civil Circuit List.</w:t>
      </w:r>
    </w:p>
    <w:p w14:paraId="2BF76192" w14:textId="77777777" w:rsidR="00FD4B3F" w:rsidRDefault="00FD4B3F" w:rsidP="00931493">
      <w:pPr>
        <w:autoSpaceDE w:val="0"/>
        <w:autoSpaceDN w:val="0"/>
        <w:adjustRightInd w:val="0"/>
        <w:spacing w:before="120" w:after="120"/>
        <w:ind w:left="720"/>
        <w:rPr>
          <w:rFonts w:ascii="Book Antiqua" w:hAnsi="Book Antiqua"/>
        </w:rPr>
      </w:pPr>
    </w:p>
    <w:p w14:paraId="0DCFA5C3" w14:textId="1E00829A" w:rsidR="00FD4B3F" w:rsidRPr="00FD4B3F" w:rsidRDefault="00FD4B3F" w:rsidP="00931493">
      <w:pPr>
        <w:pStyle w:val="ListParagraph"/>
        <w:keepNext/>
        <w:numPr>
          <w:ilvl w:val="0"/>
          <w:numId w:val="30"/>
        </w:numPr>
        <w:autoSpaceDE w:val="0"/>
        <w:autoSpaceDN w:val="0"/>
        <w:adjustRightInd w:val="0"/>
        <w:spacing w:before="120" w:after="120"/>
        <w:rPr>
          <w:rFonts w:ascii="Book Antiqua" w:hAnsi="Book Antiqua"/>
          <w:b/>
          <w:sz w:val="24"/>
        </w:rPr>
      </w:pPr>
      <w:r w:rsidRPr="00FD4B3F">
        <w:rPr>
          <w:rFonts w:ascii="Book Antiqua" w:hAnsi="Book Antiqua"/>
          <w:b/>
          <w:sz w:val="24"/>
        </w:rPr>
        <w:t>COMMENCEMENT</w:t>
      </w:r>
    </w:p>
    <w:p w14:paraId="7D3CBBE0" w14:textId="292E4616" w:rsidR="00FD4B3F" w:rsidRPr="00C5118C" w:rsidRDefault="00FD4B3F" w:rsidP="00931493">
      <w:pPr>
        <w:pStyle w:val="ListParagraph"/>
        <w:numPr>
          <w:ilvl w:val="1"/>
          <w:numId w:val="30"/>
        </w:numPr>
        <w:autoSpaceDE w:val="0"/>
        <w:autoSpaceDN w:val="0"/>
        <w:adjustRightInd w:val="0"/>
        <w:spacing w:before="120" w:after="120"/>
        <w:rPr>
          <w:rFonts w:ascii="Book Antiqua" w:hAnsi="Book Antiqua"/>
        </w:rPr>
      </w:pPr>
      <w:r w:rsidRPr="00C5118C">
        <w:rPr>
          <w:rFonts w:ascii="Book Antiqua" w:hAnsi="Book Antiqua"/>
          <w:sz w:val="24"/>
          <w:szCs w:val="24"/>
        </w:rPr>
        <w:t>This Practice No</w:t>
      </w:r>
      <w:r w:rsidR="00124145">
        <w:rPr>
          <w:rFonts w:ascii="Book Antiqua" w:hAnsi="Book Antiqua"/>
          <w:sz w:val="24"/>
          <w:szCs w:val="24"/>
        </w:rPr>
        <w:t>te was issued and commences on 30</w:t>
      </w:r>
      <w:r w:rsidRPr="00C5118C">
        <w:rPr>
          <w:rFonts w:ascii="Book Antiqua" w:hAnsi="Book Antiqua"/>
          <w:sz w:val="24"/>
          <w:szCs w:val="24"/>
        </w:rPr>
        <w:t xml:space="preserve"> </w:t>
      </w:r>
      <w:r w:rsidR="00C32143">
        <w:rPr>
          <w:rFonts w:ascii="Book Antiqua" w:hAnsi="Book Antiqua"/>
          <w:sz w:val="24"/>
          <w:szCs w:val="24"/>
        </w:rPr>
        <w:t>January</w:t>
      </w:r>
      <w:r w:rsidRPr="00C5118C">
        <w:rPr>
          <w:rFonts w:ascii="Book Antiqua" w:hAnsi="Book Antiqua"/>
          <w:sz w:val="24"/>
          <w:szCs w:val="24"/>
        </w:rPr>
        <w:t xml:space="preserve"> </w:t>
      </w:r>
      <w:r w:rsidR="00C32143">
        <w:rPr>
          <w:rFonts w:ascii="Book Antiqua" w:hAnsi="Book Antiqua"/>
          <w:sz w:val="24"/>
          <w:szCs w:val="24"/>
        </w:rPr>
        <w:t xml:space="preserve">2017 </w:t>
      </w:r>
      <w:r w:rsidRPr="00C5118C">
        <w:rPr>
          <w:rFonts w:ascii="Book Antiqua" w:hAnsi="Book Antiqua"/>
          <w:sz w:val="24"/>
          <w:szCs w:val="24"/>
        </w:rPr>
        <w:t>and appl</w:t>
      </w:r>
      <w:r w:rsidR="00433DC8">
        <w:rPr>
          <w:rFonts w:ascii="Book Antiqua" w:hAnsi="Book Antiqua"/>
          <w:sz w:val="24"/>
          <w:szCs w:val="24"/>
        </w:rPr>
        <w:t>ies</w:t>
      </w:r>
      <w:r w:rsidRPr="00C5118C">
        <w:rPr>
          <w:rFonts w:ascii="Book Antiqua" w:hAnsi="Book Antiqua"/>
          <w:sz w:val="24"/>
          <w:szCs w:val="24"/>
        </w:rPr>
        <w:t xml:space="preserve"> to all proceedings in the List whenever commenced.</w:t>
      </w:r>
    </w:p>
    <w:p w14:paraId="651DE4C3" w14:textId="77777777" w:rsidR="00C5118C" w:rsidRPr="00C5118C" w:rsidRDefault="00C5118C" w:rsidP="00931493">
      <w:pPr>
        <w:autoSpaceDE w:val="0"/>
        <w:autoSpaceDN w:val="0"/>
        <w:adjustRightInd w:val="0"/>
        <w:spacing w:before="120" w:after="120"/>
        <w:rPr>
          <w:rFonts w:ascii="Book Antiqua" w:hAnsi="Book Antiqua"/>
          <w:sz w:val="20"/>
          <w:szCs w:val="20"/>
        </w:rPr>
      </w:pPr>
    </w:p>
    <w:p w14:paraId="6F0CE8FF" w14:textId="4ED74C81" w:rsidR="00C5118C" w:rsidRDefault="00C5118C" w:rsidP="00931493">
      <w:pPr>
        <w:pStyle w:val="ListParagraph"/>
        <w:keepNext/>
        <w:numPr>
          <w:ilvl w:val="0"/>
          <w:numId w:val="30"/>
        </w:numPr>
        <w:autoSpaceDE w:val="0"/>
        <w:autoSpaceDN w:val="0"/>
        <w:adjustRightInd w:val="0"/>
        <w:spacing w:before="120" w:after="120"/>
        <w:rPr>
          <w:rFonts w:ascii="Book Antiqua" w:hAnsi="Book Antiqua"/>
          <w:b/>
          <w:sz w:val="24"/>
        </w:rPr>
      </w:pPr>
      <w:r w:rsidRPr="00C5118C">
        <w:rPr>
          <w:rFonts w:ascii="Book Antiqua" w:hAnsi="Book Antiqua"/>
          <w:b/>
          <w:sz w:val="24"/>
        </w:rPr>
        <w:t>PROCEEDINGS SUITABLE FOR INCLUSION IN THE LIST</w:t>
      </w:r>
    </w:p>
    <w:p w14:paraId="7EE70144" w14:textId="5F750234" w:rsidR="009F7728" w:rsidRPr="00C5118C" w:rsidRDefault="00C5118C" w:rsidP="00931493">
      <w:pPr>
        <w:pStyle w:val="ListParagraph"/>
        <w:numPr>
          <w:ilvl w:val="1"/>
          <w:numId w:val="30"/>
        </w:numPr>
        <w:autoSpaceDE w:val="0"/>
        <w:autoSpaceDN w:val="0"/>
        <w:adjustRightInd w:val="0"/>
        <w:spacing w:before="120" w:after="120"/>
        <w:jc w:val="both"/>
        <w:rPr>
          <w:rFonts w:ascii="Book Antiqua" w:hAnsi="Book Antiqua"/>
        </w:rPr>
      </w:pPr>
      <w:r w:rsidRPr="00C5118C">
        <w:rPr>
          <w:rFonts w:ascii="Book Antiqua" w:hAnsi="Book Antiqua"/>
          <w:sz w:val="24"/>
          <w:szCs w:val="24"/>
        </w:rPr>
        <w:t>A proceeding should be initiated in the List where the cause of action arose in regional Victoria, or where the majority of parties or witnesses reside in regional Victoria</w:t>
      </w:r>
      <w:r>
        <w:rPr>
          <w:rFonts w:ascii="Book Antiqua" w:hAnsi="Book Antiqua"/>
          <w:sz w:val="24"/>
          <w:szCs w:val="24"/>
        </w:rPr>
        <w:t>.</w:t>
      </w:r>
    </w:p>
    <w:p w14:paraId="2A5023AA" w14:textId="705C10F8" w:rsidR="00C5118C" w:rsidRPr="00C32143" w:rsidRDefault="00C5118C" w:rsidP="00931493">
      <w:pPr>
        <w:pStyle w:val="ListParagraph"/>
        <w:numPr>
          <w:ilvl w:val="1"/>
          <w:numId w:val="30"/>
        </w:numPr>
        <w:autoSpaceDE w:val="0"/>
        <w:autoSpaceDN w:val="0"/>
        <w:adjustRightInd w:val="0"/>
        <w:spacing w:before="120" w:after="120"/>
        <w:jc w:val="both"/>
        <w:rPr>
          <w:rFonts w:ascii="Book Antiqua" w:hAnsi="Book Antiqua"/>
        </w:rPr>
      </w:pPr>
      <w:r w:rsidRPr="004E07C3">
        <w:rPr>
          <w:rFonts w:ascii="Book Antiqua" w:hAnsi="Book Antiqua"/>
          <w:sz w:val="24"/>
          <w:szCs w:val="24"/>
        </w:rPr>
        <w:t xml:space="preserve">The fact that medico-legal witnesses are based in Melbourne is not a sufficient reason for a proceeding of the nature set out in paragraph </w:t>
      </w:r>
      <w:r w:rsidR="00146054">
        <w:rPr>
          <w:rFonts w:ascii="Book Antiqua" w:hAnsi="Book Antiqua"/>
          <w:sz w:val="24"/>
          <w:szCs w:val="24"/>
        </w:rPr>
        <w:t>4</w:t>
      </w:r>
      <w:r w:rsidRPr="004E07C3">
        <w:rPr>
          <w:rFonts w:ascii="Book Antiqua" w:hAnsi="Book Antiqua"/>
          <w:sz w:val="24"/>
          <w:szCs w:val="24"/>
        </w:rPr>
        <w:t>.1 to be heard in Melbourne, rather than in the relevant regional location</w:t>
      </w:r>
      <w:r>
        <w:rPr>
          <w:rFonts w:ascii="Book Antiqua" w:hAnsi="Book Antiqua"/>
          <w:sz w:val="24"/>
          <w:szCs w:val="24"/>
        </w:rPr>
        <w:t>.</w:t>
      </w:r>
    </w:p>
    <w:p w14:paraId="0E0B96C1" w14:textId="2DBF001E" w:rsidR="00C32143" w:rsidRPr="00C5118C" w:rsidRDefault="00C32143" w:rsidP="00931493">
      <w:pPr>
        <w:pStyle w:val="ListParagraph"/>
        <w:numPr>
          <w:ilvl w:val="1"/>
          <w:numId w:val="30"/>
        </w:numPr>
        <w:autoSpaceDE w:val="0"/>
        <w:autoSpaceDN w:val="0"/>
        <w:adjustRightInd w:val="0"/>
        <w:spacing w:before="120" w:after="120"/>
        <w:jc w:val="both"/>
        <w:rPr>
          <w:rFonts w:ascii="Book Antiqua" w:hAnsi="Book Antiqua"/>
        </w:rPr>
      </w:pPr>
      <w:r w:rsidRPr="00C32143">
        <w:rPr>
          <w:rFonts w:ascii="Book Antiqua" w:hAnsi="Book Antiqua"/>
          <w:sz w:val="24"/>
          <w:szCs w:val="24"/>
        </w:rPr>
        <w:t>Notwithstandin</w:t>
      </w:r>
      <w:r>
        <w:rPr>
          <w:rFonts w:ascii="Book Antiqua" w:hAnsi="Book Antiqua"/>
          <w:sz w:val="24"/>
          <w:szCs w:val="24"/>
        </w:rPr>
        <w:t>g paragraph 4.1, al</w:t>
      </w:r>
      <w:r w:rsidR="00D34297">
        <w:rPr>
          <w:rFonts w:ascii="Book Antiqua" w:hAnsi="Book Antiqua"/>
          <w:sz w:val="24"/>
          <w:szCs w:val="24"/>
        </w:rPr>
        <w:t>l proceedings in which a P</w:t>
      </w:r>
      <w:r w:rsidRPr="00EC3ECC">
        <w:rPr>
          <w:rFonts w:ascii="Book Antiqua" w:hAnsi="Book Antiqua"/>
          <w:sz w:val="24"/>
          <w:szCs w:val="24"/>
        </w:rPr>
        <w:t xml:space="preserve">laintiff alleges that he or she is suffering from a dust disease </w:t>
      </w:r>
      <w:r>
        <w:rPr>
          <w:rFonts w:ascii="Book Antiqua" w:hAnsi="Book Antiqua"/>
          <w:sz w:val="24"/>
          <w:szCs w:val="24"/>
        </w:rPr>
        <w:t xml:space="preserve">(as defined in paragraph 4.2 of </w:t>
      </w:r>
      <w:r w:rsidR="00C15670">
        <w:rPr>
          <w:rFonts w:ascii="Book Antiqua" w:hAnsi="Book Antiqua"/>
          <w:sz w:val="24"/>
          <w:szCs w:val="24"/>
        </w:rPr>
        <w:t>Practice Note</w:t>
      </w:r>
      <w:r>
        <w:rPr>
          <w:rFonts w:ascii="Book Antiqua" w:hAnsi="Book Antiqua"/>
          <w:sz w:val="24"/>
          <w:szCs w:val="24"/>
        </w:rPr>
        <w:t xml:space="preserve"> SC CL 2 “Dust Diseases List”) </w:t>
      </w:r>
      <w:r w:rsidRPr="00EC3ECC">
        <w:rPr>
          <w:rFonts w:ascii="Book Antiqua" w:hAnsi="Book Antiqua"/>
          <w:sz w:val="24"/>
          <w:szCs w:val="24"/>
        </w:rPr>
        <w:t xml:space="preserve">should be initiated in the </w:t>
      </w:r>
      <w:r>
        <w:rPr>
          <w:rFonts w:ascii="Book Antiqua" w:hAnsi="Book Antiqua"/>
          <w:sz w:val="24"/>
          <w:szCs w:val="24"/>
        </w:rPr>
        <w:t xml:space="preserve">Dust Diseases </w:t>
      </w:r>
      <w:r w:rsidRPr="00EC3ECC">
        <w:rPr>
          <w:rFonts w:ascii="Book Antiqua" w:hAnsi="Book Antiqua"/>
          <w:sz w:val="24"/>
          <w:szCs w:val="24"/>
        </w:rPr>
        <w:t>List</w:t>
      </w:r>
      <w:r>
        <w:rPr>
          <w:rFonts w:ascii="Book Antiqua" w:hAnsi="Book Antiqua"/>
          <w:sz w:val="24"/>
          <w:szCs w:val="24"/>
        </w:rPr>
        <w:t xml:space="preserve">. </w:t>
      </w:r>
      <w:r w:rsidR="00D34297">
        <w:rPr>
          <w:rFonts w:ascii="Book Antiqua" w:hAnsi="Book Antiqua"/>
          <w:sz w:val="24"/>
          <w:szCs w:val="24"/>
        </w:rPr>
        <w:t xml:space="preserve"> </w:t>
      </w:r>
      <w:r w:rsidR="0034431F">
        <w:rPr>
          <w:rFonts w:ascii="Book Antiqua" w:hAnsi="Book Antiqua"/>
          <w:sz w:val="24"/>
          <w:szCs w:val="24"/>
        </w:rPr>
        <w:t xml:space="preserve">Such proceedings will nevertheless normally be fixed for trial in an </w:t>
      </w:r>
      <w:r w:rsidR="0034431F">
        <w:rPr>
          <w:rFonts w:ascii="Book Antiqua" w:hAnsi="Book Antiqua"/>
          <w:sz w:val="24"/>
          <w:szCs w:val="24"/>
        </w:rPr>
        <w:lastRenderedPageBreak/>
        <w:t>appropriate circuit sitting</w:t>
      </w:r>
      <w:r w:rsidR="00EA6FCE">
        <w:rPr>
          <w:rFonts w:ascii="Book Antiqua" w:hAnsi="Book Antiqua"/>
          <w:sz w:val="24"/>
          <w:szCs w:val="24"/>
        </w:rPr>
        <w:t xml:space="preserve"> and managed in accordance with paragraph 13 of Practice Note SC CL 2</w:t>
      </w:r>
      <w:r w:rsidR="0034431F">
        <w:rPr>
          <w:rFonts w:ascii="Book Antiqua" w:hAnsi="Book Antiqua"/>
          <w:sz w:val="24"/>
          <w:szCs w:val="24"/>
        </w:rPr>
        <w:t>.</w:t>
      </w:r>
    </w:p>
    <w:p w14:paraId="3CE19C72" w14:textId="26352CFE" w:rsidR="001E1418" w:rsidRPr="00182C1F" w:rsidRDefault="00C32143" w:rsidP="00931493">
      <w:pPr>
        <w:pStyle w:val="ListParagraph"/>
        <w:numPr>
          <w:ilvl w:val="1"/>
          <w:numId w:val="30"/>
        </w:numPr>
        <w:autoSpaceDE w:val="0"/>
        <w:autoSpaceDN w:val="0"/>
        <w:adjustRightInd w:val="0"/>
        <w:spacing w:before="120" w:after="120"/>
        <w:jc w:val="both"/>
        <w:rPr>
          <w:rFonts w:ascii="Book Antiqua" w:hAnsi="Book Antiqua"/>
        </w:rPr>
      </w:pPr>
      <w:r>
        <w:rPr>
          <w:rFonts w:ascii="Book Antiqua" w:hAnsi="Book Antiqua"/>
          <w:sz w:val="24"/>
          <w:szCs w:val="24"/>
        </w:rPr>
        <w:t>Subject to paragraph 4.3</w:t>
      </w:r>
      <w:r w:rsidR="00C5118C" w:rsidRPr="00C5118C">
        <w:rPr>
          <w:rFonts w:ascii="Book Antiqua" w:hAnsi="Book Antiqua"/>
          <w:sz w:val="24"/>
          <w:szCs w:val="24"/>
        </w:rPr>
        <w:t xml:space="preserve">, where a proceeding of the nature set out in paragraph </w:t>
      </w:r>
      <w:r w:rsidR="00146054">
        <w:rPr>
          <w:rFonts w:ascii="Book Antiqua" w:hAnsi="Book Antiqua"/>
          <w:sz w:val="24"/>
          <w:szCs w:val="24"/>
        </w:rPr>
        <w:t>4</w:t>
      </w:r>
      <w:r w:rsidR="00C5118C" w:rsidRPr="00C5118C">
        <w:rPr>
          <w:rFonts w:ascii="Book Antiqua" w:hAnsi="Book Antiqua"/>
          <w:sz w:val="24"/>
          <w:szCs w:val="24"/>
        </w:rPr>
        <w:t xml:space="preserve">.1 involves a cause of action that falls within the operation of another list, the proceeding should </w:t>
      </w:r>
      <w:r>
        <w:rPr>
          <w:rFonts w:ascii="Book Antiqua" w:hAnsi="Book Antiqua"/>
          <w:sz w:val="24"/>
          <w:szCs w:val="24"/>
        </w:rPr>
        <w:t xml:space="preserve">generally </w:t>
      </w:r>
      <w:r w:rsidR="00C5118C" w:rsidRPr="00C5118C">
        <w:rPr>
          <w:rFonts w:ascii="Book Antiqua" w:hAnsi="Book Antiqua"/>
          <w:sz w:val="24"/>
          <w:szCs w:val="24"/>
        </w:rPr>
        <w:t>be initiated in the Civil Circuit List</w:t>
      </w:r>
      <w:r w:rsidR="00C5118C">
        <w:rPr>
          <w:rFonts w:ascii="Book Antiqua" w:hAnsi="Book Antiqua"/>
          <w:sz w:val="24"/>
          <w:szCs w:val="24"/>
        </w:rPr>
        <w:t>.</w:t>
      </w:r>
      <w:r>
        <w:rPr>
          <w:rFonts w:ascii="Book Antiqua" w:hAnsi="Book Antiqua"/>
          <w:sz w:val="24"/>
          <w:szCs w:val="24"/>
        </w:rPr>
        <w:t xml:space="preserve"> </w:t>
      </w:r>
    </w:p>
    <w:p w14:paraId="2007F483" w14:textId="77777777" w:rsidR="00182C1F" w:rsidRPr="00182C1F" w:rsidRDefault="00182C1F" w:rsidP="00931493">
      <w:pPr>
        <w:autoSpaceDE w:val="0"/>
        <w:autoSpaceDN w:val="0"/>
        <w:adjustRightInd w:val="0"/>
        <w:spacing w:before="120" w:after="120"/>
        <w:jc w:val="both"/>
        <w:rPr>
          <w:rFonts w:ascii="Book Antiqua" w:hAnsi="Book Antiqua"/>
          <w:sz w:val="20"/>
          <w:szCs w:val="20"/>
        </w:rPr>
      </w:pPr>
    </w:p>
    <w:p w14:paraId="6AB8BC09" w14:textId="78DF31F4" w:rsidR="00182C1F" w:rsidRDefault="00182C1F" w:rsidP="00931493">
      <w:pPr>
        <w:pStyle w:val="ListParagraph"/>
        <w:keepNext/>
        <w:numPr>
          <w:ilvl w:val="0"/>
          <w:numId w:val="30"/>
        </w:numPr>
        <w:autoSpaceDE w:val="0"/>
        <w:autoSpaceDN w:val="0"/>
        <w:adjustRightInd w:val="0"/>
        <w:spacing w:before="120" w:after="120"/>
        <w:rPr>
          <w:rFonts w:ascii="Book Antiqua" w:hAnsi="Book Antiqua"/>
          <w:b/>
          <w:sz w:val="24"/>
        </w:rPr>
      </w:pPr>
      <w:r w:rsidRPr="00182C1F">
        <w:rPr>
          <w:rFonts w:ascii="Book Antiqua" w:hAnsi="Book Antiqua"/>
          <w:b/>
          <w:sz w:val="24"/>
        </w:rPr>
        <w:t>PROCEDURE FOR ENTRY INTO THE LIST</w:t>
      </w:r>
    </w:p>
    <w:p w14:paraId="356B8522" w14:textId="0436FE0F" w:rsidR="00182C1F" w:rsidRPr="00182C1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182C1F">
        <w:rPr>
          <w:rFonts w:ascii="Book Antiqua" w:hAnsi="Book Antiqua"/>
          <w:sz w:val="24"/>
          <w:szCs w:val="24"/>
        </w:rPr>
        <w:t xml:space="preserve">Proceedings of the nature set out in paragraph </w:t>
      </w:r>
      <w:r w:rsidR="00984EF6">
        <w:rPr>
          <w:rFonts w:ascii="Book Antiqua" w:hAnsi="Book Antiqua"/>
          <w:sz w:val="24"/>
          <w:szCs w:val="24"/>
        </w:rPr>
        <w:t>4</w:t>
      </w:r>
      <w:r w:rsidRPr="00182C1F">
        <w:rPr>
          <w:rFonts w:ascii="Book Antiqua" w:hAnsi="Book Antiqua"/>
          <w:sz w:val="24"/>
          <w:szCs w:val="24"/>
        </w:rPr>
        <w:t>.1 should be initiated in the List by endorsing the heading of the originating process with the name of the relevant circuit (e.g. “Supreme Court of Victoria at Bendigo”)</w:t>
      </w:r>
      <w:r w:rsidR="000B5C76">
        <w:rPr>
          <w:rFonts w:ascii="Book Antiqua" w:hAnsi="Book Antiqua"/>
          <w:sz w:val="24"/>
          <w:szCs w:val="24"/>
        </w:rPr>
        <w:t xml:space="preserve"> and “Civil Circuit List”</w:t>
      </w:r>
      <w:r w:rsidRPr="00182C1F">
        <w:rPr>
          <w:rFonts w:ascii="Book Antiqua" w:hAnsi="Book Antiqua"/>
          <w:sz w:val="24"/>
          <w:szCs w:val="24"/>
        </w:rPr>
        <w:t xml:space="preserve">. </w:t>
      </w:r>
      <w:r w:rsidR="00D34297">
        <w:rPr>
          <w:rFonts w:ascii="Book Antiqua" w:hAnsi="Book Antiqua"/>
          <w:sz w:val="24"/>
          <w:szCs w:val="24"/>
        </w:rPr>
        <w:t xml:space="preserve"> </w:t>
      </w:r>
      <w:r w:rsidRPr="00182C1F">
        <w:rPr>
          <w:rFonts w:ascii="Book Antiqua" w:hAnsi="Book Antiqua"/>
          <w:sz w:val="24"/>
          <w:szCs w:val="24"/>
        </w:rPr>
        <w:t>The heading of all subsequent documents filed in the proceeding should also be endorsed with the name of the relevant circuit</w:t>
      </w:r>
      <w:r w:rsidR="000B5C76">
        <w:rPr>
          <w:rFonts w:ascii="Book Antiqua" w:hAnsi="Book Antiqua"/>
          <w:sz w:val="24"/>
          <w:szCs w:val="24"/>
        </w:rPr>
        <w:t xml:space="preserve"> and “Civil Circuit List”</w:t>
      </w:r>
      <w:r>
        <w:rPr>
          <w:rFonts w:ascii="Book Antiqua" w:hAnsi="Book Antiqua"/>
          <w:sz w:val="24"/>
          <w:szCs w:val="24"/>
        </w:rPr>
        <w:t>.</w:t>
      </w:r>
      <w:r w:rsidR="00B86E13">
        <w:rPr>
          <w:rFonts w:ascii="Book Antiqua" w:hAnsi="Book Antiqua"/>
          <w:sz w:val="24"/>
          <w:szCs w:val="24"/>
        </w:rPr>
        <w:t xml:space="preserve"> </w:t>
      </w:r>
      <w:r w:rsidR="00D34297">
        <w:rPr>
          <w:rFonts w:ascii="Book Antiqua" w:hAnsi="Book Antiqua"/>
          <w:sz w:val="24"/>
          <w:szCs w:val="24"/>
        </w:rPr>
        <w:t xml:space="preserve"> </w:t>
      </w:r>
      <w:r w:rsidR="00B86E13">
        <w:rPr>
          <w:rFonts w:ascii="Book Antiqua" w:hAnsi="Book Antiqua"/>
          <w:sz w:val="24"/>
          <w:szCs w:val="24"/>
        </w:rPr>
        <w:t xml:space="preserve">Originating process and other documents in a proceeding in the List may be filed either in the Principal Registry at Melbourne or in a regional Registry of the Court. </w:t>
      </w:r>
    </w:p>
    <w:p w14:paraId="21BDA798" w14:textId="7ECCF9D0"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If at any time after the initiation of a proceeding it appears to the Court that it is appropriate to have the trial heard in a regional location, the proceeding may be transferred into the List on the Court’s own motion</w:t>
      </w:r>
      <w:r w:rsidR="00984EF6">
        <w:rPr>
          <w:rFonts w:ascii="Book Antiqua" w:hAnsi="Book Antiqua"/>
          <w:sz w:val="24"/>
          <w:szCs w:val="24"/>
        </w:rPr>
        <w:t>.</w:t>
      </w:r>
    </w:p>
    <w:p w14:paraId="74022929" w14:textId="42198932"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Conversely, a proceeding initiated in the List may be transferred out of the List on the Court’s own motion if it appears to the Court that it is appropriate to have the trial heard in Melbourne</w:t>
      </w:r>
      <w:r w:rsidR="00984EF6">
        <w:rPr>
          <w:rFonts w:ascii="Book Antiqua" w:hAnsi="Book Antiqua"/>
          <w:sz w:val="24"/>
          <w:szCs w:val="24"/>
        </w:rPr>
        <w:t>.</w:t>
      </w:r>
    </w:p>
    <w:p w14:paraId="2809029B" w14:textId="5099E371"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No additional fees will be payable for the inclusion of a proceeding in the List</w:t>
      </w:r>
      <w:r w:rsidR="00984EF6">
        <w:rPr>
          <w:rFonts w:ascii="Book Antiqua" w:hAnsi="Book Antiqua"/>
          <w:sz w:val="24"/>
          <w:szCs w:val="24"/>
        </w:rPr>
        <w:t>.</w:t>
      </w:r>
    </w:p>
    <w:p w14:paraId="16E66013" w14:textId="77777777" w:rsidR="00182C1F" w:rsidRPr="002361DF" w:rsidRDefault="00182C1F" w:rsidP="00931493">
      <w:pPr>
        <w:autoSpaceDE w:val="0"/>
        <w:autoSpaceDN w:val="0"/>
        <w:adjustRightInd w:val="0"/>
        <w:spacing w:before="120" w:after="120"/>
        <w:jc w:val="both"/>
        <w:rPr>
          <w:rFonts w:ascii="Book Antiqua" w:hAnsi="Book Antiqua"/>
          <w:b/>
        </w:rPr>
      </w:pPr>
    </w:p>
    <w:p w14:paraId="1A53606B" w14:textId="784F1F55" w:rsidR="00182C1F" w:rsidRPr="002361DF" w:rsidRDefault="00182C1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FIRST DIRECTIONS HEARING</w:t>
      </w:r>
    </w:p>
    <w:p w14:paraId="12ECCF38" w14:textId="4D84DC6C" w:rsidR="00102AA9" w:rsidRPr="00102AA9" w:rsidRDefault="00182C1F"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2361DF">
        <w:rPr>
          <w:rFonts w:ascii="Book Antiqua" w:hAnsi="Book Antiqua"/>
          <w:sz w:val="24"/>
          <w:szCs w:val="24"/>
        </w:rPr>
        <w:t xml:space="preserve">The </w:t>
      </w:r>
      <w:r w:rsidR="00FE70B6">
        <w:rPr>
          <w:rFonts w:ascii="Book Antiqua" w:hAnsi="Book Antiqua"/>
          <w:sz w:val="24"/>
          <w:szCs w:val="24"/>
        </w:rPr>
        <w:t>Court</w:t>
      </w:r>
      <w:r w:rsidRPr="002361DF">
        <w:rPr>
          <w:rFonts w:ascii="Book Antiqua" w:hAnsi="Book Antiqua"/>
          <w:sz w:val="24"/>
          <w:szCs w:val="24"/>
        </w:rPr>
        <w:t xml:space="preserve"> will give directions for the management of a proceeding in the List at a first directions hearing, which will usually be conducted by teleconference</w:t>
      </w:r>
      <w:r w:rsidR="00EA051C">
        <w:rPr>
          <w:rFonts w:ascii="Book Antiqua" w:hAnsi="Book Antiqua"/>
          <w:sz w:val="24"/>
          <w:szCs w:val="24"/>
        </w:rPr>
        <w:t>/videoconference</w:t>
      </w:r>
      <w:r w:rsidRPr="002361DF">
        <w:rPr>
          <w:rFonts w:ascii="Book Antiqua" w:hAnsi="Book Antiqua"/>
          <w:sz w:val="24"/>
          <w:szCs w:val="24"/>
        </w:rPr>
        <w:t xml:space="preserve"> </w:t>
      </w:r>
      <w:r w:rsidR="005D6C72">
        <w:rPr>
          <w:rFonts w:ascii="Book Antiqua" w:hAnsi="Book Antiqua"/>
          <w:sz w:val="24"/>
          <w:szCs w:val="24"/>
        </w:rPr>
        <w:t xml:space="preserve">during the </w:t>
      </w:r>
      <w:r w:rsidRPr="002361DF">
        <w:rPr>
          <w:rFonts w:ascii="Book Antiqua" w:hAnsi="Book Antiqua"/>
          <w:sz w:val="24"/>
          <w:szCs w:val="24"/>
        </w:rPr>
        <w:t xml:space="preserve">first </w:t>
      </w:r>
      <w:r w:rsidR="005D6C72">
        <w:rPr>
          <w:rFonts w:ascii="Book Antiqua" w:hAnsi="Book Antiqua"/>
          <w:sz w:val="24"/>
          <w:szCs w:val="24"/>
        </w:rPr>
        <w:t xml:space="preserve">week </w:t>
      </w:r>
      <w:r w:rsidR="00D34297">
        <w:rPr>
          <w:rFonts w:ascii="Book Antiqua" w:hAnsi="Book Antiqua"/>
          <w:sz w:val="24"/>
          <w:szCs w:val="24"/>
        </w:rPr>
        <w:t>of any month during the c</w:t>
      </w:r>
      <w:r w:rsidRPr="002361DF">
        <w:rPr>
          <w:rFonts w:ascii="Book Antiqua" w:hAnsi="Book Antiqua"/>
          <w:sz w:val="24"/>
          <w:szCs w:val="24"/>
        </w:rPr>
        <w:t>ourt sitting period.</w:t>
      </w:r>
      <w:r w:rsidR="00D34297">
        <w:rPr>
          <w:rFonts w:ascii="Book Antiqua" w:hAnsi="Book Antiqua"/>
          <w:sz w:val="24"/>
          <w:szCs w:val="24"/>
        </w:rPr>
        <w:t xml:space="preserve"> </w:t>
      </w:r>
      <w:r w:rsidRPr="002361DF">
        <w:rPr>
          <w:rFonts w:ascii="Book Antiqua" w:hAnsi="Book Antiqua"/>
          <w:sz w:val="24"/>
          <w:szCs w:val="24"/>
        </w:rPr>
        <w:t xml:space="preserve"> </w:t>
      </w:r>
      <w:r w:rsidR="00102AA9">
        <w:rPr>
          <w:rFonts w:ascii="Book Antiqua" w:hAnsi="Book Antiqua"/>
          <w:sz w:val="24"/>
          <w:szCs w:val="24"/>
        </w:rPr>
        <w:t>However, w</w:t>
      </w:r>
      <w:r w:rsidR="00102AA9" w:rsidRPr="00102AA9">
        <w:rPr>
          <w:rFonts w:ascii="Book Antiqua" w:hAnsi="Book Antiqua"/>
          <w:sz w:val="24"/>
          <w:szCs w:val="24"/>
        </w:rPr>
        <w:t>here</w:t>
      </w:r>
      <w:r w:rsidR="00102AA9">
        <w:rPr>
          <w:rFonts w:ascii="Book Antiqua" w:hAnsi="Book Antiqua"/>
          <w:sz w:val="24"/>
          <w:szCs w:val="24"/>
        </w:rPr>
        <w:t xml:space="preserve"> all parties are represented by solicitors based in Melbourne, the first directions hearing will be listed in the Supreme Court at Melbourne.</w:t>
      </w:r>
    </w:p>
    <w:p w14:paraId="40A0EA73" w14:textId="4206AF11" w:rsidR="00182C1F" w:rsidRPr="00102AA9"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The Court will generally notify the parties of the date and time of the first directions hearing within seven days of the filing of the first defence.</w:t>
      </w:r>
    </w:p>
    <w:p w14:paraId="4D2A1AA9" w14:textId="359E663D" w:rsidR="00FE70B6" w:rsidRPr="00FE70B6" w:rsidRDefault="00D34297"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The P</w:t>
      </w:r>
      <w:r w:rsidR="00182C1F" w:rsidRPr="00C10391">
        <w:rPr>
          <w:rFonts w:ascii="Book Antiqua" w:hAnsi="Book Antiqua"/>
          <w:sz w:val="24"/>
          <w:szCs w:val="24"/>
        </w:rPr>
        <w:t>laintiff’s solicitors are encouraged to deliver proposed consent orders to all other parties in advance of the first directions hearing, with a view to obtaining orders by consent without the need for an appearance.</w:t>
      </w:r>
    </w:p>
    <w:p w14:paraId="410FD7A1" w14:textId="18C4FD51" w:rsidR="00FE70B6" w:rsidRPr="00FE70B6" w:rsidRDefault="00FE70B6"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Standard forms of order for proceedings involving claims for damages for personal injury can be found on the List webpage on the Court’s website.</w:t>
      </w:r>
      <w:r w:rsidR="00D34297">
        <w:rPr>
          <w:rFonts w:ascii="Book Antiqua" w:hAnsi="Book Antiqua"/>
          <w:sz w:val="24"/>
          <w:szCs w:val="24"/>
        </w:rPr>
        <w:t xml:space="preserve"> </w:t>
      </w:r>
      <w:r>
        <w:rPr>
          <w:rFonts w:ascii="Book Antiqua" w:hAnsi="Book Antiqua"/>
          <w:sz w:val="24"/>
          <w:szCs w:val="24"/>
        </w:rPr>
        <w:t xml:space="preserve"> While parties may dispense with unnecessary directions or add additional directions they are requested not to alter the wording of standard clauses without good reason.</w:t>
      </w:r>
    </w:p>
    <w:p w14:paraId="58FE8CC4" w14:textId="77777777" w:rsidR="00A5516D" w:rsidRPr="00A5516D" w:rsidRDefault="00FE70B6"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T</w:t>
      </w:r>
      <w:r w:rsidR="00182C1F" w:rsidRPr="00C10391">
        <w:rPr>
          <w:rFonts w:ascii="Book Antiqua" w:hAnsi="Book Antiqua"/>
          <w:sz w:val="24"/>
          <w:szCs w:val="24"/>
        </w:rPr>
        <w:t xml:space="preserve">he parties should email minutes of consent in </w:t>
      </w:r>
      <w:r w:rsidR="00A5516D">
        <w:rPr>
          <w:rFonts w:ascii="Book Antiqua" w:hAnsi="Book Antiqua"/>
          <w:sz w:val="24"/>
          <w:szCs w:val="24"/>
        </w:rPr>
        <w:t>both Word and signed PDF format to:</w:t>
      </w:r>
    </w:p>
    <w:p w14:paraId="36C05607" w14:textId="20F90FDC" w:rsidR="00182C1F" w:rsidRPr="00A5516D" w:rsidRDefault="00124145" w:rsidP="00931493">
      <w:pPr>
        <w:autoSpaceDE w:val="0"/>
        <w:autoSpaceDN w:val="0"/>
        <w:adjustRightInd w:val="0"/>
        <w:spacing w:before="120" w:after="120"/>
        <w:ind w:left="720"/>
        <w:jc w:val="both"/>
        <w:rPr>
          <w:rFonts w:ascii="Book Antiqua" w:hAnsi="Book Antiqua"/>
          <w:b/>
        </w:rPr>
      </w:pPr>
      <w:hyperlink r:id="rId14" w:history="1">
        <w:r w:rsidR="00D46ABF" w:rsidRPr="00A5516D">
          <w:rPr>
            <w:rStyle w:val="Hyperlink"/>
            <w:rFonts w:ascii="Book Antiqua" w:hAnsi="Book Antiqua"/>
          </w:rPr>
          <w:t>civil.circuits@supremecourt.vic.gov.au</w:t>
        </w:r>
      </w:hyperlink>
      <w:r w:rsidR="002B2E9A" w:rsidRPr="00A5516D">
        <w:rPr>
          <w:rFonts w:ascii="Book Antiqua" w:hAnsi="Book Antiqua"/>
        </w:rPr>
        <w:t xml:space="preserve"> (</w:t>
      </w:r>
      <w:r w:rsidR="00A5516D">
        <w:rPr>
          <w:rFonts w:ascii="Book Antiqua" w:hAnsi="Book Antiqua"/>
        </w:rPr>
        <w:t>cc</w:t>
      </w:r>
      <w:r w:rsidR="002B2E9A" w:rsidRPr="00A5516D">
        <w:rPr>
          <w:rFonts w:ascii="Book Antiqua" w:hAnsi="Book Antiqua"/>
        </w:rPr>
        <w:t>.</w:t>
      </w:r>
      <w:r w:rsidR="00A5516D">
        <w:rPr>
          <w:rFonts w:ascii="Book Antiqua" w:hAnsi="Book Antiqua"/>
        </w:rPr>
        <w:t xml:space="preserve"> </w:t>
      </w:r>
      <w:hyperlink r:id="rId15" w:history="1">
        <w:r w:rsidR="00D46ABF" w:rsidRPr="00A5516D">
          <w:rPr>
            <w:rStyle w:val="Hyperlink"/>
            <w:rFonts w:ascii="Book Antiqua" w:hAnsi="Book Antiqua"/>
          </w:rPr>
          <w:t>orders@supremecourt.vic.gov.au</w:t>
        </w:r>
      </w:hyperlink>
      <w:r w:rsidR="002B2E9A" w:rsidRPr="00A5516D">
        <w:rPr>
          <w:rStyle w:val="Hyperlink"/>
          <w:rFonts w:ascii="Book Antiqua" w:hAnsi="Book Antiqua"/>
        </w:rPr>
        <w:t>)</w:t>
      </w:r>
      <w:r w:rsidR="00182C1F" w:rsidRPr="00A5516D">
        <w:rPr>
          <w:rFonts w:ascii="Book Antiqua" w:hAnsi="Book Antiqua"/>
        </w:rPr>
        <w:t xml:space="preserve"> by 4.00pm </w:t>
      </w:r>
      <w:r w:rsidR="00FE70B6" w:rsidRPr="00A5516D">
        <w:rPr>
          <w:rFonts w:ascii="Book Antiqua" w:hAnsi="Book Antiqua"/>
        </w:rPr>
        <w:t xml:space="preserve">two days </w:t>
      </w:r>
      <w:r w:rsidR="00182C1F" w:rsidRPr="00A5516D">
        <w:rPr>
          <w:rFonts w:ascii="Book Antiqua" w:hAnsi="Book Antiqua"/>
        </w:rPr>
        <w:t>prior to the first directions hearing.</w:t>
      </w:r>
      <w:r w:rsidR="00D34297">
        <w:rPr>
          <w:rFonts w:ascii="Book Antiqua" w:hAnsi="Book Antiqua"/>
        </w:rPr>
        <w:t xml:space="preserve"> </w:t>
      </w:r>
      <w:r w:rsidR="00182C1F" w:rsidRPr="00A5516D">
        <w:rPr>
          <w:rFonts w:ascii="Book Antiqua" w:hAnsi="Book Antiqua"/>
        </w:rPr>
        <w:t xml:space="preserve"> Parties are required to appear at the first directions hearing unless otherwise advised by the Court.</w:t>
      </w:r>
    </w:p>
    <w:p w14:paraId="5FDBBB58" w14:textId="552CA37F" w:rsidR="00182C1F" w:rsidRPr="00400B2E"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lastRenderedPageBreak/>
        <w:t xml:space="preserve">At the first directions hearing, the </w:t>
      </w:r>
      <w:r w:rsidR="00C15670">
        <w:rPr>
          <w:rFonts w:ascii="Book Antiqua" w:hAnsi="Book Antiqua"/>
          <w:sz w:val="24"/>
          <w:szCs w:val="24"/>
        </w:rPr>
        <w:t xml:space="preserve">Court </w:t>
      </w:r>
      <w:r w:rsidR="00C15670" w:rsidRPr="002361DF">
        <w:rPr>
          <w:rFonts w:ascii="Book Antiqua" w:hAnsi="Book Antiqua"/>
          <w:sz w:val="24"/>
          <w:szCs w:val="24"/>
        </w:rPr>
        <w:t>will</w:t>
      </w:r>
      <w:r w:rsidRPr="002361DF">
        <w:rPr>
          <w:rFonts w:ascii="Book Antiqua" w:hAnsi="Book Antiqua"/>
          <w:sz w:val="24"/>
          <w:szCs w:val="24"/>
        </w:rPr>
        <w:t xml:space="preserve"> fix a trial date for the proceeding. </w:t>
      </w:r>
      <w:r w:rsidR="00D34297">
        <w:rPr>
          <w:rFonts w:ascii="Book Antiqua" w:hAnsi="Book Antiqua"/>
          <w:sz w:val="24"/>
          <w:szCs w:val="24"/>
        </w:rPr>
        <w:t xml:space="preserve"> </w:t>
      </w:r>
      <w:r w:rsidRPr="002361DF">
        <w:rPr>
          <w:rFonts w:ascii="Book Antiqua" w:hAnsi="Book Antiqua"/>
          <w:sz w:val="24"/>
          <w:szCs w:val="24"/>
        </w:rPr>
        <w:t xml:space="preserve">The trial date will usually be the first day of a scheduled sitting period for the Court in the relevant regional location (circuit sitting periods are published on the </w:t>
      </w:r>
      <w:r w:rsidR="000C750D">
        <w:rPr>
          <w:rFonts w:ascii="Book Antiqua" w:hAnsi="Book Antiqua"/>
          <w:sz w:val="24"/>
          <w:szCs w:val="24"/>
        </w:rPr>
        <w:t>Li</w:t>
      </w:r>
      <w:r w:rsidR="00FE70B6">
        <w:rPr>
          <w:rFonts w:ascii="Book Antiqua" w:hAnsi="Book Antiqua"/>
          <w:sz w:val="24"/>
          <w:szCs w:val="24"/>
        </w:rPr>
        <w:t xml:space="preserve">st webpage of the </w:t>
      </w:r>
      <w:r w:rsidRPr="002361DF">
        <w:rPr>
          <w:rFonts w:ascii="Book Antiqua" w:hAnsi="Book Antiqua"/>
          <w:sz w:val="24"/>
          <w:szCs w:val="24"/>
        </w:rPr>
        <w:t xml:space="preserve">Court website). </w:t>
      </w:r>
      <w:r w:rsidR="00D34297">
        <w:rPr>
          <w:rFonts w:ascii="Book Antiqua" w:hAnsi="Book Antiqua"/>
          <w:sz w:val="24"/>
          <w:szCs w:val="24"/>
        </w:rPr>
        <w:t xml:space="preserve"> </w:t>
      </w:r>
      <w:r w:rsidRPr="002361DF">
        <w:rPr>
          <w:rFonts w:ascii="Book Antiqua" w:hAnsi="Book Antiqua"/>
          <w:sz w:val="24"/>
          <w:szCs w:val="24"/>
        </w:rPr>
        <w:t>Alternatively, parties may seek a special fixture of the case outside the scheduled sitting periods</w:t>
      </w:r>
      <w:r w:rsidR="005D6C72">
        <w:rPr>
          <w:rFonts w:ascii="Book Antiqua" w:hAnsi="Book Antiqua"/>
          <w:sz w:val="24"/>
          <w:szCs w:val="24"/>
        </w:rPr>
        <w:t xml:space="preserve"> subject to judicial officer and courtroom availability and in some cases may be listed in Melbourne.</w:t>
      </w:r>
    </w:p>
    <w:p w14:paraId="5C156039" w14:textId="77777777" w:rsidR="00400B2E" w:rsidRPr="00400B2E" w:rsidRDefault="00400B2E" w:rsidP="00931493">
      <w:pPr>
        <w:autoSpaceDE w:val="0"/>
        <w:autoSpaceDN w:val="0"/>
        <w:adjustRightInd w:val="0"/>
        <w:spacing w:before="120" w:after="120"/>
        <w:jc w:val="both"/>
        <w:rPr>
          <w:rFonts w:ascii="Book Antiqua" w:hAnsi="Book Antiqua"/>
          <w:b/>
        </w:rPr>
      </w:pPr>
    </w:p>
    <w:p w14:paraId="302E24AC" w14:textId="77777777" w:rsidR="000E42A9" w:rsidRPr="008F0538" w:rsidRDefault="000E42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952535">
        <w:rPr>
          <w:rFonts w:ascii="Book Antiqua" w:hAnsi="Book Antiqua"/>
          <w:b/>
          <w:sz w:val="24"/>
          <w:szCs w:val="24"/>
        </w:rPr>
        <w:t>INTERLOCUTORY APPLICATIONS</w:t>
      </w:r>
    </w:p>
    <w:p w14:paraId="75419B25" w14:textId="28E8988F"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Interlocutory applications should be made on summons and will generally be heard in Melbourne by an Associate Judge </w:t>
      </w:r>
      <w:r w:rsidR="00D34297">
        <w:rPr>
          <w:rFonts w:ascii="Book Antiqua" w:hAnsi="Book Antiqua"/>
          <w:sz w:val="24"/>
          <w:szCs w:val="24"/>
        </w:rPr>
        <w:t>or Judicial R</w:t>
      </w:r>
      <w:r w:rsidR="0061196F">
        <w:rPr>
          <w:rFonts w:ascii="Book Antiqua" w:hAnsi="Book Antiqua"/>
          <w:sz w:val="24"/>
          <w:szCs w:val="24"/>
        </w:rPr>
        <w:t xml:space="preserve">egistrar </w:t>
      </w:r>
      <w:r>
        <w:rPr>
          <w:rFonts w:ascii="Book Antiqua" w:hAnsi="Book Antiqua"/>
          <w:sz w:val="24"/>
          <w:szCs w:val="24"/>
        </w:rPr>
        <w:t xml:space="preserve">on </w:t>
      </w:r>
      <w:r w:rsidR="00D34297">
        <w:rPr>
          <w:rFonts w:ascii="Book Antiqua" w:hAnsi="Book Antiqua"/>
          <w:sz w:val="24"/>
          <w:szCs w:val="24"/>
        </w:rPr>
        <w:t>Fridays in the c</w:t>
      </w:r>
      <w:r>
        <w:rPr>
          <w:rFonts w:ascii="Book Antiqua" w:hAnsi="Book Antiqua"/>
          <w:sz w:val="24"/>
          <w:szCs w:val="24"/>
        </w:rPr>
        <w:t>ourt sitting terms.</w:t>
      </w:r>
    </w:p>
    <w:p w14:paraId="70E9D146" w14:textId="77777777"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Where a proposed application is expected to exceed two hours, the application may be listed as a special fixture or for directions. </w:t>
      </w:r>
    </w:p>
    <w:p w14:paraId="550E6DEE" w14:textId="79BE49ED"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In order to obtain a return date, a party intending to file a summons should complete the “Interlocutory Applications Information Form – Civil Circuit List” available on the List webpage of the Court’s website and forward to </w:t>
      </w:r>
      <w:hyperlink r:id="rId16" w:history="1">
        <w:r w:rsidRPr="005278AB">
          <w:rPr>
            <w:rStyle w:val="Hyperlink"/>
            <w:rFonts w:ascii="Book Antiqua" w:hAnsi="Book Antiqua"/>
            <w:sz w:val="24"/>
            <w:szCs w:val="24"/>
          </w:rPr>
          <w:t>civil.circuits@supremecourt.vic.gov.au</w:t>
        </w:r>
      </w:hyperlink>
      <w:r>
        <w:rPr>
          <w:rFonts w:ascii="Book Antiqua" w:hAnsi="Book Antiqua"/>
          <w:sz w:val="24"/>
          <w:szCs w:val="24"/>
        </w:rPr>
        <w:t xml:space="preserve">. </w:t>
      </w:r>
    </w:p>
    <w:p w14:paraId="259C14E9" w14:textId="40451BB9"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F71348">
        <w:rPr>
          <w:rFonts w:ascii="Book Antiqua" w:hAnsi="Book Antiqua"/>
          <w:sz w:val="24"/>
          <w:szCs w:val="24"/>
        </w:rPr>
        <w:t xml:space="preserve">The Court will </w:t>
      </w:r>
      <w:r>
        <w:rPr>
          <w:rFonts w:ascii="Book Antiqua" w:hAnsi="Book Antiqua"/>
          <w:sz w:val="24"/>
          <w:szCs w:val="24"/>
        </w:rPr>
        <w:t>confirm the return date for the proposed summons via email.</w:t>
      </w:r>
      <w:r w:rsidR="00D34297">
        <w:rPr>
          <w:rFonts w:ascii="Book Antiqua" w:hAnsi="Book Antiqua"/>
          <w:sz w:val="24"/>
          <w:szCs w:val="24"/>
        </w:rPr>
        <w:t xml:space="preserve"> </w:t>
      </w:r>
      <w:r>
        <w:rPr>
          <w:rFonts w:ascii="Book Antiqua" w:hAnsi="Book Antiqua"/>
          <w:sz w:val="24"/>
          <w:szCs w:val="24"/>
        </w:rPr>
        <w:t xml:space="preserve"> In order to maintain the return date the applicant should file the proposed summons and supporting affidavit within 48 hours of receipt of the Court’s confirmation.</w:t>
      </w:r>
      <w:r w:rsidR="00D34297">
        <w:rPr>
          <w:rFonts w:ascii="Book Antiqua" w:hAnsi="Book Antiqua"/>
          <w:sz w:val="24"/>
          <w:szCs w:val="24"/>
        </w:rPr>
        <w:t xml:space="preserve"> </w:t>
      </w:r>
      <w:r>
        <w:rPr>
          <w:rFonts w:ascii="Book Antiqua" w:hAnsi="Book Antiqua"/>
          <w:sz w:val="24"/>
          <w:szCs w:val="24"/>
        </w:rPr>
        <w:t xml:space="preserve"> The Court’s confirmation should be provided to Principal Registry upon filing and served on all parties together with the summons and supporting material.</w:t>
      </w:r>
    </w:p>
    <w:p w14:paraId="4277C84B" w14:textId="77777777" w:rsidR="00246054" w:rsidRDefault="00246054"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Exhibits should be filed with the affidavit but should not be stapled to it.</w:t>
      </w:r>
    </w:p>
    <w:p w14:paraId="6FDAF320" w14:textId="7BD61F07" w:rsidR="000E42A9" w:rsidRDefault="000E42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Any party to an application may provide a written outline of submissions, which should be filed no later than the day before the application is to be heard. </w:t>
      </w:r>
      <w:r w:rsidR="00D34297">
        <w:rPr>
          <w:rFonts w:ascii="Book Antiqua" w:hAnsi="Book Antiqua"/>
          <w:sz w:val="24"/>
          <w:szCs w:val="24"/>
        </w:rPr>
        <w:t xml:space="preserve"> </w:t>
      </w:r>
      <w:r>
        <w:rPr>
          <w:rFonts w:ascii="Book Antiqua" w:hAnsi="Book Antiqua"/>
          <w:sz w:val="24"/>
          <w:szCs w:val="24"/>
        </w:rPr>
        <w:t xml:space="preserve">An outline of submissions is not to exceed five pages in length. </w:t>
      </w:r>
      <w:r w:rsidR="00D34297">
        <w:rPr>
          <w:rFonts w:ascii="Book Antiqua" w:hAnsi="Book Antiqua"/>
          <w:sz w:val="24"/>
          <w:szCs w:val="24"/>
        </w:rPr>
        <w:t xml:space="preserve"> </w:t>
      </w:r>
      <w:r>
        <w:rPr>
          <w:rFonts w:ascii="Book Antiqua" w:hAnsi="Book Antiqua"/>
          <w:sz w:val="24"/>
          <w:szCs w:val="24"/>
        </w:rPr>
        <w:t>Outlines of submissions should be fi</w:t>
      </w:r>
      <w:r w:rsidR="006A4158">
        <w:rPr>
          <w:rFonts w:ascii="Book Antiqua" w:hAnsi="Book Antiqua"/>
          <w:sz w:val="24"/>
          <w:szCs w:val="24"/>
        </w:rPr>
        <w:t xml:space="preserve">led with the Principal Registry. </w:t>
      </w:r>
      <w:r w:rsidR="00D34297">
        <w:rPr>
          <w:rFonts w:ascii="Book Antiqua" w:hAnsi="Book Antiqua"/>
          <w:sz w:val="24"/>
          <w:szCs w:val="24"/>
        </w:rPr>
        <w:t xml:space="preserve"> </w:t>
      </w:r>
      <w:r w:rsidR="006A4158">
        <w:rPr>
          <w:rFonts w:ascii="Book Antiqua" w:hAnsi="Book Antiqua"/>
          <w:sz w:val="24"/>
          <w:szCs w:val="24"/>
        </w:rPr>
        <w:t xml:space="preserve">If filed on the day before the hearing a copy should also be sent </w:t>
      </w:r>
      <w:r>
        <w:rPr>
          <w:rFonts w:ascii="Book Antiqua" w:hAnsi="Book Antiqua"/>
          <w:sz w:val="24"/>
          <w:szCs w:val="24"/>
        </w:rPr>
        <w:t xml:space="preserve">by email to </w:t>
      </w:r>
      <w:hyperlink r:id="rId17" w:history="1">
        <w:r w:rsidRPr="005278AB">
          <w:rPr>
            <w:rStyle w:val="Hyperlink"/>
            <w:rFonts w:ascii="Book Antiqua" w:hAnsi="Book Antiqua"/>
            <w:sz w:val="24"/>
            <w:szCs w:val="24"/>
          </w:rPr>
          <w:t>civil.circuits@supremecourt.vic.gov.au</w:t>
        </w:r>
      </w:hyperlink>
      <w:r w:rsidR="006A4158">
        <w:rPr>
          <w:rStyle w:val="Hyperlink"/>
          <w:rFonts w:ascii="Book Antiqua" w:hAnsi="Book Antiqua"/>
          <w:sz w:val="24"/>
          <w:szCs w:val="24"/>
        </w:rPr>
        <w:t>.</w:t>
      </w:r>
    </w:p>
    <w:p w14:paraId="5A31DF78" w14:textId="77777777" w:rsidR="000E42A9" w:rsidRDefault="000E42A9" w:rsidP="00931493">
      <w:pPr>
        <w:pStyle w:val="Heading1"/>
        <w:numPr>
          <w:ilvl w:val="0"/>
          <w:numId w:val="0"/>
        </w:numPr>
        <w:spacing w:before="120" w:after="120"/>
        <w:ind w:left="360"/>
      </w:pPr>
    </w:p>
    <w:p w14:paraId="66EC0FB4" w14:textId="77777777" w:rsidR="000E42A9" w:rsidRDefault="000E42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INTERROGATORIES</w:t>
      </w:r>
    </w:p>
    <w:p w14:paraId="09236541" w14:textId="77777777" w:rsidR="000E42A9" w:rsidRPr="00400B2E" w:rsidRDefault="000E42A9"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Pr>
          <w:rFonts w:ascii="Book Antiqua" w:hAnsi="Book Antiqua"/>
          <w:sz w:val="24"/>
          <w:szCs w:val="24"/>
        </w:rPr>
        <w:t>W</w:t>
      </w:r>
      <w:r w:rsidRPr="00400B2E">
        <w:rPr>
          <w:rFonts w:ascii="Book Antiqua" w:hAnsi="Book Antiqua"/>
          <w:sz w:val="24"/>
          <w:szCs w:val="24"/>
        </w:rPr>
        <w:t>ithout the leave of the Court, the number of interrogatories served in proceedings in the List should be limited to thirty (including sub-parts).</w:t>
      </w:r>
    </w:p>
    <w:p w14:paraId="05292350" w14:textId="77777777" w:rsidR="00886AB2" w:rsidRDefault="00886AB2" w:rsidP="00931493">
      <w:pPr>
        <w:pStyle w:val="ListParagraph"/>
        <w:numPr>
          <w:ilvl w:val="1"/>
          <w:numId w:val="30"/>
        </w:numPr>
        <w:spacing w:before="120" w:after="120"/>
        <w:jc w:val="both"/>
        <w:rPr>
          <w:rFonts w:ascii="Book Antiqua" w:hAnsi="Book Antiqua"/>
          <w:sz w:val="24"/>
          <w:szCs w:val="24"/>
        </w:rPr>
      </w:pPr>
      <w:r w:rsidRPr="00537D43">
        <w:rPr>
          <w:rFonts w:ascii="Book Antiqua" w:hAnsi="Book Antiqua"/>
          <w:sz w:val="24"/>
          <w:szCs w:val="24"/>
        </w:rPr>
        <w:t>In motor vehicle and industrial accident cases, interrogatories should be confined to questions of liability and contributory negligence.</w:t>
      </w:r>
    </w:p>
    <w:p w14:paraId="6398C686" w14:textId="34FE4F5D" w:rsidR="00102AA9" w:rsidRPr="00102AA9" w:rsidRDefault="00102AA9" w:rsidP="00931493">
      <w:pPr>
        <w:autoSpaceDE w:val="0"/>
        <w:autoSpaceDN w:val="0"/>
        <w:adjustRightInd w:val="0"/>
        <w:spacing w:before="120" w:after="120"/>
        <w:jc w:val="both"/>
        <w:rPr>
          <w:rFonts w:ascii="Book Antiqua" w:hAnsi="Book Antiqua"/>
          <w:b/>
        </w:rPr>
      </w:pPr>
    </w:p>
    <w:p w14:paraId="6217360B" w14:textId="218E1A6F" w:rsidR="00102AA9" w:rsidRPr="008F0538" w:rsidRDefault="00102AA9"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POST-</w:t>
      </w:r>
      <w:r w:rsidRPr="00952535">
        <w:rPr>
          <w:rFonts w:ascii="Book Antiqua" w:hAnsi="Book Antiqua"/>
          <w:b/>
          <w:sz w:val="24"/>
          <w:szCs w:val="24"/>
        </w:rPr>
        <w:t>MEDIATION DIRECTIONS</w:t>
      </w:r>
    </w:p>
    <w:p w14:paraId="2F811D03" w14:textId="1EC8F00C" w:rsidR="00102AA9" w:rsidRDefault="00710FDF"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Interlocutory orders will include an order that the </w:t>
      </w:r>
      <w:r w:rsidR="00102AA9" w:rsidRPr="00E033B8">
        <w:rPr>
          <w:rFonts w:ascii="Book Antiqua" w:hAnsi="Book Antiqua"/>
          <w:sz w:val="24"/>
          <w:szCs w:val="24"/>
        </w:rPr>
        <w:t xml:space="preserve">parties attend a </w:t>
      </w:r>
      <w:r w:rsidR="00102AA9">
        <w:rPr>
          <w:rFonts w:ascii="Book Antiqua" w:hAnsi="Book Antiqua"/>
          <w:sz w:val="24"/>
          <w:szCs w:val="24"/>
        </w:rPr>
        <w:t xml:space="preserve">directions hearing </w:t>
      </w:r>
      <w:r w:rsidR="00102AA9" w:rsidRPr="00E033B8">
        <w:rPr>
          <w:rFonts w:ascii="Book Antiqua" w:hAnsi="Book Antiqua"/>
          <w:sz w:val="24"/>
          <w:szCs w:val="24"/>
        </w:rPr>
        <w:t>approximately 2-3 weeks after the date by which the</w:t>
      </w:r>
      <w:r w:rsidR="00102AA9">
        <w:rPr>
          <w:rFonts w:ascii="Book Antiqua" w:hAnsi="Book Antiqua"/>
          <w:sz w:val="24"/>
          <w:szCs w:val="24"/>
        </w:rPr>
        <w:t>y</w:t>
      </w:r>
      <w:r w:rsidR="00102AA9" w:rsidRPr="00E033B8">
        <w:rPr>
          <w:rFonts w:ascii="Book Antiqua" w:hAnsi="Book Antiqua"/>
          <w:sz w:val="24"/>
          <w:szCs w:val="24"/>
        </w:rPr>
        <w:t xml:space="preserve"> </w:t>
      </w:r>
      <w:r w:rsidR="00102AA9">
        <w:rPr>
          <w:rFonts w:ascii="Book Antiqua" w:hAnsi="Book Antiqua"/>
          <w:sz w:val="24"/>
          <w:szCs w:val="24"/>
        </w:rPr>
        <w:t>have been</w:t>
      </w:r>
      <w:r w:rsidR="00102AA9" w:rsidRPr="00E033B8">
        <w:rPr>
          <w:rFonts w:ascii="Book Antiqua" w:hAnsi="Book Antiqua"/>
          <w:sz w:val="24"/>
          <w:szCs w:val="24"/>
        </w:rPr>
        <w:t xml:space="preserve"> </w:t>
      </w:r>
      <w:r w:rsidR="00102AA9">
        <w:rPr>
          <w:rFonts w:ascii="Book Antiqua" w:hAnsi="Book Antiqua"/>
          <w:sz w:val="24"/>
          <w:szCs w:val="24"/>
        </w:rPr>
        <w:t xml:space="preserve">ordered </w:t>
      </w:r>
      <w:r w:rsidR="00102AA9" w:rsidRPr="00E033B8">
        <w:rPr>
          <w:rFonts w:ascii="Book Antiqua" w:hAnsi="Book Antiqua"/>
          <w:sz w:val="24"/>
          <w:szCs w:val="24"/>
        </w:rPr>
        <w:t xml:space="preserve">to </w:t>
      </w:r>
      <w:r w:rsidR="00102AA9">
        <w:rPr>
          <w:rFonts w:ascii="Book Antiqua" w:hAnsi="Book Antiqua"/>
          <w:sz w:val="24"/>
          <w:szCs w:val="24"/>
        </w:rPr>
        <w:t>attend</w:t>
      </w:r>
      <w:r w:rsidR="00C22339">
        <w:rPr>
          <w:rFonts w:ascii="Book Antiqua" w:hAnsi="Book Antiqua"/>
          <w:sz w:val="24"/>
          <w:szCs w:val="24"/>
        </w:rPr>
        <w:t xml:space="preserve"> mediation.</w:t>
      </w:r>
    </w:p>
    <w:p w14:paraId="6F11F3F5" w14:textId="6DF08F1D" w:rsidR="00C22339" w:rsidRPr="008F0538" w:rsidRDefault="00C2233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Post-mediation directions hearings will be listed to occur either by teleconference</w:t>
      </w:r>
      <w:r w:rsidR="002679E6">
        <w:rPr>
          <w:rFonts w:ascii="Book Antiqua" w:hAnsi="Book Antiqua"/>
          <w:sz w:val="24"/>
          <w:szCs w:val="24"/>
        </w:rPr>
        <w:t>/videoconference</w:t>
      </w:r>
      <w:r>
        <w:rPr>
          <w:rFonts w:ascii="Book Antiqua" w:hAnsi="Book Antiqua"/>
          <w:sz w:val="24"/>
          <w:szCs w:val="24"/>
        </w:rPr>
        <w:t xml:space="preserve"> or in the Supreme Court </w:t>
      </w:r>
      <w:r w:rsidR="000245D8">
        <w:rPr>
          <w:rFonts w:ascii="Book Antiqua" w:hAnsi="Book Antiqua"/>
          <w:sz w:val="24"/>
          <w:szCs w:val="24"/>
        </w:rPr>
        <w:t>at</w:t>
      </w:r>
      <w:r>
        <w:rPr>
          <w:rFonts w:ascii="Book Antiqua" w:hAnsi="Book Antiqua"/>
          <w:sz w:val="24"/>
          <w:szCs w:val="24"/>
        </w:rPr>
        <w:t xml:space="preserve"> Melbourne depending on the location of participants.</w:t>
      </w:r>
    </w:p>
    <w:p w14:paraId="0742CDD7" w14:textId="77777777" w:rsidR="00102AA9" w:rsidRPr="008F0538" w:rsidRDefault="00102AA9"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lastRenderedPageBreak/>
        <w:t xml:space="preserve">Attendance at </w:t>
      </w:r>
      <w:r w:rsidRPr="00E033B8">
        <w:rPr>
          <w:rFonts w:ascii="Book Antiqua" w:hAnsi="Book Antiqua"/>
          <w:sz w:val="24"/>
          <w:szCs w:val="24"/>
        </w:rPr>
        <w:t xml:space="preserve">the </w:t>
      </w:r>
      <w:r>
        <w:rPr>
          <w:rFonts w:ascii="Book Antiqua" w:hAnsi="Book Antiqua"/>
          <w:sz w:val="24"/>
          <w:szCs w:val="24"/>
        </w:rPr>
        <w:t>post-mediation directions hearing is compulsory and the</w:t>
      </w:r>
      <w:r w:rsidRPr="00E033B8">
        <w:rPr>
          <w:rFonts w:ascii="Book Antiqua" w:hAnsi="Book Antiqua"/>
          <w:sz w:val="24"/>
          <w:szCs w:val="24"/>
        </w:rPr>
        <w:t xml:space="preserve"> parties will be required to advise the </w:t>
      </w:r>
      <w:r>
        <w:rPr>
          <w:rFonts w:ascii="Book Antiqua" w:hAnsi="Book Antiqua"/>
          <w:sz w:val="24"/>
          <w:szCs w:val="24"/>
        </w:rPr>
        <w:t>Court</w:t>
      </w:r>
      <w:r w:rsidRPr="00E033B8">
        <w:rPr>
          <w:rFonts w:ascii="Book Antiqua" w:hAnsi="Book Antiqua"/>
          <w:sz w:val="24"/>
          <w:szCs w:val="24"/>
        </w:rPr>
        <w:t>:</w:t>
      </w:r>
    </w:p>
    <w:p w14:paraId="28DF6B1A" w14:textId="42FAA4F2" w:rsidR="00102AA9" w:rsidRPr="00E033B8" w:rsidRDefault="0035121E" w:rsidP="00931493">
      <w:pPr>
        <w:pStyle w:val="ListParagraph"/>
        <w:numPr>
          <w:ilvl w:val="0"/>
          <w:numId w:val="34"/>
        </w:numPr>
        <w:spacing w:before="120" w:after="120"/>
        <w:jc w:val="both"/>
        <w:rPr>
          <w:rFonts w:ascii="Book Antiqua" w:hAnsi="Book Antiqua"/>
          <w:sz w:val="24"/>
          <w:szCs w:val="24"/>
        </w:rPr>
      </w:pPr>
      <w:r>
        <w:rPr>
          <w:rFonts w:ascii="Book Antiqua" w:hAnsi="Book Antiqua"/>
          <w:sz w:val="24"/>
          <w:szCs w:val="24"/>
        </w:rPr>
        <w:t>whether the C</w:t>
      </w:r>
      <w:r w:rsidR="00102AA9" w:rsidRPr="00E033B8">
        <w:rPr>
          <w:rFonts w:ascii="Book Antiqua" w:hAnsi="Book Antiqua"/>
          <w:sz w:val="24"/>
          <w:szCs w:val="24"/>
        </w:rPr>
        <w:t>ourt ordered timetable has been complied with;</w:t>
      </w:r>
    </w:p>
    <w:p w14:paraId="1E1C8E8D" w14:textId="77777777" w:rsidR="00102AA9" w:rsidRPr="00E033B8" w:rsidRDefault="00102AA9" w:rsidP="00931493">
      <w:pPr>
        <w:pStyle w:val="ListParagraph"/>
        <w:numPr>
          <w:ilvl w:val="0"/>
          <w:numId w:val="34"/>
        </w:numPr>
        <w:spacing w:before="120" w:after="120"/>
        <w:jc w:val="both"/>
        <w:rPr>
          <w:rFonts w:ascii="Book Antiqua" w:hAnsi="Book Antiqua"/>
          <w:sz w:val="24"/>
          <w:szCs w:val="24"/>
        </w:rPr>
      </w:pPr>
      <w:r w:rsidRPr="00E033B8">
        <w:rPr>
          <w:rFonts w:ascii="Book Antiqua" w:hAnsi="Book Antiqua"/>
          <w:sz w:val="24"/>
          <w:szCs w:val="24"/>
        </w:rPr>
        <w:t>what issues remain in dispute;</w:t>
      </w:r>
    </w:p>
    <w:p w14:paraId="48958359" w14:textId="77777777" w:rsidR="00102AA9" w:rsidRPr="00E033B8" w:rsidRDefault="00102AA9" w:rsidP="00931493">
      <w:pPr>
        <w:pStyle w:val="ListParagraph"/>
        <w:numPr>
          <w:ilvl w:val="0"/>
          <w:numId w:val="34"/>
        </w:numPr>
        <w:spacing w:before="120" w:after="120"/>
        <w:jc w:val="both"/>
        <w:rPr>
          <w:rFonts w:ascii="Book Antiqua" w:hAnsi="Book Antiqua"/>
          <w:sz w:val="24"/>
          <w:szCs w:val="24"/>
        </w:rPr>
      </w:pPr>
      <w:r w:rsidRPr="00E033B8">
        <w:rPr>
          <w:rFonts w:ascii="Book Antiqua" w:hAnsi="Book Antiqua"/>
          <w:sz w:val="24"/>
          <w:szCs w:val="24"/>
        </w:rPr>
        <w:t>wh</w:t>
      </w:r>
      <w:r>
        <w:rPr>
          <w:rFonts w:ascii="Book Antiqua" w:hAnsi="Book Antiqua"/>
          <w:sz w:val="24"/>
          <w:szCs w:val="24"/>
        </w:rPr>
        <w:t xml:space="preserve">at, if any, interlocutory applications are contemplated, particularly to </w:t>
      </w:r>
      <w:r w:rsidRPr="00E033B8">
        <w:rPr>
          <w:rFonts w:ascii="Book Antiqua" w:hAnsi="Book Antiqua"/>
          <w:sz w:val="24"/>
          <w:szCs w:val="24"/>
        </w:rPr>
        <w:t>amend pleading</w:t>
      </w:r>
      <w:r>
        <w:rPr>
          <w:rFonts w:ascii="Book Antiqua" w:hAnsi="Book Antiqua"/>
          <w:sz w:val="24"/>
          <w:szCs w:val="24"/>
        </w:rPr>
        <w:t>s</w:t>
      </w:r>
      <w:r w:rsidRPr="00E033B8">
        <w:rPr>
          <w:rFonts w:ascii="Book Antiqua" w:hAnsi="Book Antiqua"/>
          <w:sz w:val="24"/>
          <w:szCs w:val="24"/>
        </w:rPr>
        <w:t xml:space="preserve"> or join further parties;</w:t>
      </w:r>
    </w:p>
    <w:p w14:paraId="22C92CF4" w14:textId="77777777" w:rsidR="00102AA9" w:rsidRPr="00102AA9" w:rsidRDefault="00102AA9" w:rsidP="00931493">
      <w:pPr>
        <w:pStyle w:val="ListParagraph"/>
        <w:numPr>
          <w:ilvl w:val="0"/>
          <w:numId w:val="34"/>
        </w:numPr>
        <w:autoSpaceDE w:val="0"/>
        <w:autoSpaceDN w:val="0"/>
        <w:adjustRightInd w:val="0"/>
        <w:spacing w:before="120" w:after="120"/>
        <w:jc w:val="both"/>
        <w:rPr>
          <w:rFonts w:ascii="Book Antiqua" w:hAnsi="Book Antiqua"/>
          <w:b/>
        </w:rPr>
      </w:pPr>
      <w:r w:rsidRPr="00102AA9">
        <w:rPr>
          <w:rFonts w:ascii="Book Antiqua" w:hAnsi="Book Antiqua"/>
          <w:sz w:val="24"/>
          <w:szCs w:val="24"/>
        </w:rPr>
        <w:t>whether the initial estimate of the length of the trial requires adjustment; and</w:t>
      </w:r>
    </w:p>
    <w:p w14:paraId="336C9066" w14:textId="73996C1F" w:rsidR="00182C1F" w:rsidRPr="00102AA9" w:rsidRDefault="00102AA9" w:rsidP="00931493">
      <w:pPr>
        <w:pStyle w:val="ListParagraph"/>
        <w:numPr>
          <w:ilvl w:val="0"/>
          <w:numId w:val="34"/>
        </w:numPr>
        <w:autoSpaceDE w:val="0"/>
        <w:autoSpaceDN w:val="0"/>
        <w:adjustRightInd w:val="0"/>
        <w:spacing w:before="120" w:after="120"/>
        <w:jc w:val="both"/>
        <w:rPr>
          <w:rFonts w:ascii="Book Antiqua" w:hAnsi="Book Antiqua"/>
          <w:b/>
        </w:rPr>
      </w:pPr>
      <w:r w:rsidRPr="00102AA9">
        <w:rPr>
          <w:rFonts w:ascii="Book Antiqua" w:hAnsi="Book Antiqua"/>
          <w:sz w:val="24"/>
          <w:szCs w:val="24"/>
        </w:rPr>
        <w:t>whether the trial date can be maintained.</w:t>
      </w:r>
    </w:p>
    <w:p w14:paraId="77C8F62F" w14:textId="77777777" w:rsidR="00102AA9" w:rsidRPr="00102AA9" w:rsidRDefault="00102AA9" w:rsidP="00931493">
      <w:pPr>
        <w:autoSpaceDE w:val="0"/>
        <w:autoSpaceDN w:val="0"/>
        <w:adjustRightInd w:val="0"/>
        <w:spacing w:before="120" w:after="120"/>
        <w:jc w:val="both"/>
        <w:rPr>
          <w:rFonts w:ascii="Book Antiqua" w:hAnsi="Book Antiqua"/>
          <w:b/>
        </w:rPr>
      </w:pPr>
    </w:p>
    <w:p w14:paraId="0E45F61C" w14:textId="0D903213" w:rsidR="00182C1F" w:rsidRPr="002361DF" w:rsidRDefault="00182C1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CALLOVER</w:t>
      </w:r>
    </w:p>
    <w:p w14:paraId="3B28213F" w14:textId="0E48209A"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Approximately two weeks prior to the commencement of a circuit sitting, a callover of all cases listed for that circuit will be </w:t>
      </w:r>
      <w:r w:rsidR="00886AB2">
        <w:rPr>
          <w:rFonts w:ascii="Book Antiqua" w:hAnsi="Book Antiqua"/>
          <w:sz w:val="24"/>
          <w:szCs w:val="24"/>
        </w:rPr>
        <w:t>conducted</w:t>
      </w:r>
      <w:r w:rsidR="00D34297">
        <w:rPr>
          <w:rFonts w:ascii="Book Antiqua" w:hAnsi="Book Antiqua"/>
          <w:sz w:val="24"/>
          <w:szCs w:val="24"/>
        </w:rPr>
        <w:t xml:space="preserve"> by the Trial J</w:t>
      </w:r>
      <w:r w:rsidRPr="002361DF">
        <w:rPr>
          <w:rFonts w:ascii="Book Antiqua" w:hAnsi="Book Antiqua"/>
          <w:sz w:val="24"/>
          <w:szCs w:val="24"/>
        </w:rPr>
        <w:t xml:space="preserve">udge. </w:t>
      </w:r>
      <w:r w:rsidR="00D34297">
        <w:rPr>
          <w:rFonts w:ascii="Book Antiqua" w:hAnsi="Book Antiqua"/>
          <w:sz w:val="24"/>
          <w:szCs w:val="24"/>
        </w:rPr>
        <w:t xml:space="preserve"> </w:t>
      </w:r>
      <w:r w:rsidR="005A5E5D">
        <w:rPr>
          <w:rFonts w:ascii="Book Antiqua" w:hAnsi="Book Antiqua"/>
          <w:sz w:val="24"/>
          <w:szCs w:val="24"/>
        </w:rPr>
        <w:t xml:space="preserve">While </w:t>
      </w:r>
      <w:r w:rsidR="00886AB2">
        <w:rPr>
          <w:rFonts w:ascii="Book Antiqua" w:hAnsi="Book Antiqua"/>
          <w:sz w:val="24"/>
          <w:szCs w:val="24"/>
        </w:rPr>
        <w:t xml:space="preserve">the </w:t>
      </w:r>
      <w:r w:rsidRPr="002361DF">
        <w:rPr>
          <w:rFonts w:ascii="Book Antiqua" w:hAnsi="Book Antiqua"/>
          <w:sz w:val="24"/>
          <w:szCs w:val="24"/>
        </w:rPr>
        <w:t>callover will take place in Melbourne, parties may appear by video link at the relevant regional court.</w:t>
      </w:r>
    </w:p>
    <w:p w14:paraId="4CEAC447" w14:textId="71F42759"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Practitioners with conduct of cases in the </w:t>
      </w:r>
      <w:r w:rsidR="00886AB2">
        <w:rPr>
          <w:rFonts w:ascii="Book Antiqua" w:hAnsi="Book Antiqua"/>
          <w:sz w:val="24"/>
          <w:szCs w:val="24"/>
        </w:rPr>
        <w:t>L</w:t>
      </w:r>
      <w:r w:rsidRPr="002361DF">
        <w:rPr>
          <w:rFonts w:ascii="Book Antiqua" w:hAnsi="Book Antiqua"/>
          <w:sz w:val="24"/>
          <w:szCs w:val="24"/>
        </w:rPr>
        <w:t xml:space="preserve">ist will be advised of the details of the callover by email. </w:t>
      </w:r>
    </w:p>
    <w:p w14:paraId="10C0904A" w14:textId="3AB0949E"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The solicitor with conduct of the proceeding (or counsel, if briefed) should appear at the callover.</w:t>
      </w:r>
    </w:p>
    <w:p w14:paraId="7C35E574" w14:textId="64569C37" w:rsidR="00182C1F" w:rsidRPr="002361DF" w:rsidRDefault="00182C1F"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2361DF">
        <w:rPr>
          <w:rFonts w:ascii="Book Antiqua" w:hAnsi="Book Antiqua"/>
          <w:sz w:val="24"/>
          <w:szCs w:val="24"/>
        </w:rPr>
        <w:t>At the callover, parties will be expected to:</w:t>
      </w:r>
    </w:p>
    <w:p w14:paraId="07D29ECD" w14:textId="4DC2801B" w:rsidR="002361DF" w:rsidRPr="002361DF" w:rsidRDefault="002361DF" w:rsidP="00931493">
      <w:pPr>
        <w:spacing w:before="120" w:after="120"/>
        <w:ind w:left="1170" w:hanging="450"/>
        <w:jc w:val="both"/>
        <w:rPr>
          <w:rFonts w:ascii="Book Antiqua" w:hAnsi="Book Antiqua"/>
        </w:rPr>
      </w:pPr>
      <w:r w:rsidRPr="002361DF">
        <w:rPr>
          <w:rFonts w:ascii="Book Antiqua" w:hAnsi="Book Antiqua"/>
        </w:rPr>
        <w:t xml:space="preserve">a) </w:t>
      </w:r>
      <w:r w:rsidR="00535A68">
        <w:rPr>
          <w:rFonts w:ascii="Book Antiqua" w:hAnsi="Book Antiqua"/>
        </w:rPr>
        <w:t>c</w:t>
      </w:r>
      <w:r w:rsidRPr="002361DF">
        <w:rPr>
          <w:rFonts w:ascii="Book Antiqua" w:hAnsi="Book Antiqua"/>
        </w:rPr>
        <w:t>onfirm the proceeding is ready for trial;</w:t>
      </w:r>
    </w:p>
    <w:p w14:paraId="3622D223" w14:textId="1EBDBC16" w:rsidR="002361DF" w:rsidRPr="002361DF" w:rsidRDefault="002361DF" w:rsidP="00931493">
      <w:pPr>
        <w:spacing w:before="120" w:after="120"/>
        <w:ind w:left="1170" w:hanging="450"/>
        <w:jc w:val="both"/>
        <w:rPr>
          <w:rFonts w:ascii="Book Antiqua" w:hAnsi="Book Antiqua"/>
        </w:rPr>
      </w:pPr>
      <w:r w:rsidRPr="002361DF">
        <w:rPr>
          <w:rFonts w:ascii="Book Antiqua" w:hAnsi="Book Antiqua"/>
        </w:rPr>
        <w:t xml:space="preserve">b) </w:t>
      </w:r>
      <w:r w:rsidR="00535A68">
        <w:rPr>
          <w:rFonts w:ascii="Book Antiqua" w:hAnsi="Book Antiqua"/>
        </w:rPr>
        <w:t>c</w:t>
      </w:r>
      <w:r w:rsidRPr="002361DF">
        <w:rPr>
          <w:rFonts w:ascii="Book Antiqua" w:hAnsi="Book Antiqua"/>
        </w:rPr>
        <w:t>onfirm the estimated number of sitting days;</w:t>
      </w:r>
    </w:p>
    <w:p w14:paraId="70E458A0" w14:textId="7BBDDD6F" w:rsidR="002361DF" w:rsidRPr="002361DF" w:rsidRDefault="002361DF" w:rsidP="00931493">
      <w:pPr>
        <w:spacing w:before="120" w:after="120"/>
        <w:ind w:left="1170" w:hanging="450"/>
        <w:jc w:val="both"/>
        <w:rPr>
          <w:rFonts w:ascii="Book Antiqua" w:hAnsi="Book Antiqua"/>
        </w:rPr>
      </w:pPr>
      <w:r w:rsidRPr="002361DF">
        <w:rPr>
          <w:rFonts w:ascii="Book Antiqua" w:hAnsi="Book Antiqua"/>
        </w:rPr>
        <w:t xml:space="preserve">c) </w:t>
      </w:r>
      <w:r w:rsidR="00535A68">
        <w:rPr>
          <w:rFonts w:ascii="Book Antiqua" w:hAnsi="Book Antiqua"/>
        </w:rPr>
        <w:t>c</w:t>
      </w:r>
      <w:r w:rsidRPr="002361DF">
        <w:rPr>
          <w:rFonts w:ascii="Book Antiqua" w:hAnsi="Book Antiqua"/>
        </w:rPr>
        <w:t>onfirm whether th</w:t>
      </w:r>
      <w:r w:rsidR="00D34297">
        <w:rPr>
          <w:rFonts w:ascii="Book Antiqua" w:hAnsi="Book Antiqua"/>
        </w:rPr>
        <w:t>e proceeding is to be heard by j</w:t>
      </w:r>
      <w:r w:rsidRPr="002361DF">
        <w:rPr>
          <w:rFonts w:ascii="Book Antiqua" w:hAnsi="Book Antiqua"/>
        </w:rPr>
        <w:t>udge alone, or by jury;</w:t>
      </w:r>
    </w:p>
    <w:p w14:paraId="0328D46F" w14:textId="4AB089F1" w:rsidR="002361DF" w:rsidRPr="002361DF" w:rsidRDefault="002361DF" w:rsidP="00931493">
      <w:pPr>
        <w:spacing w:before="120" w:after="120"/>
        <w:ind w:left="1170" w:hanging="450"/>
        <w:jc w:val="both"/>
        <w:rPr>
          <w:rFonts w:ascii="Book Antiqua" w:hAnsi="Book Antiqua"/>
        </w:rPr>
      </w:pPr>
      <w:r w:rsidRPr="002361DF">
        <w:rPr>
          <w:rFonts w:ascii="Book Antiqua" w:hAnsi="Book Antiqua"/>
        </w:rPr>
        <w:t xml:space="preserve">d) </w:t>
      </w:r>
      <w:r w:rsidR="00535A68">
        <w:rPr>
          <w:rFonts w:ascii="Book Antiqua" w:hAnsi="Book Antiqua"/>
        </w:rPr>
        <w:t>p</w:t>
      </w:r>
      <w:r w:rsidRPr="002361DF">
        <w:rPr>
          <w:rFonts w:ascii="Book Antiqua" w:hAnsi="Book Antiqua"/>
        </w:rPr>
        <w:t>rovide a written list of proposed expert and lay witnesses to be called at trial; and</w:t>
      </w:r>
    </w:p>
    <w:p w14:paraId="506A65CA" w14:textId="29E6A6CB" w:rsidR="002361DF" w:rsidRPr="002361DF" w:rsidRDefault="002361DF" w:rsidP="00931493">
      <w:pPr>
        <w:spacing w:before="120" w:after="120"/>
        <w:ind w:left="1170" w:hanging="450"/>
        <w:jc w:val="both"/>
        <w:rPr>
          <w:rFonts w:ascii="Book Antiqua" w:hAnsi="Book Antiqua"/>
        </w:rPr>
      </w:pPr>
      <w:r w:rsidRPr="002361DF">
        <w:rPr>
          <w:rFonts w:ascii="Book Antiqua" w:hAnsi="Book Antiqua"/>
        </w:rPr>
        <w:t xml:space="preserve">e) </w:t>
      </w:r>
      <w:r w:rsidR="00535A68">
        <w:rPr>
          <w:rFonts w:ascii="Book Antiqua" w:hAnsi="Book Antiqua"/>
        </w:rPr>
        <w:t>i</w:t>
      </w:r>
      <w:r w:rsidRPr="002361DF">
        <w:rPr>
          <w:rFonts w:ascii="Book Antiqua" w:hAnsi="Book Antiqua"/>
        </w:rPr>
        <w:t>dentify any outstanding interlocutory issues or proposed amendments to pleadings.</w:t>
      </w:r>
    </w:p>
    <w:p w14:paraId="63317AF9" w14:textId="39379156" w:rsidR="00886AB2" w:rsidRDefault="00886AB2" w:rsidP="00931493">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As part of final directions at the callover, p</w:t>
      </w:r>
      <w:r w:rsidRPr="00861206">
        <w:rPr>
          <w:rFonts w:ascii="Book Antiqua" w:hAnsi="Book Antiqua"/>
          <w:sz w:val="24"/>
          <w:szCs w:val="24"/>
        </w:rPr>
        <w:t xml:space="preserve">arties will usually be ordered to file a joint memorandum identifying the factual and legal issues in dispute and </w:t>
      </w:r>
      <w:r>
        <w:rPr>
          <w:rFonts w:ascii="Book Antiqua" w:hAnsi="Book Antiqua"/>
          <w:sz w:val="24"/>
          <w:szCs w:val="24"/>
        </w:rPr>
        <w:t xml:space="preserve">to </w:t>
      </w:r>
      <w:r w:rsidRPr="00861206">
        <w:rPr>
          <w:rFonts w:ascii="Book Antiqua" w:hAnsi="Book Antiqua"/>
          <w:sz w:val="24"/>
          <w:szCs w:val="24"/>
        </w:rPr>
        <w:t>prepare a folder of key docum</w:t>
      </w:r>
      <w:r w:rsidR="00D34297">
        <w:rPr>
          <w:rFonts w:ascii="Book Antiqua" w:hAnsi="Book Antiqua"/>
          <w:sz w:val="24"/>
          <w:szCs w:val="24"/>
        </w:rPr>
        <w:t>ents for the assistance of the Trial J</w:t>
      </w:r>
      <w:r w:rsidRPr="00861206">
        <w:rPr>
          <w:rFonts w:ascii="Book Antiqua" w:hAnsi="Book Antiqua"/>
          <w:sz w:val="24"/>
          <w:szCs w:val="24"/>
        </w:rPr>
        <w:t>udge.</w:t>
      </w:r>
      <w:r w:rsidR="00D34297">
        <w:rPr>
          <w:rFonts w:ascii="Book Antiqua" w:hAnsi="Book Antiqua"/>
          <w:sz w:val="24"/>
          <w:szCs w:val="24"/>
        </w:rPr>
        <w:t xml:space="preserve"> </w:t>
      </w:r>
      <w:r w:rsidRPr="00861206">
        <w:rPr>
          <w:rFonts w:ascii="Book Antiqua" w:hAnsi="Book Antiqua"/>
          <w:sz w:val="24"/>
          <w:szCs w:val="24"/>
        </w:rPr>
        <w:t xml:space="preserve"> Court Books are not required.</w:t>
      </w:r>
      <w:r>
        <w:rPr>
          <w:rFonts w:ascii="Book Antiqua" w:hAnsi="Book Antiqua"/>
          <w:sz w:val="24"/>
          <w:szCs w:val="24"/>
        </w:rPr>
        <w:t xml:space="preserve"> </w:t>
      </w:r>
    </w:p>
    <w:p w14:paraId="50735E48" w14:textId="5461FFF4" w:rsidR="002361DF" w:rsidRDefault="002361D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At the callover, parties will have the opportunity to raise issues including the order of cases for the circuit and the giving of evidence by video link</w:t>
      </w:r>
      <w:r w:rsidR="00565153">
        <w:rPr>
          <w:rFonts w:ascii="Book Antiqua" w:hAnsi="Book Antiqua"/>
          <w:sz w:val="24"/>
          <w:szCs w:val="24"/>
        </w:rPr>
        <w:t>.</w:t>
      </w:r>
      <w:r w:rsidRPr="002361DF">
        <w:rPr>
          <w:rFonts w:ascii="Book Antiqua" w:hAnsi="Book Antiqua"/>
          <w:b/>
          <w:sz w:val="24"/>
          <w:szCs w:val="24"/>
        </w:rPr>
        <w:t xml:space="preserve"> </w:t>
      </w:r>
    </w:p>
    <w:p w14:paraId="4EA51160" w14:textId="77777777" w:rsidR="00886AB2" w:rsidRPr="00886AB2" w:rsidRDefault="00886AB2" w:rsidP="00931493">
      <w:pPr>
        <w:autoSpaceDE w:val="0"/>
        <w:autoSpaceDN w:val="0"/>
        <w:adjustRightInd w:val="0"/>
        <w:spacing w:before="120" w:after="120"/>
        <w:jc w:val="both"/>
        <w:rPr>
          <w:rFonts w:ascii="Book Antiqua" w:hAnsi="Book Antiqua"/>
          <w:b/>
        </w:rPr>
      </w:pPr>
    </w:p>
    <w:p w14:paraId="0389F1F2" w14:textId="677EC86D" w:rsidR="00886AB2" w:rsidRPr="00952535" w:rsidRDefault="00886AB2" w:rsidP="00931493">
      <w:pPr>
        <w:pStyle w:val="ListParagraph"/>
        <w:keepNext/>
        <w:numPr>
          <w:ilvl w:val="0"/>
          <w:numId w:val="30"/>
        </w:numPr>
        <w:autoSpaceDE w:val="0"/>
        <w:autoSpaceDN w:val="0"/>
        <w:adjustRightInd w:val="0"/>
        <w:spacing w:before="120" w:after="120"/>
        <w:jc w:val="both"/>
        <w:rPr>
          <w:rFonts w:ascii="Book Antiqua" w:hAnsi="Book Antiqua"/>
          <w:b/>
          <w:sz w:val="24"/>
          <w:szCs w:val="24"/>
        </w:rPr>
      </w:pPr>
      <w:r w:rsidRPr="00952535">
        <w:rPr>
          <w:rFonts w:ascii="Book Antiqua" w:hAnsi="Book Antiqua"/>
          <w:b/>
          <w:sz w:val="24"/>
          <w:szCs w:val="24"/>
        </w:rPr>
        <w:t>COMPLIANCE WITH ORDERS</w:t>
      </w:r>
      <w:r w:rsidR="004319AA">
        <w:rPr>
          <w:rFonts w:ascii="Book Antiqua" w:hAnsi="Book Antiqua"/>
          <w:b/>
          <w:sz w:val="24"/>
          <w:szCs w:val="24"/>
        </w:rPr>
        <w:t xml:space="preserve"> &amp; ADJOURNMENTS OF TRIAL</w:t>
      </w:r>
    </w:p>
    <w:p w14:paraId="5E138F67" w14:textId="1B1951F4" w:rsidR="00886AB2" w:rsidRDefault="00886AB2" w:rsidP="00931493">
      <w:pPr>
        <w:pStyle w:val="ListParagraph"/>
        <w:numPr>
          <w:ilvl w:val="1"/>
          <w:numId w:val="30"/>
        </w:numPr>
        <w:spacing w:before="120" w:after="120"/>
        <w:jc w:val="both"/>
        <w:rPr>
          <w:rFonts w:ascii="Book Antiqua" w:hAnsi="Book Antiqua"/>
          <w:sz w:val="24"/>
          <w:szCs w:val="24"/>
        </w:rPr>
      </w:pPr>
      <w:r w:rsidRPr="00DC6FE5">
        <w:rPr>
          <w:rFonts w:ascii="Book Antiqua" w:hAnsi="Book Antiqua"/>
          <w:sz w:val="24"/>
          <w:szCs w:val="24"/>
        </w:rPr>
        <w:t xml:space="preserve">If at any time the parties are unable to comply with </w:t>
      </w:r>
      <w:r w:rsidR="004319AA">
        <w:rPr>
          <w:rFonts w:ascii="Book Antiqua" w:hAnsi="Book Antiqua"/>
          <w:sz w:val="24"/>
          <w:szCs w:val="24"/>
        </w:rPr>
        <w:t xml:space="preserve">time limits in Court </w:t>
      </w:r>
      <w:r w:rsidRPr="00DC6FE5">
        <w:rPr>
          <w:rFonts w:ascii="Book Antiqua" w:hAnsi="Book Antiqua"/>
          <w:sz w:val="24"/>
          <w:szCs w:val="24"/>
        </w:rPr>
        <w:t>orders</w:t>
      </w:r>
      <w:r w:rsidR="004319AA">
        <w:rPr>
          <w:rFonts w:ascii="Book Antiqua" w:hAnsi="Book Antiqua"/>
          <w:sz w:val="24"/>
          <w:szCs w:val="24"/>
        </w:rPr>
        <w:t>,</w:t>
      </w:r>
      <w:r w:rsidRPr="00DC6FE5">
        <w:rPr>
          <w:rFonts w:ascii="Book Antiqua" w:hAnsi="Book Antiqua"/>
          <w:sz w:val="24"/>
          <w:szCs w:val="24"/>
        </w:rPr>
        <w:t xml:space="preserve"> they must notify </w:t>
      </w:r>
      <w:hyperlink r:id="rId18" w:history="1">
        <w:r w:rsidRPr="005278AB">
          <w:rPr>
            <w:rStyle w:val="Hyperlink"/>
            <w:rFonts w:ascii="Book Antiqua" w:hAnsi="Book Antiqua"/>
            <w:sz w:val="24"/>
            <w:szCs w:val="24"/>
          </w:rPr>
          <w:t>civil.circuits@supremecourt.vic.gov.au</w:t>
        </w:r>
      </w:hyperlink>
      <w:r>
        <w:rPr>
          <w:rFonts w:ascii="Book Antiqua" w:hAnsi="Book Antiqua"/>
          <w:sz w:val="24"/>
          <w:szCs w:val="24"/>
        </w:rPr>
        <w:t xml:space="preserve"> </w:t>
      </w:r>
      <w:r w:rsidRPr="00DC6FE5">
        <w:rPr>
          <w:rFonts w:ascii="Book Antiqua" w:hAnsi="Book Antiqua"/>
          <w:sz w:val="24"/>
          <w:szCs w:val="24"/>
        </w:rPr>
        <w:t>and request an extension of time.</w:t>
      </w:r>
    </w:p>
    <w:p w14:paraId="3569BBE8" w14:textId="14DEE1B4" w:rsidR="004319AA" w:rsidRPr="008F0538" w:rsidRDefault="004319AA" w:rsidP="00931493">
      <w:pPr>
        <w:pStyle w:val="ListParagraph"/>
        <w:numPr>
          <w:ilvl w:val="1"/>
          <w:numId w:val="30"/>
        </w:numPr>
        <w:spacing w:before="120" w:after="12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be left until the callover.  Such applications should be made on summons supported by affidavit </w:t>
      </w:r>
      <w:r w:rsidR="002A4626">
        <w:rPr>
          <w:rFonts w:ascii="Book Antiqua" w:hAnsi="Book Antiqua"/>
          <w:sz w:val="24"/>
          <w:szCs w:val="24"/>
        </w:rPr>
        <w:t xml:space="preserve">material </w:t>
      </w:r>
      <w:r>
        <w:rPr>
          <w:rFonts w:ascii="Book Antiqua" w:hAnsi="Book Antiqua"/>
          <w:sz w:val="24"/>
          <w:szCs w:val="24"/>
        </w:rPr>
        <w:t>in accordance with section 7 of this Practice Note.</w:t>
      </w:r>
    </w:p>
    <w:p w14:paraId="2F714EFE" w14:textId="77777777" w:rsidR="00886AB2" w:rsidRPr="00D34297" w:rsidRDefault="00886AB2" w:rsidP="00931493">
      <w:pPr>
        <w:spacing w:before="120" w:after="120"/>
        <w:rPr>
          <w:sz w:val="16"/>
          <w:szCs w:val="16"/>
        </w:rPr>
      </w:pPr>
    </w:p>
    <w:p w14:paraId="29E6D1A1" w14:textId="77777777" w:rsidR="000245D8" w:rsidRPr="008F0538" w:rsidRDefault="000245D8"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8F0538">
        <w:rPr>
          <w:rFonts w:ascii="Book Antiqua" w:hAnsi="Book Antiqua"/>
          <w:b/>
          <w:sz w:val="24"/>
          <w:szCs w:val="24"/>
        </w:rPr>
        <w:lastRenderedPageBreak/>
        <w:t>USE OF TECHNOLOGY</w:t>
      </w:r>
    </w:p>
    <w:p w14:paraId="1704E65B" w14:textId="77777777" w:rsidR="000245D8" w:rsidRDefault="000245D8"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“Guidelines for the Use of Technology” apply to proceedings in the List.</w:t>
      </w:r>
    </w:p>
    <w:p w14:paraId="3205F4DF" w14:textId="77777777" w:rsidR="000245D8" w:rsidRPr="008F0538" w:rsidRDefault="000245D8"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w:t>
      </w:r>
      <w:r w:rsidRPr="009F1F12">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3BA66CE9" w14:textId="77777777" w:rsidR="000245D8" w:rsidRPr="00D34297" w:rsidRDefault="000245D8" w:rsidP="00931493">
      <w:pPr>
        <w:autoSpaceDE w:val="0"/>
        <w:autoSpaceDN w:val="0"/>
        <w:adjustRightInd w:val="0"/>
        <w:spacing w:before="120" w:after="120"/>
        <w:jc w:val="both"/>
        <w:rPr>
          <w:rFonts w:ascii="Book Antiqua" w:hAnsi="Book Antiqua"/>
          <w:b/>
          <w:sz w:val="16"/>
          <w:szCs w:val="16"/>
        </w:rPr>
      </w:pPr>
    </w:p>
    <w:p w14:paraId="3404EB84" w14:textId="7DECB090" w:rsidR="002361DF" w:rsidRPr="002361DF" w:rsidRDefault="002361DF"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2361DF">
        <w:rPr>
          <w:rFonts w:ascii="Book Antiqua" w:hAnsi="Book Antiqua"/>
          <w:b/>
          <w:sz w:val="24"/>
          <w:szCs w:val="24"/>
        </w:rPr>
        <w:t>COMMUNICATIONS WITH THE COURT</w:t>
      </w:r>
    </w:p>
    <w:p w14:paraId="66BB9B7E" w14:textId="32C8571D" w:rsidR="002361DF" w:rsidRPr="005A5E5D" w:rsidRDefault="002361DF"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At all stages of the proceeding, communications with the Court should be by email</w:t>
      </w:r>
      <w:r w:rsidR="005120A9">
        <w:rPr>
          <w:rFonts w:ascii="Book Antiqua" w:hAnsi="Book Antiqua"/>
          <w:sz w:val="24"/>
          <w:szCs w:val="24"/>
        </w:rPr>
        <w:t xml:space="preserve"> </w:t>
      </w:r>
      <w:r w:rsidRPr="002361DF">
        <w:rPr>
          <w:rFonts w:ascii="Book Antiqua" w:hAnsi="Book Antiqua"/>
          <w:sz w:val="24"/>
          <w:szCs w:val="24"/>
        </w:rPr>
        <w:t xml:space="preserve">with a copy to all other parties, and should be confined to uncontroversial </w:t>
      </w:r>
      <w:r w:rsidRPr="005A5E5D">
        <w:rPr>
          <w:rFonts w:ascii="Book Antiqua" w:hAnsi="Book Antiqua"/>
          <w:sz w:val="24"/>
          <w:szCs w:val="24"/>
        </w:rPr>
        <w:t xml:space="preserve">matters. </w:t>
      </w:r>
    </w:p>
    <w:p w14:paraId="79128C5C" w14:textId="5FC69AA6" w:rsidR="005120A9" w:rsidRDefault="005120A9" w:rsidP="00931493">
      <w:pPr>
        <w:pStyle w:val="ListParagraph"/>
        <w:numPr>
          <w:ilvl w:val="1"/>
          <w:numId w:val="30"/>
        </w:numPr>
        <w:spacing w:before="120" w:after="120"/>
        <w:jc w:val="both"/>
        <w:rPr>
          <w:rFonts w:ascii="Book Antiqua" w:hAnsi="Book Antiqua"/>
          <w:sz w:val="24"/>
          <w:szCs w:val="24"/>
        </w:rPr>
      </w:pPr>
      <w:r w:rsidRPr="00DC6FE5">
        <w:rPr>
          <w:rFonts w:ascii="Book Antiqua" w:hAnsi="Book Antiqua"/>
          <w:sz w:val="24"/>
          <w:szCs w:val="24"/>
        </w:rPr>
        <w:t xml:space="preserve">Communications should be directed to </w:t>
      </w:r>
      <w:hyperlink r:id="rId19" w:history="1">
        <w:r w:rsidRPr="005278AB">
          <w:rPr>
            <w:rStyle w:val="Hyperlink"/>
            <w:rFonts w:ascii="Book Antiqua" w:hAnsi="Book Antiqua"/>
            <w:sz w:val="24"/>
            <w:szCs w:val="24"/>
          </w:rPr>
          <w:t>civil.circuits@supremecourt.vic.gov.au</w:t>
        </w:r>
      </w:hyperlink>
      <w:r>
        <w:rPr>
          <w:rFonts w:ascii="Book Antiqua" w:hAnsi="Book Antiqua"/>
          <w:sz w:val="24"/>
          <w:szCs w:val="24"/>
        </w:rPr>
        <w:t xml:space="preserve"> </w:t>
      </w:r>
      <w:r w:rsidRPr="00DC6FE5">
        <w:rPr>
          <w:rFonts w:ascii="Book Antiqua" w:hAnsi="Book Antiqua"/>
          <w:sz w:val="24"/>
          <w:szCs w:val="24"/>
        </w:rPr>
        <w:t>prior to the ca</w:t>
      </w:r>
      <w:r w:rsidR="000D4CCC">
        <w:rPr>
          <w:rFonts w:ascii="Book Antiqua" w:hAnsi="Book Antiqua"/>
          <w:sz w:val="24"/>
          <w:szCs w:val="24"/>
        </w:rPr>
        <w:t xml:space="preserve">llover and to </w:t>
      </w:r>
      <w:r w:rsidRPr="00DC6FE5">
        <w:rPr>
          <w:rFonts w:ascii="Book Antiqua" w:hAnsi="Book Antiqua"/>
          <w:sz w:val="24"/>
          <w:szCs w:val="24"/>
        </w:rPr>
        <w:t>the</w:t>
      </w:r>
      <w:r w:rsidR="00D34297">
        <w:rPr>
          <w:rFonts w:ascii="Book Antiqua" w:hAnsi="Book Antiqua"/>
          <w:sz w:val="24"/>
          <w:szCs w:val="24"/>
        </w:rPr>
        <w:t xml:space="preserve"> associate to the Trial J</w:t>
      </w:r>
      <w:r w:rsidRPr="00DC6FE5">
        <w:rPr>
          <w:rFonts w:ascii="Book Antiqua" w:hAnsi="Book Antiqua"/>
          <w:sz w:val="24"/>
          <w:szCs w:val="24"/>
        </w:rPr>
        <w:t xml:space="preserve">udge </w:t>
      </w:r>
      <w:r w:rsidR="000D4CCC">
        <w:rPr>
          <w:rFonts w:ascii="Book Antiqua" w:hAnsi="Book Antiqua"/>
          <w:sz w:val="24"/>
          <w:szCs w:val="24"/>
        </w:rPr>
        <w:t>between the callover and trial.</w:t>
      </w:r>
      <w:r w:rsidR="00D34297">
        <w:rPr>
          <w:rFonts w:ascii="Book Antiqua" w:hAnsi="Book Antiqua"/>
          <w:sz w:val="24"/>
          <w:szCs w:val="24"/>
        </w:rPr>
        <w:t xml:space="preserve"> </w:t>
      </w:r>
      <w:r w:rsidRPr="00DC6FE5">
        <w:rPr>
          <w:rFonts w:ascii="Book Antiqua" w:hAnsi="Book Antiqua"/>
          <w:sz w:val="24"/>
          <w:szCs w:val="24"/>
        </w:rPr>
        <w:t xml:space="preserve"> Contact details for all associates are on the Court website. </w:t>
      </w:r>
    </w:p>
    <w:p w14:paraId="78BDD0F2" w14:textId="25D83925" w:rsidR="00525B9D" w:rsidRPr="000D775A" w:rsidRDefault="00525B9D" w:rsidP="00931493">
      <w:pPr>
        <w:pStyle w:val="ListParagraph"/>
        <w:numPr>
          <w:ilvl w:val="1"/>
          <w:numId w:val="30"/>
        </w:numPr>
        <w:autoSpaceDE w:val="0"/>
        <w:autoSpaceDN w:val="0"/>
        <w:adjustRightInd w:val="0"/>
        <w:spacing w:before="120" w:after="120"/>
        <w:jc w:val="both"/>
        <w:rPr>
          <w:rFonts w:ascii="Book Antiqua" w:hAnsi="Book Antiqua"/>
          <w:b/>
          <w:sz w:val="24"/>
          <w:szCs w:val="24"/>
        </w:rPr>
      </w:pPr>
      <w:r w:rsidRPr="002361DF">
        <w:rPr>
          <w:rFonts w:ascii="Book Antiqua" w:hAnsi="Book Antiqua"/>
          <w:sz w:val="24"/>
          <w:szCs w:val="24"/>
        </w:rPr>
        <w:t xml:space="preserve">Parties are reminded that pursuant to rule 27.03(11)(b) of the </w:t>
      </w:r>
      <w:r w:rsidRPr="002361DF">
        <w:rPr>
          <w:rFonts w:ascii="Book Antiqua" w:hAnsi="Book Antiqua"/>
          <w:i/>
          <w:sz w:val="24"/>
          <w:szCs w:val="24"/>
        </w:rPr>
        <w:t xml:space="preserve">Supreme Court (General Civil Procedure) Rules </w:t>
      </w:r>
      <w:r w:rsidRPr="00C735CB">
        <w:rPr>
          <w:rFonts w:ascii="Book Antiqua" w:hAnsi="Book Antiqua"/>
          <w:sz w:val="24"/>
          <w:szCs w:val="24"/>
        </w:rPr>
        <w:t>2015</w:t>
      </w:r>
      <w:r w:rsidRPr="002361DF">
        <w:rPr>
          <w:rFonts w:ascii="Book Antiqua" w:hAnsi="Book Antiqua"/>
          <w:sz w:val="24"/>
          <w:szCs w:val="24"/>
        </w:rPr>
        <w:t xml:space="preserve">, all </w:t>
      </w:r>
      <w:r w:rsidR="0035121E">
        <w:rPr>
          <w:rFonts w:ascii="Book Antiqua" w:hAnsi="Book Antiqua"/>
          <w:sz w:val="24"/>
          <w:szCs w:val="24"/>
        </w:rPr>
        <w:t>C</w:t>
      </w:r>
      <w:r w:rsidRPr="002361DF">
        <w:rPr>
          <w:rFonts w:ascii="Book Antiqua" w:hAnsi="Book Antiqua"/>
          <w:sz w:val="24"/>
          <w:szCs w:val="24"/>
        </w:rPr>
        <w:t>ourt documents must include the name and email address of an individual to whom reference can be made in respect of the proceeding.</w:t>
      </w:r>
    </w:p>
    <w:p w14:paraId="38604CC5" w14:textId="77777777" w:rsidR="000D775A" w:rsidRPr="00D34297" w:rsidRDefault="000D775A" w:rsidP="00931493">
      <w:pPr>
        <w:autoSpaceDE w:val="0"/>
        <w:autoSpaceDN w:val="0"/>
        <w:adjustRightInd w:val="0"/>
        <w:spacing w:before="120" w:after="120"/>
        <w:jc w:val="both"/>
        <w:rPr>
          <w:rFonts w:ascii="Book Antiqua" w:hAnsi="Book Antiqua"/>
          <w:b/>
          <w:sz w:val="16"/>
          <w:szCs w:val="16"/>
        </w:rPr>
      </w:pPr>
    </w:p>
    <w:p w14:paraId="0F6A1A5E" w14:textId="77777777" w:rsidR="000D775A" w:rsidRPr="005A7E3F" w:rsidRDefault="000D775A" w:rsidP="00931493">
      <w:pPr>
        <w:pStyle w:val="ListParagraph"/>
        <w:keepNext/>
        <w:numPr>
          <w:ilvl w:val="0"/>
          <w:numId w:val="30"/>
        </w:numPr>
        <w:autoSpaceDE w:val="0"/>
        <w:autoSpaceDN w:val="0"/>
        <w:adjustRightInd w:val="0"/>
        <w:spacing w:before="120" w:after="120"/>
        <w:rPr>
          <w:rFonts w:ascii="Book Antiqua" w:hAnsi="Book Antiqua"/>
          <w:b/>
          <w:sz w:val="24"/>
          <w:szCs w:val="24"/>
        </w:rPr>
      </w:pPr>
      <w:r w:rsidRPr="005A7E3F">
        <w:rPr>
          <w:rFonts w:ascii="Book Antiqua" w:hAnsi="Book Antiqua"/>
          <w:b/>
          <w:sz w:val="24"/>
          <w:szCs w:val="24"/>
        </w:rPr>
        <w:t>FURTHER INFORMATION</w:t>
      </w:r>
    </w:p>
    <w:p w14:paraId="74823FD1" w14:textId="7185774A" w:rsidR="000D775A" w:rsidRPr="005A7E3F" w:rsidRDefault="000D775A" w:rsidP="00931493">
      <w:pPr>
        <w:pStyle w:val="ListParagraph"/>
        <w:numPr>
          <w:ilvl w:val="1"/>
          <w:numId w:val="30"/>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Court’s website (</w:t>
      </w:r>
      <w:hyperlink r:id="rId20" w:history="1">
        <w:r w:rsidRPr="005A7E3F">
          <w:rPr>
            <w:rStyle w:val="Hyperlink"/>
            <w:rFonts w:ascii="Book Antiqua" w:hAnsi="Book Antiqua"/>
            <w:sz w:val="24"/>
            <w:szCs w:val="24"/>
          </w:rPr>
          <w:t>www.supremecourt.vic.gov.au</w:t>
        </w:r>
      </w:hyperlink>
      <w:r w:rsidRPr="005A7E3F">
        <w:rPr>
          <w:rFonts w:ascii="Book Antiqua" w:hAnsi="Book Antiqua"/>
          <w:sz w:val="24"/>
          <w:szCs w:val="24"/>
        </w:rPr>
        <w:t xml:space="preserve">) includes a </w:t>
      </w:r>
      <w:hyperlink r:id="rId21" w:history="1">
        <w:r w:rsidRPr="00162C62">
          <w:rPr>
            <w:rStyle w:val="Hyperlink"/>
            <w:rFonts w:ascii="Book Antiqua" w:hAnsi="Book Antiqua"/>
            <w:sz w:val="24"/>
            <w:szCs w:val="24"/>
          </w:rPr>
          <w:t>page dedicated to the List</w:t>
        </w:r>
      </w:hyperlink>
      <w:r w:rsidRPr="005A7E3F">
        <w:rPr>
          <w:rFonts w:ascii="Book Antiqua" w:hAnsi="Book Antiqua"/>
          <w:sz w:val="24"/>
          <w:szCs w:val="24"/>
        </w:rPr>
        <w:t xml:space="preserve"> with up to date information about the operation of the List</w:t>
      </w:r>
      <w:r>
        <w:rPr>
          <w:rFonts w:ascii="Book Antiqua" w:hAnsi="Book Antiqua"/>
          <w:sz w:val="24"/>
          <w:szCs w:val="24"/>
        </w:rPr>
        <w:t xml:space="preserve"> including</w:t>
      </w:r>
      <w:r w:rsidRPr="005A7E3F">
        <w:rPr>
          <w:rFonts w:ascii="Book Antiqua" w:hAnsi="Book Antiqua"/>
          <w:sz w:val="24"/>
          <w:szCs w:val="24"/>
        </w:rPr>
        <w:t>:</w:t>
      </w:r>
    </w:p>
    <w:p w14:paraId="3EF8A5BB" w14:textId="5A61349D" w:rsidR="00990C15" w:rsidRDefault="00107BC8"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w:t>
      </w:r>
      <w:r w:rsidR="00990C15">
        <w:rPr>
          <w:rFonts w:ascii="Book Antiqua" w:hAnsi="Book Antiqua"/>
          <w:sz w:val="24"/>
          <w:szCs w:val="24"/>
        </w:rPr>
        <w:t>udicial officers managing the List;</w:t>
      </w:r>
    </w:p>
    <w:p w14:paraId="1A626E46" w14:textId="354F857D" w:rsidR="000D775A" w:rsidRDefault="00107BC8"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l</w:t>
      </w:r>
      <w:r w:rsidR="000D775A">
        <w:rPr>
          <w:rFonts w:ascii="Book Antiqua" w:hAnsi="Book Antiqua"/>
          <w:sz w:val="24"/>
          <w:szCs w:val="24"/>
        </w:rPr>
        <w:t>inks to t</w:t>
      </w:r>
      <w:r w:rsidR="000D775A" w:rsidRPr="005A7E3F">
        <w:rPr>
          <w:rFonts w:ascii="Book Antiqua" w:hAnsi="Book Antiqua"/>
          <w:sz w:val="24"/>
          <w:szCs w:val="24"/>
        </w:rPr>
        <w:t xml:space="preserve">his Practice Note in </w:t>
      </w:r>
      <w:r w:rsidR="00162C62">
        <w:rPr>
          <w:rFonts w:ascii="Book Antiqua" w:hAnsi="Book Antiqua"/>
          <w:sz w:val="24"/>
          <w:szCs w:val="24"/>
        </w:rPr>
        <w:t>Word</w:t>
      </w:r>
      <w:r w:rsidR="000D775A" w:rsidRPr="005A7E3F">
        <w:rPr>
          <w:rFonts w:ascii="Book Antiqua" w:hAnsi="Book Antiqua"/>
          <w:sz w:val="24"/>
          <w:szCs w:val="24"/>
        </w:rPr>
        <w:t xml:space="preserve"> and </w:t>
      </w:r>
      <w:r w:rsidR="00162C62">
        <w:rPr>
          <w:rFonts w:ascii="Book Antiqua" w:hAnsi="Book Antiqua"/>
          <w:sz w:val="24"/>
          <w:szCs w:val="24"/>
        </w:rPr>
        <w:t xml:space="preserve">PDF </w:t>
      </w:r>
      <w:r w:rsidR="000D775A" w:rsidRPr="005A7E3F">
        <w:rPr>
          <w:rFonts w:ascii="Book Antiqua" w:hAnsi="Book Antiqua"/>
          <w:sz w:val="24"/>
          <w:szCs w:val="24"/>
        </w:rPr>
        <w:t>formats</w:t>
      </w:r>
      <w:r w:rsidR="000D775A">
        <w:rPr>
          <w:rFonts w:ascii="Book Antiqua" w:hAnsi="Book Antiqua"/>
          <w:sz w:val="24"/>
          <w:szCs w:val="24"/>
        </w:rPr>
        <w:t>;</w:t>
      </w:r>
    </w:p>
    <w:p w14:paraId="1651B057" w14:textId="7AA5BC21" w:rsidR="00107BC8" w:rsidRDefault="00107BC8" w:rsidP="00931493">
      <w:pPr>
        <w:pStyle w:val="ListParagraph"/>
        <w:numPr>
          <w:ilvl w:val="1"/>
          <w:numId w:val="33"/>
        </w:numPr>
        <w:autoSpaceDE w:val="0"/>
        <w:autoSpaceDN w:val="0"/>
        <w:adjustRightInd w:val="0"/>
        <w:spacing w:before="120" w:after="120"/>
        <w:ind w:left="1440" w:hanging="540"/>
        <w:jc w:val="both"/>
        <w:rPr>
          <w:rFonts w:ascii="Book Antiqua" w:hAnsi="Book Antiqua"/>
          <w:sz w:val="24"/>
          <w:szCs w:val="24"/>
        </w:rPr>
      </w:pPr>
      <w:r>
        <w:rPr>
          <w:rFonts w:ascii="Book Antiqua" w:hAnsi="Book Antiqua"/>
          <w:sz w:val="24"/>
          <w:szCs w:val="24"/>
        </w:rPr>
        <w:t xml:space="preserve">the </w:t>
      </w:r>
      <w:r w:rsidRPr="00107BC8">
        <w:rPr>
          <w:rFonts w:ascii="Book Antiqua" w:hAnsi="Book Antiqua"/>
          <w:sz w:val="24"/>
          <w:szCs w:val="24"/>
        </w:rPr>
        <w:t>“Interlocutory Applications Information Form – Civil Circuit List”</w:t>
      </w:r>
      <w:r>
        <w:rPr>
          <w:rFonts w:ascii="Book Antiqua" w:hAnsi="Book Antiqua"/>
          <w:sz w:val="24"/>
          <w:szCs w:val="24"/>
        </w:rPr>
        <w:t xml:space="preserve"> referred to in paragraph </w:t>
      </w:r>
      <w:r w:rsidR="002A45AB">
        <w:rPr>
          <w:rFonts w:ascii="Book Antiqua" w:hAnsi="Book Antiqua"/>
          <w:sz w:val="24"/>
          <w:szCs w:val="24"/>
        </w:rPr>
        <w:t>7.3</w:t>
      </w:r>
      <w:r>
        <w:rPr>
          <w:rFonts w:ascii="Book Antiqua" w:hAnsi="Book Antiqua"/>
          <w:sz w:val="24"/>
          <w:szCs w:val="24"/>
        </w:rPr>
        <w:t>;</w:t>
      </w:r>
      <w:r w:rsidR="006A2931">
        <w:rPr>
          <w:rFonts w:ascii="Book Antiqua" w:hAnsi="Book Antiqua"/>
          <w:sz w:val="24"/>
          <w:szCs w:val="24"/>
        </w:rPr>
        <w:t xml:space="preserve"> and</w:t>
      </w:r>
    </w:p>
    <w:p w14:paraId="43D7338E" w14:textId="2DAE7735" w:rsidR="000D775A" w:rsidRPr="005A7E3F" w:rsidRDefault="00107BC8" w:rsidP="00931493">
      <w:pPr>
        <w:pStyle w:val="ListParagraph"/>
        <w:numPr>
          <w:ilvl w:val="1"/>
          <w:numId w:val="3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c</w:t>
      </w:r>
      <w:r w:rsidR="000D775A">
        <w:rPr>
          <w:rFonts w:ascii="Book Antiqua" w:hAnsi="Book Antiqua"/>
          <w:sz w:val="24"/>
          <w:szCs w:val="24"/>
        </w:rPr>
        <w:t>alendar of civil circuit sitting dates</w:t>
      </w:r>
      <w:r w:rsidR="000D775A" w:rsidRPr="005A7E3F">
        <w:rPr>
          <w:rFonts w:ascii="Book Antiqua" w:hAnsi="Book Antiqua"/>
          <w:sz w:val="24"/>
          <w:szCs w:val="24"/>
        </w:rPr>
        <w:t>.</w:t>
      </w:r>
    </w:p>
    <w:p w14:paraId="5CD419F3" w14:textId="77777777" w:rsidR="000D775A" w:rsidRPr="00D34297" w:rsidRDefault="000D775A" w:rsidP="00931493">
      <w:pPr>
        <w:autoSpaceDE w:val="0"/>
        <w:autoSpaceDN w:val="0"/>
        <w:adjustRightInd w:val="0"/>
        <w:spacing w:before="120" w:after="120"/>
        <w:jc w:val="both"/>
        <w:rPr>
          <w:rFonts w:ascii="Book Antiqua" w:hAnsi="Book Antiqua"/>
          <w:b/>
          <w:sz w:val="16"/>
          <w:szCs w:val="16"/>
        </w:rPr>
      </w:pPr>
    </w:p>
    <w:p w14:paraId="2A06942D" w14:textId="27F46ABE" w:rsidR="003817CD" w:rsidRPr="001F71F4" w:rsidRDefault="00277B7B" w:rsidP="001F71F4">
      <w:pPr>
        <w:autoSpaceDE w:val="0"/>
        <w:autoSpaceDN w:val="0"/>
        <w:adjustRightInd w:val="0"/>
        <w:spacing w:before="120" w:after="120" w:line="360" w:lineRule="auto"/>
        <w:jc w:val="both"/>
        <w:rPr>
          <w:rFonts w:ascii="Book Antiqua" w:hAnsi="Book Antiqua"/>
          <w:b/>
        </w:rPr>
      </w:pPr>
      <w:r w:rsidRPr="001F71F4">
        <w:rPr>
          <w:rFonts w:ascii="Book Antiqua" w:hAnsi="Book Antiqua"/>
          <w:b/>
        </w:rPr>
        <w:t>AMENDMENT HISTORY</w:t>
      </w:r>
    </w:p>
    <w:p w14:paraId="78D2DD2D" w14:textId="0EC15AD6" w:rsidR="00AB3FFA" w:rsidRPr="00277B7B" w:rsidRDefault="00124145" w:rsidP="00CD0331">
      <w:pPr>
        <w:spacing w:before="120" w:after="120"/>
        <w:jc w:val="both"/>
        <w:rPr>
          <w:rFonts w:ascii="Book Antiqua" w:hAnsi="Book Antiqua"/>
        </w:rPr>
      </w:pPr>
      <w:r>
        <w:rPr>
          <w:rFonts w:ascii="Book Antiqua" w:hAnsi="Book Antiqua"/>
        </w:rPr>
        <w:t>30</w:t>
      </w:r>
      <w:r w:rsidR="00277B7B" w:rsidRPr="00277B7B">
        <w:rPr>
          <w:rFonts w:ascii="Book Antiqua" w:hAnsi="Book Antiqua"/>
        </w:rPr>
        <w:t xml:space="preserve"> </w:t>
      </w:r>
      <w:r w:rsidR="007A2EE6">
        <w:rPr>
          <w:rFonts w:ascii="Book Antiqua" w:hAnsi="Book Antiqua"/>
        </w:rPr>
        <w:t>January 2017</w:t>
      </w:r>
      <w:r w:rsidR="00277B7B" w:rsidRPr="00277B7B">
        <w:rPr>
          <w:rFonts w:ascii="Book Antiqua" w:hAnsi="Book Antiqua"/>
        </w:rPr>
        <w:t>: This Practice Note</w:t>
      </w:r>
      <w:r>
        <w:rPr>
          <w:rFonts w:ascii="Book Antiqua" w:hAnsi="Book Antiqua"/>
        </w:rPr>
        <w:t xml:space="preserve"> was issued on 30</w:t>
      </w:r>
      <w:r w:rsidR="00277B7B">
        <w:rPr>
          <w:rFonts w:ascii="Book Antiqua" w:hAnsi="Book Antiqua"/>
        </w:rPr>
        <w:t xml:space="preserve"> </w:t>
      </w:r>
      <w:r w:rsidR="007A2EE6">
        <w:rPr>
          <w:rFonts w:ascii="Book Antiqua" w:hAnsi="Book Antiqua"/>
        </w:rPr>
        <w:t>January 2017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277B7B" w:rsidRPr="00277B7B">
        <w:rPr>
          <w:rFonts w:ascii="Book Antiqua" w:hAnsi="Book Antiqua"/>
        </w:rPr>
        <w:t xml:space="preserve"> Practice Note</w:t>
      </w:r>
      <w:r w:rsidR="00D00C42">
        <w:rPr>
          <w:rFonts w:ascii="Book Antiqua" w:hAnsi="Book Antiqua"/>
        </w:rPr>
        <w:t xml:space="preserve"> No 1 of 2015</w:t>
      </w:r>
      <w:r w:rsidR="006F5FEB">
        <w:rPr>
          <w:rFonts w:ascii="Book Antiqua" w:hAnsi="Book Antiqua"/>
        </w:rPr>
        <w:t xml:space="preserve">, </w:t>
      </w:r>
      <w:r w:rsidR="00D00C42">
        <w:rPr>
          <w:rFonts w:ascii="Book Antiqua" w:hAnsi="Book Antiqua"/>
        </w:rPr>
        <w:t>Notice to the Profession “</w:t>
      </w:r>
      <w:r w:rsidR="00D00C42" w:rsidRPr="00D00C42">
        <w:rPr>
          <w:rFonts w:ascii="Book Antiqua" w:hAnsi="Book Antiqua"/>
        </w:rPr>
        <w:t xml:space="preserve">Interrogatories in proceedings in the Civil Circuit List” </w:t>
      </w:r>
      <w:r w:rsidR="00D00C42">
        <w:rPr>
          <w:rFonts w:ascii="Book Antiqua" w:hAnsi="Book Antiqua"/>
        </w:rPr>
        <w:t>issued on 20 February 2015</w:t>
      </w:r>
      <w:r w:rsidR="006F5FEB">
        <w:rPr>
          <w:rFonts w:ascii="Book Antiqua" w:hAnsi="Book Antiqua"/>
        </w:rPr>
        <w:t>, and Notice to the Profession “Post-mediation Directions Hearings in the Civil Circuit List” issued on 9 June 2016</w:t>
      </w:r>
      <w:r w:rsidR="00D00C42">
        <w:rPr>
          <w:rFonts w:ascii="Book Antiqua" w:hAnsi="Book Antiqua"/>
        </w:rPr>
        <w:t>.</w:t>
      </w:r>
    </w:p>
    <w:p w14:paraId="54E10128" w14:textId="77777777" w:rsidR="00277B7B" w:rsidRPr="00D34297" w:rsidRDefault="00277B7B" w:rsidP="00CD0331">
      <w:pPr>
        <w:spacing w:before="120" w:after="120"/>
        <w:ind w:left="720" w:hanging="720"/>
        <w:jc w:val="both"/>
        <w:rPr>
          <w:rFonts w:ascii="Book Antiqua" w:hAnsi="Book Antiqua"/>
          <w:sz w:val="16"/>
          <w:szCs w:val="16"/>
        </w:rPr>
      </w:pPr>
    </w:p>
    <w:p w14:paraId="4D79BB20" w14:textId="69EFBA9E" w:rsidR="00AB3FFA" w:rsidRPr="007917BE" w:rsidRDefault="004C36A5" w:rsidP="00CD0331">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CD0331">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2F82F901" w:rsidR="00AB3FFA" w:rsidRPr="007917BE" w:rsidRDefault="00124145" w:rsidP="00CD0331">
      <w:pPr>
        <w:spacing w:before="120" w:after="120"/>
        <w:ind w:left="720" w:hanging="720"/>
        <w:jc w:val="right"/>
        <w:rPr>
          <w:rFonts w:ascii="Book Antiqua" w:hAnsi="Book Antiqua"/>
        </w:rPr>
      </w:pPr>
      <w:r>
        <w:rPr>
          <w:rFonts w:ascii="Book Antiqua" w:hAnsi="Book Antiqua"/>
        </w:rPr>
        <w:t>30</w:t>
      </w:r>
      <w:bookmarkStart w:id="0" w:name="_GoBack"/>
      <w:bookmarkEnd w:id="0"/>
      <w:r w:rsidR="00931493">
        <w:rPr>
          <w:rFonts w:ascii="Book Antiqua" w:hAnsi="Book Antiqua"/>
        </w:rPr>
        <w:t xml:space="preserve"> January 2017</w:t>
      </w:r>
    </w:p>
    <w:p w14:paraId="0D122A8E" w14:textId="77777777" w:rsidR="003639B5" w:rsidRPr="007917BE" w:rsidRDefault="003639B5">
      <w:pPr>
        <w:spacing w:before="120" w:after="120"/>
        <w:ind w:left="720" w:hanging="720"/>
        <w:jc w:val="right"/>
        <w:rPr>
          <w:rFonts w:ascii="Book Antiqua" w:hAnsi="Book Antiqua"/>
        </w:rPr>
      </w:pPr>
    </w:p>
    <w:sectPr w:rsidR="003639B5" w:rsidRPr="007917BE" w:rsidSect="00D34297">
      <w:headerReference w:type="default" r:id="rId22"/>
      <w:footerReference w:type="default" r:id="rId23"/>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03FC013B" w:rsidR="002D6E79" w:rsidRDefault="002D6E79">
    <w:pPr>
      <w:pStyle w:val="Footer"/>
      <w:jc w:val="right"/>
    </w:pPr>
    <w:r>
      <w:fldChar w:fldCharType="begin"/>
    </w:r>
    <w:r>
      <w:instrText xml:space="preserve"> PAGE   \* MERGEFORMAT </w:instrText>
    </w:r>
    <w:r>
      <w:fldChar w:fldCharType="separate"/>
    </w:r>
    <w:r w:rsidR="00124145">
      <w:rPr>
        <w:noProof/>
      </w:rPr>
      <w:t>5</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C225" w14:textId="55F7D0A9" w:rsidR="00102AA9" w:rsidRDefault="00102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537305A"/>
    <w:multiLevelType w:val="hybridMultilevel"/>
    <w:tmpl w:val="78FE3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3"/>
  </w:num>
  <w:num w:numId="4">
    <w:abstractNumId w:val="32"/>
  </w:num>
  <w:num w:numId="5">
    <w:abstractNumId w:val="8"/>
  </w:num>
  <w:num w:numId="6">
    <w:abstractNumId w:val="25"/>
  </w:num>
  <w:num w:numId="7">
    <w:abstractNumId w:val="27"/>
  </w:num>
  <w:num w:numId="8">
    <w:abstractNumId w:val="19"/>
  </w:num>
  <w:num w:numId="9">
    <w:abstractNumId w:val="2"/>
  </w:num>
  <w:num w:numId="10">
    <w:abstractNumId w:val="16"/>
  </w:num>
  <w:num w:numId="11">
    <w:abstractNumId w:val="21"/>
  </w:num>
  <w:num w:numId="12">
    <w:abstractNumId w:val="24"/>
  </w:num>
  <w:num w:numId="13">
    <w:abstractNumId w:val="4"/>
  </w:num>
  <w:num w:numId="14">
    <w:abstractNumId w:val="3"/>
  </w:num>
  <w:num w:numId="15">
    <w:abstractNumId w:val="11"/>
  </w:num>
  <w:num w:numId="16">
    <w:abstractNumId w:val="0"/>
  </w:num>
  <w:num w:numId="17">
    <w:abstractNumId w:val="9"/>
  </w:num>
  <w:num w:numId="18">
    <w:abstractNumId w:val="26"/>
  </w:num>
  <w:num w:numId="19">
    <w:abstractNumId w:val="6"/>
  </w:num>
  <w:num w:numId="20">
    <w:abstractNumId w:val="5"/>
  </w:num>
  <w:num w:numId="21">
    <w:abstractNumId w:val="15"/>
  </w:num>
  <w:num w:numId="22">
    <w:abstractNumId w:val="13"/>
  </w:num>
  <w:num w:numId="23">
    <w:abstractNumId w:val="17"/>
  </w:num>
  <w:num w:numId="24">
    <w:abstractNumId w:val="1"/>
  </w:num>
  <w:num w:numId="25">
    <w:abstractNumId w:val="22"/>
  </w:num>
  <w:num w:numId="26">
    <w:abstractNumId w:val="29"/>
  </w:num>
  <w:num w:numId="27">
    <w:abstractNumId w:val="7"/>
  </w:num>
  <w:num w:numId="28">
    <w:abstractNumId w:val="17"/>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8"/>
  </w:num>
  <w:num w:numId="30">
    <w:abstractNumId w:val="31"/>
  </w:num>
  <w:num w:numId="31">
    <w:abstractNumId w:val="30"/>
  </w:num>
  <w:num w:numId="32">
    <w:abstractNumId w:val="20"/>
  </w:num>
  <w:num w:numId="33">
    <w:abstractNumId w:val="1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245D8"/>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95BA5"/>
    <w:rsid w:val="000A1DE7"/>
    <w:rsid w:val="000A4F62"/>
    <w:rsid w:val="000A553C"/>
    <w:rsid w:val="000A6B76"/>
    <w:rsid w:val="000B2E54"/>
    <w:rsid w:val="000B5C76"/>
    <w:rsid w:val="000B5F50"/>
    <w:rsid w:val="000C0998"/>
    <w:rsid w:val="000C1777"/>
    <w:rsid w:val="000C1E05"/>
    <w:rsid w:val="000C2CE1"/>
    <w:rsid w:val="000C5F4B"/>
    <w:rsid w:val="000C750D"/>
    <w:rsid w:val="000C75E1"/>
    <w:rsid w:val="000D07F1"/>
    <w:rsid w:val="000D3250"/>
    <w:rsid w:val="000D4CCC"/>
    <w:rsid w:val="000D5E28"/>
    <w:rsid w:val="000D775A"/>
    <w:rsid w:val="000D7A64"/>
    <w:rsid w:val="000E12FA"/>
    <w:rsid w:val="000E42A9"/>
    <w:rsid w:val="000E524A"/>
    <w:rsid w:val="000F3B18"/>
    <w:rsid w:val="000F6EA7"/>
    <w:rsid w:val="00100006"/>
    <w:rsid w:val="00101EC5"/>
    <w:rsid w:val="00102AA9"/>
    <w:rsid w:val="001033CC"/>
    <w:rsid w:val="00107BC8"/>
    <w:rsid w:val="0011581B"/>
    <w:rsid w:val="00121C72"/>
    <w:rsid w:val="00124145"/>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62C62"/>
    <w:rsid w:val="001716EF"/>
    <w:rsid w:val="0018061B"/>
    <w:rsid w:val="00182C1F"/>
    <w:rsid w:val="00183E30"/>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71F4"/>
    <w:rsid w:val="00207367"/>
    <w:rsid w:val="00216DCF"/>
    <w:rsid w:val="00217758"/>
    <w:rsid w:val="00217E88"/>
    <w:rsid w:val="002218C5"/>
    <w:rsid w:val="00222544"/>
    <w:rsid w:val="0022666D"/>
    <w:rsid w:val="0023426A"/>
    <w:rsid w:val="00234B7B"/>
    <w:rsid w:val="002361DF"/>
    <w:rsid w:val="00241A4E"/>
    <w:rsid w:val="00245746"/>
    <w:rsid w:val="00246054"/>
    <w:rsid w:val="00247F50"/>
    <w:rsid w:val="002572C2"/>
    <w:rsid w:val="0026005D"/>
    <w:rsid w:val="00264C9D"/>
    <w:rsid w:val="00265BF9"/>
    <w:rsid w:val="002679E6"/>
    <w:rsid w:val="00271B59"/>
    <w:rsid w:val="00275A5A"/>
    <w:rsid w:val="00277B7B"/>
    <w:rsid w:val="002812ED"/>
    <w:rsid w:val="0028130B"/>
    <w:rsid w:val="00281E4F"/>
    <w:rsid w:val="00294341"/>
    <w:rsid w:val="002A45AB"/>
    <w:rsid w:val="002A4626"/>
    <w:rsid w:val="002B2E9A"/>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209B9"/>
    <w:rsid w:val="00321C75"/>
    <w:rsid w:val="0032286C"/>
    <w:rsid w:val="00334DD3"/>
    <w:rsid w:val="00340257"/>
    <w:rsid w:val="0034260E"/>
    <w:rsid w:val="0034431F"/>
    <w:rsid w:val="00350055"/>
    <w:rsid w:val="003500B9"/>
    <w:rsid w:val="003508E0"/>
    <w:rsid w:val="0035121E"/>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0B2E"/>
    <w:rsid w:val="0040410A"/>
    <w:rsid w:val="00404CB0"/>
    <w:rsid w:val="00414B77"/>
    <w:rsid w:val="0042138B"/>
    <w:rsid w:val="004319AA"/>
    <w:rsid w:val="004335A3"/>
    <w:rsid w:val="00433DC8"/>
    <w:rsid w:val="00434BEE"/>
    <w:rsid w:val="004361F0"/>
    <w:rsid w:val="00441431"/>
    <w:rsid w:val="004450A6"/>
    <w:rsid w:val="00454495"/>
    <w:rsid w:val="00455D46"/>
    <w:rsid w:val="00461361"/>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C36A5"/>
    <w:rsid w:val="004D07F1"/>
    <w:rsid w:val="004D1112"/>
    <w:rsid w:val="004D2141"/>
    <w:rsid w:val="004E07C3"/>
    <w:rsid w:val="004E1038"/>
    <w:rsid w:val="004E1052"/>
    <w:rsid w:val="004E10CA"/>
    <w:rsid w:val="004E284B"/>
    <w:rsid w:val="004F61E8"/>
    <w:rsid w:val="004F7E81"/>
    <w:rsid w:val="0050429E"/>
    <w:rsid w:val="00506B52"/>
    <w:rsid w:val="00512025"/>
    <w:rsid w:val="005120A9"/>
    <w:rsid w:val="005123B0"/>
    <w:rsid w:val="005158D2"/>
    <w:rsid w:val="005173D2"/>
    <w:rsid w:val="00525B9D"/>
    <w:rsid w:val="005278A1"/>
    <w:rsid w:val="00535A68"/>
    <w:rsid w:val="00540E14"/>
    <w:rsid w:val="00541EAB"/>
    <w:rsid w:val="00547600"/>
    <w:rsid w:val="00550871"/>
    <w:rsid w:val="005534A5"/>
    <w:rsid w:val="00553534"/>
    <w:rsid w:val="00554A65"/>
    <w:rsid w:val="0055503D"/>
    <w:rsid w:val="00561105"/>
    <w:rsid w:val="0056389E"/>
    <w:rsid w:val="00565153"/>
    <w:rsid w:val="00565B62"/>
    <w:rsid w:val="00571E15"/>
    <w:rsid w:val="005734DA"/>
    <w:rsid w:val="00575849"/>
    <w:rsid w:val="005825BE"/>
    <w:rsid w:val="00582DAF"/>
    <w:rsid w:val="0058453B"/>
    <w:rsid w:val="00593530"/>
    <w:rsid w:val="005A291A"/>
    <w:rsid w:val="005A386C"/>
    <w:rsid w:val="005A4134"/>
    <w:rsid w:val="005A59BA"/>
    <w:rsid w:val="005A5E5D"/>
    <w:rsid w:val="005A68BF"/>
    <w:rsid w:val="005A6984"/>
    <w:rsid w:val="005B3FF4"/>
    <w:rsid w:val="005B499F"/>
    <w:rsid w:val="005B5CFE"/>
    <w:rsid w:val="005B7E00"/>
    <w:rsid w:val="005C542A"/>
    <w:rsid w:val="005C7F57"/>
    <w:rsid w:val="005D3383"/>
    <w:rsid w:val="005D6C72"/>
    <w:rsid w:val="005E04B4"/>
    <w:rsid w:val="005E3BB5"/>
    <w:rsid w:val="005E5273"/>
    <w:rsid w:val="005E704A"/>
    <w:rsid w:val="005F02B1"/>
    <w:rsid w:val="005F067C"/>
    <w:rsid w:val="00603321"/>
    <w:rsid w:val="00607B05"/>
    <w:rsid w:val="0061196F"/>
    <w:rsid w:val="006124C3"/>
    <w:rsid w:val="006135A6"/>
    <w:rsid w:val="00613FA8"/>
    <w:rsid w:val="00620D68"/>
    <w:rsid w:val="00625C50"/>
    <w:rsid w:val="0062755D"/>
    <w:rsid w:val="00634832"/>
    <w:rsid w:val="00635413"/>
    <w:rsid w:val="00636D64"/>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31"/>
    <w:rsid w:val="006A29AF"/>
    <w:rsid w:val="006A34BA"/>
    <w:rsid w:val="006A386D"/>
    <w:rsid w:val="006A4158"/>
    <w:rsid w:val="006A4CCD"/>
    <w:rsid w:val="006A5DA3"/>
    <w:rsid w:val="006A74CE"/>
    <w:rsid w:val="006B6D97"/>
    <w:rsid w:val="006C550C"/>
    <w:rsid w:val="006C55DA"/>
    <w:rsid w:val="006D0F84"/>
    <w:rsid w:val="006E6E2F"/>
    <w:rsid w:val="006F0255"/>
    <w:rsid w:val="006F0430"/>
    <w:rsid w:val="006F3E76"/>
    <w:rsid w:val="006F3FAF"/>
    <w:rsid w:val="006F5F1C"/>
    <w:rsid w:val="006F5FEB"/>
    <w:rsid w:val="006F60CF"/>
    <w:rsid w:val="006F6748"/>
    <w:rsid w:val="00702F63"/>
    <w:rsid w:val="00704897"/>
    <w:rsid w:val="007068FC"/>
    <w:rsid w:val="007107C6"/>
    <w:rsid w:val="007109D8"/>
    <w:rsid w:val="00710FDF"/>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A2EE6"/>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7425F"/>
    <w:rsid w:val="00880069"/>
    <w:rsid w:val="0088136E"/>
    <w:rsid w:val="008846D6"/>
    <w:rsid w:val="00886AB2"/>
    <w:rsid w:val="00892D21"/>
    <w:rsid w:val="00892FF7"/>
    <w:rsid w:val="008942F1"/>
    <w:rsid w:val="008A4768"/>
    <w:rsid w:val="008A636D"/>
    <w:rsid w:val="008B0EC2"/>
    <w:rsid w:val="008B1575"/>
    <w:rsid w:val="008B3490"/>
    <w:rsid w:val="008B47EA"/>
    <w:rsid w:val="008B71DB"/>
    <w:rsid w:val="008C027C"/>
    <w:rsid w:val="008C41FA"/>
    <w:rsid w:val="008D6EBF"/>
    <w:rsid w:val="008E2F41"/>
    <w:rsid w:val="008F0E48"/>
    <w:rsid w:val="0091164B"/>
    <w:rsid w:val="00916516"/>
    <w:rsid w:val="0092369B"/>
    <w:rsid w:val="009251C5"/>
    <w:rsid w:val="00931493"/>
    <w:rsid w:val="00934959"/>
    <w:rsid w:val="00934BF0"/>
    <w:rsid w:val="00940734"/>
    <w:rsid w:val="00940F44"/>
    <w:rsid w:val="00941002"/>
    <w:rsid w:val="00947689"/>
    <w:rsid w:val="0095377B"/>
    <w:rsid w:val="00955CBF"/>
    <w:rsid w:val="009579B5"/>
    <w:rsid w:val="0096128D"/>
    <w:rsid w:val="00963A32"/>
    <w:rsid w:val="00970632"/>
    <w:rsid w:val="00971150"/>
    <w:rsid w:val="00975561"/>
    <w:rsid w:val="0098076E"/>
    <w:rsid w:val="00984A84"/>
    <w:rsid w:val="00984EF6"/>
    <w:rsid w:val="00987FD8"/>
    <w:rsid w:val="00990B3C"/>
    <w:rsid w:val="00990C15"/>
    <w:rsid w:val="00993D8D"/>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1F12"/>
    <w:rsid w:val="009F27F0"/>
    <w:rsid w:val="009F587A"/>
    <w:rsid w:val="009F7728"/>
    <w:rsid w:val="009F7C7A"/>
    <w:rsid w:val="00A02D5F"/>
    <w:rsid w:val="00A03CC1"/>
    <w:rsid w:val="00A04BF1"/>
    <w:rsid w:val="00A13D3C"/>
    <w:rsid w:val="00A16095"/>
    <w:rsid w:val="00A1734D"/>
    <w:rsid w:val="00A222B3"/>
    <w:rsid w:val="00A50A22"/>
    <w:rsid w:val="00A52DC7"/>
    <w:rsid w:val="00A5516D"/>
    <w:rsid w:val="00A64EE1"/>
    <w:rsid w:val="00A67FC3"/>
    <w:rsid w:val="00A715A8"/>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D32C4"/>
    <w:rsid w:val="00AE3228"/>
    <w:rsid w:val="00AE3CE5"/>
    <w:rsid w:val="00AE3DBB"/>
    <w:rsid w:val="00AF29CC"/>
    <w:rsid w:val="00AF72F1"/>
    <w:rsid w:val="00AF7BEA"/>
    <w:rsid w:val="00B0217A"/>
    <w:rsid w:val="00B03FB3"/>
    <w:rsid w:val="00B120B9"/>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4E3C"/>
    <w:rsid w:val="00BD53FE"/>
    <w:rsid w:val="00BE1071"/>
    <w:rsid w:val="00BE5E45"/>
    <w:rsid w:val="00BE6133"/>
    <w:rsid w:val="00BF054A"/>
    <w:rsid w:val="00BF2411"/>
    <w:rsid w:val="00BF5F87"/>
    <w:rsid w:val="00BF6922"/>
    <w:rsid w:val="00BF764E"/>
    <w:rsid w:val="00BF7EB5"/>
    <w:rsid w:val="00C02583"/>
    <w:rsid w:val="00C02EEF"/>
    <w:rsid w:val="00C02F5C"/>
    <w:rsid w:val="00C03C6C"/>
    <w:rsid w:val="00C10391"/>
    <w:rsid w:val="00C15670"/>
    <w:rsid w:val="00C16227"/>
    <w:rsid w:val="00C16789"/>
    <w:rsid w:val="00C22339"/>
    <w:rsid w:val="00C25E34"/>
    <w:rsid w:val="00C27E6B"/>
    <w:rsid w:val="00C310B9"/>
    <w:rsid w:val="00C32143"/>
    <w:rsid w:val="00C342D5"/>
    <w:rsid w:val="00C401CD"/>
    <w:rsid w:val="00C4035A"/>
    <w:rsid w:val="00C41952"/>
    <w:rsid w:val="00C42B04"/>
    <w:rsid w:val="00C5118C"/>
    <w:rsid w:val="00C53183"/>
    <w:rsid w:val="00C55128"/>
    <w:rsid w:val="00C56DF5"/>
    <w:rsid w:val="00C570CC"/>
    <w:rsid w:val="00C60BB4"/>
    <w:rsid w:val="00C65F24"/>
    <w:rsid w:val="00C719FC"/>
    <w:rsid w:val="00C735CB"/>
    <w:rsid w:val="00C92881"/>
    <w:rsid w:val="00C96FB5"/>
    <w:rsid w:val="00C979D7"/>
    <w:rsid w:val="00CB2437"/>
    <w:rsid w:val="00CB2EDD"/>
    <w:rsid w:val="00CC2810"/>
    <w:rsid w:val="00CC6705"/>
    <w:rsid w:val="00CD0331"/>
    <w:rsid w:val="00CD3007"/>
    <w:rsid w:val="00CD4B75"/>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4297"/>
    <w:rsid w:val="00D37B73"/>
    <w:rsid w:val="00D44645"/>
    <w:rsid w:val="00D45A4D"/>
    <w:rsid w:val="00D46ABF"/>
    <w:rsid w:val="00D54B74"/>
    <w:rsid w:val="00D62946"/>
    <w:rsid w:val="00D62C14"/>
    <w:rsid w:val="00D636CD"/>
    <w:rsid w:val="00D64B2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67A4F"/>
    <w:rsid w:val="00E74D52"/>
    <w:rsid w:val="00E90334"/>
    <w:rsid w:val="00EA051C"/>
    <w:rsid w:val="00EA0DB8"/>
    <w:rsid w:val="00EA141C"/>
    <w:rsid w:val="00EA2EB9"/>
    <w:rsid w:val="00EA6CDF"/>
    <w:rsid w:val="00EA6FCE"/>
    <w:rsid w:val="00EC0977"/>
    <w:rsid w:val="00EC4A6A"/>
    <w:rsid w:val="00EC6B3A"/>
    <w:rsid w:val="00ED25C1"/>
    <w:rsid w:val="00ED61FE"/>
    <w:rsid w:val="00EE6009"/>
    <w:rsid w:val="00EF154D"/>
    <w:rsid w:val="00EF1683"/>
    <w:rsid w:val="00EF2F58"/>
    <w:rsid w:val="00EF5C7D"/>
    <w:rsid w:val="00F0009F"/>
    <w:rsid w:val="00F0621A"/>
    <w:rsid w:val="00F07C59"/>
    <w:rsid w:val="00F24E6E"/>
    <w:rsid w:val="00F25EF5"/>
    <w:rsid w:val="00F33797"/>
    <w:rsid w:val="00F43EC5"/>
    <w:rsid w:val="00F521A3"/>
    <w:rsid w:val="00F52A10"/>
    <w:rsid w:val="00F630C6"/>
    <w:rsid w:val="00F66463"/>
    <w:rsid w:val="00F80F7B"/>
    <w:rsid w:val="00F85CC5"/>
    <w:rsid w:val="00FA51CA"/>
    <w:rsid w:val="00FA7259"/>
    <w:rsid w:val="00FA726D"/>
    <w:rsid w:val="00FA7381"/>
    <w:rsid w:val="00FA7B26"/>
    <w:rsid w:val="00FB60BC"/>
    <w:rsid w:val="00FC0EA9"/>
    <w:rsid w:val="00FC350B"/>
    <w:rsid w:val="00FC4A80"/>
    <w:rsid w:val="00FC697E"/>
    <w:rsid w:val="00FC7E16"/>
    <w:rsid w:val="00FD0B7E"/>
    <w:rsid w:val="00FD1351"/>
    <w:rsid w:val="00FD2962"/>
    <w:rsid w:val="00FD2DBF"/>
    <w:rsid w:val="00FD41F1"/>
    <w:rsid w:val="00FD4655"/>
    <w:rsid w:val="00FD4B3F"/>
    <w:rsid w:val="00FD6D10"/>
    <w:rsid w:val="00FD72DE"/>
    <w:rsid w:val="00FE13F6"/>
    <w:rsid w:val="00FE2DE4"/>
    <w:rsid w:val="00FE3DB0"/>
    <w:rsid w:val="00FE3E47"/>
    <w:rsid w:val="00FE70B6"/>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ivil.circuits@supremecourt.vic.gov.au" TargetMode="External"/><Relationship Id="rId3" Type="http://schemas.openxmlformats.org/officeDocument/2006/relationships/customXml" Target="../customXml/item3.xml"/><Relationship Id="rId21" Type="http://schemas.openxmlformats.org/officeDocument/2006/relationships/hyperlink" Target="http://www.supremecourt.vic.gov.au/home/law+and+practice/specialist+areas+of+law/circuit+lis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circuits@supremecourt.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vil.circuits@supremecourt.vic.gov.au" TargetMode="External"/><Relationship Id="rId20" Type="http://schemas.openxmlformats.org/officeDocument/2006/relationships/hyperlink" Target="http://www.supremecourt.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rders@supremecourt.vic.gov.au"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ivil.circuits@supreme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ivil.circuits@supremecourt.vic.gov.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d35400e-913e-4289-a6bb-c9c808f416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B7A98BA0-C705-451F-981E-0C1BAEF9D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5.xml><?xml version="1.0" encoding="utf-8"?>
<ds:datastoreItem xmlns:ds="http://schemas.openxmlformats.org/officeDocument/2006/customXml" ds:itemID="{00911BE6-A8C0-47D1-B2C7-BFC6D9A97AA2}">
  <ds:schemaRefs>
    <ds:schemaRef ds:uri="http://schemas.openxmlformats.org/officeDocument/2006/bibliography"/>
  </ds:schemaRefs>
</ds:datastoreItem>
</file>

<file path=customXml/itemProps6.xml><?xml version="1.0" encoding="utf-8"?>
<ds:datastoreItem xmlns:ds="http://schemas.openxmlformats.org/officeDocument/2006/customXml" ds:itemID="{38D9E20D-0E8B-4424-B81B-74A98CE0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Practice Note SC CL 1 Civil Circuit List</vt:lpstr>
    </vt:vector>
  </TitlesOfParts>
  <Company>Supreme Court of Victoria</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1 Civil Circuit List</dc:title>
  <dc:subject/>
  <dc:creator>Supreme Court of Victoria</dc:creator>
  <cp:keywords/>
  <dc:description/>
  <cp:lastModifiedBy>Viv Macgillivray</cp:lastModifiedBy>
  <cp:revision>10</cp:revision>
  <cp:lastPrinted>2016-10-25T07:27:00Z</cp:lastPrinted>
  <dcterms:created xsi:type="dcterms:W3CDTF">2016-10-27T22:49:00Z</dcterms:created>
  <dcterms:modified xsi:type="dcterms:W3CDTF">2016-11-28T05:13:00Z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