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D4D25" w14:textId="31056FEE" w:rsidR="00D85336" w:rsidRPr="00771C95" w:rsidRDefault="00CD0331" w:rsidP="00CD0331">
      <w:pPr>
        <w:autoSpaceDE w:val="0"/>
        <w:autoSpaceDN w:val="0"/>
        <w:adjustRightInd w:val="0"/>
        <w:spacing w:before="120" w:after="120"/>
        <w:jc w:val="center"/>
        <w:rPr>
          <w:b/>
          <w:bCs/>
          <w:color w:val="000000"/>
        </w:rPr>
      </w:pPr>
      <w:r w:rsidRPr="00771C95">
        <w:rPr>
          <w:b/>
          <w:bCs/>
          <w:noProof/>
          <w:color w:val="000000"/>
          <w:sz w:val="44"/>
          <w:szCs w:val="44"/>
        </w:rPr>
        <w:drawing>
          <wp:anchor distT="0" distB="0" distL="114300" distR="114300" simplePos="0" relativeHeight="251657728" behindDoc="0" locked="0" layoutInCell="1" allowOverlap="0" wp14:anchorId="2F758B34" wp14:editId="00FB05C7">
            <wp:simplePos x="0" y="0"/>
            <wp:positionH relativeFrom="column">
              <wp:posOffset>2238375</wp:posOffset>
            </wp:positionH>
            <wp:positionV relativeFrom="paragraph">
              <wp:posOffset>0</wp:posOffset>
            </wp:positionV>
            <wp:extent cx="1323340" cy="1189355"/>
            <wp:effectExtent l="0" t="0" r="0" b="0"/>
            <wp:wrapSquare wrapText="bothSides"/>
            <wp:docPr id="3" name="Picture 3" descr="SCV_Red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V_Red_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340" cy="118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D48CEE" w14:textId="77777777" w:rsidR="00D85336" w:rsidRPr="00771C95" w:rsidRDefault="00D85336" w:rsidP="00CD0331">
      <w:pPr>
        <w:autoSpaceDE w:val="0"/>
        <w:autoSpaceDN w:val="0"/>
        <w:adjustRightInd w:val="0"/>
        <w:spacing w:before="120" w:after="120"/>
        <w:jc w:val="center"/>
        <w:rPr>
          <w:b/>
          <w:bCs/>
          <w:color w:val="000000"/>
        </w:rPr>
      </w:pPr>
    </w:p>
    <w:p w14:paraId="7AD392FB" w14:textId="77777777" w:rsidR="00D85336" w:rsidRPr="00771C95" w:rsidRDefault="00D85336" w:rsidP="00CD0331">
      <w:pPr>
        <w:autoSpaceDE w:val="0"/>
        <w:autoSpaceDN w:val="0"/>
        <w:adjustRightInd w:val="0"/>
        <w:spacing w:before="120" w:after="120"/>
        <w:jc w:val="center"/>
        <w:rPr>
          <w:b/>
          <w:bCs/>
          <w:color w:val="000000"/>
        </w:rPr>
      </w:pPr>
    </w:p>
    <w:p w14:paraId="2FAE686D" w14:textId="5F3C8D4B" w:rsidR="003817CD" w:rsidRDefault="003817CD" w:rsidP="00CD0331">
      <w:pPr>
        <w:autoSpaceDE w:val="0"/>
        <w:autoSpaceDN w:val="0"/>
        <w:adjustRightInd w:val="0"/>
        <w:spacing w:before="120" w:after="120"/>
        <w:jc w:val="center"/>
        <w:rPr>
          <w:rFonts w:ascii="Book Antiqua" w:hAnsi="Book Antiqua"/>
          <w:b/>
          <w:bCs/>
          <w:color w:val="000000"/>
          <w:sz w:val="44"/>
          <w:szCs w:val="44"/>
        </w:rPr>
      </w:pPr>
    </w:p>
    <w:p w14:paraId="4CFB5BC3" w14:textId="13D99BD4" w:rsidR="00271B59" w:rsidRPr="007917BE" w:rsidRDefault="003817CD" w:rsidP="00CD0331">
      <w:pPr>
        <w:autoSpaceDE w:val="0"/>
        <w:autoSpaceDN w:val="0"/>
        <w:adjustRightInd w:val="0"/>
        <w:spacing w:before="120" w:after="120"/>
        <w:jc w:val="center"/>
        <w:rPr>
          <w:rFonts w:ascii="Book Antiqua" w:hAnsi="Book Antiqua"/>
          <w:b/>
          <w:bCs/>
          <w:color w:val="000000"/>
          <w:sz w:val="44"/>
          <w:szCs w:val="44"/>
        </w:rPr>
      </w:pPr>
      <w:r>
        <w:rPr>
          <w:rFonts w:ascii="Book Antiqua" w:hAnsi="Book Antiqua"/>
          <w:b/>
          <w:bCs/>
          <w:color w:val="000000"/>
          <w:sz w:val="44"/>
          <w:szCs w:val="44"/>
        </w:rPr>
        <w:t>Supreme C</w:t>
      </w:r>
      <w:r w:rsidR="00271B59" w:rsidRPr="007917BE">
        <w:rPr>
          <w:rFonts w:ascii="Book Antiqua" w:hAnsi="Book Antiqua"/>
          <w:b/>
          <w:bCs/>
          <w:color w:val="000000"/>
          <w:sz w:val="44"/>
          <w:szCs w:val="44"/>
        </w:rPr>
        <w:t>ourt of Victoria</w:t>
      </w:r>
    </w:p>
    <w:p w14:paraId="11FFDD9F" w14:textId="610B7D5C" w:rsidR="00271B59" w:rsidRPr="007917BE" w:rsidRDefault="00271B59" w:rsidP="00CD0331">
      <w:pPr>
        <w:autoSpaceDE w:val="0"/>
        <w:autoSpaceDN w:val="0"/>
        <w:adjustRightInd w:val="0"/>
        <w:spacing w:before="120" w:after="120"/>
        <w:jc w:val="center"/>
        <w:rPr>
          <w:rFonts w:ascii="Book Antiqua" w:hAnsi="Book Antiqua"/>
          <w:b/>
          <w:color w:val="000000"/>
          <w:sz w:val="28"/>
        </w:rPr>
      </w:pPr>
      <w:r w:rsidRPr="007917BE">
        <w:rPr>
          <w:rFonts w:ascii="Book Antiqua" w:hAnsi="Book Antiqua"/>
          <w:b/>
          <w:color w:val="000000"/>
          <w:sz w:val="28"/>
        </w:rPr>
        <w:t xml:space="preserve">Practice Note </w:t>
      </w:r>
      <w:r w:rsidR="003817CD">
        <w:rPr>
          <w:rFonts w:ascii="Book Antiqua" w:hAnsi="Book Antiqua"/>
          <w:b/>
          <w:color w:val="000000"/>
          <w:sz w:val="28"/>
        </w:rPr>
        <w:t xml:space="preserve">SC </w:t>
      </w:r>
      <w:r w:rsidR="000117C7">
        <w:rPr>
          <w:rFonts w:ascii="Book Antiqua" w:hAnsi="Book Antiqua"/>
          <w:b/>
          <w:color w:val="000000"/>
          <w:sz w:val="28"/>
        </w:rPr>
        <w:t xml:space="preserve">CL </w:t>
      </w:r>
      <w:r w:rsidR="008D3626">
        <w:rPr>
          <w:rFonts w:ascii="Book Antiqua" w:hAnsi="Book Antiqua"/>
          <w:b/>
          <w:color w:val="000000"/>
          <w:sz w:val="28"/>
        </w:rPr>
        <w:t>4</w:t>
      </w:r>
    </w:p>
    <w:p w14:paraId="66779301" w14:textId="370B8108" w:rsidR="00271B59" w:rsidRDefault="008D3626" w:rsidP="00CD0331">
      <w:pPr>
        <w:autoSpaceDE w:val="0"/>
        <w:autoSpaceDN w:val="0"/>
        <w:adjustRightInd w:val="0"/>
        <w:spacing w:before="120" w:after="120"/>
        <w:jc w:val="center"/>
        <w:rPr>
          <w:rFonts w:ascii="Book Antiqua" w:hAnsi="Book Antiqua"/>
          <w:b/>
          <w:color w:val="000000"/>
          <w:sz w:val="28"/>
        </w:rPr>
      </w:pPr>
      <w:r>
        <w:rPr>
          <w:rFonts w:ascii="Book Antiqua" w:hAnsi="Book Antiqua"/>
          <w:b/>
          <w:color w:val="000000"/>
          <w:sz w:val="28"/>
        </w:rPr>
        <w:t>Major Torts</w:t>
      </w:r>
      <w:r w:rsidR="00594C2A">
        <w:rPr>
          <w:rFonts w:ascii="Book Antiqua" w:hAnsi="Book Antiqua"/>
          <w:b/>
          <w:color w:val="000000"/>
          <w:sz w:val="28"/>
        </w:rPr>
        <w:t xml:space="preserve"> </w:t>
      </w:r>
      <w:r w:rsidR="000117C7">
        <w:rPr>
          <w:rFonts w:ascii="Book Antiqua" w:hAnsi="Book Antiqua"/>
          <w:b/>
          <w:color w:val="000000"/>
          <w:sz w:val="28"/>
        </w:rPr>
        <w:t>List</w:t>
      </w:r>
    </w:p>
    <w:p w14:paraId="02D8B7A1" w14:textId="77777777" w:rsidR="00CD0331" w:rsidRDefault="00CD0331" w:rsidP="00CD0331">
      <w:pPr>
        <w:autoSpaceDE w:val="0"/>
        <w:autoSpaceDN w:val="0"/>
        <w:adjustRightInd w:val="0"/>
        <w:spacing w:before="120" w:after="120"/>
        <w:jc w:val="center"/>
        <w:rPr>
          <w:rFonts w:ascii="Book Antiqua" w:hAnsi="Book Antiqua"/>
          <w:b/>
          <w:color w:val="000000"/>
          <w:sz w:val="28"/>
        </w:rPr>
      </w:pPr>
    </w:p>
    <w:p w14:paraId="0579C033" w14:textId="4644D5EC" w:rsidR="00A50A22" w:rsidRPr="00CF3637" w:rsidRDefault="00A50A22" w:rsidP="00CA61F9">
      <w:pPr>
        <w:pStyle w:val="ListParagraph"/>
        <w:keepNext/>
        <w:numPr>
          <w:ilvl w:val="0"/>
          <w:numId w:val="30"/>
        </w:numPr>
        <w:autoSpaceDE w:val="0"/>
        <w:autoSpaceDN w:val="0"/>
        <w:adjustRightInd w:val="0"/>
        <w:spacing w:before="120" w:after="120"/>
        <w:rPr>
          <w:rFonts w:ascii="Book Antiqua" w:hAnsi="Book Antiqua"/>
          <w:b/>
          <w:color w:val="000000"/>
          <w:sz w:val="24"/>
          <w:szCs w:val="24"/>
        </w:rPr>
      </w:pPr>
      <w:r w:rsidRPr="00CF3637">
        <w:rPr>
          <w:rFonts w:ascii="Book Antiqua" w:hAnsi="Book Antiqua"/>
          <w:b/>
          <w:sz w:val="24"/>
          <w:szCs w:val="24"/>
        </w:rPr>
        <w:t>INTRODUCTION</w:t>
      </w:r>
    </w:p>
    <w:p w14:paraId="48A07A23" w14:textId="77777777" w:rsidR="00A50A22" w:rsidRPr="00CF3637" w:rsidRDefault="00A50A22" w:rsidP="00CA61F9">
      <w:pPr>
        <w:pStyle w:val="ListParagraph"/>
        <w:numPr>
          <w:ilvl w:val="1"/>
          <w:numId w:val="30"/>
        </w:numPr>
        <w:spacing w:before="120" w:after="120"/>
        <w:jc w:val="both"/>
        <w:rPr>
          <w:rFonts w:ascii="Book Antiqua" w:hAnsi="Book Antiqua"/>
          <w:sz w:val="24"/>
          <w:szCs w:val="24"/>
        </w:rPr>
      </w:pPr>
      <w:r w:rsidRPr="00CF3637">
        <w:rPr>
          <w:rFonts w:ascii="Book Antiqua" w:hAnsi="Book Antiqua"/>
          <w:sz w:val="24"/>
          <w:szCs w:val="24"/>
        </w:rPr>
        <w:t>The Chief Justice has authorised the issue of the following Practice Note.</w:t>
      </w:r>
    </w:p>
    <w:p w14:paraId="4F7A6C80" w14:textId="4B509763" w:rsidR="00A50A22" w:rsidRPr="00CF3637" w:rsidRDefault="00A50A22" w:rsidP="00CA61F9">
      <w:pPr>
        <w:pStyle w:val="ListParagraph"/>
        <w:numPr>
          <w:ilvl w:val="1"/>
          <w:numId w:val="30"/>
        </w:numPr>
        <w:spacing w:before="120" w:after="120"/>
        <w:jc w:val="both"/>
        <w:rPr>
          <w:rFonts w:ascii="Book Antiqua" w:hAnsi="Book Antiqua"/>
          <w:sz w:val="24"/>
          <w:szCs w:val="24"/>
        </w:rPr>
      </w:pPr>
      <w:r w:rsidRPr="00CF3637">
        <w:rPr>
          <w:rFonts w:ascii="Book Antiqua" w:hAnsi="Book Antiqua"/>
          <w:sz w:val="24"/>
          <w:szCs w:val="24"/>
        </w:rPr>
        <w:t>The purpose of this Practice Note is to describe the procedures to be followed in</w:t>
      </w:r>
      <w:r w:rsidR="00641C0A" w:rsidRPr="00CF3637">
        <w:rPr>
          <w:rFonts w:ascii="Book Antiqua" w:hAnsi="Book Antiqua"/>
          <w:sz w:val="24"/>
          <w:szCs w:val="24"/>
        </w:rPr>
        <w:t xml:space="preserve"> the</w:t>
      </w:r>
      <w:r w:rsidRPr="00CF3637">
        <w:rPr>
          <w:rFonts w:ascii="Book Antiqua" w:hAnsi="Book Antiqua"/>
          <w:sz w:val="24"/>
          <w:szCs w:val="24"/>
        </w:rPr>
        <w:t xml:space="preserve"> </w:t>
      </w:r>
      <w:r w:rsidR="008D3626" w:rsidRPr="00CF3637">
        <w:rPr>
          <w:rFonts w:ascii="Book Antiqua" w:hAnsi="Book Antiqua"/>
          <w:sz w:val="24"/>
          <w:szCs w:val="24"/>
        </w:rPr>
        <w:t>Major Torts</w:t>
      </w:r>
      <w:r w:rsidR="0095180B" w:rsidRPr="00CF3637">
        <w:rPr>
          <w:rFonts w:ascii="Book Antiqua" w:hAnsi="Book Antiqua"/>
          <w:sz w:val="24"/>
          <w:szCs w:val="24"/>
        </w:rPr>
        <w:t xml:space="preserve"> </w:t>
      </w:r>
      <w:r w:rsidRPr="00CF3637">
        <w:rPr>
          <w:rFonts w:ascii="Book Antiqua" w:hAnsi="Book Antiqua"/>
          <w:sz w:val="24"/>
          <w:szCs w:val="24"/>
        </w:rPr>
        <w:t xml:space="preserve">List. </w:t>
      </w:r>
      <w:r w:rsidR="00D873C9">
        <w:rPr>
          <w:rFonts w:ascii="Book Antiqua" w:hAnsi="Book Antiqua"/>
          <w:sz w:val="24"/>
          <w:szCs w:val="24"/>
        </w:rPr>
        <w:t xml:space="preserve"> </w:t>
      </w:r>
      <w:r w:rsidRPr="00CF3637">
        <w:rPr>
          <w:rFonts w:ascii="Book Antiqua" w:hAnsi="Book Antiqua"/>
          <w:sz w:val="24"/>
          <w:szCs w:val="24"/>
        </w:rPr>
        <w:t>The List is a case management list within the Common Law Division of the Court.</w:t>
      </w:r>
    </w:p>
    <w:p w14:paraId="26A157E6" w14:textId="26E320B6" w:rsidR="00A50A22" w:rsidRPr="00CF3637" w:rsidRDefault="0095180B" w:rsidP="00CA61F9">
      <w:pPr>
        <w:pStyle w:val="ListParagraph"/>
        <w:numPr>
          <w:ilvl w:val="1"/>
          <w:numId w:val="30"/>
        </w:numPr>
        <w:spacing w:before="120" w:after="120"/>
        <w:jc w:val="both"/>
        <w:rPr>
          <w:rFonts w:ascii="Book Antiqua" w:hAnsi="Book Antiqua"/>
          <w:sz w:val="24"/>
          <w:szCs w:val="24"/>
        </w:rPr>
      </w:pPr>
      <w:r w:rsidRPr="00CF3637">
        <w:rPr>
          <w:rFonts w:ascii="Book Antiqua" w:hAnsi="Book Antiqua"/>
          <w:sz w:val="24"/>
          <w:szCs w:val="24"/>
        </w:rPr>
        <w:t xml:space="preserve">The List </w:t>
      </w:r>
      <w:r w:rsidR="00541F76" w:rsidRPr="00CF3637">
        <w:rPr>
          <w:rFonts w:ascii="Book Antiqua" w:hAnsi="Book Antiqua"/>
          <w:sz w:val="24"/>
          <w:szCs w:val="24"/>
        </w:rPr>
        <w:t>is designed to facilitate and expedite the passage of significant tortious claims to trial</w:t>
      </w:r>
      <w:r w:rsidR="00A50A22" w:rsidRPr="00CF3637">
        <w:rPr>
          <w:rFonts w:ascii="Book Antiqua" w:hAnsi="Book Antiqua"/>
          <w:sz w:val="24"/>
          <w:szCs w:val="24"/>
        </w:rPr>
        <w:t>.</w:t>
      </w:r>
    </w:p>
    <w:p w14:paraId="5420E1BE" w14:textId="77777777" w:rsidR="00A50A22" w:rsidRPr="00CF3637" w:rsidRDefault="00A50A22" w:rsidP="00CA61F9">
      <w:pPr>
        <w:spacing w:before="120" w:after="120"/>
        <w:jc w:val="both"/>
        <w:rPr>
          <w:rFonts w:ascii="Book Antiqua" w:hAnsi="Book Antiqua"/>
        </w:rPr>
      </w:pPr>
    </w:p>
    <w:p w14:paraId="46B7AF83" w14:textId="26A7C8D0" w:rsidR="00A50A22" w:rsidRPr="00CF3637" w:rsidRDefault="00A50A22" w:rsidP="00CA61F9">
      <w:pPr>
        <w:pStyle w:val="ListParagraph"/>
        <w:keepNext/>
        <w:numPr>
          <w:ilvl w:val="0"/>
          <w:numId w:val="30"/>
        </w:numPr>
        <w:autoSpaceDE w:val="0"/>
        <w:autoSpaceDN w:val="0"/>
        <w:adjustRightInd w:val="0"/>
        <w:spacing w:before="120" w:after="120"/>
        <w:rPr>
          <w:rFonts w:ascii="Book Antiqua" w:hAnsi="Book Antiqua"/>
          <w:sz w:val="24"/>
          <w:szCs w:val="24"/>
        </w:rPr>
      </w:pPr>
      <w:r w:rsidRPr="00CF3637">
        <w:rPr>
          <w:rFonts w:ascii="Book Antiqua" w:hAnsi="Book Antiqua"/>
          <w:b/>
          <w:sz w:val="24"/>
          <w:szCs w:val="24"/>
        </w:rPr>
        <w:t>DEFINITIONS</w:t>
      </w:r>
    </w:p>
    <w:p w14:paraId="2E1BCC71" w14:textId="77777777" w:rsidR="00A50A22" w:rsidRPr="00CF3637" w:rsidRDefault="00A50A22" w:rsidP="00CA61F9">
      <w:pPr>
        <w:pStyle w:val="ListParagraph"/>
        <w:numPr>
          <w:ilvl w:val="1"/>
          <w:numId w:val="30"/>
        </w:numPr>
        <w:spacing w:before="120" w:after="120"/>
        <w:jc w:val="both"/>
        <w:rPr>
          <w:rFonts w:ascii="Book Antiqua" w:hAnsi="Book Antiqua"/>
          <w:sz w:val="24"/>
          <w:szCs w:val="24"/>
        </w:rPr>
      </w:pPr>
      <w:r w:rsidRPr="00CF3637">
        <w:rPr>
          <w:rFonts w:ascii="Book Antiqua" w:hAnsi="Book Antiqua"/>
          <w:sz w:val="24"/>
          <w:szCs w:val="24"/>
        </w:rPr>
        <w:t>In this Practice Note:</w:t>
      </w:r>
    </w:p>
    <w:p w14:paraId="1072E935" w14:textId="10A0B81C" w:rsidR="00C95730" w:rsidRPr="00CF3637" w:rsidRDefault="00C95730" w:rsidP="00CA61F9">
      <w:pPr>
        <w:pStyle w:val="ListParagraph"/>
        <w:spacing w:before="120" w:after="120"/>
        <w:ind w:left="360" w:firstLine="360"/>
        <w:jc w:val="both"/>
        <w:rPr>
          <w:rFonts w:ascii="Book Antiqua" w:hAnsi="Book Antiqua"/>
          <w:b/>
          <w:i/>
          <w:sz w:val="24"/>
          <w:szCs w:val="24"/>
        </w:rPr>
      </w:pPr>
      <w:r w:rsidRPr="00CF3637">
        <w:rPr>
          <w:rFonts w:ascii="Book Antiqua" w:hAnsi="Book Antiqua"/>
          <w:b/>
          <w:i/>
          <w:sz w:val="24"/>
          <w:szCs w:val="24"/>
        </w:rPr>
        <w:t>Associate</w:t>
      </w:r>
      <w:r w:rsidRPr="00CF3637">
        <w:rPr>
          <w:rFonts w:ascii="Book Antiqua" w:hAnsi="Book Antiqua"/>
          <w:sz w:val="24"/>
          <w:szCs w:val="24"/>
        </w:rPr>
        <w:t xml:space="preserve"> means associate to the Judge in Charge of the List;</w:t>
      </w:r>
    </w:p>
    <w:p w14:paraId="7B29D1F5" w14:textId="77777777" w:rsidR="00956EC0" w:rsidRPr="00CF3637" w:rsidRDefault="00956EC0" w:rsidP="00CA61F9">
      <w:pPr>
        <w:pStyle w:val="ListParagraph"/>
        <w:spacing w:before="120" w:after="120"/>
        <w:ind w:left="360" w:firstLine="360"/>
        <w:jc w:val="both"/>
        <w:rPr>
          <w:rFonts w:ascii="Book Antiqua" w:hAnsi="Book Antiqua"/>
          <w:sz w:val="24"/>
          <w:szCs w:val="24"/>
        </w:rPr>
      </w:pPr>
      <w:r w:rsidRPr="00CF3637">
        <w:rPr>
          <w:rFonts w:ascii="Book Antiqua" w:hAnsi="Book Antiqua"/>
          <w:b/>
          <w:i/>
          <w:sz w:val="24"/>
          <w:szCs w:val="24"/>
        </w:rPr>
        <w:t>Judge</w:t>
      </w:r>
      <w:r w:rsidRPr="00CF3637">
        <w:rPr>
          <w:rFonts w:ascii="Book Antiqua" w:hAnsi="Book Antiqua"/>
          <w:sz w:val="24"/>
          <w:szCs w:val="24"/>
        </w:rPr>
        <w:t xml:space="preserve"> means the Judge in Charge of the List;</w:t>
      </w:r>
    </w:p>
    <w:p w14:paraId="7B7EDA2C" w14:textId="6ADF9F9B" w:rsidR="00A50A22" w:rsidRPr="00CF3637" w:rsidRDefault="00A50A22" w:rsidP="00CA61F9">
      <w:pPr>
        <w:pStyle w:val="ListParagraph"/>
        <w:spacing w:before="120" w:after="120"/>
        <w:ind w:left="360" w:firstLine="360"/>
        <w:jc w:val="both"/>
        <w:rPr>
          <w:rFonts w:ascii="Book Antiqua" w:hAnsi="Book Antiqua"/>
          <w:sz w:val="24"/>
          <w:szCs w:val="24"/>
        </w:rPr>
      </w:pPr>
      <w:r w:rsidRPr="00CF3637">
        <w:rPr>
          <w:rFonts w:ascii="Book Antiqua" w:hAnsi="Book Antiqua"/>
          <w:b/>
          <w:i/>
          <w:sz w:val="24"/>
          <w:szCs w:val="24"/>
        </w:rPr>
        <w:t>List</w:t>
      </w:r>
      <w:r w:rsidRPr="00CF3637">
        <w:rPr>
          <w:rFonts w:ascii="Book Antiqua" w:hAnsi="Book Antiqua"/>
          <w:sz w:val="24"/>
          <w:szCs w:val="24"/>
        </w:rPr>
        <w:t xml:space="preserve"> means the </w:t>
      </w:r>
      <w:r w:rsidR="00541F76" w:rsidRPr="00CF3637">
        <w:rPr>
          <w:rFonts w:ascii="Book Antiqua" w:hAnsi="Book Antiqua"/>
          <w:sz w:val="24"/>
          <w:szCs w:val="24"/>
        </w:rPr>
        <w:t xml:space="preserve">Major Torts </w:t>
      </w:r>
      <w:r w:rsidR="00850F93" w:rsidRPr="00CF3637">
        <w:rPr>
          <w:rFonts w:ascii="Book Antiqua" w:hAnsi="Book Antiqua"/>
          <w:sz w:val="24"/>
          <w:szCs w:val="24"/>
        </w:rPr>
        <w:t>List</w:t>
      </w:r>
      <w:r w:rsidRPr="00CF3637">
        <w:rPr>
          <w:rFonts w:ascii="Book Antiqua" w:hAnsi="Book Antiqua"/>
          <w:sz w:val="24"/>
          <w:szCs w:val="24"/>
        </w:rPr>
        <w:t>;</w:t>
      </w:r>
    </w:p>
    <w:p w14:paraId="7C843154" w14:textId="6F13DA60" w:rsidR="0046389D" w:rsidRPr="00CF3637" w:rsidRDefault="0046389D" w:rsidP="00CA61F9">
      <w:pPr>
        <w:pStyle w:val="ListParagraph"/>
        <w:spacing w:before="120" w:after="120"/>
        <w:ind w:left="1440" w:hanging="720"/>
        <w:jc w:val="both"/>
        <w:rPr>
          <w:rFonts w:ascii="Book Antiqua" w:hAnsi="Book Antiqua"/>
          <w:sz w:val="24"/>
          <w:szCs w:val="24"/>
        </w:rPr>
      </w:pPr>
      <w:r w:rsidRPr="00CF3637">
        <w:rPr>
          <w:rFonts w:ascii="Book Antiqua" w:hAnsi="Book Antiqua"/>
          <w:b/>
          <w:i/>
          <w:sz w:val="24"/>
          <w:szCs w:val="24"/>
        </w:rPr>
        <w:t>List directions day</w:t>
      </w:r>
      <w:r w:rsidRPr="00CF3637">
        <w:rPr>
          <w:rFonts w:ascii="Book Antiqua" w:hAnsi="Book Antiqua"/>
          <w:sz w:val="24"/>
          <w:szCs w:val="24"/>
        </w:rPr>
        <w:t xml:space="preserve"> means </w:t>
      </w:r>
      <w:r w:rsidR="00731963">
        <w:rPr>
          <w:rFonts w:ascii="Book Antiqua" w:hAnsi="Book Antiqua"/>
          <w:sz w:val="24"/>
          <w:szCs w:val="24"/>
        </w:rPr>
        <w:t xml:space="preserve">one of the </w:t>
      </w:r>
      <w:r w:rsidRPr="00CF3637">
        <w:rPr>
          <w:rFonts w:ascii="Book Antiqua" w:hAnsi="Book Antiqua"/>
          <w:sz w:val="24"/>
          <w:szCs w:val="24"/>
        </w:rPr>
        <w:t>regular day</w:t>
      </w:r>
      <w:r w:rsidR="00731963">
        <w:rPr>
          <w:rFonts w:ascii="Book Antiqua" w:hAnsi="Book Antiqua"/>
          <w:sz w:val="24"/>
          <w:szCs w:val="24"/>
        </w:rPr>
        <w:t>s</w:t>
      </w:r>
      <w:r w:rsidRPr="00CF3637">
        <w:rPr>
          <w:rFonts w:ascii="Book Antiqua" w:hAnsi="Book Antiqua"/>
          <w:sz w:val="24"/>
          <w:szCs w:val="24"/>
        </w:rPr>
        <w:t xml:space="preserve"> </w:t>
      </w:r>
      <w:r w:rsidR="00731963">
        <w:rPr>
          <w:rFonts w:ascii="Book Antiqua" w:hAnsi="Book Antiqua"/>
          <w:sz w:val="24"/>
          <w:szCs w:val="24"/>
        </w:rPr>
        <w:t>notified</w:t>
      </w:r>
      <w:r w:rsidRPr="00CF3637">
        <w:rPr>
          <w:rFonts w:ascii="Book Antiqua" w:hAnsi="Book Antiqua"/>
          <w:sz w:val="24"/>
          <w:szCs w:val="24"/>
        </w:rPr>
        <w:t xml:space="preserve"> on the </w:t>
      </w:r>
      <w:hyperlink r:id="rId14" w:history="1">
        <w:r w:rsidRPr="009F7E7C">
          <w:rPr>
            <w:rStyle w:val="Hyperlink"/>
            <w:rFonts w:ascii="Book Antiqua" w:hAnsi="Book Antiqua"/>
            <w:sz w:val="24"/>
            <w:szCs w:val="24"/>
          </w:rPr>
          <w:t>List webpage</w:t>
        </w:r>
      </w:hyperlink>
      <w:r w:rsidRPr="00CF3637">
        <w:rPr>
          <w:rFonts w:ascii="Book Antiqua" w:hAnsi="Book Antiqua"/>
          <w:sz w:val="24"/>
          <w:szCs w:val="24"/>
        </w:rPr>
        <w:t xml:space="preserve"> on the Court’s website (generally, fortnightly on Fridays during the Court sitting term) on which the Judge sits to give directions an</w:t>
      </w:r>
      <w:r w:rsidR="00731963">
        <w:rPr>
          <w:rFonts w:ascii="Book Antiqua" w:hAnsi="Book Antiqua"/>
          <w:sz w:val="24"/>
          <w:szCs w:val="24"/>
        </w:rPr>
        <w:t>d hear applications in the List.</w:t>
      </w:r>
    </w:p>
    <w:p w14:paraId="2BF76192" w14:textId="77777777" w:rsidR="00FD4B3F" w:rsidRPr="00CF3637" w:rsidRDefault="00FD4B3F" w:rsidP="00CA61F9">
      <w:pPr>
        <w:autoSpaceDE w:val="0"/>
        <w:autoSpaceDN w:val="0"/>
        <w:adjustRightInd w:val="0"/>
        <w:spacing w:before="120" w:after="120"/>
        <w:ind w:left="720"/>
        <w:rPr>
          <w:rFonts w:ascii="Book Antiqua" w:hAnsi="Book Antiqua"/>
        </w:rPr>
      </w:pPr>
    </w:p>
    <w:p w14:paraId="0DCFA5C3" w14:textId="1E00829A" w:rsidR="00FD4B3F" w:rsidRPr="00CF3637" w:rsidRDefault="00FD4B3F"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COMMENCEMENT</w:t>
      </w:r>
    </w:p>
    <w:p w14:paraId="7D3CBBE0" w14:textId="2BD20D4E" w:rsidR="00FD4B3F" w:rsidRPr="00CF3637" w:rsidRDefault="00FD4B3F" w:rsidP="00CA61F9">
      <w:pPr>
        <w:pStyle w:val="ListParagraph"/>
        <w:numPr>
          <w:ilvl w:val="1"/>
          <w:numId w:val="30"/>
        </w:numPr>
        <w:autoSpaceDE w:val="0"/>
        <w:autoSpaceDN w:val="0"/>
        <w:adjustRightInd w:val="0"/>
        <w:spacing w:before="120" w:after="120"/>
        <w:rPr>
          <w:rFonts w:ascii="Book Antiqua" w:hAnsi="Book Antiqua"/>
          <w:sz w:val="24"/>
          <w:szCs w:val="24"/>
        </w:rPr>
      </w:pPr>
      <w:r w:rsidRPr="00CF3637">
        <w:rPr>
          <w:rFonts w:ascii="Book Antiqua" w:hAnsi="Book Antiqua"/>
          <w:sz w:val="24"/>
          <w:szCs w:val="24"/>
        </w:rPr>
        <w:t>This Practice No</w:t>
      </w:r>
      <w:r w:rsidR="00B754D6">
        <w:rPr>
          <w:rFonts w:ascii="Book Antiqua" w:hAnsi="Book Antiqua"/>
          <w:sz w:val="24"/>
          <w:szCs w:val="24"/>
        </w:rPr>
        <w:t>te was issued and commences on 30</w:t>
      </w:r>
      <w:r w:rsidRPr="00CF3637">
        <w:rPr>
          <w:rFonts w:ascii="Book Antiqua" w:hAnsi="Book Antiqua"/>
          <w:sz w:val="24"/>
          <w:szCs w:val="24"/>
        </w:rPr>
        <w:t xml:space="preserve"> </w:t>
      </w:r>
      <w:r w:rsidR="00AA039B">
        <w:rPr>
          <w:rFonts w:ascii="Book Antiqua" w:hAnsi="Book Antiqua"/>
          <w:sz w:val="24"/>
          <w:szCs w:val="24"/>
        </w:rPr>
        <w:t xml:space="preserve">January 2017 </w:t>
      </w:r>
      <w:r w:rsidRPr="00CF3637">
        <w:rPr>
          <w:rFonts w:ascii="Book Antiqua" w:hAnsi="Book Antiqua"/>
          <w:sz w:val="24"/>
          <w:szCs w:val="24"/>
        </w:rPr>
        <w:t xml:space="preserve">and </w:t>
      </w:r>
      <w:r w:rsidR="006047F0">
        <w:rPr>
          <w:rFonts w:ascii="Book Antiqua" w:hAnsi="Book Antiqua"/>
          <w:sz w:val="24"/>
          <w:szCs w:val="24"/>
        </w:rPr>
        <w:t>applies</w:t>
      </w:r>
      <w:r w:rsidRPr="00CF3637">
        <w:rPr>
          <w:rFonts w:ascii="Book Antiqua" w:hAnsi="Book Antiqua"/>
          <w:sz w:val="24"/>
          <w:szCs w:val="24"/>
        </w:rPr>
        <w:t xml:space="preserve"> to all proceedings in the List whenever commenced.</w:t>
      </w:r>
    </w:p>
    <w:p w14:paraId="651DE4C3" w14:textId="77777777" w:rsidR="00C5118C" w:rsidRPr="00CF3637" w:rsidRDefault="00C5118C" w:rsidP="00CA61F9">
      <w:pPr>
        <w:autoSpaceDE w:val="0"/>
        <w:autoSpaceDN w:val="0"/>
        <w:adjustRightInd w:val="0"/>
        <w:spacing w:before="120" w:after="120"/>
        <w:rPr>
          <w:rFonts w:ascii="Book Antiqua" w:hAnsi="Book Antiqua"/>
        </w:rPr>
      </w:pPr>
    </w:p>
    <w:p w14:paraId="343A8DDA" w14:textId="404B9818" w:rsidR="006E7E0B" w:rsidRPr="00CF3637" w:rsidRDefault="00C5118C"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PROCEEDINGS SUITABLE FOR INCLUSION IN THE LIST</w:t>
      </w:r>
    </w:p>
    <w:p w14:paraId="492EC68C" w14:textId="77777777" w:rsidR="006C71CD" w:rsidRPr="00CF3637" w:rsidRDefault="006C71CD" w:rsidP="00CA61F9">
      <w:pPr>
        <w:pStyle w:val="ListParagraph"/>
        <w:numPr>
          <w:ilvl w:val="1"/>
          <w:numId w:val="30"/>
        </w:numPr>
        <w:autoSpaceDE w:val="0"/>
        <w:autoSpaceDN w:val="0"/>
        <w:adjustRightInd w:val="0"/>
        <w:spacing w:before="120" w:after="120"/>
        <w:rPr>
          <w:rFonts w:ascii="Book Antiqua" w:hAnsi="Book Antiqua"/>
          <w:sz w:val="24"/>
          <w:szCs w:val="24"/>
        </w:rPr>
      </w:pPr>
      <w:r w:rsidRPr="00CF3637">
        <w:rPr>
          <w:rFonts w:ascii="Book Antiqua" w:hAnsi="Book Antiqua"/>
          <w:sz w:val="24"/>
          <w:szCs w:val="24"/>
        </w:rPr>
        <w:t>Large, complex or otherwise significant tortious claims should be initiated in the List.</w:t>
      </w:r>
    </w:p>
    <w:p w14:paraId="22387E42" w14:textId="419FB67B" w:rsidR="006C71CD" w:rsidRPr="00CF3637" w:rsidRDefault="006C71CD" w:rsidP="00CA61F9">
      <w:pPr>
        <w:pStyle w:val="ListParagraph"/>
        <w:numPr>
          <w:ilvl w:val="1"/>
          <w:numId w:val="30"/>
        </w:numPr>
        <w:autoSpaceDE w:val="0"/>
        <w:autoSpaceDN w:val="0"/>
        <w:adjustRightInd w:val="0"/>
        <w:spacing w:before="120" w:after="120"/>
        <w:rPr>
          <w:rFonts w:ascii="Book Antiqua" w:hAnsi="Book Antiqua"/>
          <w:sz w:val="24"/>
          <w:szCs w:val="24"/>
        </w:rPr>
      </w:pPr>
      <w:r w:rsidRPr="00CF3637">
        <w:rPr>
          <w:rFonts w:ascii="Book Antiqua" w:hAnsi="Book Antiqua"/>
          <w:sz w:val="24"/>
          <w:szCs w:val="24"/>
        </w:rPr>
        <w:t>Without limiting the generality of paragraph 4.1, the following proceedings should be initiated in the List:</w:t>
      </w:r>
    </w:p>
    <w:p w14:paraId="307C0D42" w14:textId="487B1671" w:rsidR="006F6231" w:rsidRDefault="00B76464" w:rsidP="00CA61F9">
      <w:pPr>
        <w:numPr>
          <w:ilvl w:val="0"/>
          <w:numId w:val="39"/>
        </w:numPr>
        <w:spacing w:before="120" w:after="120"/>
        <w:contextualSpacing/>
        <w:jc w:val="both"/>
        <w:rPr>
          <w:rFonts w:ascii="Book Antiqua" w:hAnsi="Book Antiqua"/>
        </w:rPr>
      </w:pPr>
      <w:r>
        <w:rPr>
          <w:rFonts w:ascii="Book Antiqua" w:hAnsi="Book Antiqua"/>
        </w:rPr>
        <w:t>d</w:t>
      </w:r>
      <w:r w:rsidR="00D61605">
        <w:rPr>
          <w:rFonts w:ascii="Book Antiqua" w:hAnsi="Book Antiqua"/>
        </w:rPr>
        <w:t>efamation claims</w:t>
      </w:r>
      <w:r w:rsidR="006F6231">
        <w:rPr>
          <w:rFonts w:ascii="Book Antiqua" w:hAnsi="Book Antiqua"/>
        </w:rPr>
        <w:t>;</w:t>
      </w:r>
    </w:p>
    <w:p w14:paraId="3F544FC8" w14:textId="3CD3E452" w:rsidR="00D444B1" w:rsidRDefault="00B76464" w:rsidP="00CA61F9">
      <w:pPr>
        <w:numPr>
          <w:ilvl w:val="0"/>
          <w:numId w:val="39"/>
        </w:numPr>
        <w:spacing w:before="120" w:after="120"/>
        <w:contextualSpacing/>
        <w:jc w:val="both"/>
        <w:rPr>
          <w:rFonts w:ascii="Book Antiqua" w:hAnsi="Book Antiqua"/>
        </w:rPr>
      </w:pPr>
      <w:r>
        <w:rPr>
          <w:rFonts w:ascii="Book Antiqua" w:hAnsi="Book Antiqua"/>
        </w:rPr>
        <w:t>c</w:t>
      </w:r>
      <w:r w:rsidR="006C71CD" w:rsidRPr="00CF3637">
        <w:rPr>
          <w:rFonts w:ascii="Book Antiqua" w:hAnsi="Book Antiqua"/>
        </w:rPr>
        <w:t>lass actions where the predominant cause of action is based in tort</w:t>
      </w:r>
      <w:r w:rsidR="009F7E7C">
        <w:rPr>
          <w:rFonts w:ascii="Book Antiqua" w:hAnsi="Book Antiqua"/>
        </w:rPr>
        <w:t xml:space="preserve"> (see Practice Note SC Gen 10 “Group Proceedings” for further information)</w:t>
      </w:r>
      <w:r w:rsidR="006C71CD" w:rsidRPr="00CF3637">
        <w:rPr>
          <w:rFonts w:ascii="Book Antiqua" w:hAnsi="Book Antiqua"/>
        </w:rPr>
        <w:t xml:space="preserve">; </w:t>
      </w:r>
    </w:p>
    <w:p w14:paraId="40AA381C" w14:textId="304EA33E" w:rsidR="00D444B1" w:rsidRPr="00CF3637" w:rsidRDefault="00D444B1" w:rsidP="00CA61F9">
      <w:pPr>
        <w:numPr>
          <w:ilvl w:val="0"/>
          <w:numId w:val="39"/>
        </w:numPr>
        <w:spacing w:before="120" w:after="120"/>
        <w:contextualSpacing/>
        <w:jc w:val="both"/>
        <w:rPr>
          <w:rFonts w:ascii="Book Antiqua" w:hAnsi="Book Antiqua"/>
        </w:rPr>
      </w:pPr>
      <w:r w:rsidRPr="00CF3637">
        <w:rPr>
          <w:rFonts w:ascii="Book Antiqua" w:hAnsi="Book Antiqua"/>
        </w:rPr>
        <w:lastRenderedPageBreak/>
        <w:t>tortious claims for economic loss or property damage</w:t>
      </w:r>
      <w:r>
        <w:rPr>
          <w:rFonts w:ascii="Book Antiqua" w:hAnsi="Book Antiqua"/>
        </w:rPr>
        <w:t>;</w:t>
      </w:r>
    </w:p>
    <w:p w14:paraId="63A6117A" w14:textId="53D943AF" w:rsidR="00D444B1" w:rsidRDefault="00D444B1" w:rsidP="00CA61F9">
      <w:pPr>
        <w:numPr>
          <w:ilvl w:val="0"/>
          <w:numId w:val="39"/>
        </w:numPr>
        <w:spacing w:before="120" w:after="120"/>
        <w:contextualSpacing/>
        <w:jc w:val="both"/>
        <w:rPr>
          <w:rFonts w:ascii="Book Antiqua" w:hAnsi="Book Antiqua"/>
        </w:rPr>
      </w:pPr>
      <w:r>
        <w:rPr>
          <w:rFonts w:ascii="Book Antiqua" w:hAnsi="Book Antiqua"/>
        </w:rPr>
        <w:t>nuisance claims, including land contamination claims;</w:t>
      </w:r>
    </w:p>
    <w:p w14:paraId="41243059" w14:textId="27EAE4F9" w:rsidR="006C71CD" w:rsidRPr="00CF3637" w:rsidRDefault="00D444B1" w:rsidP="00CA61F9">
      <w:pPr>
        <w:numPr>
          <w:ilvl w:val="0"/>
          <w:numId w:val="39"/>
        </w:numPr>
        <w:spacing w:before="120" w:after="120"/>
        <w:contextualSpacing/>
        <w:jc w:val="both"/>
        <w:rPr>
          <w:rFonts w:ascii="Book Antiqua" w:hAnsi="Book Antiqua"/>
        </w:rPr>
      </w:pPr>
      <w:r>
        <w:rPr>
          <w:rFonts w:ascii="Book Antiqua" w:hAnsi="Book Antiqua"/>
        </w:rPr>
        <w:t>claims based on intentional torts</w:t>
      </w:r>
      <w:r w:rsidR="00DB0436">
        <w:rPr>
          <w:rFonts w:ascii="Book Antiqua" w:hAnsi="Book Antiqua"/>
        </w:rPr>
        <w:t>;</w:t>
      </w:r>
    </w:p>
    <w:p w14:paraId="4AEF7B47" w14:textId="795EED5C" w:rsidR="00DB0436" w:rsidRDefault="00B76464" w:rsidP="00CA61F9">
      <w:pPr>
        <w:numPr>
          <w:ilvl w:val="0"/>
          <w:numId w:val="39"/>
        </w:numPr>
        <w:spacing w:before="120" w:after="120"/>
        <w:contextualSpacing/>
        <w:jc w:val="both"/>
        <w:rPr>
          <w:rFonts w:ascii="Book Antiqua" w:hAnsi="Book Antiqua"/>
        </w:rPr>
      </w:pPr>
      <w:r>
        <w:rPr>
          <w:rFonts w:ascii="Book Antiqua" w:hAnsi="Book Antiqua"/>
        </w:rPr>
        <w:t>t</w:t>
      </w:r>
      <w:r w:rsidR="006C71CD" w:rsidRPr="00CF3637">
        <w:rPr>
          <w:rFonts w:ascii="Book Antiqua" w:hAnsi="Book Antiqua"/>
        </w:rPr>
        <w:t>ortious claims of significant public interest</w:t>
      </w:r>
      <w:r w:rsidR="00DB0436">
        <w:rPr>
          <w:rFonts w:ascii="Book Antiqua" w:hAnsi="Book Antiqua"/>
        </w:rPr>
        <w:t xml:space="preserve">; </w:t>
      </w:r>
      <w:r w:rsidR="00DB0436" w:rsidRPr="00CF3637">
        <w:rPr>
          <w:rFonts w:ascii="Book Antiqua" w:hAnsi="Book Antiqua"/>
        </w:rPr>
        <w:t>and</w:t>
      </w:r>
    </w:p>
    <w:p w14:paraId="245FA5A5" w14:textId="7C35F898" w:rsidR="006C71CD" w:rsidRDefault="00B81EF1" w:rsidP="00CA61F9">
      <w:pPr>
        <w:numPr>
          <w:ilvl w:val="0"/>
          <w:numId w:val="39"/>
        </w:numPr>
        <w:spacing w:before="120" w:after="120"/>
        <w:contextualSpacing/>
        <w:jc w:val="both"/>
        <w:rPr>
          <w:rFonts w:ascii="Book Antiqua" w:hAnsi="Book Antiqua"/>
        </w:rPr>
      </w:pPr>
      <w:r>
        <w:rPr>
          <w:rFonts w:ascii="Book Antiqua" w:hAnsi="Book Antiqua"/>
        </w:rPr>
        <w:t xml:space="preserve">applications </w:t>
      </w:r>
      <w:r w:rsidR="00DB0436">
        <w:rPr>
          <w:rFonts w:ascii="Book Antiqua" w:hAnsi="Book Antiqua"/>
        </w:rPr>
        <w:t xml:space="preserve">for </w:t>
      </w:r>
      <w:r>
        <w:rPr>
          <w:rFonts w:ascii="Book Antiqua" w:hAnsi="Book Antiqua"/>
        </w:rPr>
        <w:t xml:space="preserve">punishment for </w:t>
      </w:r>
      <w:r w:rsidR="00DB0436">
        <w:rPr>
          <w:rFonts w:ascii="Book Antiqua" w:hAnsi="Book Antiqua"/>
        </w:rPr>
        <w:t>contempt</w:t>
      </w:r>
      <w:r w:rsidR="00C659F1">
        <w:rPr>
          <w:rFonts w:ascii="Book Antiqua" w:hAnsi="Book Antiqua"/>
        </w:rPr>
        <w:t xml:space="preserve"> </w:t>
      </w:r>
      <w:r w:rsidR="0072352F">
        <w:rPr>
          <w:rFonts w:ascii="Book Antiqua" w:hAnsi="Book Antiqua"/>
        </w:rPr>
        <w:t xml:space="preserve">other than </w:t>
      </w:r>
      <w:r>
        <w:rPr>
          <w:rFonts w:ascii="Book Antiqua" w:hAnsi="Book Antiqua"/>
        </w:rPr>
        <w:t xml:space="preserve">those referred to in </w:t>
      </w:r>
      <w:r w:rsidR="00C659F1">
        <w:rPr>
          <w:rFonts w:ascii="Book Antiqua" w:hAnsi="Book Antiqua"/>
        </w:rPr>
        <w:t>r 75.06(</w:t>
      </w:r>
      <w:r w:rsidR="0072352F">
        <w:rPr>
          <w:rFonts w:ascii="Book Antiqua" w:hAnsi="Book Antiqua"/>
        </w:rPr>
        <w:t>2</w:t>
      </w:r>
      <w:r w:rsidR="00C659F1">
        <w:rPr>
          <w:rFonts w:ascii="Book Antiqua" w:hAnsi="Book Antiqua"/>
        </w:rPr>
        <w:t xml:space="preserve">) of the </w:t>
      </w:r>
      <w:r w:rsidR="00C659F1">
        <w:rPr>
          <w:rFonts w:ascii="Book Antiqua" w:hAnsi="Book Antiqua"/>
          <w:i/>
        </w:rPr>
        <w:t>Supreme Court (General Civil Procedure) Rules 2015</w:t>
      </w:r>
      <w:r w:rsidR="006C71CD" w:rsidRPr="00CF3637">
        <w:rPr>
          <w:rFonts w:ascii="Book Antiqua" w:hAnsi="Book Antiqua"/>
        </w:rPr>
        <w:t>.</w:t>
      </w:r>
    </w:p>
    <w:p w14:paraId="2BBC853F" w14:textId="7E244F23" w:rsidR="00D61605" w:rsidRPr="00166B28" w:rsidRDefault="00D61605" w:rsidP="00CA61F9">
      <w:pPr>
        <w:pStyle w:val="ListParagraph"/>
        <w:numPr>
          <w:ilvl w:val="1"/>
          <w:numId w:val="30"/>
        </w:numPr>
        <w:autoSpaceDE w:val="0"/>
        <w:autoSpaceDN w:val="0"/>
        <w:adjustRightInd w:val="0"/>
        <w:spacing w:before="120" w:after="120"/>
        <w:rPr>
          <w:rFonts w:ascii="Book Antiqua" w:hAnsi="Book Antiqua"/>
        </w:rPr>
      </w:pPr>
      <w:r w:rsidRPr="00D61605">
        <w:rPr>
          <w:rFonts w:ascii="Book Antiqua" w:hAnsi="Book Antiqua"/>
          <w:sz w:val="24"/>
          <w:szCs w:val="24"/>
        </w:rPr>
        <w:t xml:space="preserve">Personal injury </w:t>
      </w:r>
      <w:r w:rsidR="006F6231">
        <w:rPr>
          <w:rFonts w:ascii="Book Antiqua" w:hAnsi="Book Antiqua"/>
          <w:sz w:val="24"/>
          <w:szCs w:val="24"/>
        </w:rPr>
        <w:t>claims in which the primary cause of action is negligence should be initiated in the Personal Injuries List (see Practice Note SC CL 3).</w:t>
      </w:r>
    </w:p>
    <w:p w14:paraId="393203EB" w14:textId="2AF8C543" w:rsidR="00D61605" w:rsidRPr="009C3991" w:rsidRDefault="00166B28" w:rsidP="00CA61F9">
      <w:pPr>
        <w:pStyle w:val="ListParagraph"/>
        <w:numPr>
          <w:ilvl w:val="1"/>
          <w:numId w:val="30"/>
        </w:numPr>
        <w:autoSpaceDE w:val="0"/>
        <w:autoSpaceDN w:val="0"/>
        <w:adjustRightInd w:val="0"/>
        <w:spacing w:before="120" w:after="120"/>
        <w:rPr>
          <w:rFonts w:ascii="Book Antiqua" w:hAnsi="Book Antiqua"/>
        </w:rPr>
      </w:pPr>
      <w:r>
        <w:rPr>
          <w:rFonts w:ascii="Book Antiqua" w:hAnsi="Book Antiqua"/>
          <w:sz w:val="24"/>
          <w:szCs w:val="24"/>
        </w:rPr>
        <w:t>For t</w:t>
      </w:r>
      <w:r w:rsidRPr="00166B28">
        <w:rPr>
          <w:rFonts w:ascii="Book Antiqua" w:hAnsi="Book Antiqua"/>
          <w:sz w:val="24"/>
          <w:szCs w:val="24"/>
        </w:rPr>
        <w:t>ortious c</w:t>
      </w:r>
      <w:r>
        <w:rPr>
          <w:rFonts w:ascii="Book Antiqua" w:hAnsi="Book Antiqua"/>
          <w:sz w:val="24"/>
          <w:szCs w:val="24"/>
        </w:rPr>
        <w:t>laims for economic loss against a professional, see Practice Note SC CL 5.</w:t>
      </w:r>
    </w:p>
    <w:p w14:paraId="6B35308E" w14:textId="11C653D2" w:rsidR="006C71CD" w:rsidRPr="00CF3637" w:rsidRDefault="006C71CD" w:rsidP="00CA61F9">
      <w:pPr>
        <w:pStyle w:val="ListParagraph"/>
        <w:numPr>
          <w:ilvl w:val="1"/>
          <w:numId w:val="30"/>
        </w:numPr>
        <w:autoSpaceDE w:val="0"/>
        <w:autoSpaceDN w:val="0"/>
        <w:adjustRightInd w:val="0"/>
        <w:spacing w:before="120" w:after="120"/>
        <w:rPr>
          <w:rFonts w:ascii="Book Antiqua" w:hAnsi="Book Antiqua"/>
          <w:sz w:val="24"/>
          <w:szCs w:val="24"/>
        </w:rPr>
      </w:pPr>
      <w:r w:rsidRPr="00CF3637">
        <w:rPr>
          <w:rFonts w:ascii="Book Antiqua" w:hAnsi="Book Antiqua"/>
          <w:sz w:val="24"/>
          <w:szCs w:val="24"/>
        </w:rPr>
        <w:t>However, where the cause of action arose in regional Victoria, or where the majority of witnesses or parties reside in regional Victoria, proceedings of the nature set out in paragraphs 4.1 to 4.</w:t>
      </w:r>
      <w:r w:rsidR="00A13812">
        <w:rPr>
          <w:rFonts w:ascii="Book Antiqua" w:hAnsi="Book Antiqua"/>
          <w:sz w:val="24"/>
          <w:szCs w:val="24"/>
        </w:rPr>
        <w:t>4</w:t>
      </w:r>
      <w:r w:rsidRPr="00CF3637">
        <w:rPr>
          <w:rFonts w:ascii="Book Antiqua" w:hAnsi="Book Antiqua"/>
          <w:sz w:val="24"/>
          <w:szCs w:val="24"/>
        </w:rPr>
        <w:t xml:space="preserve"> should be initiated in the Civil Circuit List</w:t>
      </w:r>
      <w:r w:rsidR="006F6231">
        <w:rPr>
          <w:rFonts w:ascii="Book Antiqua" w:hAnsi="Book Antiqua"/>
          <w:sz w:val="24"/>
          <w:szCs w:val="24"/>
        </w:rPr>
        <w:t xml:space="preserve"> (see Practice Note SC CL 1)</w:t>
      </w:r>
      <w:r w:rsidRPr="00CF3637">
        <w:rPr>
          <w:rFonts w:ascii="Book Antiqua" w:hAnsi="Book Antiqua"/>
          <w:sz w:val="24"/>
          <w:szCs w:val="24"/>
        </w:rPr>
        <w:t xml:space="preserve">. </w:t>
      </w:r>
    </w:p>
    <w:p w14:paraId="452066D1" w14:textId="77777777" w:rsidR="00283C48" w:rsidRPr="00CF3637" w:rsidRDefault="00283C48" w:rsidP="00CA61F9">
      <w:pPr>
        <w:spacing w:before="120" w:after="120"/>
        <w:contextualSpacing/>
        <w:jc w:val="both"/>
        <w:rPr>
          <w:rFonts w:ascii="Book Antiqua" w:hAnsi="Book Antiqua"/>
        </w:rPr>
      </w:pPr>
    </w:p>
    <w:p w14:paraId="6AB8BC09" w14:textId="78DF31F4" w:rsidR="00182C1F" w:rsidRPr="00CF3637" w:rsidRDefault="00182C1F"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PROCEDURE FOR ENTRY INTO THE LIST</w:t>
      </w:r>
    </w:p>
    <w:p w14:paraId="356B8522" w14:textId="7189A0F5" w:rsidR="00182C1F" w:rsidRPr="00CF3637" w:rsidRDefault="007C66C1"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Proceedings of the nature set out in paragraph</w:t>
      </w:r>
      <w:r w:rsidR="006C71CD" w:rsidRPr="00CF3637">
        <w:rPr>
          <w:rFonts w:ascii="Book Antiqua" w:hAnsi="Book Antiqua"/>
          <w:sz w:val="24"/>
          <w:szCs w:val="24"/>
        </w:rPr>
        <w:t>s</w:t>
      </w:r>
      <w:r w:rsidRPr="00CF3637">
        <w:rPr>
          <w:rFonts w:ascii="Book Antiqua" w:hAnsi="Book Antiqua"/>
          <w:sz w:val="24"/>
          <w:szCs w:val="24"/>
        </w:rPr>
        <w:t xml:space="preserve"> </w:t>
      </w:r>
      <w:r w:rsidR="006C71CD" w:rsidRPr="00CF3637">
        <w:rPr>
          <w:rFonts w:ascii="Book Antiqua" w:hAnsi="Book Antiqua"/>
          <w:sz w:val="24"/>
          <w:szCs w:val="24"/>
        </w:rPr>
        <w:t xml:space="preserve">4.1 </w:t>
      </w:r>
      <w:r w:rsidR="00A13812">
        <w:rPr>
          <w:rFonts w:ascii="Book Antiqua" w:hAnsi="Book Antiqua"/>
          <w:sz w:val="24"/>
          <w:szCs w:val="24"/>
        </w:rPr>
        <w:t>and</w:t>
      </w:r>
      <w:r w:rsidR="006C71CD" w:rsidRPr="00CF3637">
        <w:rPr>
          <w:rFonts w:ascii="Book Antiqua" w:hAnsi="Book Antiqua"/>
          <w:sz w:val="24"/>
          <w:szCs w:val="24"/>
        </w:rPr>
        <w:t xml:space="preserve"> 4.</w:t>
      </w:r>
      <w:r w:rsidR="00A13812">
        <w:rPr>
          <w:rFonts w:ascii="Book Antiqua" w:hAnsi="Book Antiqua"/>
          <w:sz w:val="24"/>
          <w:szCs w:val="24"/>
        </w:rPr>
        <w:t>2</w:t>
      </w:r>
      <w:r w:rsidR="006C71CD" w:rsidRPr="00CF3637">
        <w:rPr>
          <w:rFonts w:ascii="Book Antiqua" w:hAnsi="Book Antiqua"/>
          <w:sz w:val="24"/>
          <w:szCs w:val="24"/>
        </w:rPr>
        <w:t xml:space="preserve"> </w:t>
      </w:r>
      <w:r w:rsidRPr="00CF3637">
        <w:rPr>
          <w:rFonts w:ascii="Book Antiqua" w:hAnsi="Book Antiqua"/>
          <w:sz w:val="24"/>
          <w:szCs w:val="24"/>
        </w:rPr>
        <w:t>should be initiated in the List by endorsing the heading of the originating process “</w:t>
      </w:r>
      <w:r w:rsidR="00637201" w:rsidRPr="00CF3637">
        <w:rPr>
          <w:rFonts w:ascii="Book Antiqua" w:hAnsi="Book Antiqua"/>
          <w:sz w:val="24"/>
          <w:szCs w:val="24"/>
        </w:rPr>
        <w:t>Major Torts List</w:t>
      </w:r>
      <w:r w:rsidRPr="00CF3637">
        <w:rPr>
          <w:rFonts w:ascii="Book Antiqua" w:hAnsi="Book Antiqua"/>
          <w:sz w:val="24"/>
          <w:szCs w:val="24"/>
        </w:rPr>
        <w:t xml:space="preserve">”. </w:t>
      </w:r>
      <w:r w:rsidR="00D873C9">
        <w:rPr>
          <w:rFonts w:ascii="Book Antiqua" w:hAnsi="Book Antiqua"/>
          <w:sz w:val="24"/>
          <w:szCs w:val="24"/>
        </w:rPr>
        <w:t xml:space="preserve"> </w:t>
      </w:r>
      <w:r w:rsidRPr="00CF3637">
        <w:rPr>
          <w:rFonts w:ascii="Book Antiqua" w:hAnsi="Book Antiqua"/>
          <w:sz w:val="24"/>
          <w:szCs w:val="24"/>
        </w:rPr>
        <w:t>The heading of all subsequent documents filed in the proceeding should also be endorsed “</w:t>
      </w:r>
      <w:r w:rsidR="00637201" w:rsidRPr="00CF3637">
        <w:rPr>
          <w:rFonts w:ascii="Book Antiqua" w:hAnsi="Book Antiqua"/>
          <w:sz w:val="24"/>
          <w:szCs w:val="24"/>
        </w:rPr>
        <w:t>Major Torts List</w:t>
      </w:r>
      <w:r w:rsidRPr="00CF3637">
        <w:rPr>
          <w:rFonts w:ascii="Book Antiqua" w:hAnsi="Book Antiqua"/>
          <w:sz w:val="24"/>
          <w:szCs w:val="24"/>
        </w:rPr>
        <w:t>”</w:t>
      </w:r>
      <w:r w:rsidR="00B86E13" w:rsidRPr="00CF3637">
        <w:rPr>
          <w:rFonts w:ascii="Book Antiqua" w:hAnsi="Book Antiqua"/>
          <w:sz w:val="24"/>
          <w:szCs w:val="24"/>
        </w:rPr>
        <w:t xml:space="preserve">. </w:t>
      </w:r>
    </w:p>
    <w:p w14:paraId="21BDA798" w14:textId="5F64AD9E" w:rsidR="00182C1F" w:rsidRPr="00CF3637" w:rsidRDefault="00182C1F"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 xml:space="preserve">If at any time after the initiation of a proceeding it appears to the Court that it is appropriate to have the </w:t>
      </w:r>
      <w:r w:rsidR="007C66C1" w:rsidRPr="00CF3637">
        <w:rPr>
          <w:rFonts w:ascii="Book Antiqua" w:hAnsi="Book Antiqua"/>
          <w:sz w:val="24"/>
          <w:szCs w:val="24"/>
        </w:rPr>
        <w:t>proceeding managed in the List</w:t>
      </w:r>
      <w:r w:rsidRPr="00CF3637">
        <w:rPr>
          <w:rFonts w:ascii="Book Antiqua" w:hAnsi="Book Antiqua"/>
          <w:sz w:val="24"/>
          <w:szCs w:val="24"/>
        </w:rPr>
        <w:t>, the proceeding may be transferred into the List on the Court’s own motion</w:t>
      </w:r>
      <w:r w:rsidR="00984EF6" w:rsidRPr="00CF3637">
        <w:rPr>
          <w:rFonts w:ascii="Book Antiqua" w:hAnsi="Book Antiqua"/>
          <w:sz w:val="24"/>
          <w:szCs w:val="24"/>
        </w:rPr>
        <w:t>.</w:t>
      </w:r>
    </w:p>
    <w:p w14:paraId="74022929" w14:textId="469BEADC" w:rsidR="00182C1F" w:rsidRPr="00CF3637" w:rsidRDefault="00182C1F"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 xml:space="preserve">Conversely, a proceeding initiated in the List may be transferred out of the List on the Court’s own motion if it appears to the Court that it is appropriate to have the </w:t>
      </w:r>
      <w:r w:rsidR="007C66C1" w:rsidRPr="00CF3637">
        <w:rPr>
          <w:rFonts w:ascii="Book Antiqua" w:hAnsi="Book Antiqua"/>
          <w:sz w:val="24"/>
          <w:szCs w:val="24"/>
        </w:rPr>
        <w:t>proceeding managed in a different list</w:t>
      </w:r>
      <w:r w:rsidR="00984EF6" w:rsidRPr="00CF3637">
        <w:rPr>
          <w:rFonts w:ascii="Book Antiqua" w:hAnsi="Book Antiqua"/>
          <w:sz w:val="24"/>
          <w:szCs w:val="24"/>
        </w:rPr>
        <w:t>.</w:t>
      </w:r>
    </w:p>
    <w:p w14:paraId="2809029B" w14:textId="5099E371" w:rsidR="00182C1F" w:rsidRPr="00CF3637" w:rsidRDefault="00182C1F"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No additional fees will be payable for the inclusion of a proceeding in the List</w:t>
      </w:r>
      <w:r w:rsidR="00984EF6" w:rsidRPr="00CF3637">
        <w:rPr>
          <w:rFonts w:ascii="Book Antiqua" w:hAnsi="Book Antiqua"/>
          <w:sz w:val="24"/>
          <w:szCs w:val="24"/>
        </w:rPr>
        <w:t>.</w:t>
      </w:r>
    </w:p>
    <w:p w14:paraId="16E66013" w14:textId="77777777" w:rsidR="00182C1F" w:rsidRPr="00CF3637" w:rsidRDefault="00182C1F" w:rsidP="00CA61F9">
      <w:pPr>
        <w:autoSpaceDE w:val="0"/>
        <w:autoSpaceDN w:val="0"/>
        <w:adjustRightInd w:val="0"/>
        <w:spacing w:before="120" w:after="120"/>
        <w:jc w:val="both"/>
        <w:rPr>
          <w:rFonts w:ascii="Book Antiqua" w:hAnsi="Book Antiqua"/>
          <w:b/>
        </w:rPr>
      </w:pPr>
    </w:p>
    <w:p w14:paraId="1A53606B" w14:textId="1FA03001" w:rsidR="00182C1F" w:rsidRPr="00CF3637" w:rsidRDefault="00162996"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DIRECTIONS HEARINGS</w:t>
      </w:r>
    </w:p>
    <w:p w14:paraId="6F13F316" w14:textId="3980F358" w:rsidR="00C95730" w:rsidRPr="00CF3637" w:rsidRDefault="00162996"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 xml:space="preserve">Directions hearings in proceedings in the List are heard </w:t>
      </w:r>
      <w:r w:rsidR="00B14A18" w:rsidRPr="00CF3637">
        <w:rPr>
          <w:rFonts w:ascii="Book Antiqua" w:hAnsi="Book Antiqua"/>
          <w:sz w:val="24"/>
          <w:szCs w:val="24"/>
        </w:rPr>
        <w:t xml:space="preserve">before the Judge </w:t>
      </w:r>
      <w:r w:rsidRPr="00CF3637">
        <w:rPr>
          <w:rFonts w:ascii="Book Antiqua" w:hAnsi="Book Antiqua"/>
          <w:sz w:val="24"/>
          <w:szCs w:val="24"/>
        </w:rPr>
        <w:t xml:space="preserve">at 9.30am </w:t>
      </w:r>
      <w:r w:rsidR="009B5905">
        <w:rPr>
          <w:rFonts w:ascii="Book Antiqua" w:hAnsi="Book Antiqua"/>
          <w:sz w:val="24"/>
          <w:szCs w:val="24"/>
        </w:rPr>
        <w:t xml:space="preserve">on </w:t>
      </w:r>
      <w:r w:rsidRPr="009B5905">
        <w:rPr>
          <w:rFonts w:ascii="Book Antiqua" w:hAnsi="Book Antiqua"/>
          <w:sz w:val="24"/>
          <w:szCs w:val="24"/>
        </w:rPr>
        <w:t>List directions day</w:t>
      </w:r>
      <w:r w:rsidR="009B5905">
        <w:rPr>
          <w:rFonts w:ascii="Book Antiqua" w:hAnsi="Book Antiqua"/>
          <w:sz w:val="24"/>
          <w:szCs w:val="24"/>
        </w:rPr>
        <w:t>s</w:t>
      </w:r>
      <w:r w:rsidRPr="00CF3637">
        <w:rPr>
          <w:rFonts w:ascii="Book Antiqua" w:hAnsi="Book Antiqua"/>
          <w:sz w:val="24"/>
          <w:szCs w:val="24"/>
        </w:rPr>
        <w:t xml:space="preserve">. </w:t>
      </w:r>
    </w:p>
    <w:p w14:paraId="6440F627" w14:textId="18A7AFAC" w:rsidR="00162996" w:rsidRPr="00CF3637" w:rsidRDefault="00162996"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The Court will generally notify the parties of the date and time of the first directions hearing within 14 days of the filing of the first defence.</w:t>
      </w:r>
    </w:p>
    <w:p w14:paraId="09688089" w14:textId="62C25FFF" w:rsidR="00162996" w:rsidRPr="00CF3637" w:rsidRDefault="00D873C9"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w:t>
      </w:r>
      <w:r w:rsidR="00162996" w:rsidRPr="00CF3637">
        <w:rPr>
          <w:rFonts w:ascii="Book Antiqua" w:hAnsi="Book Antiqua"/>
          <w:sz w:val="24"/>
          <w:szCs w:val="24"/>
        </w:rPr>
        <w:t xml:space="preserve">laintiff’s solicitors are encouraged to deliver proposed consent orders to all other parties in advance of all directions hearings, with a view to obtaining orders by consent without the need for an appearance. </w:t>
      </w:r>
      <w:r>
        <w:rPr>
          <w:rFonts w:ascii="Book Antiqua" w:hAnsi="Book Antiqua"/>
          <w:sz w:val="24"/>
          <w:szCs w:val="24"/>
        </w:rPr>
        <w:t xml:space="preserve"> </w:t>
      </w:r>
      <w:r w:rsidR="00162996" w:rsidRPr="00CF3637">
        <w:rPr>
          <w:rFonts w:ascii="Book Antiqua" w:hAnsi="Book Antiqua"/>
          <w:sz w:val="24"/>
          <w:szCs w:val="24"/>
        </w:rPr>
        <w:t xml:space="preserve">The parties should email minutes of consent to the Associate by 1.00pm two days prior to the directions hearing. </w:t>
      </w:r>
      <w:r>
        <w:rPr>
          <w:rFonts w:ascii="Book Antiqua" w:hAnsi="Book Antiqua"/>
          <w:sz w:val="24"/>
          <w:szCs w:val="24"/>
        </w:rPr>
        <w:t xml:space="preserve"> </w:t>
      </w:r>
      <w:r w:rsidR="00162996" w:rsidRPr="00CF3637">
        <w:rPr>
          <w:rFonts w:ascii="Book Antiqua" w:hAnsi="Book Antiqua"/>
          <w:sz w:val="24"/>
          <w:szCs w:val="24"/>
        </w:rPr>
        <w:t>Any proposed orders should be drawn from the template orders set out in Schedule 1, adapted as appropriate, and should be submitted in both Word and signed PDF format:</w:t>
      </w:r>
    </w:p>
    <w:p w14:paraId="0917C0F2" w14:textId="77777777" w:rsidR="00162996" w:rsidRPr="00CF3637" w:rsidRDefault="00162996" w:rsidP="00CA61F9">
      <w:pPr>
        <w:numPr>
          <w:ilvl w:val="0"/>
          <w:numId w:val="42"/>
        </w:numPr>
        <w:spacing w:before="120" w:after="120"/>
        <w:ind w:left="1440" w:hanging="270"/>
        <w:contextualSpacing/>
        <w:jc w:val="both"/>
        <w:rPr>
          <w:rFonts w:ascii="Book Antiqua" w:hAnsi="Book Antiqua"/>
        </w:rPr>
      </w:pPr>
      <w:r w:rsidRPr="00CF3637">
        <w:rPr>
          <w:rFonts w:ascii="Book Antiqua" w:hAnsi="Book Antiqua"/>
        </w:rPr>
        <w:t>At a first directions hearing, the Court would normally deal with directions involving pleadings, particulars, discovery and interrogatories;</w:t>
      </w:r>
    </w:p>
    <w:p w14:paraId="6F51A7BA" w14:textId="77777777" w:rsidR="00162996" w:rsidRPr="00CF3637" w:rsidRDefault="00162996" w:rsidP="00CA61F9">
      <w:pPr>
        <w:numPr>
          <w:ilvl w:val="0"/>
          <w:numId w:val="42"/>
        </w:numPr>
        <w:spacing w:before="120" w:after="120"/>
        <w:ind w:left="1440" w:hanging="270"/>
        <w:contextualSpacing/>
        <w:jc w:val="both"/>
        <w:rPr>
          <w:rFonts w:ascii="Book Antiqua" w:hAnsi="Book Antiqua"/>
        </w:rPr>
      </w:pPr>
      <w:r w:rsidRPr="00CF3637">
        <w:rPr>
          <w:rFonts w:ascii="Book Antiqua" w:hAnsi="Book Antiqua"/>
        </w:rPr>
        <w:lastRenderedPageBreak/>
        <w:t>At a second directions hearing, the Court would ordinarily make directions for the preparation of expert evidence and for mediation, and set the proceeding down for trial with trial preparation and conduct directions; and</w:t>
      </w:r>
    </w:p>
    <w:p w14:paraId="1E7FE0B3" w14:textId="6EEA3636" w:rsidR="00162996" w:rsidRPr="00CF3637" w:rsidRDefault="00162996" w:rsidP="00CA61F9">
      <w:pPr>
        <w:pStyle w:val="ListParagraph"/>
        <w:numPr>
          <w:ilvl w:val="0"/>
          <w:numId w:val="42"/>
        </w:numPr>
        <w:autoSpaceDE w:val="0"/>
        <w:autoSpaceDN w:val="0"/>
        <w:adjustRightInd w:val="0"/>
        <w:spacing w:before="120" w:after="120"/>
        <w:ind w:left="1440" w:hanging="270"/>
        <w:jc w:val="both"/>
        <w:rPr>
          <w:rFonts w:ascii="Book Antiqua" w:hAnsi="Book Antiqua"/>
          <w:b/>
          <w:sz w:val="24"/>
          <w:szCs w:val="24"/>
        </w:rPr>
      </w:pPr>
      <w:r w:rsidRPr="00CF3637">
        <w:rPr>
          <w:rFonts w:ascii="Book Antiqua" w:hAnsi="Book Antiqua"/>
          <w:sz w:val="24"/>
          <w:szCs w:val="24"/>
        </w:rPr>
        <w:t>A final directions hearing will be held shortly prior to the trial date to confirm that the proceeding is ready for trial, to confirm the sitting day estimate, and for any further trial conduct directions to be made</w:t>
      </w:r>
      <w:r w:rsidR="00B14A18" w:rsidRPr="00CF3637">
        <w:rPr>
          <w:rFonts w:ascii="Book Antiqua" w:hAnsi="Book Antiqua"/>
          <w:sz w:val="24"/>
          <w:szCs w:val="24"/>
        </w:rPr>
        <w:t>.</w:t>
      </w:r>
    </w:p>
    <w:p w14:paraId="14B3A39B" w14:textId="77777777" w:rsidR="00B14A18" w:rsidRPr="00CF3637" w:rsidRDefault="00B14A18"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sidRPr="00CF3637">
        <w:rPr>
          <w:rFonts w:ascii="Book Antiqua" w:hAnsi="Book Antiqua"/>
          <w:sz w:val="24"/>
          <w:szCs w:val="24"/>
        </w:rPr>
        <w:t xml:space="preserve">Parties are reminded that, pursuant to section 65G of the </w:t>
      </w:r>
      <w:r w:rsidRPr="00CF3637">
        <w:rPr>
          <w:rFonts w:ascii="Book Antiqua" w:hAnsi="Book Antiqua"/>
          <w:i/>
          <w:sz w:val="24"/>
          <w:szCs w:val="24"/>
        </w:rPr>
        <w:t>Civil Procedure Act 2010</w:t>
      </w:r>
      <w:r w:rsidRPr="00CF3637">
        <w:rPr>
          <w:rFonts w:ascii="Book Antiqua" w:hAnsi="Book Antiqua"/>
          <w:sz w:val="24"/>
          <w:szCs w:val="24"/>
        </w:rPr>
        <w:t>, directions must be sought from the Court as soon as practicable by a party that intends to adduce expert evidence at trial, or becomes aware that they may adduce expert evidence at trial.</w:t>
      </w:r>
    </w:p>
    <w:p w14:paraId="4A913BA3" w14:textId="0838C761" w:rsidR="00B14A18" w:rsidRPr="00CF3637" w:rsidRDefault="00B14A18"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sidRPr="00CF3637">
        <w:rPr>
          <w:rFonts w:ascii="Book Antiqua" w:hAnsi="Book Antiqua"/>
          <w:sz w:val="24"/>
          <w:szCs w:val="24"/>
        </w:rPr>
        <w:t>All parties are required to appear at scheduled directions hearings unless otherwise advised by the Associate.</w:t>
      </w:r>
      <w:r w:rsidR="00CC3BEF">
        <w:rPr>
          <w:rFonts w:ascii="Book Antiqua" w:hAnsi="Book Antiqua"/>
          <w:sz w:val="24"/>
          <w:szCs w:val="24"/>
        </w:rPr>
        <w:t xml:space="preserve"> </w:t>
      </w:r>
      <w:r w:rsidRPr="00CF3637">
        <w:rPr>
          <w:rFonts w:ascii="Book Antiqua" w:hAnsi="Book Antiqua"/>
          <w:sz w:val="24"/>
          <w:szCs w:val="24"/>
        </w:rPr>
        <w:t xml:space="preserve"> If an appearance is required, an indication of the matters that are likely to be in issue, a time estimate, and a scanned copy of any material parties intend to rely on should be emailed to the Associate by 1.00pm on the day prior to the directions hearing.</w:t>
      </w:r>
    </w:p>
    <w:p w14:paraId="5C156039" w14:textId="24826CE1" w:rsidR="00400B2E" w:rsidRPr="00CF3637" w:rsidRDefault="00400B2E" w:rsidP="00CA61F9">
      <w:pPr>
        <w:autoSpaceDE w:val="0"/>
        <w:autoSpaceDN w:val="0"/>
        <w:adjustRightInd w:val="0"/>
        <w:spacing w:before="120" w:after="120"/>
        <w:jc w:val="both"/>
        <w:rPr>
          <w:rFonts w:ascii="Book Antiqua" w:hAnsi="Book Antiqua"/>
          <w:b/>
        </w:rPr>
      </w:pPr>
    </w:p>
    <w:p w14:paraId="0D7CFF6F" w14:textId="1330A478" w:rsidR="00400B2E" w:rsidRPr="00CF3637" w:rsidRDefault="0046389D"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INTERLOCUTORY</w:t>
      </w:r>
      <w:r w:rsidR="00AF541C" w:rsidRPr="00CF3637">
        <w:rPr>
          <w:rFonts w:ascii="Book Antiqua" w:hAnsi="Book Antiqua"/>
          <w:b/>
          <w:sz w:val="24"/>
          <w:szCs w:val="24"/>
        </w:rPr>
        <w:t xml:space="preserve"> APPLICATIONS</w:t>
      </w:r>
    </w:p>
    <w:p w14:paraId="3D521045" w14:textId="0BCA605D" w:rsidR="00400B2E" w:rsidRPr="00CF3637" w:rsidRDefault="0046389D"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All interlocutory applications are to be made by summons, returnable before the Judge on a List directions day</w:t>
      </w:r>
      <w:r w:rsidR="00400B2E" w:rsidRPr="00CF3637">
        <w:rPr>
          <w:rFonts w:ascii="Book Antiqua" w:hAnsi="Book Antiqua"/>
          <w:sz w:val="24"/>
          <w:szCs w:val="24"/>
        </w:rPr>
        <w:t>.</w:t>
      </w:r>
    </w:p>
    <w:p w14:paraId="636CD1D7" w14:textId="77777777" w:rsidR="009345B6" w:rsidRPr="00CF3637" w:rsidRDefault="009345B6"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A time estimate and a scanned copy of any material parties intend to rely on (including any exhibits to affidavits and an outline of submissions) should be emailed to the Associate by 1.00pm on the day prior to the hearing</w:t>
      </w:r>
      <w:r w:rsidR="00AF541C" w:rsidRPr="00CF3637">
        <w:rPr>
          <w:rFonts w:ascii="Book Antiqua" w:hAnsi="Book Antiqua"/>
          <w:sz w:val="24"/>
          <w:szCs w:val="24"/>
        </w:rPr>
        <w:t>.</w:t>
      </w:r>
    </w:p>
    <w:p w14:paraId="48FD28D4" w14:textId="29F46932" w:rsidR="00AF541C" w:rsidRPr="009C3991" w:rsidRDefault="009345B6"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Depending on the complexity and time estimate of any application, it may be adjourned for a spe</w:t>
      </w:r>
      <w:r w:rsidR="00CC3BEF">
        <w:rPr>
          <w:rFonts w:ascii="Book Antiqua" w:hAnsi="Book Antiqua"/>
          <w:sz w:val="24"/>
          <w:szCs w:val="24"/>
        </w:rPr>
        <w:t>cial fixture or referred to an Associate J</w:t>
      </w:r>
      <w:r w:rsidRPr="00CF3637">
        <w:rPr>
          <w:rFonts w:ascii="Book Antiqua" w:hAnsi="Book Antiqua"/>
          <w:sz w:val="24"/>
          <w:szCs w:val="24"/>
        </w:rPr>
        <w:t>udge for hearing.</w:t>
      </w:r>
      <w:r w:rsidR="00AF541C" w:rsidRPr="00CF3637">
        <w:rPr>
          <w:rFonts w:ascii="Book Antiqua" w:hAnsi="Book Antiqua"/>
          <w:sz w:val="24"/>
          <w:szCs w:val="24"/>
        </w:rPr>
        <w:t xml:space="preserve"> </w:t>
      </w:r>
    </w:p>
    <w:p w14:paraId="1E243AB1" w14:textId="77777777" w:rsidR="00D444B1" w:rsidRPr="00534437" w:rsidRDefault="00D444B1" w:rsidP="00CA61F9">
      <w:pPr>
        <w:pStyle w:val="ListParagraph"/>
        <w:autoSpaceDE w:val="0"/>
        <w:autoSpaceDN w:val="0"/>
        <w:adjustRightInd w:val="0"/>
        <w:spacing w:before="120" w:after="120"/>
        <w:jc w:val="both"/>
        <w:rPr>
          <w:rFonts w:ascii="Book Antiqua" w:hAnsi="Book Antiqua"/>
          <w:b/>
          <w:sz w:val="24"/>
          <w:szCs w:val="24"/>
        </w:rPr>
      </w:pPr>
    </w:p>
    <w:p w14:paraId="2273FF85" w14:textId="14EF5A1B" w:rsidR="00505E47" w:rsidRDefault="00E7293E"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Pr>
          <w:rFonts w:ascii="Book Antiqua" w:hAnsi="Book Antiqua"/>
          <w:b/>
          <w:sz w:val="24"/>
          <w:szCs w:val="24"/>
        </w:rPr>
        <w:t>TRANSCRIPT</w:t>
      </w:r>
    </w:p>
    <w:p w14:paraId="06FC2885" w14:textId="1EBEAD12" w:rsidR="00E7293E" w:rsidRPr="00D96AEE" w:rsidRDefault="00E7293E" w:rsidP="00CA61F9">
      <w:pPr>
        <w:pStyle w:val="ListParagraph"/>
        <w:numPr>
          <w:ilvl w:val="1"/>
          <w:numId w:val="30"/>
        </w:numPr>
        <w:spacing w:before="120" w:after="120"/>
        <w:jc w:val="both"/>
        <w:rPr>
          <w:rFonts w:ascii="Book Antiqua" w:hAnsi="Book Antiqua"/>
          <w:sz w:val="24"/>
          <w:szCs w:val="24"/>
        </w:rPr>
      </w:pPr>
      <w:r w:rsidRPr="00D96AEE">
        <w:rPr>
          <w:rFonts w:ascii="Book Antiqua" w:hAnsi="Book Antiqua"/>
          <w:sz w:val="24"/>
          <w:szCs w:val="24"/>
        </w:rPr>
        <w:t xml:space="preserve">To ensure the efficient management of cases </w:t>
      </w:r>
      <w:r>
        <w:rPr>
          <w:rFonts w:ascii="Book Antiqua" w:hAnsi="Book Antiqua"/>
          <w:sz w:val="24"/>
          <w:szCs w:val="24"/>
        </w:rPr>
        <w:t xml:space="preserve">in the List </w:t>
      </w:r>
      <w:r w:rsidRPr="00D96AEE">
        <w:rPr>
          <w:rFonts w:ascii="Book Antiqua" w:hAnsi="Book Antiqua"/>
          <w:sz w:val="24"/>
          <w:szCs w:val="24"/>
        </w:rPr>
        <w:t>the Court has determined that</w:t>
      </w:r>
      <w:r>
        <w:rPr>
          <w:rFonts w:ascii="Book Antiqua" w:hAnsi="Book Antiqua"/>
          <w:sz w:val="24"/>
          <w:szCs w:val="24"/>
        </w:rPr>
        <w:t xml:space="preserve"> </w:t>
      </w:r>
      <w:r w:rsidRPr="00D96AEE">
        <w:rPr>
          <w:rFonts w:ascii="Book Antiqua" w:hAnsi="Book Antiqua"/>
          <w:sz w:val="24"/>
          <w:szCs w:val="24"/>
        </w:rPr>
        <w:t>transcript</w:t>
      </w:r>
      <w:r>
        <w:rPr>
          <w:rFonts w:ascii="Book Antiqua" w:hAnsi="Book Antiqua"/>
          <w:sz w:val="24"/>
          <w:szCs w:val="24"/>
        </w:rPr>
        <w:t xml:space="preserve"> will be required for all d</w:t>
      </w:r>
      <w:r w:rsidRPr="00D96AEE">
        <w:rPr>
          <w:rFonts w:ascii="Book Antiqua" w:hAnsi="Book Antiqua"/>
          <w:sz w:val="24"/>
          <w:szCs w:val="24"/>
        </w:rPr>
        <w:t xml:space="preserve">irections and </w:t>
      </w:r>
      <w:r>
        <w:rPr>
          <w:rFonts w:ascii="Book Antiqua" w:hAnsi="Book Antiqua"/>
          <w:sz w:val="24"/>
          <w:szCs w:val="24"/>
        </w:rPr>
        <w:t>i</w:t>
      </w:r>
      <w:r w:rsidRPr="00D96AEE">
        <w:rPr>
          <w:rFonts w:ascii="Book Antiqua" w:hAnsi="Book Antiqua"/>
          <w:sz w:val="24"/>
          <w:szCs w:val="24"/>
        </w:rPr>
        <w:t>nterlocutory hearings</w:t>
      </w:r>
      <w:r>
        <w:rPr>
          <w:rFonts w:ascii="Book Antiqua" w:hAnsi="Book Antiqua"/>
          <w:sz w:val="24"/>
          <w:szCs w:val="24"/>
        </w:rPr>
        <w:t xml:space="preserve"> subject to any contrary order under s 130</w:t>
      </w:r>
      <w:r w:rsidRPr="00D96AEE">
        <w:rPr>
          <w:rFonts w:ascii="Book Antiqua" w:hAnsi="Book Antiqua"/>
          <w:sz w:val="24"/>
          <w:szCs w:val="24"/>
        </w:rPr>
        <w:t xml:space="preserve"> of the </w:t>
      </w:r>
      <w:r w:rsidRPr="00444A0B">
        <w:rPr>
          <w:rFonts w:ascii="Book Antiqua" w:hAnsi="Book Antiqua"/>
          <w:i/>
          <w:sz w:val="24"/>
          <w:szCs w:val="24"/>
        </w:rPr>
        <w:t>Evidence (Miscellaneous Provisions) Act 1958</w:t>
      </w:r>
      <w:r w:rsidRPr="00D96AEE">
        <w:rPr>
          <w:rFonts w:ascii="Book Antiqua" w:hAnsi="Book Antiqua"/>
          <w:sz w:val="24"/>
          <w:szCs w:val="24"/>
        </w:rPr>
        <w:t>.</w:t>
      </w:r>
    </w:p>
    <w:p w14:paraId="12AB3C4D" w14:textId="75500B7D" w:rsidR="00E7293E" w:rsidRPr="00E871D6" w:rsidRDefault="00E7293E" w:rsidP="00CA61F9">
      <w:pPr>
        <w:pStyle w:val="ListParagraph"/>
        <w:numPr>
          <w:ilvl w:val="1"/>
          <w:numId w:val="30"/>
        </w:numPr>
        <w:spacing w:before="120" w:after="120"/>
        <w:jc w:val="both"/>
        <w:rPr>
          <w:rFonts w:ascii="Book Antiqua" w:hAnsi="Book Antiqua"/>
          <w:sz w:val="24"/>
          <w:szCs w:val="24"/>
        </w:rPr>
      </w:pPr>
      <w:r w:rsidRPr="00E871D6">
        <w:rPr>
          <w:rFonts w:ascii="Book Antiqua" w:hAnsi="Book Antiqua"/>
          <w:sz w:val="24"/>
          <w:szCs w:val="24"/>
        </w:rPr>
        <w:t xml:space="preserve">At the time of commencement of </w:t>
      </w:r>
      <w:r>
        <w:rPr>
          <w:rFonts w:ascii="Book Antiqua" w:hAnsi="Book Antiqua"/>
          <w:sz w:val="24"/>
          <w:szCs w:val="24"/>
        </w:rPr>
        <w:t xml:space="preserve">a </w:t>
      </w:r>
      <w:r w:rsidRPr="00E871D6">
        <w:rPr>
          <w:rFonts w:ascii="Book Antiqua" w:hAnsi="Book Antiqua"/>
          <w:sz w:val="24"/>
          <w:szCs w:val="24"/>
        </w:rPr>
        <w:t xml:space="preserve">proceeding, or </w:t>
      </w:r>
      <w:r w:rsidR="00CC3BEF">
        <w:rPr>
          <w:rFonts w:ascii="Book Antiqua" w:hAnsi="Book Antiqua"/>
          <w:sz w:val="24"/>
          <w:szCs w:val="24"/>
        </w:rPr>
        <w:t xml:space="preserve">upon </w:t>
      </w:r>
      <w:r w:rsidRPr="00E871D6">
        <w:rPr>
          <w:rFonts w:ascii="Book Antiqua" w:hAnsi="Book Antiqua"/>
          <w:sz w:val="24"/>
          <w:szCs w:val="24"/>
        </w:rPr>
        <w:t>ent</w:t>
      </w:r>
      <w:r w:rsidR="008C237D">
        <w:rPr>
          <w:rFonts w:ascii="Book Antiqua" w:hAnsi="Book Antiqua"/>
          <w:sz w:val="24"/>
          <w:szCs w:val="24"/>
        </w:rPr>
        <w:t>ry to</w:t>
      </w:r>
      <w:r w:rsidRPr="00E871D6">
        <w:rPr>
          <w:rFonts w:ascii="Book Antiqua" w:hAnsi="Book Antiqua"/>
          <w:sz w:val="24"/>
          <w:szCs w:val="24"/>
        </w:rPr>
        <w:t xml:space="preserve"> </w:t>
      </w:r>
      <w:r>
        <w:rPr>
          <w:rFonts w:ascii="Book Antiqua" w:hAnsi="Book Antiqua"/>
          <w:sz w:val="24"/>
          <w:szCs w:val="24"/>
        </w:rPr>
        <w:t>the L</w:t>
      </w:r>
      <w:r w:rsidRPr="00E871D6">
        <w:rPr>
          <w:rFonts w:ascii="Book Antiqua" w:hAnsi="Book Antiqua"/>
          <w:sz w:val="24"/>
          <w:szCs w:val="24"/>
        </w:rPr>
        <w:t xml:space="preserve">ist, the </w:t>
      </w:r>
      <w:r w:rsidR="00CC3BEF">
        <w:rPr>
          <w:rFonts w:ascii="Book Antiqua" w:hAnsi="Book Antiqua"/>
          <w:sz w:val="24"/>
          <w:szCs w:val="24"/>
        </w:rPr>
        <w:t>P</w:t>
      </w:r>
      <w:r w:rsidR="008C237D">
        <w:rPr>
          <w:rFonts w:ascii="Book Antiqua" w:hAnsi="Book Antiqua"/>
          <w:sz w:val="24"/>
          <w:szCs w:val="24"/>
        </w:rPr>
        <w:t>laintiff</w:t>
      </w:r>
      <w:r w:rsidRPr="00E871D6">
        <w:rPr>
          <w:rFonts w:ascii="Book Antiqua" w:hAnsi="Book Antiqua"/>
          <w:sz w:val="24"/>
          <w:szCs w:val="24"/>
        </w:rPr>
        <w:t xml:space="preserve"> shall </w:t>
      </w:r>
      <w:r>
        <w:rPr>
          <w:rFonts w:ascii="Book Antiqua" w:hAnsi="Book Antiqua"/>
          <w:sz w:val="24"/>
          <w:szCs w:val="24"/>
        </w:rPr>
        <w:t xml:space="preserve">complete </w:t>
      </w:r>
      <w:r w:rsidRPr="00E871D6">
        <w:rPr>
          <w:rFonts w:ascii="Book Antiqua" w:hAnsi="Book Antiqua"/>
          <w:sz w:val="24"/>
          <w:szCs w:val="24"/>
        </w:rPr>
        <w:t>a signed purchase order directed to the preferred supplier for the provision of recording and transcription services for all directions hearings and all other interlocutory hearings</w:t>
      </w:r>
      <w:r>
        <w:rPr>
          <w:rFonts w:ascii="Book Antiqua" w:hAnsi="Book Antiqua"/>
          <w:sz w:val="24"/>
          <w:szCs w:val="24"/>
        </w:rPr>
        <w:t xml:space="preserve"> in accordance with Practice Note SC Gen 7</w:t>
      </w:r>
      <w:r w:rsidRPr="00E871D6">
        <w:rPr>
          <w:rFonts w:ascii="Book Antiqua" w:hAnsi="Book Antiqua"/>
          <w:sz w:val="24"/>
          <w:szCs w:val="24"/>
        </w:rPr>
        <w:t xml:space="preserve">. </w:t>
      </w:r>
      <w:r w:rsidR="00CC3BEF">
        <w:rPr>
          <w:rFonts w:ascii="Book Antiqua" w:hAnsi="Book Antiqua"/>
          <w:sz w:val="24"/>
          <w:szCs w:val="24"/>
        </w:rPr>
        <w:t xml:space="preserve"> </w:t>
      </w:r>
      <w:r w:rsidRPr="00E871D6">
        <w:rPr>
          <w:rFonts w:ascii="Book Antiqua" w:hAnsi="Book Antiqua"/>
          <w:sz w:val="24"/>
          <w:szCs w:val="24"/>
        </w:rPr>
        <w:t>That party shall deliver the purchase order to the preferred supplier.</w:t>
      </w:r>
    </w:p>
    <w:p w14:paraId="4E352279" w14:textId="545631F6" w:rsidR="00E7293E" w:rsidRPr="00A77607" w:rsidRDefault="00E7293E" w:rsidP="00CA61F9">
      <w:pPr>
        <w:pStyle w:val="ListParagraph"/>
        <w:numPr>
          <w:ilvl w:val="1"/>
          <w:numId w:val="30"/>
        </w:numPr>
        <w:spacing w:before="120" w:after="120"/>
        <w:jc w:val="both"/>
        <w:rPr>
          <w:rFonts w:ascii="Book Antiqua" w:hAnsi="Book Antiqua"/>
          <w:sz w:val="24"/>
          <w:szCs w:val="24"/>
        </w:rPr>
      </w:pPr>
      <w:r w:rsidRPr="00E871D6">
        <w:rPr>
          <w:rFonts w:ascii="Book Antiqua" w:hAnsi="Book Antiqua"/>
          <w:sz w:val="24"/>
          <w:szCs w:val="24"/>
        </w:rPr>
        <w:t>The solicitor, or the litigant if unrepresented, signing the purchase order shall pay the preferred supplier the cost of all transcript provided pursuant to a purchase order.</w:t>
      </w:r>
    </w:p>
    <w:p w14:paraId="6D8E80A1" w14:textId="2DBB6B2C" w:rsidR="00182C1F" w:rsidRPr="00CF3637" w:rsidRDefault="00182C1F" w:rsidP="00CA61F9">
      <w:pPr>
        <w:autoSpaceDE w:val="0"/>
        <w:autoSpaceDN w:val="0"/>
        <w:adjustRightInd w:val="0"/>
        <w:spacing w:before="120" w:after="120"/>
        <w:jc w:val="both"/>
        <w:rPr>
          <w:rFonts w:ascii="Book Antiqua" w:hAnsi="Book Antiqua"/>
          <w:b/>
        </w:rPr>
      </w:pPr>
    </w:p>
    <w:p w14:paraId="19F9E467" w14:textId="3487996B" w:rsidR="00182C1F" w:rsidRPr="00CF3637" w:rsidRDefault="004F14A1"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INTERROGATORIES</w:t>
      </w:r>
    </w:p>
    <w:p w14:paraId="0B7337B8" w14:textId="468B1B9C" w:rsidR="00425840" w:rsidRPr="00CC3BEF" w:rsidRDefault="004F14A1"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Without the leave of the Court, the number of interrogatories served in proceedings in the List should be limited to thirty (including sub-parts)</w:t>
      </w:r>
      <w:r w:rsidR="00182C1F" w:rsidRPr="00CF3637">
        <w:rPr>
          <w:rFonts w:ascii="Book Antiqua" w:hAnsi="Book Antiqua"/>
          <w:sz w:val="24"/>
          <w:szCs w:val="24"/>
        </w:rPr>
        <w:t>.</w:t>
      </w:r>
    </w:p>
    <w:p w14:paraId="76A72DCA" w14:textId="77777777" w:rsidR="00425840" w:rsidRPr="008F0538" w:rsidRDefault="00425840" w:rsidP="00CA61F9">
      <w:pPr>
        <w:pStyle w:val="ListParagraph"/>
        <w:numPr>
          <w:ilvl w:val="0"/>
          <w:numId w:val="30"/>
        </w:numPr>
        <w:autoSpaceDE w:val="0"/>
        <w:autoSpaceDN w:val="0"/>
        <w:adjustRightInd w:val="0"/>
        <w:spacing w:before="120" w:after="120"/>
        <w:jc w:val="both"/>
        <w:rPr>
          <w:rFonts w:ascii="Book Antiqua" w:hAnsi="Book Antiqua"/>
          <w:b/>
          <w:sz w:val="24"/>
          <w:szCs w:val="24"/>
        </w:rPr>
      </w:pPr>
      <w:r w:rsidRPr="008F0538">
        <w:rPr>
          <w:rFonts w:ascii="Book Antiqua" w:hAnsi="Book Antiqua"/>
          <w:b/>
          <w:sz w:val="24"/>
          <w:szCs w:val="24"/>
        </w:rPr>
        <w:lastRenderedPageBreak/>
        <w:t>USE OF TECHNOLOGY</w:t>
      </w:r>
    </w:p>
    <w:p w14:paraId="0694A482" w14:textId="77777777" w:rsidR="00425840" w:rsidRDefault="00425840"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The provisions of Practice Note SC Gen 5 “Guidelines for the Use of Technology” apply to proceedings in the List.</w:t>
      </w:r>
    </w:p>
    <w:p w14:paraId="0F77C81A" w14:textId="77777777" w:rsidR="00425840" w:rsidRPr="008F0538" w:rsidRDefault="00425840"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Pr>
          <w:rFonts w:ascii="Book Antiqua" w:hAnsi="Book Antiqua"/>
          <w:sz w:val="24"/>
          <w:szCs w:val="24"/>
        </w:rPr>
        <w:t xml:space="preserve">For the purposes of paragraph </w:t>
      </w:r>
      <w:r w:rsidRPr="009C3991">
        <w:rPr>
          <w:rFonts w:ascii="Book Antiqua" w:hAnsi="Book Antiqua"/>
          <w:sz w:val="24"/>
          <w:szCs w:val="24"/>
        </w:rPr>
        <w:t>9.11</w:t>
      </w:r>
      <w:r>
        <w:rPr>
          <w:rFonts w:ascii="Book Antiqua" w:hAnsi="Book Antiqua"/>
          <w:sz w:val="24"/>
          <w:szCs w:val="24"/>
        </w:rPr>
        <w:t xml:space="preserve"> of that Practice Note, documentary evidence in excess of 1500 pages is to be considered a large amount of documentary evidence.  </w:t>
      </w:r>
    </w:p>
    <w:p w14:paraId="336C9066" w14:textId="77777777" w:rsidR="00182C1F" w:rsidRPr="00CF3637" w:rsidRDefault="00182C1F" w:rsidP="00CA61F9">
      <w:pPr>
        <w:autoSpaceDE w:val="0"/>
        <w:autoSpaceDN w:val="0"/>
        <w:adjustRightInd w:val="0"/>
        <w:spacing w:before="120" w:after="120"/>
        <w:jc w:val="both"/>
        <w:rPr>
          <w:rFonts w:ascii="Book Antiqua" w:hAnsi="Book Antiqua"/>
          <w:b/>
        </w:rPr>
      </w:pPr>
    </w:p>
    <w:p w14:paraId="3404EB84" w14:textId="0375B9E4" w:rsidR="002361DF" w:rsidRPr="00CF3637" w:rsidRDefault="002361DF"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COMMUNICATIONS WITH THE COURT</w:t>
      </w:r>
    </w:p>
    <w:p w14:paraId="66BB9B7E" w14:textId="033BC4FE" w:rsidR="002361DF" w:rsidRPr="00CF3637" w:rsidRDefault="002361DF"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At all stages of the proceeding, communications with the Court should be by email with a copy to all other parties, and should be confined to uncontroversial matters.</w:t>
      </w:r>
      <w:r w:rsidR="003615E5" w:rsidRPr="00CF3637">
        <w:rPr>
          <w:rFonts w:ascii="Book Antiqua" w:hAnsi="Book Antiqua"/>
          <w:sz w:val="24"/>
          <w:szCs w:val="24"/>
        </w:rPr>
        <w:t xml:space="preserve"> </w:t>
      </w:r>
      <w:r w:rsidR="00CC3BEF">
        <w:rPr>
          <w:rFonts w:ascii="Book Antiqua" w:hAnsi="Book Antiqua"/>
          <w:sz w:val="24"/>
          <w:szCs w:val="24"/>
        </w:rPr>
        <w:t xml:space="preserve"> </w:t>
      </w:r>
      <w:r w:rsidR="003615E5" w:rsidRPr="00CF3637">
        <w:rPr>
          <w:rFonts w:ascii="Book Antiqua" w:hAnsi="Book Antiqua"/>
          <w:sz w:val="24"/>
          <w:szCs w:val="24"/>
        </w:rPr>
        <w:t>Contact details for the Associate are on the Court website</w:t>
      </w:r>
      <w:r w:rsidR="00525B9D" w:rsidRPr="00CF3637">
        <w:rPr>
          <w:rFonts w:ascii="Book Antiqua" w:hAnsi="Book Antiqua"/>
          <w:sz w:val="24"/>
          <w:szCs w:val="24"/>
        </w:rPr>
        <w:t>.</w:t>
      </w:r>
    </w:p>
    <w:p w14:paraId="78BDD0F2" w14:textId="77777777" w:rsidR="00525B9D" w:rsidRPr="00CF3637" w:rsidRDefault="00525B9D" w:rsidP="00CA61F9">
      <w:pPr>
        <w:pStyle w:val="ListParagraph"/>
        <w:numPr>
          <w:ilvl w:val="1"/>
          <w:numId w:val="30"/>
        </w:numPr>
        <w:autoSpaceDE w:val="0"/>
        <w:autoSpaceDN w:val="0"/>
        <w:adjustRightInd w:val="0"/>
        <w:spacing w:before="120" w:after="120"/>
        <w:jc w:val="both"/>
        <w:rPr>
          <w:rFonts w:ascii="Book Antiqua" w:hAnsi="Book Antiqua"/>
          <w:b/>
          <w:sz w:val="24"/>
          <w:szCs w:val="24"/>
        </w:rPr>
      </w:pPr>
      <w:r w:rsidRPr="00CF3637">
        <w:rPr>
          <w:rFonts w:ascii="Book Antiqua" w:hAnsi="Book Antiqua"/>
          <w:sz w:val="24"/>
          <w:szCs w:val="24"/>
        </w:rPr>
        <w:t xml:space="preserve">Parties are reminded that pursuant to rule 27.03(11)(b) of the </w:t>
      </w:r>
      <w:r w:rsidRPr="00CF3637">
        <w:rPr>
          <w:rFonts w:ascii="Book Antiqua" w:hAnsi="Book Antiqua"/>
          <w:i/>
          <w:sz w:val="24"/>
          <w:szCs w:val="24"/>
        </w:rPr>
        <w:t>Supreme Court (General Civil Procedure) Rules 2015</w:t>
      </w:r>
      <w:r w:rsidRPr="00CF3637">
        <w:rPr>
          <w:rFonts w:ascii="Book Antiqua" w:hAnsi="Book Antiqua"/>
          <w:sz w:val="24"/>
          <w:szCs w:val="24"/>
        </w:rPr>
        <w:t>, all court documents must include the name and email address of an individual to whom reference can be made in respect of the proceeding.</w:t>
      </w:r>
    </w:p>
    <w:p w14:paraId="0AE23603" w14:textId="77777777" w:rsidR="00541F76" w:rsidRPr="00CF3637" w:rsidRDefault="00541F76" w:rsidP="00CA61F9">
      <w:pPr>
        <w:autoSpaceDE w:val="0"/>
        <w:autoSpaceDN w:val="0"/>
        <w:adjustRightInd w:val="0"/>
        <w:spacing w:before="120" w:after="120"/>
        <w:jc w:val="both"/>
        <w:rPr>
          <w:rFonts w:ascii="Book Antiqua" w:hAnsi="Book Antiqua"/>
          <w:b/>
        </w:rPr>
      </w:pPr>
    </w:p>
    <w:p w14:paraId="49981E10" w14:textId="77777777" w:rsidR="00541F76" w:rsidRPr="00CF3637" w:rsidRDefault="00541F76" w:rsidP="00CA61F9">
      <w:pPr>
        <w:pStyle w:val="ListParagraph"/>
        <w:keepNext/>
        <w:numPr>
          <w:ilvl w:val="0"/>
          <w:numId w:val="30"/>
        </w:numPr>
        <w:autoSpaceDE w:val="0"/>
        <w:autoSpaceDN w:val="0"/>
        <w:adjustRightInd w:val="0"/>
        <w:spacing w:before="120" w:after="120"/>
        <w:rPr>
          <w:rFonts w:ascii="Book Antiqua" w:hAnsi="Book Antiqua"/>
          <w:b/>
          <w:sz w:val="24"/>
          <w:szCs w:val="24"/>
        </w:rPr>
      </w:pPr>
      <w:r w:rsidRPr="00CF3637">
        <w:rPr>
          <w:rFonts w:ascii="Book Antiqua" w:hAnsi="Book Antiqua"/>
          <w:b/>
          <w:sz w:val="24"/>
          <w:szCs w:val="24"/>
        </w:rPr>
        <w:t>FURTHER INFORMATION</w:t>
      </w:r>
    </w:p>
    <w:p w14:paraId="6BC62A12" w14:textId="063C1B84" w:rsidR="00541F76" w:rsidRPr="00CF3637" w:rsidRDefault="00541F76" w:rsidP="00CA61F9">
      <w:pPr>
        <w:pStyle w:val="ListParagraph"/>
        <w:numPr>
          <w:ilvl w:val="1"/>
          <w:numId w:val="30"/>
        </w:numPr>
        <w:autoSpaceDE w:val="0"/>
        <w:autoSpaceDN w:val="0"/>
        <w:adjustRightInd w:val="0"/>
        <w:spacing w:before="120" w:after="120"/>
        <w:jc w:val="both"/>
        <w:rPr>
          <w:rFonts w:ascii="Book Antiqua" w:hAnsi="Book Antiqua"/>
          <w:sz w:val="24"/>
          <w:szCs w:val="24"/>
        </w:rPr>
      </w:pPr>
      <w:r w:rsidRPr="00CF3637">
        <w:rPr>
          <w:rFonts w:ascii="Book Antiqua" w:hAnsi="Book Antiqua"/>
          <w:sz w:val="24"/>
          <w:szCs w:val="24"/>
        </w:rPr>
        <w:t>The Court’s website (</w:t>
      </w:r>
      <w:hyperlink r:id="rId15" w:history="1">
        <w:r w:rsidRPr="00CF3637">
          <w:rPr>
            <w:rStyle w:val="Hyperlink"/>
            <w:rFonts w:ascii="Book Antiqua" w:hAnsi="Book Antiqua"/>
            <w:sz w:val="24"/>
            <w:szCs w:val="24"/>
          </w:rPr>
          <w:t>www.supremecourt.vic.gov.au</w:t>
        </w:r>
      </w:hyperlink>
      <w:r w:rsidRPr="00CF3637">
        <w:rPr>
          <w:rFonts w:ascii="Book Antiqua" w:hAnsi="Book Antiqua"/>
          <w:sz w:val="24"/>
          <w:szCs w:val="24"/>
        </w:rPr>
        <w:t xml:space="preserve">) includes a </w:t>
      </w:r>
      <w:hyperlink r:id="rId16" w:history="1">
        <w:r w:rsidRPr="00350A85">
          <w:rPr>
            <w:rStyle w:val="Hyperlink"/>
            <w:rFonts w:ascii="Book Antiqua" w:hAnsi="Book Antiqua"/>
            <w:sz w:val="24"/>
            <w:szCs w:val="24"/>
          </w:rPr>
          <w:t>page dedicated to the List</w:t>
        </w:r>
      </w:hyperlink>
      <w:r w:rsidRPr="00CF3637">
        <w:rPr>
          <w:rFonts w:ascii="Book Antiqua" w:hAnsi="Book Antiqua"/>
          <w:sz w:val="24"/>
          <w:szCs w:val="24"/>
        </w:rPr>
        <w:t xml:space="preserve"> with up to date information about the operation of the List </w:t>
      </w:r>
      <w:r w:rsidR="00477409">
        <w:rPr>
          <w:rFonts w:ascii="Book Antiqua" w:hAnsi="Book Antiqua"/>
          <w:sz w:val="24"/>
          <w:szCs w:val="24"/>
        </w:rPr>
        <w:t>including</w:t>
      </w:r>
      <w:r w:rsidRPr="00CF3637">
        <w:rPr>
          <w:rFonts w:ascii="Book Antiqua" w:hAnsi="Book Antiqua"/>
          <w:sz w:val="24"/>
          <w:szCs w:val="24"/>
        </w:rPr>
        <w:t>:</w:t>
      </w:r>
    </w:p>
    <w:p w14:paraId="431541B1" w14:textId="05702A13" w:rsidR="00477409" w:rsidRDefault="00477409" w:rsidP="00CA61F9">
      <w:pPr>
        <w:pStyle w:val="ListParagraph"/>
        <w:numPr>
          <w:ilvl w:val="1"/>
          <w:numId w:val="38"/>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Judicial officers managing the List;</w:t>
      </w:r>
    </w:p>
    <w:p w14:paraId="7F7EE891" w14:textId="555C43DC" w:rsidR="00477409" w:rsidRDefault="00477409" w:rsidP="00CA61F9">
      <w:pPr>
        <w:pStyle w:val="ListParagraph"/>
        <w:numPr>
          <w:ilvl w:val="1"/>
          <w:numId w:val="38"/>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t</w:t>
      </w:r>
      <w:r w:rsidRPr="00CF3637">
        <w:rPr>
          <w:rFonts w:ascii="Book Antiqua" w:hAnsi="Book Antiqua"/>
          <w:sz w:val="24"/>
          <w:szCs w:val="24"/>
        </w:rPr>
        <w:t xml:space="preserve">his </w:t>
      </w:r>
      <w:r w:rsidR="00541F76" w:rsidRPr="00CF3637">
        <w:rPr>
          <w:rFonts w:ascii="Book Antiqua" w:hAnsi="Book Antiqua"/>
          <w:sz w:val="24"/>
          <w:szCs w:val="24"/>
        </w:rPr>
        <w:t xml:space="preserve">Practice Note in </w:t>
      </w:r>
      <w:r w:rsidR="00350A85">
        <w:rPr>
          <w:rFonts w:ascii="Book Antiqua" w:hAnsi="Book Antiqua"/>
          <w:sz w:val="24"/>
          <w:szCs w:val="24"/>
        </w:rPr>
        <w:t>Word</w:t>
      </w:r>
      <w:r w:rsidR="00541F76" w:rsidRPr="00CF3637">
        <w:rPr>
          <w:rFonts w:ascii="Book Antiqua" w:hAnsi="Book Antiqua"/>
          <w:sz w:val="24"/>
          <w:szCs w:val="24"/>
        </w:rPr>
        <w:t xml:space="preserve"> and </w:t>
      </w:r>
      <w:r w:rsidR="00350A85">
        <w:rPr>
          <w:rFonts w:ascii="Book Antiqua" w:hAnsi="Book Antiqua"/>
          <w:sz w:val="24"/>
          <w:szCs w:val="24"/>
        </w:rPr>
        <w:t xml:space="preserve">PDF </w:t>
      </w:r>
      <w:r w:rsidR="00541F76" w:rsidRPr="00CF3637">
        <w:rPr>
          <w:rFonts w:ascii="Book Antiqua" w:hAnsi="Book Antiqua"/>
          <w:sz w:val="24"/>
          <w:szCs w:val="24"/>
        </w:rPr>
        <w:t>formats</w:t>
      </w:r>
      <w:r>
        <w:rPr>
          <w:rFonts w:ascii="Book Antiqua" w:hAnsi="Book Antiqua"/>
          <w:sz w:val="24"/>
          <w:szCs w:val="24"/>
        </w:rPr>
        <w:t>;</w:t>
      </w:r>
    </w:p>
    <w:p w14:paraId="2C48E1B6" w14:textId="68DE73A3" w:rsidR="00541F76" w:rsidRPr="00CF3637" w:rsidRDefault="00477409" w:rsidP="00CA61F9">
      <w:pPr>
        <w:pStyle w:val="ListParagraph"/>
        <w:numPr>
          <w:ilvl w:val="1"/>
          <w:numId w:val="38"/>
        </w:numPr>
        <w:autoSpaceDE w:val="0"/>
        <w:autoSpaceDN w:val="0"/>
        <w:adjustRightInd w:val="0"/>
        <w:spacing w:before="120" w:after="120"/>
        <w:ind w:firstLine="180"/>
        <w:jc w:val="both"/>
        <w:rPr>
          <w:rFonts w:ascii="Book Antiqua" w:hAnsi="Book Antiqua"/>
          <w:sz w:val="24"/>
          <w:szCs w:val="24"/>
        </w:rPr>
      </w:pPr>
      <w:r>
        <w:rPr>
          <w:rFonts w:ascii="Book Antiqua" w:hAnsi="Book Antiqua"/>
          <w:sz w:val="24"/>
          <w:szCs w:val="24"/>
        </w:rPr>
        <w:t>calendar of List directions dates</w:t>
      </w:r>
      <w:r w:rsidR="00BF6492" w:rsidRPr="00CF3637">
        <w:rPr>
          <w:rFonts w:ascii="Book Antiqua" w:hAnsi="Book Antiqua"/>
          <w:sz w:val="24"/>
          <w:szCs w:val="24"/>
        </w:rPr>
        <w:t>.</w:t>
      </w:r>
    </w:p>
    <w:p w14:paraId="72678F4E" w14:textId="77777777" w:rsidR="00525B9D" w:rsidRPr="00CF3637" w:rsidRDefault="00525B9D" w:rsidP="00CA61F9">
      <w:pPr>
        <w:autoSpaceDE w:val="0"/>
        <w:autoSpaceDN w:val="0"/>
        <w:adjustRightInd w:val="0"/>
        <w:spacing w:before="120" w:after="120"/>
        <w:jc w:val="both"/>
        <w:rPr>
          <w:rFonts w:ascii="Book Antiqua" w:hAnsi="Book Antiqua"/>
          <w:b/>
        </w:rPr>
      </w:pPr>
    </w:p>
    <w:p w14:paraId="2A06942D" w14:textId="27F46ABE" w:rsidR="003817CD" w:rsidRPr="00CF3637" w:rsidRDefault="00277B7B" w:rsidP="00CA61F9">
      <w:pPr>
        <w:autoSpaceDE w:val="0"/>
        <w:autoSpaceDN w:val="0"/>
        <w:adjustRightInd w:val="0"/>
        <w:spacing w:before="120" w:after="120"/>
        <w:jc w:val="both"/>
        <w:rPr>
          <w:rFonts w:ascii="Book Antiqua" w:hAnsi="Book Antiqua"/>
          <w:b/>
        </w:rPr>
      </w:pPr>
      <w:r w:rsidRPr="00CF3637">
        <w:rPr>
          <w:rFonts w:ascii="Book Antiqua" w:hAnsi="Book Antiqua"/>
          <w:b/>
        </w:rPr>
        <w:t>AMENDMENT HISTORY</w:t>
      </w:r>
    </w:p>
    <w:p w14:paraId="78D2DD2D" w14:textId="591EE30F" w:rsidR="00AB3FFA" w:rsidRPr="00CF3637" w:rsidRDefault="00B754D6" w:rsidP="00CA61F9">
      <w:pPr>
        <w:spacing w:before="120" w:after="120"/>
        <w:jc w:val="both"/>
        <w:rPr>
          <w:rFonts w:ascii="Book Antiqua" w:hAnsi="Book Antiqua"/>
        </w:rPr>
      </w:pPr>
      <w:r>
        <w:rPr>
          <w:rFonts w:ascii="Book Antiqua" w:hAnsi="Book Antiqua"/>
        </w:rPr>
        <w:t>30</w:t>
      </w:r>
      <w:r w:rsidR="00277B7B" w:rsidRPr="00CF3637">
        <w:rPr>
          <w:rFonts w:ascii="Book Antiqua" w:hAnsi="Book Antiqua"/>
        </w:rPr>
        <w:t xml:space="preserve"> </w:t>
      </w:r>
      <w:r w:rsidR="00350A85">
        <w:rPr>
          <w:rFonts w:ascii="Book Antiqua" w:hAnsi="Book Antiqua"/>
        </w:rPr>
        <w:t>January 2017</w:t>
      </w:r>
      <w:r w:rsidR="00277B7B" w:rsidRPr="00CF3637">
        <w:rPr>
          <w:rFonts w:ascii="Book Antiqua" w:hAnsi="Book Antiqua"/>
        </w:rPr>
        <w:t>: Th</w:t>
      </w:r>
      <w:r>
        <w:rPr>
          <w:rFonts w:ascii="Book Antiqua" w:hAnsi="Book Antiqua"/>
        </w:rPr>
        <w:t>is Practice Note was issued on 30</w:t>
      </w:r>
      <w:r w:rsidR="00277B7B" w:rsidRPr="00CF3637">
        <w:rPr>
          <w:rFonts w:ascii="Book Antiqua" w:hAnsi="Book Antiqua"/>
        </w:rPr>
        <w:t xml:space="preserve"> </w:t>
      </w:r>
      <w:r w:rsidR="00350A85">
        <w:rPr>
          <w:rFonts w:ascii="Book Antiqua" w:hAnsi="Book Antiqua"/>
        </w:rPr>
        <w:t xml:space="preserve">January 2017 </w:t>
      </w:r>
      <w:r w:rsidR="00277B7B" w:rsidRPr="00CF3637">
        <w:rPr>
          <w:rFonts w:ascii="Book Antiqua" w:hAnsi="Book Antiqua"/>
        </w:rPr>
        <w:t>and replaced Practice Note</w:t>
      </w:r>
      <w:r w:rsidR="00D00C42" w:rsidRPr="00CF3637">
        <w:rPr>
          <w:rFonts w:ascii="Book Antiqua" w:hAnsi="Book Antiqua"/>
        </w:rPr>
        <w:t xml:space="preserve"> No </w:t>
      </w:r>
      <w:r w:rsidR="008D3626" w:rsidRPr="00CF3637">
        <w:rPr>
          <w:rFonts w:ascii="Book Antiqua" w:hAnsi="Book Antiqua"/>
        </w:rPr>
        <w:t>4</w:t>
      </w:r>
      <w:r w:rsidR="00D00C42" w:rsidRPr="00CF3637">
        <w:rPr>
          <w:rFonts w:ascii="Book Antiqua" w:hAnsi="Book Antiqua"/>
        </w:rPr>
        <w:t xml:space="preserve"> of 201</w:t>
      </w:r>
      <w:r w:rsidR="008D3626" w:rsidRPr="00CF3637">
        <w:rPr>
          <w:rFonts w:ascii="Book Antiqua" w:hAnsi="Book Antiqua"/>
        </w:rPr>
        <w:t>5</w:t>
      </w:r>
      <w:r w:rsidR="00D00C42" w:rsidRPr="00CF3637">
        <w:rPr>
          <w:rFonts w:ascii="Book Antiqua" w:hAnsi="Book Antiqua"/>
        </w:rPr>
        <w:t>.</w:t>
      </w:r>
    </w:p>
    <w:p w14:paraId="54E10128" w14:textId="77777777" w:rsidR="00277B7B" w:rsidRPr="00CF3637" w:rsidRDefault="00277B7B" w:rsidP="00CA61F9">
      <w:pPr>
        <w:spacing w:before="120" w:after="120"/>
        <w:ind w:left="720" w:hanging="720"/>
        <w:jc w:val="both"/>
        <w:rPr>
          <w:rFonts w:ascii="Book Antiqua" w:hAnsi="Book Antiqua"/>
        </w:rPr>
      </w:pPr>
    </w:p>
    <w:p w14:paraId="4C7C0933" w14:textId="77777777" w:rsidR="00AB3FFA" w:rsidRPr="00CF3637" w:rsidRDefault="00AB3FFA" w:rsidP="00CA61F9">
      <w:pPr>
        <w:spacing w:before="120" w:after="120"/>
        <w:ind w:left="720" w:hanging="720"/>
        <w:jc w:val="both"/>
        <w:rPr>
          <w:rFonts w:ascii="Book Antiqua" w:hAnsi="Book Antiqua"/>
        </w:rPr>
      </w:pPr>
    </w:p>
    <w:p w14:paraId="48B04245" w14:textId="77777777" w:rsidR="008A737B" w:rsidRPr="00534437" w:rsidRDefault="008A737B" w:rsidP="00CA61F9">
      <w:pPr>
        <w:spacing w:before="120" w:after="120"/>
        <w:ind w:left="720" w:hanging="720"/>
        <w:jc w:val="right"/>
        <w:rPr>
          <w:rFonts w:ascii="Book Antiqua" w:hAnsi="Book Antiqua"/>
        </w:rPr>
      </w:pPr>
      <w:r w:rsidRPr="00534437">
        <w:rPr>
          <w:rFonts w:ascii="Book Antiqua" w:hAnsi="Book Antiqua"/>
        </w:rPr>
        <w:t xml:space="preserve">Vivienne Macgillivray </w:t>
      </w:r>
    </w:p>
    <w:p w14:paraId="520C8D0C" w14:textId="6FFB15D9" w:rsidR="00AB3FFA" w:rsidRPr="00CF3637" w:rsidRDefault="00AB3FFA" w:rsidP="00CA61F9">
      <w:pPr>
        <w:spacing w:before="120" w:after="120"/>
        <w:ind w:left="720" w:hanging="720"/>
        <w:jc w:val="right"/>
        <w:rPr>
          <w:rFonts w:ascii="Book Antiqua" w:hAnsi="Book Antiqua"/>
        </w:rPr>
      </w:pPr>
      <w:r w:rsidRPr="00CF3637">
        <w:rPr>
          <w:rFonts w:ascii="Book Antiqua" w:hAnsi="Book Antiqua"/>
        </w:rPr>
        <w:t>Executive Associate to the Chief Justice</w:t>
      </w:r>
    </w:p>
    <w:p w14:paraId="0D122A8E" w14:textId="565580C5" w:rsidR="00206FC6" w:rsidRDefault="00B754D6" w:rsidP="00CA61F9">
      <w:pPr>
        <w:spacing w:before="120" w:after="120"/>
        <w:ind w:left="720" w:hanging="720"/>
        <w:jc w:val="right"/>
        <w:rPr>
          <w:rFonts w:ascii="Book Antiqua" w:hAnsi="Book Antiqua"/>
        </w:rPr>
      </w:pPr>
      <w:r>
        <w:rPr>
          <w:rFonts w:ascii="Book Antiqua" w:hAnsi="Book Antiqua"/>
        </w:rPr>
        <w:t>30</w:t>
      </w:r>
      <w:bookmarkStart w:id="0" w:name="_GoBack"/>
      <w:bookmarkEnd w:id="0"/>
      <w:r w:rsidR="00CA61F9">
        <w:rPr>
          <w:rFonts w:ascii="Book Antiqua" w:hAnsi="Book Antiqua"/>
        </w:rPr>
        <w:t xml:space="preserve"> January 2017</w:t>
      </w:r>
    </w:p>
    <w:p w14:paraId="20993301" w14:textId="3E4C5F05" w:rsidR="00206FC6" w:rsidRPr="00C15C68" w:rsidRDefault="00206FC6" w:rsidP="00206FC6">
      <w:pPr>
        <w:jc w:val="center"/>
        <w:rPr>
          <w:b/>
        </w:rPr>
      </w:pPr>
      <w:r>
        <w:rPr>
          <w:rFonts w:ascii="Book Antiqua" w:hAnsi="Book Antiqua"/>
        </w:rPr>
        <w:br w:type="page"/>
      </w:r>
      <w:r w:rsidRPr="00C15C68">
        <w:rPr>
          <w:b/>
        </w:rPr>
        <w:lastRenderedPageBreak/>
        <w:t>SCHEDULE 1</w:t>
      </w:r>
    </w:p>
    <w:p w14:paraId="30467778" w14:textId="77777777" w:rsidR="00206FC6" w:rsidRPr="00C15C68" w:rsidRDefault="00206FC6" w:rsidP="00206FC6">
      <w:pPr>
        <w:ind w:left="720" w:hanging="720"/>
        <w:jc w:val="center"/>
        <w:rPr>
          <w:b/>
        </w:rPr>
      </w:pPr>
      <w:r w:rsidRPr="00C15C68">
        <w:rPr>
          <w:b/>
        </w:rPr>
        <w:t>Major Torts List</w:t>
      </w:r>
    </w:p>
    <w:p w14:paraId="1A6202B9" w14:textId="77777777" w:rsidR="00206FC6" w:rsidRPr="00C15C68" w:rsidRDefault="00206FC6" w:rsidP="00206FC6">
      <w:pPr>
        <w:ind w:left="720" w:hanging="720"/>
        <w:jc w:val="center"/>
        <w:rPr>
          <w:b/>
        </w:rPr>
      </w:pPr>
      <w:r w:rsidRPr="00C15C68">
        <w:rPr>
          <w:b/>
        </w:rPr>
        <w:t>Template orders for directions on the papers</w:t>
      </w:r>
    </w:p>
    <w:p w14:paraId="3D0F3BAA" w14:textId="77777777" w:rsidR="00206FC6" w:rsidRPr="00C15C68" w:rsidRDefault="00206FC6" w:rsidP="00206FC6">
      <w:pPr>
        <w:spacing w:line="360" w:lineRule="auto"/>
        <w:ind w:left="720" w:hanging="720"/>
        <w:jc w:val="center"/>
      </w:pPr>
    </w:p>
    <w:p w14:paraId="0C70B50A" w14:textId="77777777" w:rsidR="00206FC6" w:rsidRPr="00C15C68" w:rsidRDefault="00206FC6" w:rsidP="00206FC6">
      <w:pPr>
        <w:spacing w:line="360" w:lineRule="auto"/>
        <w:ind w:left="706"/>
        <w:contextualSpacing/>
        <w:jc w:val="both"/>
        <w:rPr>
          <w:b/>
          <w:lang w:val="en-US"/>
        </w:rPr>
      </w:pPr>
      <w:r w:rsidRPr="00C15C68">
        <w:rPr>
          <w:b/>
          <w:lang w:val="en-US"/>
        </w:rPr>
        <w:t>First Directions Interlocutory steps</w:t>
      </w:r>
    </w:p>
    <w:p w14:paraId="5ADDF0A9" w14:textId="77777777" w:rsidR="00206FC6" w:rsidRPr="00C15C68" w:rsidRDefault="00206FC6" w:rsidP="00206FC6">
      <w:pPr>
        <w:numPr>
          <w:ilvl w:val="0"/>
          <w:numId w:val="43"/>
        </w:numPr>
        <w:spacing w:line="360" w:lineRule="auto"/>
        <w:ind w:left="706" w:hanging="706"/>
        <w:contextualSpacing/>
        <w:jc w:val="both"/>
        <w:rPr>
          <w:lang w:val="en-US"/>
        </w:rPr>
      </w:pPr>
      <w:r w:rsidRPr="00C15C68">
        <w:t>By [</w:t>
      </w:r>
      <w:r w:rsidRPr="00C15C68">
        <w:tab/>
      </w:r>
      <w:r w:rsidRPr="00C15C68">
        <w:tab/>
        <w:t>], the Defendant shall file and serve its defence [or other pleadings as appropriate]</w:t>
      </w:r>
      <w:r w:rsidRPr="00C15C68">
        <w:rPr>
          <w:lang w:val="en-US"/>
        </w:rPr>
        <w:t>.</w:t>
      </w:r>
    </w:p>
    <w:p w14:paraId="0F666DCC"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By [</w:t>
      </w:r>
      <w:r w:rsidRPr="00C15C68">
        <w:rPr>
          <w:color w:val="000000"/>
        </w:rPr>
        <w:tab/>
      </w:r>
      <w:r w:rsidRPr="00C15C68">
        <w:rPr>
          <w:color w:val="000000"/>
        </w:rPr>
        <w:tab/>
        <w:t>],</w:t>
      </w:r>
      <w:r w:rsidRPr="00C15C68">
        <w:rPr>
          <w:color w:val="548DD4"/>
        </w:rPr>
        <w:t xml:space="preserve"> </w:t>
      </w:r>
      <w:r w:rsidRPr="00C15C68">
        <w:rPr>
          <w:color w:val="000000"/>
        </w:rPr>
        <w:t xml:space="preserve">each party shall file and serve on all other parties an affidavit of documents. </w:t>
      </w:r>
    </w:p>
    <w:p w14:paraId="678EDBE3" w14:textId="77777777" w:rsidR="00206FC6" w:rsidRPr="00C15C68" w:rsidRDefault="00206FC6" w:rsidP="00206FC6">
      <w:pPr>
        <w:numPr>
          <w:ilvl w:val="0"/>
          <w:numId w:val="43"/>
        </w:numPr>
        <w:spacing w:line="360" w:lineRule="auto"/>
        <w:ind w:left="706" w:hanging="706"/>
        <w:contextualSpacing/>
        <w:jc w:val="both"/>
        <w:rPr>
          <w:lang w:val="en-US"/>
        </w:rPr>
      </w:pPr>
      <w:r w:rsidRPr="00C15C68">
        <w:t>By [</w:t>
      </w:r>
      <w:r w:rsidRPr="00C15C68">
        <w:tab/>
      </w:r>
      <w:r w:rsidRPr="00C15C68">
        <w:tab/>
        <w:t>],</w:t>
      </w:r>
      <w:r w:rsidRPr="00C15C68">
        <w:rPr>
          <w:color w:val="000000"/>
        </w:rPr>
        <w:t xml:space="preserve"> all parties shall complete inspection of documents.</w:t>
      </w:r>
    </w:p>
    <w:p w14:paraId="1D592A96"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By [</w:t>
      </w:r>
      <w:r w:rsidRPr="00C15C68">
        <w:rPr>
          <w:color w:val="000000"/>
        </w:rPr>
        <w:tab/>
      </w:r>
      <w:r w:rsidRPr="00C15C68">
        <w:rPr>
          <w:color w:val="000000"/>
        </w:rPr>
        <w:tab/>
        <w:t>], all parties shall file and serve any interrogatories for the examination of any other party.</w:t>
      </w:r>
    </w:p>
    <w:p w14:paraId="00C37D4F" w14:textId="77777777" w:rsidR="00206FC6" w:rsidRPr="00C15C68" w:rsidRDefault="00206FC6" w:rsidP="00206FC6">
      <w:pPr>
        <w:numPr>
          <w:ilvl w:val="0"/>
          <w:numId w:val="43"/>
        </w:numPr>
        <w:spacing w:line="360" w:lineRule="auto"/>
        <w:ind w:left="706" w:hanging="706"/>
        <w:contextualSpacing/>
        <w:jc w:val="both"/>
        <w:rPr>
          <w:lang w:val="en-US"/>
        </w:rPr>
      </w:pPr>
      <w:r w:rsidRPr="00C15C68">
        <w:t>By [</w:t>
      </w:r>
      <w:r w:rsidRPr="00C15C68">
        <w:tab/>
      </w:r>
      <w:r w:rsidRPr="00C15C68">
        <w:tab/>
        <w:t>],</w:t>
      </w:r>
      <w:r w:rsidRPr="00C15C68">
        <w:rPr>
          <w:color w:val="548DD4"/>
        </w:rPr>
        <w:t xml:space="preserve"> </w:t>
      </w:r>
      <w:r w:rsidRPr="00C15C68">
        <w:rPr>
          <w:color w:val="000000"/>
        </w:rPr>
        <w:t>any party interrogated shall file and serve answers to interrogatories. The answers are to be served on all other parties.</w:t>
      </w:r>
    </w:p>
    <w:p w14:paraId="66AAF7BE"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 xml:space="preserve">By </w:t>
      </w:r>
      <w:r w:rsidRPr="00C15C68">
        <w:t>[</w:t>
      </w:r>
      <w:r w:rsidRPr="00C15C68">
        <w:tab/>
      </w:r>
      <w:r w:rsidRPr="00C15C68">
        <w:tab/>
        <w:t>]</w:t>
      </w:r>
      <w:r w:rsidRPr="00C15C68">
        <w:rPr>
          <w:color w:val="000000"/>
        </w:rPr>
        <w:t>, all parties shall comply with Order 33 in relation to medical reports [and Order 44 in relation to expert reports] and all reports are to be served on all other parties.</w:t>
      </w:r>
    </w:p>
    <w:p w14:paraId="47EF2F22" w14:textId="77777777" w:rsidR="00206FC6" w:rsidRPr="00C15C68" w:rsidRDefault="00206FC6" w:rsidP="00206FC6">
      <w:pPr>
        <w:numPr>
          <w:ilvl w:val="0"/>
          <w:numId w:val="43"/>
        </w:numPr>
        <w:spacing w:line="360" w:lineRule="auto"/>
        <w:ind w:left="706" w:hanging="706"/>
        <w:contextualSpacing/>
        <w:jc w:val="both"/>
        <w:rPr>
          <w:lang w:val="en-US"/>
        </w:rPr>
      </w:pPr>
      <w:r w:rsidRPr="00C15C68">
        <w:t>By [</w:t>
      </w:r>
      <w:r w:rsidRPr="00C15C68">
        <w:tab/>
      </w:r>
      <w:r w:rsidRPr="00C15C68">
        <w:tab/>
        <w:t>],</w:t>
      </w:r>
      <w:r w:rsidRPr="00C15C68">
        <w:rPr>
          <w:color w:val="000000"/>
        </w:rPr>
        <w:t xml:space="preserve"> the Plaintiff shall deliver a list particularising any special damages, loss of earnings and loss of earning capacity claimed by the Plaintiff.</w:t>
      </w:r>
    </w:p>
    <w:p w14:paraId="4D875458" w14:textId="77777777" w:rsidR="00DB0436" w:rsidRPr="00C15C68" w:rsidRDefault="00DB0436" w:rsidP="00DB0436">
      <w:pPr>
        <w:numPr>
          <w:ilvl w:val="0"/>
          <w:numId w:val="43"/>
        </w:numPr>
        <w:spacing w:line="360" w:lineRule="auto"/>
        <w:ind w:left="706" w:hanging="706"/>
        <w:contextualSpacing/>
        <w:jc w:val="both"/>
        <w:rPr>
          <w:lang w:val="en-US"/>
        </w:rPr>
      </w:pPr>
      <w:r w:rsidRPr="00C15C68">
        <w:t>By [</w:t>
      </w:r>
      <w:r w:rsidRPr="00C15C68">
        <w:tab/>
      </w:r>
      <w:r w:rsidRPr="00C15C68">
        <w:tab/>
        <w:t>], the parties shall issue any subpoena under Order 42A.</w:t>
      </w:r>
    </w:p>
    <w:p w14:paraId="3DEFFB00" w14:textId="77777777" w:rsidR="00206FC6" w:rsidRPr="00C15C68" w:rsidRDefault="00206FC6" w:rsidP="00206FC6">
      <w:pPr>
        <w:spacing w:line="360" w:lineRule="auto"/>
        <w:ind w:left="706"/>
        <w:contextualSpacing/>
        <w:jc w:val="both"/>
        <w:rPr>
          <w:lang w:val="en-US"/>
        </w:rPr>
      </w:pPr>
    </w:p>
    <w:p w14:paraId="3A7D0C10" w14:textId="77777777" w:rsidR="00206FC6" w:rsidRPr="00C15C68" w:rsidRDefault="00206FC6" w:rsidP="00206FC6">
      <w:pPr>
        <w:spacing w:line="360" w:lineRule="auto"/>
        <w:ind w:left="702"/>
        <w:contextualSpacing/>
        <w:jc w:val="both"/>
        <w:rPr>
          <w:b/>
          <w:lang w:val="en-US"/>
        </w:rPr>
      </w:pPr>
      <w:r w:rsidRPr="00C15C68">
        <w:rPr>
          <w:b/>
          <w:color w:val="000000"/>
        </w:rPr>
        <w:t>Alternative</w:t>
      </w:r>
      <w:r w:rsidRPr="00C15C68">
        <w:rPr>
          <w:color w:val="000000"/>
        </w:rPr>
        <w:t xml:space="preserve"> </w:t>
      </w:r>
      <w:r w:rsidRPr="00C15C68">
        <w:rPr>
          <w:b/>
          <w:color w:val="000000"/>
        </w:rPr>
        <w:t xml:space="preserve"> dispute resolution</w:t>
      </w:r>
    </w:p>
    <w:p w14:paraId="6A448C37" w14:textId="19952ACF" w:rsidR="00206FC6" w:rsidRPr="00C15C68" w:rsidRDefault="00206FC6" w:rsidP="00206FC6">
      <w:pPr>
        <w:numPr>
          <w:ilvl w:val="0"/>
          <w:numId w:val="43"/>
        </w:numPr>
        <w:spacing w:line="360" w:lineRule="auto"/>
        <w:contextualSpacing/>
        <w:jc w:val="both"/>
        <w:rPr>
          <w:lang w:val="en-US"/>
        </w:rPr>
      </w:pPr>
      <w:r w:rsidRPr="00C15C68">
        <w:rPr>
          <w:rFonts w:eastAsia="Calibri"/>
          <w:color w:val="000000"/>
        </w:rPr>
        <w:t>The proceeding is referred to a Mediator to be agreed between the parties or, in default of agreement, to be appointed by the Court, such mediation to be completed before [</w:t>
      </w:r>
      <w:r w:rsidRPr="00C15C68">
        <w:rPr>
          <w:rFonts w:eastAsia="Calibri"/>
          <w:color w:val="000000"/>
        </w:rPr>
        <w:tab/>
      </w:r>
      <w:r w:rsidRPr="00C15C68">
        <w:rPr>
          <w:rFonts w:eastAsia="Calibri"/>
          <w:color w:val="000000"/>
        </w:rPr>
        <w:tab/>
        <w:t xml:space="preserve">], by which date the Mediator shall report to the </w:t>
      </w:r>
      <w:r w:rsidR="00623AA3">
        <w:rPr>
          <w:rFonts w:eastAsia="Calibri"/>
          <w:color w:val="000000"/>
        </w:rPr>
        <w:t>C</w:t>
      </w:r>
      <w:r w:rsidRPr="00C15C68">
        <w:rPr>
          <w:rFonts w:eastAsia="Calibri"/>
          <w:color w:val="000000"/>
        </w:rPr>
        <w:t>ourt and to</w:t>
      </w:r>
      <w:r w:rsidR="00CC3BEF">
        <w:rPr>
          <w:rFonts w:eastAsia="Calibri"/>
          <w:color w:val="000000"/>
        </w:rPr>
        <w:t xml:space="preserve"> the associate to the managing J</w:t>
      </w:r>
      <w:r w:rsidRPr="00C15C68">
        <w:rPr>
          <w:rFonts w:eastAsia="Calibri"/>
          <w:color w:val="000000"/>
        </w:rPr>
        <w:t>udge about the completion of the mediation.</w:t>
      </w:r>
    </w:p>
    <w:p w14:paraId="62C401FB" w14:textId="77777777" w:rsidR="00206FC6" w:rsidRPr="00C15C68" w:rsidRDefault="00206FC6" w:rsidP="00206FC6">
      <w:pPr>
        <w:pStyle w:val="Heading1"/>
        <w:keepNext w:val="0"/>
        <w:numPr>
          <w:ilvl w:val="0"/>
          <w:numId w:val="43"/>
        </w:numPr>
        <w:spacing w:before="0" w:after="0" w:line="360" w:lineRule="auto"/>
        <w:contextualSpacing/>
        <w:jc w:val="both"/>
        <w:rPr>
          <w:b/>
          <w:szCs w:val="24"/>
        </w:rPr>
      </w:pPr>
      <w:r w:rsidRPr="00C15C68">
        <w:rPr>
          <w:szCs w:val="24"/>
        </w:rPr>
        <w:t>The solicitors for the Plaintiff shall, after such consultation, deliver to the Mediator a copy of this order, all pleadings (including further particulars) and a copy of any other relevant information as agreed, and take all steps necessary to ensure that the mediation commences as soon as practicable.</w:t>
      </w:r>
    </w:p>
    <w:p w14:paraId="148CD885" w14:textId="77777777" w:rsidR="00206FC6" w:rsidRPr="00C15C68" w:rsidRDefault="00206FC6" w:rsidP="00206FC6">
      <w:pPr>
        <w:pStyle w:val="Heading1"/>
        <w:keepNext w:val="0"/>
        <w:numPr>
          <w:ilvl w:val="0"/>
          <w:numId w:val="43"/>
        </w:numPr>
        <w:spacing w:before="0" w:after="0" w:line="360" w:lineRule="auto"/>
        <w:contextualSpacing/>
        <w:jc w:val="both"/>
        <w:rPr>
          <w:b/>
          <w:szCs w:val="24"/>
        </w:rPr>
      </w:pPr>
      <w:r w:rsidRPr="00C15C68">
        <w:rPr>
          <w:szCs w:val="24"/>
        </w:rPr>
        <w:t>Those persons who have the ultimate responsibility for deciding whether to settle the dispute and the terms of any settlement, and the legal representatives who have ultimate responsibility to advise the parties in relation to the dispute and its settlement shall attend the mediation.</w:t>
      </w:r>
    </w:p>
    <w:p w14:paraId="7A5B3417" w14:textId="77777777" w:rsidR="00206FC6" w:rsidRPr="00C15C68" w:rsidRDefault="00206FC6" w:rsidP="00206FC6">
      <w:pPr>
        <w:numPr>
          <w:ilvl w:val="0"/>
          <w:numId w:val="43"/>
        </w:numPr>
        <w:spacing w:line="360" w:lineRule="auto"/>
        <w:contextualSpacing/>
        <w:jc w:val="both"/>
        <w:rPr>
          <w:lang w:val="en-US"/>
        </w:rPr>
      </w:pPr>
      <w:r w:rsidRPr="00C15C68">
        <w:lastRenderedPageBreak/>
        <w:t>Subject to any further order, the costs of the mediation shall be paid in the first instance by the parties in equal shares.</w:t>
      </w:r>
    </w:p>
    <w:p w14:paraId="17EA4507" w14:textId="0A21FF49" w:rsidR="00206FC6" w:rsidRPr="00C15C68" w:rsidRDefault="00206FC6" w:rsidP="00206FC6">
      <w:pPr>
        <w:numPr>
          <w:ilvl w:val="0"/>
          <w:numId w:val="43"/>
        </w:numPr>
        <w:spacing w:line="360" w:lineRule="auto"/>
        <w:contextualSpacing/>
        <w:jc w:val="both"/>
        <w:rPr>
          <w:lang w:val="en-US"/>
        </w:rPr>
      </w:pPr>
      <w:r w:rsidRPr="00C15C68">
        <w:rPr>
          <w:color w:val="000000"/>
        </w:rPr>
        <w:t>The parties must forthwi</w:t>
      </w:r>
      <w:r w:rsidR="00424401">
        <w:rPr>
          <w:color w:val="000000"/>
        </w:rPr>
        <w:t>th notify the Associate to the Associate Judge in Charge of Listing</w:t>
      </w:r>
      <w:r w:rsidRPr="00C15C68">
        <w:rPr>
          <w:color w:val="000000"/>
        </w:rPr>
        <w:t xml:space="preserve"> in the event of the proceeding being resolved before the date fixed for the trial.</w:t>
      </w:r>
    </w:p>
    <w:p w14:paraId="1166DBF6" w14:textId="77777777" w:rsidR="00206FC6" w:rsidRPr="00C15C68" w:rsidRDefault="00206FC6" w:rsidP="00206FC6">
      <w:pPr>
        <w:spacing w:line="360" w:lineRule="auto"/>
        <w:ind w:left="702"/>
        <w:contextualSpacing/>
        <w:jc w:val="both"/>
        <w:rPr>
          <w:lang w:val="en-US"/>
        </w:rPr>
      </w:pPr>
    </w:p>
    <w:p w14:paraId="32112B9C" w14:textId="77777777" w:rsidR="00206FC6" w:rsidRPr="00C15C68" w:rsidRDefault="00206FC6" w:rsidP="00206FC6">
      <w:pPr>
        <w:spacing w:line="360" w:lineRule="auto"/>
        <w:ind w:left="-3" w:firstLine="705"/>
        <w:contextualSpacing/>
        <w:jc w:val="both"/>
        <w:rPr>
          <w:b/>
          <w:lang w:val="en-US"/>
        </w:rPr>
      </w:pPr>
      <w:r w:rsidRPr="00C15C68">
        <w:rPr>
          <w:b/>
          <w:lang w:val="en-US"/>
        </w:rPr>
        <w:t>Expert Evidence</w:t>
      </w:r>
    </w:p>
    <w:p w14:paraId="57C2BED6" w14:textId="77777777" w:rsidR="00206FC6" w:rsidRPr="00C15C68" w:rsidRDefault="00206FC6" w:rsidP="00206FC6">
      <w:pPr>
        <w:numPr>
          <w:ilvl w:val="0"/>
          <w:numId w:val="43"/>
        </w:numPr>
        <w:spacing w:line="360" w:lineRule="auto"/>
        <w:contextualSpacing/>
        <w:jc w:val="both"/>
        <w:rPr>
          <w:lang w:val="en-US"/>
        </w:rPr>
      </w:pPr>
      <w:r w:rsidRPr="00C15C68">
        <w:rPr>
          <w:lang w:val="en-US"/>
        </w:rPr>
        <w:t xml:space="preserve">At the first available opportunity, the parties should inform the Court that </w:t>
      </w:r>
      <w:r w:rsidRPr="00C15C68">
        <w:t>a party intends to or may adduce expert evidence at trial.</w:t>
      </w:r>
      <w:r w:rsidRPr="00C15C68">
        <w:rPr>
          <w:rStyle w:val="FootnoteReference"/>
        </w:rPr>
        <w:footnoteReference w:id="2"/>
      </w:r>
    </w:p>
    <w:p w14:paraId="651FF64D"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By [</w:t>
      </w:r>
      <w:r w:rsidRPr="00C15C68">
        <w:rPr>
          <w:rFonts w:ascii="Times New Roman" w:hAnsi="Times New Roman" w:cs="Times New Roman"/>
        </w:rPr>
        <w:tab/>
      </w:r>
      <w:r w:rsidRPr="00C15C68">
        <w:rPr>
          <w:rFonts w:ascii="Times New Roman" w:hAnsi="Times New Roman" w:cs="Times New Roman"/>
        </w:rPr>
        <w:tab/>
        <w:t xml:space="preserve">], the expert witnesses to give evidence at the trial shall jointly confer in conclaves of experts of like specialisation. </w:t>
      </w:r>
    </w:p>
    <w:p w14:paraId="1638CAA8"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In addition to the matters previously addressed by the experts in their respective reports filed in the proceeding, the experts must address the following matters in their conference:</w:t>
      </w:r>
    </w:p>
    <w:p w14:paraId="1BC34AFA" w14:textId="77777777" w:rsidR="00206FC6" w:rsidRPr="00C15C68" w:rsidRDefault="00206FC6" w:rsidP="00206FC6">
      <w:pPr>
        <w:pStyle w:val="Num3"/>
        <w:numPr>
          <w:ilvl w:val="1"/>
          <w:numId w:val="43"/>
        </w:numPr>
        <w:rPr>
          <w:rFonts w:ascii="Times New Roman" w:hAnsi="Times New Roman" w:cs="Times New Roman"/>
        </w:rPr>
      </w:pPr>
      <w:r w:rsidRPr="00C15C68">
        <w:rPr>
          <w:rFonts w:ascii="Times New Roman" w:hAnsi="Times New Roman" w:cs="Times New Roman"/>
        </w:rPr>
        <w:t>Expert group A: [Insert any additional questions agreed between the parties, as appropriate].</w:t>
      </w:r>
    </w:p>
    <w:p w14:paraId="2E201849" w14:textId="77777777" w:rsidR="00206FC6" w:rsidRPr="00C15C68" w:rsidRDefault="00206FC6" w:rsidP="00206FC6">
      <w:pPr>
        <w:pStyle w:val="Num3"/>
        <w:numPr>
          <w:ilvl w:val="1"/>
          <w:numId w:val="43"/>
        </w:numPr>
        <w:rPr>
          <w:rFonts w:ascii="Times New Roman" w:hAnsi="Times New Roman" w:cs="Times New Roman"/>
        </w:rPr>
      </w:pPr>
      <w:r w:rsidRPr="00C15C68">
        <w:rPr>
          <w:rFonts w:ascii="Times New Roman" w:hAnsi="Times New Roman" w:cs="Times New Roman"/>
        </w:rPr>
        <w:t>Expert group B: [Insert any additional questions agreed between the parties, as appropriate].</w:t>
      </w:r>
    </w:p>
    <w:p w14:paraId="20507C97" w14:textId="554B536F"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 xml:space="preserve">The experts (not the parties or their legal representatives) are to determine the venue and procedure to be adopted at the conference. </w:t>
      </w:r>
      <w:r w:rsidR="00424401">
        <w:rPr>
          <w:rFonts w:ascii="Times New Roman" w:hAnsi="Times New Roman" w:cs="Times New Roman"/>
        </w:rPr>
        <w:t xml:space="preserve"> </w:t>
      </w:r>
      <w:r w:rsidRPr="00C15C68">
        <w:rPr>
          <w:rFonts w:ascii="Times New Roman" w:hAnsi="Times New Roman" w:cs="Times New Roman"/>
        </w:rPr>
        <w:t xml:space="preserve">In the event that agreement cannot be reached about any matter relevant to the conference or joint report to the court, further directions may be sought from the Court. </w:t>
      </w:r>
    </w:p>
    <w:p w14:paraId="4AC87F0D"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The parties and their legal representatives must not seek to restrict the freedom of the experts at the conference in identifying the matters on which they agree.</w:t>
      </w:r>
    </w:p>
    <w:p w14:paraId="08BEF988"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Following the conference, the experts shall prepare a succinct joint written report for the Court, recording:</w:t>
      </w:r>
    </w:p>
    <w:p w14:paraId="217787C9" w14:textId="77777777" w:rsidR="00206FC6" w:rsidRPr="00C15C68" w:rsidRDefault="00206FC6" w:rsidP="00206FC6">
      <w:pPr>
        <w:pStyle w:val="Num2"/>
        <w:numPr>
          <w:ilvl w:val="1"/>
          <w:numId w:val="43"/>
        </w:numPr>
        <w:rPr>
          <w:rFonts w:ascii="Times New Roman" w:hAnsi="Times New Roman" w:cs="Times New Roman"/>
        </w:rPr>
      </w:pPr>
      <w:r w:rsidRPr="00C15C68">
        <w:rPr>
          <w:rFonts w:ascii="Times New Roman" w:hAnsi="Times New Roman" w:cs="Times New Roman"/>
        </w:rPr>
        <w:t>The fact that they have met and discussed the matters on which they are directed to confer;</w:t>
      </w:r>
    </w:p>
    <w:p w14:paraId="01A0F866" w14:textId="77777777" w:rsidR="00206FC6" w:rsidRPr="00C15C68" w:rsidRDefault="00206FC6" w:rsidP="00206FC6">
      <w:pPr>
        <w:pStyle w:val="Num2"/>
        <w:numPr>
          <w:ilvl w:val="1"/>
          <w:numId w:val="43"/>
        </w:numPr>
        <w:rPr>
          <w:rFonts w:ascii="Times New Roman" w:hAnsi="Times New Roman" w:cs="Times New Roman"/>
        </w:rPr>
      </w:pPr>
      <w:r w:rsidRPr="00C15C68">
        <w:rPr>
          <w:rFonts w:ascii="Times New Roman" w:hAnsi="Times New Roman" w:cs="Times New Roman"/>
        </w:rPr>
        <w:t>The matters on which they agree;</w:t>
      </w:r>
    </w:p>
    <w:p w14:paraId="17661462" w14:textId="77777777" w:rsidR="00206FC6" w:rsidRPr="00C15C68" w:rsidRDefault="00206FC6" w:rsidP="00206FC6">
      <w:pPr>
        <w:pStyle w:val="Num2"/>
        <w:numPr>
          <w:ilvl w:val="1"/>
          <w:numId w:val="43"/>
        </w:numPr>
        <w:rPr>
          <w:rFonts w:ascii="Times New Roman" w:hAnsi="Times New Roman" w:cs="Times New Roman"/>
        </w:rPr>
      </w:pPr>
      <w:r w:rsidRPr="00C15C68">
        <w:rPr>
          <w:rFonts w:ascii="Times New Roman" w:hAnsi="Times New Roman" w:cs="Times New Roman"/>
        </w:rPr>
        <w:lastRenderedPageBreak/>
        <w:t>The matters on which they disagree; and</w:t>
      </w:r>
    </w:p>
    <w:p w14:paraId="4228B757" w14:textId="77777777" w:rsidR="00206FC6" w:rsidRPr="00C15C68" w:rsidRDefault="00206FC6" w:rsidP="00206FC6">
      <w:pPr>
        <w:pStyle w:val="Num2"/>
        <w:numPr>
          <w:ilvl w:val="1"/>
          <w:numId w:val="43"/>
        </w:numPr>
        <w:rPr>
          <w:rFonts w:ascii="Times New Roman" w:hAnsi="Times New Roman" w:cs="Times New Roman"/>
        </w:rPr>
      </w:pPr>
      <w:r w:rsidRPr="00C15C68">
        <w:rPr>
          <w:rFonts w:ascii="Times New Roman" w:hAnsi="Times New Roman" w:cs="Times New Roman"/>
        </w:rPr>
        <w:t>A brief summary of the reasons for disagreement.</w:t>
      </w:r>
    </w:p>
    <w:p w14:paraId="2F0E4B60"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Each expert attending a conference is to be provided with a copy of this order and the reports of the experts with whom they will confer.</w:t>
      </w:r>
    </w:p>
    <w:p w14:paraId="526E7E09"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 xml:space="preserve">Each expert must affix their respective signatures to the report, and the report must be provided to the Court and the parties on or before </w:t>
      </w:r>
    </w:p>
    <w:p w14:paraId="73E60924" w14:textId="77777777" w:rsidR="00206FC6" w:rsidRPr="00C15C68" w:rsidRDefault="00206FC6" w:rsidP="00206FC6">
      <w:pPr>
        <w:pStyle w:val="Num1"/>
        <w:numPr>
          <w:ilvl w:val="0"/>
          <w:numId w:val="0"/>
        </w:numPr>
        <w:tabs>
          <w:tab w:val="clear" w:pos="567"/>
        </w:tabs>
        <w:ind w:left="702"/>
        <w:rPr>
          <w:rFonts w:ascii="Times New Roman" w:hAnsi="Times New Roman" w:cs="Times New Roman"/>
        </w:rPr>
      </w:pPr>
      <w:r w:rsidRPr="00C15C68">
        <w:rPr>
          <w:rFonts w:ascii="Times New Roman" w:hAnsi="Times New Roman" w:cs="Times New Roman"/>
        </w:rPr>
        <w:t>[</w:t>
      </w:r>
      <w:r w:rsidRPr="00C15C68">
        <w:rPr>
          <w:rFonts w:ascii="Times New Roman" w:hAnsi="Times New Roman" w:cs="Times New Roman"/>
        </w:rPr>
        <w:tab/>
      </w:r>
      <w:r w:rsidRPr="00C15C68">
        <w:rPr>
          <w:rFonts w:ascii="Times New Roman" w:hAnsi="Times New Roman" w:cs="Times New Roman"/>
        </w:rPr>
        <w:tab/>
        <w:t xml:space="preserve">].  </w:t>
      </w:r>
    </w:p>
    <w:p w14:paraId="5AF99D2B"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The experts attending each conference will give evidence at the trial concurrently.</w:t>
      </w:r>
    </w:p>
    <w:p w14:paraId="350F5476" w14:textId="77777777" w:rsidR="00206FC6" w:rsidRPr="00C15C68" w:rsidRDefault="00206FC6" w:rsidP="00206FC6">
      <w:pPr>
        <w:pStyle w:val="Num1"/>
        <w:numPr>
          <w:ilvl w:val="0"/>
          <w:numId w:val="43"/>
        </w:numPr>
        <w:tabs>
          <w:tab w:val="clear" w:pos="567"/>
        </w:tabs>
        <w:rPr>
          <w:rFonts w:ascii="Times New Roman" w:hAnsi="Times New Roman" w:cs="Times New Roman"/>
        </w:rPr>
      </w:pPr>
      <w:r w:rsidRPr="00C15C68">
        <w:rPr>
          <w:rFonts w:ascii="Times New Roman" w:hAnsi="Times New Roman" w:cs="Times New Roman"/>
        </w:rPr>
        <w:t>Subject to any further order, the costs of the conferences, including any administrative expenses incurred, shall be, in the first instance, borne equally by the parties.</w:t>
      </w:r>
    </w:p>
    <w:p w14:paraId="2828048A" w14:textId="77777777" w:rsidR="00206FC6" w:rsidRPr="00C15C68" w:rsidRDefault="00206FC6" w:rsidP="00206FC6">
      <w:pPr>
        <w:spacing w:line="360" w:lineRule="auto"/>
        <w:ind w:left="-3" w:firstLine="705"/>
        <w:contextualSpacing/>
        <w:jc w:val="both"/>
        <w:rPr>
          <w:b/>
          <w:lang w:val="en-US"/>
        </w:rPr>
      </w:pPr>
    </w:p>
    <w:p w14:paraId="2242FB86" w14:textId="77777777" w:rsidR="00206FC6" w:rsidRPr="00C15C68" w:rsidRDefault="00206FC6" w:rsidP="00206FC6">
      <w:pPr>
        <w:keepNext/>
        <w:spacing w:line="360" w:lineRule="auto"/>
        <w:ind w:firstLine="706"/>
        <w:contextualSpacing/>
        <w:jc w:val="both"/>
        <w:rPr>
          <w:b/>
          <w:lang w:val="en-US"/>
        </w:rPr>
      </w:pPr>
      <w:r w:rsidRPr="00C15C68">
        <w:rPr>
          <w:b/>
          <w:lang w:val="en-US"/>
        </w:rPr>
        <w:t>Trial date</w:t>
      </w:r>
    </w:p>
    <w:p w14:paraId="7EB811E7"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The proceeding is fixed for trial [by jury] on [</w:t>
      </w:r>
      <w:r w:rsidRPr="00C15C68">
        <w:rPr>
          <w:color w:val="000000"/>
        </w:rPr>
        <w:tab/>
      </w:r>
      <w:r w:rsidRPr="00C15C68">
        <w:rPr>
          <w:color w:val="000000"/>
        </w:rPr>
        <w:tab/>
        <w:t>] based on the parties’ estimate of [</w:t>
      </w:r>
      <w:r w:rsidRPr="00C15C68">
        <w:rPr>
          <w:color w:val="000000"/>
        </w:rPr>
        <w:tab/>
      </w:r>
      <w:r w:rsidRPr="00C15C68">
        <w:rPr>
          <w:color w:val="000000"/>
        </w:rPr>
        <w:tab/>
        <w:t>] sitting days</w:t>
      </w:r>
      <w:r w:rsidRPr="00C15C68">
        <w:rPr>
          <w:lang w:val="en-US"/>
        </w:rPr>
        <w:t xml:space="preserve">. </w:t>
      </w:r>
    </w:p>
    <w:p w14:paraId="7693BD08"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The Plaintiff shall pay the setting down for trial fee no later than 30 days prior to the trial date</w:t>
      </w:r>
      <w:r w:rsidRPr="00C15C68">
        <w:rPr>
          <w:lang w:val="en-US"/>
        </w:rPr>
        <w:t>.</w:t>
      </w:r>
    </w:p>
    <w:p w14:paraId="1CC7CE53" w14:textId="77777777" w:rsidR="00206FC6" w:rsidRPr="00C15C68" w:rsidRDefault="00206FC6" w:rsidP="00206FC6">
      <w:pPr>
        <w:numPr>
          <w:ilvl w:val="0"/>
          <w:numId w:val="43"/>
        </w:numPr>
        <w:spacing w:line="360" w:lineRule="auto"/>
        <w:ind w:left="706" w:hanging="706"/>
        <w:contextualSpacing/>
        <w:jc w:val="both"/>
        <w:rPr>
          <w:lang w:val="en-US"/>
        </w:rPr>
      </w:pPr>
      <w:r w:rsidRPr="00C15C68">
        <w:rPr>
          <w:color w:val="000000"/>
        </w:rPr>
        <w:t>[The Defendant shall pay the first day jury fee no later than 30 days prior to the trial date</w:t>
      </w:r>
      <w:r w:rsidRPr="00C15C68">
        <w:rPr>
          <w:lang w:val="en-US"/>
        </w:rPr>
        <w:t>.]</w:t>
      </w:r>
    </w:p>
    <w:p w14:paraId="384307B7" w14:textId="77777777" w:rsidR="00206FC6" w:rsidRPr="00C15C68" w:rsidRDefault="00206FC6" w:rsidP="00206FC6">
      <w:pPr>
        <w:spacing w:line="360" w:lineRule="auto"/>
        <w:ind w:left="-3" w:firstLine="705"/>
        <w:contextualSpacing/>
        <w:jc w:val="both"/>
        <w:rPr>
          <w:b/>
          <w:lang w:val="en-US"/>
        </w:rPr>
      </w:pPr>
    </w:p>
    <w:p w14:paraId="7E8BCED8" w14:textId="77777777" w:rsidR="00206FC6" w:rsidRPr="00C15C68" w:rsidRDefault="00206FC6" w:rsidP="00206FC6">
      <w:pPr>
        <w:spacing w:line="360" w:lineRule="auto"/>
        <w:ind w:left="-3" w:firstLine="705"/>
        <w:contextualSpacing/>
        <w:jc w:val="both"/>
        <w:rPr>
          <w:b/>
          <w:lang w:val="en-US"/>
        </w:rPr>
      </w:pPr>
      <w:r w:rsidRPr="00C15C68">
        <w:rPr>
          <w:b/>
          <w:lang w:val="en-US"/>
        </w:rPr>
        <w:t>Trial Directions</w:t>
      </w:r>
    </w:p>
    <w:p w14:paraId="548B2CBA" w14:textId="77777777" w:rsidR="00206FC6" w:rsidRPr="00C15C68" w:rsidRDefault="00206FC6" w:rsidP="00206FC6">
      <w:pPr>
        <w:numPr>
          <w:ilvl w:val="0"/>
          <w:numId w:val="43"/>
        </w:numPr>
        <w:spacing w:line="360" w:lineRule="auto"/>
        <w:ind w:left="706" w:hanging="706"/>
        <w:contextualSpacing/>
        <w:jc w:val="both"/>
        <w:rPr>
          <w:lang w:val="en-US"/>
        </w:rPr>
      </w:pPr>
      <w:r w:rsidRPr="00C15C68">
        <w:t>By [</w:t>
      </w:r>
      <w:r w:rsidRPr="00C15C68">
        <w:tab/>
      </w:r>
      <w:r w:rsidRPr="00C15C68">
        <w:tab/>
        <w:t>], the parties shall each file and serve a list of the witnesses they intend to call during the trial of this proceeding.</w:t>
      </w:r>
    </w:p>
    <w:p w14:paraId="7A3FC9F0" w14:textId="77777777" w:rsidR="00206FC6" w:rsidRPr="00C15C68" w:rsidRDefault="00206FC6" w:rsidP="00206FC6">
      <w:pPr>
        <w:numPr>
          <w:ilvl w:val="0"/>
          <w:numId w:val="43"/>
        </w:numPr>
        <w:spacing w:line="360" w:lineRule="auto"/>
        <w:ind w:left="706" w:hanging="706"/>
        <w:contextualSpacing/>
        <w:jc w:val="both"/>
      </w:pPr>
      <w:r w:rsidRPr="00C15C68">
        <w:t>By [</w:t>
      </w:r>
      <w:r w:rsidRPr="00C15C68">
        <w:tab/>
      </w:r>
      <w:r w:rsidRPr="00C15C68">
        <w:tab/>
        <w:t>], the legal representatives for the parties shall have met, or otherwise communicated about, and agreed on the contents of a Court Book for the trial of this proceeding.</w:t>
      </w:r>
    </w:p>
    <w:p w14:paraId="7C32EB61" w14:textId="77777777" w:rsidR="00206FC6" w:rsidRPr="00C15C68" w:rsidRDefault="00206FC6" w:rsidP="00206FC6">
      <w:pPr>
        <w:numPr>
          <w:ilvl w:val="0"/>
          <w:numId w:val="43"/>
        </w:numPr>
        <w:spacing w:line="360" w:lineRule="auto"/>
        <w:ind w:left="706" w:hanging="706"/>
        <w:contextualSpacing/>
        <w:jc w:val="both"/>
      </w:pPr>
      <w:r w:rsidRPr="00C15C68">
        <w:t>The Plaintiff shall prepare a paginated Court Book containing the following documents:</w:t>
      </w:r>
    </w:p>
    <w:p w14:paraId="487CD75B" w14:textId="77777777" w:rsidR="00206FC6" w:rsidRPr="00C15C68" w:rsidRDefault="00206FC6" w:rsidP="00206FC6">
      <w:pPr>
        <w:numPr>
          <w:ilvl w:val="1"/>
          <w:numId w:val="43"/>
        </w:numPr>
        <w:spacing w:line="360" w:lineRule="auto"/>
        <w:contextualSpacing/>
        <w:jc w:val="both"/>
      </w:pPr>
      <w:r w:rsidRPr="00C15C68">
        <w:t>The current (only) pleadings including particulars;</w:t>
      </w:r>
    </w:p>
    <w:p w14:paraId="785EA648" w14:textId="77777777" w:rsidR="00206FC6" w:rsidRPr="00C15C68" w:rsidRDefault="00206FC6" w:rsidP="00206FC6">
      <w:pPr>
        <w:numPr>
          <w:ilvl w:val="1"/>
          <w:numId w:val="43"/>
        </w:numPr>
        <w:spacing w:line="360" w:lineRule="auto"/>
        <w:contextualSpacing/>
        <w:jc w:val="both"/>
      </w:pPr>
      <w:r w:rsidRPr="00C15C68">
        <w:t>Statements under Order 33 or Order 44 to be relied on at trial;</w:t>
      </w:r>
    </w:p>
    <w:p w14:paraId="621E0B65" w14:textId="77777777" w:rsidR="00206FC6" w:rsidRPr="00C15C68" w:rsidRDefault="00206FC6" w:rsidP="00206FC6">
      <w:pPr>
        <w:numPr>
          <w:ilvl w:val="1"/>
          <w:numId w:val="43"/>
        </w:numPr>
        <w:spacing w:line="360" w:lineRule="auto"/>
        <w:contextualSpacing/>
        <w:jc w:val="both"/>
      </w:pPr>
      <w:r w:rsidRPr="00C15C68">
        <w:t>All documents, in date order, which any party expects to tender in opening, in evidence in chief, or through cross examination; and</w:t>
      </w:r>
    </w:p>
    <w:p w14:paraId="35A8099E" w14:textId="77777777" w:rsidR="00206FC6" w:rsidRPr="00C15C68" w:rsidRDefault="00206FC6" w:rsidP="00206FC6">
      <w:pPr>
        <w:numPr>
          <w:ilvl w:val="1"/>
          <w:numId w:val="43"/>
        </w:numPr>
        <w:spacing w:line="360" w:lineRule="auto"/>
        <w:contextualSpacing/>
        <w:jc w:val="both"/>
      </w:pPr>
      <w:r w:rsidRPr="00C15C68">
        <w:t>An index of the contents in e-format (Excel).</w:t>
      </w:r>
    </w:p>
    <w:p w14:paraId="0A85C9C5" w14:textId="77777777" w:rsidR="00206FC6" w:rsidRPr="00C15C68" w:rsidRDefault="00206FC6" w:rsidP="00206FC6">
      <w:pPr>
        <w:numPr>
          <w:ilvl w:val="0"/>
          <w:numId w:val="43"/>
        </w:numPr>
        <w:spacing w:line="360" w:lineRule="auto"/>
        <w:contextualSpacing/>
        <w:jc w:val="both"/>
        <w:rPr>
          <w:lang w:val="en-US"/>
        </w:rPr>
      </w:pPr>
      <w:r w:rsidRPr="00C15C68">
        <w:rPr>
          <w:lang w:val="en-US"/>
        </w:rPr>
        <w:lastRenderedPageBreak/>
        <w:t>By [</w:t>
      </w:r>
      <w:r w:rsidRPr="00C15C68">
        <w:rPr>
          <w:lang w:val="en-US"/>
        </w:rPr>
        <w:tab/>
      </w:r>
      <w:r w:rsidRPr="00C15C68">
        <w:rPr>
          <w:lang w:val="en-US"/>
        </w:rPr>
        <w:tab/>
        <w:t>], the Plaintiff shall deliver a copy of the agreed Court Book to each Defendant and each Third Party.</w:t>
      </w:r>
    </w:p>
    <w:p w14:paraId="499A3619" w14:textId="77777777" w:rsidR="00206FC6" w:rsidRPr="00C15C68" w:rsidRDefault="00206FC6" w:rsidP="00206FC6">
      <w:pPr>
        <w:numPr>
          <w:ilvl w:val="0"/>
          <w:numId w:val="43"/>
        </w:numPr>
        <w:spacing w:line="360" w:lineRule="auto"/>
        <w:contextualSpacing/>
        <w:jc w:val="both"/>
        <w:rPr>
          <w:lang w:val="en-US"/>
        </w:rPr>
      </w:pPr>
      <w:r w:rsidRPr="00C15C68">
        <w:rPr>
          <w:lang w:val="en-US"/>
        </w:rPr>
        <w:t>The Plaintiff shall have available, prior to opening their case, two copies of the Court Book for the use of the Court and the witnesses.</w:t>
      </w:r>
    </w:p>
    <w:p w14:paraId="3C1A4B61" w14:textId="77777777" w:rsidR="00206FC6" w:rsidRPr="00C15C68" w:rsidRDefault="00206FC6" w:rsidP="00206FC6">
      <w:pPr>
        <w:spacing w:line="360" w:lineRule="auto"/>
        <w:ind w:left="720"/>
        <w:contextualSpacing/>
        <w:jc w:val="both"/>
        <w:rPr>
          <w:b/>
          <w:lang w:val="en-US"/>
        </w:rPr>
      </w:pPr>
    </w:p>
    <w:p w14:paraId="57CA8A19" w14:textId="77777777" w:rsidR="00206FC6" w:rsidRPr="00C15C68" w:rsidRDefault="00206FC6" w:rsidP="00206FC6">
      <w:pPr>
        <w:spacing w:line="360" w:lineRule="auto"/>
        <w:ind w:left="-3" w:firstLine="705"/>
        <w:contextualSpacing/>
        <w:jc w:val="both"/>
        <w:rPr>
          <w:b/>
          <w:lang w:val="en-US"/>
        </w:rPr>
      </w:pPr>
      <w:r w:rsidRPr="00C15C68">
        <w:rPr>
          <w:b/>
          <w:lang w:val="en-US"/>
        </w:rPr>
        <w:t>Other matters</w:t>
      </w:r>
    </w:p>
    <w:p w14:paraId="1020D453" w14:textId="77777777" w:rsidR="00206FC6" w:rsidRPr="00C15C68" w:rsidRDefault="00206FC6" w:rsidP="00206FC6">
      <w:pPr>
        <w:numPr>
          <w:ilvl w:val="0"/>
          <w:numId w:val="43"/>
        </w:numPr>
        <w:spacing w:line="360" w:lineRule="auto"/>
        <w:contextualSpacing/>
        <w:jc w:val="both"/>
        <w:rPr>
          <w:lang w:val="en-US"/>
        </w:rPr>
      </w:pPr>
      <w:r w:rsidRPr="00C15C68">
        <w:t>The proceeding is adjourned to [</w:t>
      </w:r>
      <w:r w:rsidRPr="00C15C68">
        <w:tab/>
      </w:r>
      <w:r w:rsidRPr="00C15C68">
        <w:tab/>
        <w:t>] for directions.</w:t>
      </w:r>
      <w:r w:rsidRPr="00C15C68">
        <w:rPr>
          <w:rStyle w:val="FootnoteReference"/>
        </w:rPr>
        <w:footnoteReference w:id="3"/>
      </w:r>
    </w:p>
    <w:p w14:paraId="567E3590" w14:textId="77777777" w:rsidR="00206FC6" w:rsidRPr="00C15C68" w:rsidRDefault="00206FC6" w:rsidP="00206FC6">
      <w:pPr>
        <w:numPr>
          <w:ilvl w:val="0"/>
          <w:numId w:val="43"/>
        </w:numPr>
        <w:spacing w:line="360" w:lineRule="auto"/>
        <w:contextualSpacing/>
        <w:jc w:val="both"/>
      </w:pPr>
      <w:r w:rsidRPr="00C15C68">
        <w:rPr>
          <w:color w:val="000000"/>
        </w:rPr>
        <w:t>In the event of default by either party in compliance with any time limit imposed by these orders:</w:t>
      </w:r>
    </w:p>
    <w:p w14:paraId="42D9C51B" w14:textId="77777777" w:rsidR="00206FC6" w:rsidRPr="00C15C68" w:rsidRDefault="00206FC6" w:rsidP="00206FC6">
      <w:pPr>
        <w:numPr>
          <w:ilvl w:val="0"/>
          <w:numId w:val="44"/>
        </w:numPr>
        <w:spacing w:line="360" w:lineRule="auto"/>
        <w:contextualSpacing/>
        <w:jc w:val="both"/>
      </w:pPr>
      <w:r w:rsidRPr="00C15C68">
        <w:rPr>
          <w:color w:val="000000"/>
        </w:rPr>
        <w:t>The parties shall forthwith following that default use their best endeavours to agree a substitute appropriate time limit that avoids any delay in preparation of this proceeding for trial; and</w:t>
      </w:r>
    </w:p>
    <w:p w14:paraId="376B76F3" w14:textId="6BA31A16" w:rsidR="00206FC6" w:rsidRPr="00C15C68" w:rsidRDefault="00206FC6" w:rsidP="00206FC6">
      <w:pPr>
        <w:numPr>
          <w:ilvl w:val="0"/>
          <w:numId w:val="44"/>
        </w:numPr>
        <w:spacing w:line="360" w:lineRule="auto"/>
        <w:contextualSpacing/>
        <w:jc w:val="both"/>
      </w:pPr>
      <w:r w:rsidRPr="00C15C68">
        <w:t>[Where a trial date is set] A</w:t>
      </w:r>
      <w:r w:rsidRPr="00C15C68">
        <w:rPr>
          <w:color w:val="000000"/>
        </w:rPr>
        <w:t>ny application to vacate the trial dat</w:t>
      </w:r>
      <w:r w:rsidR="00424401">
        <w:rPr>
          <w:color w:val="000000"/>
        </w:rPr>
        <w:t>e must be made promptly to the Associate Judge in Charge of Listing</w:t>
      </w:r>
      <w:r w:rsidRPr="00C15C68">
        <w:rPr>
          <w:color w:val="000000"/>
        </w:rPr>
        <w:t xml:space="preserve"> and, in any event, not later than 30 days before the date on which the proceeding is fixed for trial.</w:t>
      </w:r>
    </w:p>
    <w:p w14:paraId="30BF0F76" w14:textId="77777777" w:rsidR="00206FC6" w:rsidRPr="00C15C68" w:rsidRDefault="00206FC6" w:rsidP="00206FC6">
      <w:pPr>
        <w:numPr>
          <w:ilvl w:val="0"/>
          <w:numId w:val="43"/>
        </w:numPr>
        <w:spacing w:line="360" w:lineRule="auto"/>
        <w:contextualSpacing/>
        <w:jc w:val="both"/>
        <w:rPr>
          <w:lang w:val="en-US"/>
        </w:rPr>
      </w:pPr>
      <w:r w:rsidRPr="00C15C68">
        <w:rPr>
          <w:color w:val="000000"/>
        </w:rPr>
        <w:t>[Costs are reserved.] / [The costs of the parties be costs in the proceeding].</w:t>
      </w:r>
    </w:p>
    <w:p w14:paraId="2CC0EAC6" w14:textId="77777777" w:rsidR="00206FC6" w:rsidRPr="00C15C68" w:rsidRDefault="00206FC6" w:rsidP="00206FC6">
      <w:pPr>
        <w:numPr>
          <w:ilvl w:val="0"/>
          <w:numId w:val="43"/>
        </w:numPr>
        <w:spacing w:line="360" w:lineRule="auto"/>
        <w:contextualSpacing/>
        <w:jc w:val="both"/>
        <w:rPr>
          <w:lang w:val="en-US"/>
        </w:rPr>
      </w:pPr>
      <w:r w:rsidRPr="00C15C68">
        <w:rPr>
          <w:color w:val="000000"/>
        </w:rPr>
        <w:t>Liberty to apply is reserved.</w:t>
      </w:r>
    </w:p>
    <w:p w14:paraId="7FFB7DA6" w14:textId="77777777" w:rsidR="00206FC6" w:rsidRPr="00C15C68" w:rsidRDefault="00206FC6" w:rsidP="00206FC6">
      <w:pPr>
        <w:spacing w:line="360" w:lineRule="auto"/>
        <w:ind w:left="720" w:hanging="720"/>
        <w:jc w:val="center"/>
      </w:pPr>
    </w:p>
    <w:p w14:paraId="78AFCAC3" w14:textId="77777777" w:rsidR="003639B5" w:rsidRPr="007917BE" w:rsidRDefault="003639B5">
      <w:pPr>
        <w:spacing w:before="120" w:after="120"/>
        <w:ind w:left="720" w:hanging="720"/>
        <w:jc w:val="right"/>
        <w:rPr>
          <w:rFonts w:ascii="Book Antiqua" w:hAnsi="Book Antiqua"/>
        </w:rPr>
      </w:pPr>
    </w:p>
    <w:sectPr w:rsidR="003639B5" w:rsidRPr="007917BE" w:rsidSect="003817CD">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5A65A" w14:textId="77777777" w:rsidR="002D6E79" w:rsidRDefault="002D6E79">
      <w:r>
        <w:separator/>
      </w:r>
    </w:p>
  </w:endnote>
  <w:endnote w:type="continuationSeparator" w:id="0">
    <w:p w14:paraId="53290FFB" w14:textId="77777777" w:rsidR="002D6E79" w:rsidRDefault="002D6E79">
      <w:r>
        <w:continuationSeparator/>
      </w:r>
    </w:p>
  </w:endnote>
  <w:endnote w:type="continuationNotice" w:id="1">
    <w:p w14:paraId="6D91F3CD" w14:textId="77777777" w:rsidR="002D6E79" w:rsidRDefault="002D6E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33478" w14:textId="26B3EE58" w:rsidR="002D6E79" w:rsidRDefault="002D6E79">
    <w:pPr>
      <w:pStyle w:val="Footer"/>
      <w:jc w:val="right"/>
    </w:pPr>
    <w:r>
      <w:fldChar w:fldCharType="begin"/>
    </w:r>
    <w:r>
      <w:instrText xml:space="preserve"> PAGE   \* MERGEFORMAT </w:instrText>
    </w:r>
    <w:r>
      <w:fldChar w:fldCharType="separate"/>
    </w:r>
    <w:r w:rsidR="00B754D6">
      <w:rPr>
        <w:noProof/>
      </w:rPr>
      <w:t>4</w:t>
    </w:r>
    <w:r>
      <w:rPr>
        <w:noProof/>
      </w:rPr>
      <w:fldChar w:fldCharType="end"/>
    </w:r>
  </w:p>
  <w:p w14:paraId="77F17E56" w14:textId="77777777" w:rsidR="002D6E79" w:rsidRDefault="002D6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523BD4" w14:textId="77777777" w:rsidR="002D6E79" w:rsidRDefault="002D6E79">
      <w:r>
        <w:separator/>
      </w:r>
    </w:p>
  </w:footnote>
  <w:footnote w:type="continuationSeparator" w:id="0">
    <w:p w14:paraId="0D75815B" w14:textId="77777777" w:rsidR="002D6E79" w:rsidRDefault="002D6E79">
      <w:r>
        <w:continuationSeparator/>
      </w:r>
    </w:p>
  </w:footnote>
  <w:footnote w:type="continuationNotice" w:id="1">
    <w:p w14:paraId="02B463D3" w14:textId="77777777" w:rsidR="002D6E79" w:rsidRDefault="002D6E79"/>
  </w:footnote>
  <w:footnote w:id="2">
    <w:p w14:paraId="6E1053B2" w14:textId="77777777" w:rsidR="00206FC6" w:rsidRDefault="00206FC6" w:rsidP="00206FC6">
      <w:pPr>
        <w:pStyle w:val="FootnoteText"/>
      </w:pPr>
      <w:r>
        <w:rPr>
          <w:rStyle w:val="FootnoteReference"/>
        </w:rPr>
        <w:footnoteRef/>
      </w:r>
      <w:r>
        <w:t xml:space="preserve"> A notation in ‘other matters’ in an order on the papers will be appropriate where the pleadings have not closed, or before discovery.</w:t>
      </w:r>
    </w:p>
  </w:footnote>
  <w:footnote w:id="3">
    <w:p w14:paraId="0367C064" w14:textId="77777777" w:rsidR="00206FC6" w:rsidRDefault="00206FC6" w:rsidP="00206FC6">
      <w:pPr>
        <w:pStyle w:val="FootnoteText"/>
      </w:pPr>
      <w:r>
        <w:rPr>
          <w:rStyle w:val="FootnoteReference"/>
        </w:rPr>
        <w:footnoteRef/>
      </w:r>
      <w:r>
        <w:t xml:space="preserve"> A proceeding in the List must be adjourned to a further directions hearing until the final directions hearing confirming readiness for trial.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084D2" w14:textId="1DEDE35C" w:rsidR="006A4753" w:rsidRDefault="006A47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A0075F1"/>
    <w:multiLevelType w:val="hybridMultilevel"/>
    <w:tmpl w:val="119240A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72A8C"/>
    <w:multiLevelType w:val="multilevel"/>
    <w:tmpl w:val="DE8A0A68"/>
    <w:lvl w:ilvl="0">
      <w:start w:val="1"/>
      <w:numFmt w:val="decimal"/>
      <w:pStyle w:val="Heading1"/>
      <w:lvlText w:val="%1."/>
      <w:lvlJc w:val="left"/>
      <w:pPr>
        <w:ind w:left="720" w:hanging="720"/>
      </w:pPr>
      <w:rPr>
        <w:rFonts w:hint="default"/>
      </w:rPr>
    </w:lvl>
    <w:lvl w:ilvl="1">
      <w:start w:val="1"/>
      <w:numFmt w:val="decimal"/>
      <w:isLgl/>
      <w:lvlText w:val="%1.%2"/>
      <w:lvlJc w:val="left"/>
      <w:pPr>
        <w:ind w:left="360" w:hanging="360"/>
      </w:pPr>
      <w:rPr>
        <w:rFonts w:hint="default"/>
      </w:rPr>
    </w:lvl>
    <w:lvl w:ilvl="2">
      <w:start w:val="1"/>
      <w:numFmt w:val="decimal"/>
      <w:isLgl/>
      <w:lvlText w:val="%1.%2"/>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6313F46"/>
    <w:multiLevelType w:val="hybridMultilevel"/>
    <w:tmpl w:val="F1DE61D2"/>
    <w:lvl w:ilvl="0" w:tplc="0C09000F">
      <w:start w:val="1"/>
      <w:numFmt w:val="decimal"/>
      <w:lvlText w:val="%1."/>
      <w:lvlJc w:val="left"/>
      <w:pPr>
        <w:tabs>
          <w:tab w:val="num" w:pos="360"/>
        </w:tabs>
        <w:ind w:left="360" w:hanging="360"/>
      </w:pPr>
    </w:lvl>
    <w:lvl w:ilvl="1" w:tplc="5710611E">
      <w:start w:val="1"/>
      <w:numFmt w:val="lowerRoman"/>
      <w:lvlText w:val="%2."/>
      <w:lvlJc w:val="right"/>
      <w:pPr>
        <w:tabs>
          <w:tab w:val="num" w:pos="720"/>
        </w:tabs>
        <w:ind w:left="720" w:hanging="180"/>
      </w:pPr>
      <w:rPr>
        <w:rFonts w:hint="default"/>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06D67535"/>
    <w:multiLevelType w:val="hybridMultilevel"/>
    <w:tmpl w:val="629A2C02"/>
    <w:lvl w:ilvl="0" w:tplc="0C090001">
      <w:start w:val="1"/>
      <w:numFmt w:val="bullet"/>
      <w:lvlText w:val=""/>
      <w:lvlJc w:val="left"/>
      <w:pPr>
        <w:ind w:left="1440" w:hanging="360"/>
      </w:pPr>
      <w:rPr>
        <w:rFonts w:ascii="Symbol" w:hAnsi="Symbol"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835799E"/>
    <w:multiLevelType w:val="hybridMultilevel"/>
    <w:tmpl w:val="CE46FD42"/>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08F96B8F"/>
    <w:multiLevelType w:val="hybridMultilevel"/>
    <w:tmpl w:val="20E4415E"/>
    <w:lvl w:ilvl="0" w:tplc="38A8D84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574432"/>
    <w:multiLevelType w:val="hybridMultilevel"/>
    <w:tmpl w:val="F744B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BA23FD"/>
    <w:multiLevelType w:val="hybridMultilevel"/>
    <w:tmpl w:val="5FA21E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02627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2F6039"/>
    <w:multiLevelType w:val="hybridMultilevel"/>
    <w:tmpl w:val="50F439F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0" w15:restartNumberingAfterBreak="0">
    <w:nsid w:val="256E210B"/>
    <w:multiLevelType w:val="hybridMultilevel"/>
    <w:tmpl w:val="A89CEFF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89F147E"/>
    <w:multiLevelType w:val="multilevel"/>
    <w:tmpl w:val="E2DA6160"/>
    <w:lvl w:ilvl="0">
      <w:start w:val="1"/>
      <w:numFmt w:val="decimal"/>
      <w:pStyle w:val="Num1"/>
      <w:lvlText w:val="%1."/>
      <w:lvlJc w:val="left"/>
      <w:pPr>
        <w:tabs>
          <w:tab w:val="num" w:pos="1287"/>
        </w:tabs>
        <w:ind w:left="1287" w:hanging="360"/>
      </w:pPr>
      <w:rPr>
        <w:rFonts w:hint="default"/>
      </w:rPr>
    </w:lvl>
    <w:lvl w:ilvl="1">
      <w:start w:val="1"/>
      <w:numFmt w:val="lowerLetter"/>
      <w:pStyle w:val="Num2"/>
      <w:lvlText w:val="(%2)"/>
      <w:lvlJc w:val="left"/>
      <w:pPr>
        <w:tabs>
          <w:tab w:val="num" w:pos="1647"/>
        </w:tabs>
        <w:ind w:left="1647" w:hanging="360"/>
      </w:pPr>
      <w:rPr>
        <w:rFonts w:hint="default"/>
      </w:rPr>
    </w:lvl>
    <w:lvl w:ilvl="2">
      <w:start w:val="1"/>
      <w:numFmt w:val="lowerRoman"/>
      <w:pStyle w:val="Indent1"/>
      <w:lvlText w:val="(%3)"/>
      <w:lvlJc w:val="left"/>
      <w:pPr>
        <w:tabs>
          <w:tab w:val="num" w:pos="2007"/>
        </w:tabs>
        <w:ind w:left="2007" w:hanging="360"/>
      </w:pPr>
      <w:rPr>
        <w:rFonts w:hint="default"/>
      </w:rPr>
    </w:lvl>
    <w:lvl w:ilvl="3">
      <w:start w:val="1"/>
      <w:numFmt w:val="decimal"/>
      <w:lvlText w:val="(%4)"/>
      <w:lvlJc w:val="left"/>
      <w:pPr>
        <w:tabs>
          <w:tab w:val="num" w:pos="2367"/>
        </w:tabs>
        <w:ind w:left="2367" w:hanging="360"/>
      </w:pPr>
      <w:rPr>
        <w:rFonts w:hint="default"/>
      </w:rPr>
    </w:lvl>
    <w:lvl w:ilvl="4">
      <w:start w:val="1"/>
      <w:numFmt w:val="lowerLetter"/>
      <w:lvlText w:val="(%5)"/>
      <w:lvlJc w:val="left"/>
      <w:pPr>
        <w:tabs>
          <w:tab w:val="num" w:pos="2727"/>
        </w:tabs>
        <w:ind w:left="2727" w:hanging="360"/>
      </w:pPr>
      <w:rPr>
        <w:rFonts w:hint="default"/>
      </w:rPr>
    </w:lvl>
    <w:lvl w:ilvl="5">
      <w:start w:val="1"/>
      <w:numFmt w:val="lowerRoman"/>
      <w:lvlText w:val="(%6)"/>
      <w:lvlJc w:val="left"/>
      <w:pPr>
        <w:tabs>
          <w:tab w:val="num" w:pos="3087"/>
        </w:tabs>
        <w:ind w:left="3087" w:hanging="360"/>
      </w:pPr>
      <w:rPr>
        <w:rFonts w:hint="default"/>
      </w:rPr>
    </w:lvl>
    <w:lvl w:ilvl="6">
      <w:start w:val="1"/>
      <w:numFmt w:val="decimal"/>
      <w:lvlText w:val="%7."/>
      <w:lvlJc w:val="left"/>
      <w:pPr>
        <w:tabs>
          <w:tab w:val="num" w:pos="3447"/>
        </w:tabs>
        <w:ind w:left="3447" w:hanging="360"/>
      </w:pPr>
      <w:rPr>
        <w:rFonts w:hint="default"/>
      </w:rPr>
    </w:lvl>
    <w:lvl w:ilvl="7">
      <w:start w:val="1"/>
      <w:numFmt w:val="lowerLetter"/>
      <w:lvlText w:val="%8."/>
      <w:lvlJc w:val="left"/>
      <w:pPr>
        <w:tabs>
          <w:tab w:val="num" w:pos="3807"/>
        </w:tabs>
        <w:ind w:left="3807" w:hanging="360"/>
      </w:pPr>
      <w:rPr>
        <w:rFonts w:hint="default"/>
      </w:rPr>
    </w:lvl>
    <w:lvl w:ilvl="8">
      <w:start w:val="1"/>
      <w:numFmt w:val="lowerRoman"/>
      <w:lvlText w:val="%9."/>
      <w:lvlJc w:val="left"/>
      <w:pPr>
        <w:tabs>
          <w:tab w:val="num" w:pos="4167"/>
        </w:tabs>
        <w:ind w:left="4167" w:hanging="360"/>
      </w:pPr>
      <w:rPr>
        <w:rFonts w:hint="default"/>
      </w:rPr>
    </w:lvl>
  </w:abstractNum>
  <w:abstractNum w:abstractNumId="12" w15:restartNumberingAfterBreak="0">
    <w:nsid w:val="2AFA00FA"/>
    <w:multiLevelType w:val="hybridMultilevel"/>
    <w:tmpl w:val="7D8CF6D2"/>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BDF542E"/>
    <w:multiLevelType w:val="hybridMultilevel"/>
    <w:tmpl w:val="766469A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313F78"/>
    <w:multiLevelType w:val="multilevel"/>
    <w:tmpl w:val="4B9AA4EA"/>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FD39CB"/>
    <w:multiLevelType w:val="hybridMultilevel"/>
    <w:tmpl w:val="85C8D97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3812791"/>
    <w:multiLevelType w:val="hybridMultilevel"/>
    <w:tmpl w:val="3948FEEA"/>
    <w:lvl w:ilvl="0" w:tplc="0C090017">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377F4907"/>
    <w:multiLevelType w:val="hybridMultilevel"/>
    <w:tmpl w:val="BA6C5F56"/>
    <w:lvl w:ilvl="0" w:tplc="0C090017">
      <w:start w:val="1"/>
      <w:numFmt w:val="lowerLetter"/>
      <w:lvlText w:val="%1)"/>
      <w:lvlJc w:val="left"/>
      <w:pPr>
        <w:tabs>
          <w:tab w:val="num" w:pos="1440"/>
        </w:tabs>
        <w:ind w:left="1440" w:hanging="360"/>
      </w:pPr>
      <w:rPr>
        <w:rFonts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DD97CCC"/>
    <w:multiLevelType w:val="hybridMultilevel"/>
    <w:tmpl w:val="D8166156"/>
    <w:lvl w:ilvl="0" w:tplc="0C090017">
      <w:start w:val="1"/>
      <w:numFmt w:val="lowerLetter"/>
      <w:lvlText w:val="%1)"/>
      <w:lvlJc w:val="left"/>
      <w:pPr>
        <w:ind w:left="1507" w:hanging="360"/>
      </w:pPr>
    </w:lvl>
    <w:lvl w:ilvl="1" w:tplc="0C090019" w:tentative="1">
      <w:start w:val="1"/>
      <w:numFmt w:val="lowerLetter"/>
      <w:lvlText w:val="%2."/>
      <w:lvlJc w:val="left"/>
      <w:pPr>
        <w:ind w:left="2227" w:hanging="360"/>
      </w:pPr>
    </w:lvl>
    <w:lvl w:ilvl="2" w:tplc="0C09001B" w:tentative="1">
      <w:start w:val="1"/>
      <w:numFmt w:val="lowerRoman"/>
      <w:lvlText w:val="%3."/>
      <w:lvlJc w:val="right"/>
      <w:pPr>
        <w:ind w:left="2947" w:hanging="180"/>
      </w:pPr>
    </w:lvl>
    <w:lvl w:ilvl="3" w:tplc="0C09000F" w:tentative="1">
      <w:start w:val="1"/>
      <w:numFmt w:val="decimal"/>
      <w:lvlText w:val="%4."/>
      <w:lvlJc w:val="left"/>
      <w:pPr>
        <w:ind w:left="3667" w:hanging="360"/>
      </w:pPr>
    </w:lvl>
    <w:lvl w:ilvl="4" w:tplc="0C090019" w:tentative="1">
      <w:start w:val="1"/>
      <w:numFmt w:val="lowerLetter"/>
      <w:lvlText w:val="%5."/>
      <w:lvlJc w:val="left"/>
      <w:pPr>
        <w:ind w:left="4387" w:hanging="360"/>
      </w:pPr>
    </w:lvl>
    <w:lvl w:ilvl="5" w:tplc="0C09001B" w:tentative="1">
      <w:start w:val="1"/>
      <w:numFmt w:val="lowerRoman"/>
      <w:lvlText w:val="%6."/>
      <w:lvlJc w:val="right"/>
      <w:pPr>
        <w:ind w:left="5107" w:hanging="180"/>
      </w:pPr>
    </w:lvl>
    <w:lvl w:ilvl="6" w:tplc="0C09000F" w:tentative="1">
      <w:start w:val="1"/>
      <w:numFmt w:val="decimal"/>
      <w:lvlText w:val="%7."/>
      <w:lvlJc w:val="left"/>
      <w:pPr>
        <w:ind w:left="5827" w:hanging="360"/>
      </w:pPr>
    </w:lvl>
    <w:lvl w:ilvl="7" w:tplc="0C090019" w:tentative="1">
      <w:start w:val="1"/>
      <w:numFmt w:val="lowerLetter"/>
      <w:lvlText w:val="%8."/>
      <w:lvlJc w:val="left"/>
      <w:pPr>
        <w:ind w:left="6547" w:hanging="360"/>
      </w:pPr>
    </w:lvl>
    <w:lvl w:ilvl="8" w:tplc="0C09001B" w:tentative="1">
      <w:start w:val="1"/>
      <w:numFmt w:val="lowerRoman"/>
      <w:lvlText w:val="%9."/>
      <w:lvlJc w:val="right"/>
      <w:pPr>
        <w:ind w:left="7267" w:hanging="180"/>
      </w:pPr>
    </w:lvl>
  </w:abstractNum>
  <w:abstractNum w:abstractNumId="19" w15:restartNumberingAfterBreak="0">
    <w:nsid w:val="3F4E5529"/>
    <w:multiLevelType w:val="hybridMultilevel"/>
    <w:tmpl w:val="830CCCA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3F5E422B"/>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0251DF9"/>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10945CC"/>
    <w:multiLevelType w:val="hybridMultilevel"/>
    <w:tmpl w:val="C95A1674"/>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1AD4F49"/>
    <w:multiLevelType w:val="multilevel"/>
    <w:tmpl w:val="BA0AB852"/>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4AD511D"/>
    <w:multiLevelType w:val="hybridMultilevel"/>
    <w:tmpl w:val="3F143572"/>
    <w:lvl w:ilvl="0" w:tplc="38A8D84E">
      <w:start w:val="1"/>
      <w:numFmt w:val="lowerLetter"/>
      <w:lvlText w:val="(%1)"/>
      <w:lvlJc w:val="left"/>
      <w:pPr>
        <w:ind w:left="720" w:hanging="360"/>
      </w:pPr>
      <w:rPr>
        <w:rFonts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D259DC"/>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48703211"/>
    <w:multiLevelType w:val="hybridMultilevel"/>
    <w:tmpl w:val="646606D6"/>
    <w:lvl w:ilvl="0" w:tplc="646012FE">
      <w:start w:val="1"/>
      <w:numFmt w:val="decimal"/>
      <w:lvlText w:val="%1."/>
      <w:lvlJc w:val="left"/>
      <w:pPr>
        <w:tabs>
          <w:tab w:val="num" w:pos="702"/>
        </w:tabs>
        <w:ind w:left="702" w:hanging="705"/>
      </w:pPr>
      <w:rPr>
        <w:rFonts w:hint="default"/>
      </w:rPr>
    </w:lvl>
    <w:lvl w:ilvl="1" w:tplc="0C090019">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27" w15:restartNumberingAfterBreak="0">
    <w:nsid w:val="4B3F0537"/>
    <w:multiLevelType w:val="hybridMultilevel"/>
    <w:tmpl w:val="97B21B26"/>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4C936F5E"/>
    <w:multiLevelType w:val="multilevel"/>
    <w:tmpl w:val="88CEB18E"/>
    <w:lvl w:ilvl="0">
      <w:start w:val="1"/>
      <w:numFmt w:val="decimal"/>
      <w:lvlText w:val="%1"/>
      <w:lvlJc w:val="left"/>
      <w:pPr>
        <w:ind w:left="720" w:hanging="720"/>
      </w:pPr>
      <w:rPr>
        <w:rFonts w:hint="default"/>
        <w:sz w:val="24"/>
      </w:rPr>
    </w:lvl>
    <w:lvl w:ilvl="1">
      <w:start w:val="1"/>
      <w:numFmt w:val="lowerLetter"/>
      <w:lvlText w:val="(%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63038E7"/>
    <w:multiLevelType w:val="hybridMultilevel"/>
    <w:tmpl w:val="4C2241B2"/>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EA34E3C"/>
    <w:multiLevelType w:val="multilevel"/>
    <w:tmpl w:val="753855F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660FD9"/>
    <w:multiLevelType w:val="hybridMultilevel"/>
    <w:tmpl w:val="4C96A19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35874F1"/>
    <w:multiLevelType w:val="hybridMultilevel"/>
    <w:tmpl w:val="47FE3D8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64DB7BC3"/>
    <w:multiLevelType w:val="hybridMultilevel"/>
    <w:tmpl w:val="8A60F51E"/>
    <w:lvl w:ilvl="0" w:tplc="646012FE">
      <w:start w:val="1"/>
      <w:numFmt w:val="decimal"/>
      <w:lvlText w:val="%1."/>
      <w:lvlJc w:val="left"/>
      <w:pPr>
        <w:tabs>
          <w:tab w:val="num" w:pos="702"/>
        </w:tabs>
        <w:ind w:left="702" w:hanging="705"/>
      </w:pPr>
      <w:rPr>
        <w:rFonts w:hint="default"/>
      </w:rPr>
    </w:lvl>
    <w:lvl w:ilvl="1" w:tplc="0C090017">
      <w:start w:val="1"/>
      <w:numFmt w:val="lowerLetter"/>
      <w:lvlText w:val="%2)"/>
      <w:lvlJc w:val="left"/>
      <w:pPr>
        <w:tabs>
          <w:tab w:val="num" w:pos="1077"/>
        </w:tabs>
        <w:ind w:left="1077" w:hanging="360"/>
      </w:pPr>
    </w:lvl>
    <w:lvl w:ilvl="2" w:tplc="0C09001B">
      <w:start w:val="1"/>
      <w:numFmt w:val="lowerRoman"/>
      <w:lvlText w:val="%3."/>
      <w:lvlJc w:val="right"/>
      <w:pPr>
        <w:tabs>
          <w:tab w:val="num" w:pos="1797"/>
        </w:tabs>
        <w:ind w:left="1797" w:hanging="180"/>
      </w:pPr>
    </w:lvl>
    <w:lvl w:ilvl="3" w:tplc="0C09000F" w:tentative="1">
      <w:start w:val="1"/>
      <w:numFmt w:val="decimal"/>
      <w:lvlText w:val="%4."/>
      <w:lvlJc w:val="left"/>
      <w:pPr>
        <w:tabs>
          <w:tab w:val="num" w:pos="2517"/>
        </w:tabs>
        <w:ind w:left="2517" w:hanging="360"/>
      </w:pPr>
    </w:lvl>
    <w:lvl w:ilvl="4" w:tplc="0C090019" w:tentative="1">
      <w:start w:val="1"/>
      <w:numFmt w:val="lowerLetter"/>
      <w:lvlText w:val="%5."/>
      <w:lvlJc w:val="left"/>
      <w:pPr>
        <w:tabs>
          <w:tab w:val="num" w:pos="3237"/>
        </w:tabs>
        <w:ind w:left="3237" w:hanging="360"/>
      </w:pPr>
    </w:lvl>
    <w:lvl w:ilvl="5" w:tplc="0C09001B" w:tentative="1">
      <w:start w:val="1"/>
      <w:numFmt w:val="lowerRoman"/>
      <w:lvlText w:val="%6."/>
      <w:lvlJc w:val="right"/>
      <w:pPr>
        <w:tabs>
          <w:tab w:val="num" w:pos="3957"/>
        </w:tabs>
        <w:ind w:left="3957" w:hanging="180"/>
      </w:pPr>
    </w:lvl>
    <w:lvl w:ilvl="6" w:tplc="0C09000F" w:tentative="1">
      <w:start w:val="1"/>
      <w:numFmt w:val="decimal"/>
      <w:lvlText w:val="%7."/>
      <w:lvlJc w:val="left"/>
      <w:pPr>
        <w:tabs>
          <w:tab w:val="num" w:pos="4677"/>
        </w:tabs>
        <w:ind w:left="4677" w:hanging="360"/>
      </w:pPr>
    </w:lvl>
    <w:lvl w:ilvl="7" w:tplc="0C090019" w:tentative="1">
      <w:start w:val="1"/>
      <w:numFmt w:val="lowerLetter"/>
      <w:lvlText w:val="%8."/>
      <w:lvlJc w:val="left"/>
      <w:pPr>
        <w:tabs>
          <w:tab w:val="num" w:pos="5397"/>
        </w:tabs>
        <w:ind w:left="5397" w:hanging="360"/>
      </w:pPr>
    </w:lvl>
    <w:lvl w:ilvl="8" w:tplc="0C09001B" w:tentative="1">
      <w:start w:val="1"/>
      <w:numFmt w:val="lowerRoman"/>
      <w:lvlText w:val="%9."/>
      <w:lvlJc w:val="right"/>
      <w:pPr>
        <w:tabs>
          <w:tab w:val="num" w:pos="6117"/>
        </w:tabs>
        <w:ind w:left="6117" w:hanging="180"/>
      </w:pPr>
    </w:lvl>
  </w:abstractNum>
  <w:abstractNum w:abstractNumId="34" w15:restartNumberingAfterBreak="0">
    <w:nsid w:val="664770E4"/>
    <w:multiLevelType w:val="multilevel"/>
    <w:tmpl w:val="512ED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CF36E8"/>
    <w:multiLevelType w:val="multilevel"/>
    <w:tmpl w:val="1DB88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570828"/>
    <w:multiLevelType w:val="hybridMultilevel"/>
    <w:tmpl w:val="35A464F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97D3488"/>
    <w:multiLevelType w:val="multilevel"/>
    <w:tmpl w:val="014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B21FB7"/>
    <w:multiLevelType w:val="hybridMultilevel"/>
    <w:tmpl w:val="DA92C3A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0E66BFC"/>
    <w:multiLevelType w:val="multilevel"/>
    <w:tmpl w:val="86BC648C"/>
    <w:lvl w:ilvl="0">
      <w:start w:val="1"/>
      <w:numFmt w:val="decimal"/>
      <w:lvlText w:val="%1"/>
      <w:lvlJc w:val="left"/>
      <w:pPr>
        <w:ind w:left="720"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3B24A30"/>
    <w:multiLevelType w:val="multilevel"/>
    <w:tmpl w:val="AD96E62A"/>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99631B2"/>
    <w:multiLevelType w:val="multilevel"/>
    <w:tmpl w:val="FF748DE8"/>
    <w:lvl w:ilvl="0">
      <w:start w:val="1"/>
      <w:numFmt w:val="decimal"/>
      <w:lvlText w:val="%1"/>
      <w:lvlJc w:val="left"/>
      <w:pPr>
        <w:ind w:left="720" w:hanging="720"/>
      </w:pPr>
      <w:rPr>
        <w:rFonts w:hint="default"/>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BF06B8F"/>
    <w:multiLevelType w:val="hybridMultilevel"/>
    <w:tmpl w:val="B81C7EDC"/>
    <w:lvl w:ilvl="0" w:tplc="0C090001">
      <w:start w:val="1"/>
      <w:numFmt w:val="bullet"/>
      <w:lvlText w:val=""/>
      <w:lvlJc w:val="left"/>
      <w:pPr>
        <w:ind w:left="720" w:hanging="360"/>
      </w:pPr>
      <w:rPr>
        <w:rFonts w:ascii="Symbol" w:hAnsi="Symbol" w:hint="default"/>
      </w:rPr>
    </w:lvl>
    <w:lvl w:ilvl="1" w:tplc="38A8D84E">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484A6E"/>
    <w:multiLevelType w:val="hybridMultilevel"/>
    <w:tmpl w:val="1EE8314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12"/>
  </w:num>
  <w:num w:numId="3">
    <w:abstractNumId w:val="31"/>
  </w:num>
  <w:num w:numId="4">
    <w:abstractNumId w:val="43"/>
  </w:num>
  <w:num w:numId="5">
    <w:abstractNumId w:val="9"/>
  </w:num>
  <w:num w:numId="6">
    <w:abstractNumId w:val="34"/>
  </w:num>
  <w:num w:numId="7">
    <w:abstractNumId w:val="37"/>
  </w:num>
  <w:num w:numId="8">
    <w:abstractNumId w:val="22"/>
  </w:num>
  <w:num w:numId="9">
    <w:abstractNumId w:val="2"/>
  </w:num>
  <w:num w:numId="10">
    <w:abstractNumId w:val="19"/>
  </w:num>
  <w:num w:numId="11">
    <w:abstractNumId w:val="29"/>
  </w:num>
  <w:num w:numId="12">
    <w:abstractNumId w:val="32"/>
  </w:num>
  <w:num w:numId="13">
    <w:abstractNumId w:val="4"/>
  </w:num>
  <w:num w:numId="14">
    <w:abstractNumId w:val="3"/>
  </w:num>
  <w:num w:numId="15">
    <w:abstractNumId w:val="13"/>
  </w:num>
  <w:num w:numId="16">
    <w:abstractNumId w:val="0"/>
  </w:num>
  <w:num w:numId="17">
    <w:abstractNumId w:val="10"/>
  </w:num>
  <w:num w:numId="18">
    <w:abstractNumId w:val="35"/>
  </w:num>
  <w:num w:numId="19">
    <w:abstractNumId w:val="7"/>
  </w:num>
  <w:num w:numId="20">
    <w:abstractNumId w:val="6"/>
  </w:num>
  <w:num w:numId="21">
    <w:abstractNumId w:val="18"/>
  </w:num>
  <w:num w:numId="22">
    <w:abstractNumId w:val="16"/>
  </w:num>
  <w:num w:numId="23">
    <w:abstractNumId w:val="20"/>
  </w:num>
  <w:num w:numId="24">
    <w:abstractNumId w:val="1"/>
  </w:num>
  <w:num w:numId="25">
    <w:abstractNumId w:val="30"/>
  </w:num>
  <w:num w:numId="26">
    <w:abstractNumId w:val="39"/>
  </w:num>
  <w:num w:numId="27">
    <w:abstractNumId w:val="8"/>
  </w:num>
  <w:num w:numId="28">
    <w:abstractNumId w:val="20"/>
    <w:lvlOverride w:ilvl="0">
      <w:lvl w:ilvl="0">
        <w:start w:val="1"/>
        <w:numFmt w:val="decimal"/>
        <w:lvlText w:val="%1"/>
        <w:lvlJc w:val="left"/>
        <w:pPr>
          <w:ind w:left="720" w:hanging="720"/>
        </w:pPr>
        <w:rPr>
          <w:rFonts w:hint="default"/>
        </w:rPr>
      </w:lvl>
    </w:lvlOverride>
    <w:lvlOverride w:ilvl="1">
      <w:lvl w:ilvl="1">
        <w:start w:val="1"/>
        <w:numFmt w:val="none"/>
        <w:lvlText w:val="4.1"/>
        <w:lvlJc w:val="left"/>
        <w:pPr>
          <w:ind w:left="720" w:hanging="72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9">
    <w:abstractNumId w:val="21"/>
  </w:num>
  <w:num w:numId="30">
    <w:abstractNumId w:val="41"/>
  </w:num>
  <w:num w:numId="31">
    <w:abstractNumId w:val="40"/>
  </w:num>
  <w:num w:numId="32">
    <w:abstractNumId w:val="23"/>
  </w:num>
  <w:num w:numId="33">
    <w:abstractNumId w:val="42"/>
  </w:num>
  <w:num w:numId="34">
    <w:abstractNumId w:val="15"/>
  </w:num>
  <w:num w:numId="35">
    <w:abstractNumId w:val="5"/>
  </w:num>
  <w:num w:numId="36">
    <w:abstractNumId w:val="24"/>
  </w:num>
  <w:num w:numId="37">
    <w:abstractNumId w:val="28"/>
  </w:num>
  <w:num w:numId="38">
    <w:abstractNumId w:val="14"/>
  </w:num>
  <w:num w:numId="39">
    <w:abstractNumId w:val="17"/>
  </w:num>
  <w:num w:numId="40">
    <w:abstractNumId w:val="27"/>
  </w:num>
  <w:num w:numId="41">
    <w:abstractNumId w:val="33"/>
  </w:num>
  <w:num w:numId="42">
    <w:abstractNumId w:val="36"/>
  </w:num>
  <w:num w:numId="43">
    <w:abstractNumId w:val="26"/>
  </w:num>
  <w:num w:numId="44">
    <w:abstractNumId w:val="25"/>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36"/>
    <w:rsid w:val="00000850"/>
    <w:rsid w:val="00007DBA"/>
    <w:rsid w:val="000117C7"/>
    <w:rsid w:val="000118DD"/>
    <w:rsid w:val="0001288E"/>
    <w:rsid w:val="000128D0"/>
    <w:rsid w:val="00013D3B"/>
    <w:rsid w:val="00014B10"/>
    <w:rsid w:val="0003306E"/>
    <w:rsid w:val="00034D85"/>
    <w:rsid w:val="00035057"/>
    <w:rsid w:val="00036894"/>
    <w:rsid w:val="00037D26"/>
    <w:rsid w:val="00043448"/>
    <w:rsid w:val="00055F43"/>
    <w:rsid w:val="000566C3"/>
    <w:rsid w:val="00070CA2"/>
    <w:rsid w:val="00070D66"/>
    <w:rsid w:val="00071A96"/>
    <w:rsid w:val="000721BA"/>
    <w:rsid w:val="00073139"/>
    <w:rsid w:val="00073769"/>
    <w:rsid w:val="00077863"/>
    <w:rsid w:val="00081A41"/>
    <w:rsid w:val="00095BA5"/>
    <w:rsid w:val="000A1DE7"/>
    <w:rsid w:val="000A4F62"/>
    <w:rsid w:val="000A553C"/>
    <w:rsid w:val="000A6B76"/>
    <w:rsid w:val="000B2E54"/>
    <w:rsid w:val="000B5F50"/>
    <w:rsid w:val="000C0998"/>
    <w:rsid w:val="000C1777"/>
    <w:rsid w:val="000C2CE1"/>
    <w:rsid w:val="000C5F4B"/>
    <w:rsid w:val="000C75E1"/>
    <w:rsid w:val="000D07F1"/>
    <w:rsid w:val="000D0AC4"/>
    <w:rsid w:val="000D0BEE"/>
    <w:rsid w:val="000D3250"/>
    <w:rsid w:val="000D5E28"/>
    <w:rsid w:val="000D7A64"/>
    <w:rsid w:val="000E12FA"/>
    <w:rsid w:val="000E524A"/>
    <w:rsid w:val="000F3B18"/>
    <w:rsid w:val="000F6EA7"/>
    <w:rsid w:val="00100006"/>
    <w:rsid w:val="00101EC5"/>
    <w:rsid w:val="001033CC"/>
    <w:rsid w:val="00121C72"/>
    <w:rsid w:val="00125C07"/>
    <w:rsid w:val="00133A51"/>
    <w:rsid w:val="001344BA"/>
    <w:rsid w:val="00140683"/>
    <w:rsid w:val="00143136"/>
    <w:rsid w:val="00143818"/>
    <w:rsid w:val="00144DAA"/>
    <w:rsid w:val="00145C92"/>
    <w:rsid w:val="00145D28"/>
    <w:rsid w:val="0014603C"/>
    <w:rsid w:val="00146054"/>
    <w:rsid w:val="0015063E"/>
    <w:rsid w:val="00155A8E"/>
    <w:rsid w:val="0015650D"/>
    <w:rsid w:val="0016054E"/>
    <w:rsid w:val="00161B6C"/>
    <w:rsid w:val="00161CA2"/>
    <w:rsid w:val="00162996"/>
    <w:rsid w:val="00166B28"/>
    <w:rsid w:val="001716EF"/>
    <w:rsid w:val="0018061B"/>
    <w:rsid w:val="00182C1F"/>
    <w:rsid w:val="00186E37"/>
    <w:rsid w:val="001913C5"/>
    <w:rsid w:val="00194089"/>
    <w:rsid w:val="00194A80"/>
    <w:rsid w:val="00197CA4"/>
    <w:rsid w:val="001A22B3"/>
    <w:rsid w:val="001A5036"/>
    <w:rsid w:val="001A5B39"/>
    <w:rsid w:val="001A667F"/>
    <w:rsid w:val="001A7651"/>
    <w:rsid w:val="001B2E88"/>
    <w:rsid w:val="001B3484"/>
    <w:rsid w:val="001B4283"/>
    <w:rsid w:val="001B7E2C"/>
    <w:rsid w:val="001C116C"/>
    <w:rsid w:val="001C2F4B"/>
    <w:rsid w:val="001E0318"/>
    <w:rsid w:val="001E1418"/>
    <w:rsid w:val="001F71F4"/>
    <w:rsid w:val="00206FC6"/>
    <w:rsid w:val="00207367"/>
    <w:rsid w:val="00216DCF"/>
    <w:rsid w:val="00217758"/>
    <w:rsid w:val="00217E88"/>
    <w:rsid w:val="002218C5"/>
    <w:rsid w:val="00222544"/>
    <w:rsid w:val="0022666D"/>
    <w:rsid w:val="0023426A"/>
    <w:rsid w:val="00234B7B"/>
    <w:rsid w:val="002361DF"/>
    <w:rsid w:val="00241A4E"/>
    <w:rsid w:val="00245746"/>
    <w:rsid w:val="00247F50"/>
    <w:rsid w:val="002572C2"/>
    <w:rsid w:val="0026005D"/>
    <w:rsid w:val="00265BF9"/>
    <w:rsid w:val="00271B59"/>
    <w:rsid w:val="00275A5A"/>
    <w:rsid w:val="00277B7B"/>
    <w:rsid w:val="002812ED"/>
    <w:rsid w:val="0028130B"/>
    <w:rsid w:val="00281E4F"/>
    <w:rsid w:val="002837A9"/>
    <w:rsid w:val="00283C48"/>
    <w:rsid w:val="00294341"/>
    <w:rsid w:val="002B465A"/>
    <w:rsid w:val="002C1134"/>
    <w:rsid w:val="002C56E8"/>
    <w:rsid w:val="002D0AB0"/>
    <w:rsid w:val="002D0FD3"/>
    <w:rsid w:val="002D23D8"/>
    <w:rsid w:val="002D6E79"/>
    <w:rsid w:val="002E0F6B"/>
    <w:rsid w:val="002E6B43"/>
    <w:rsid w:val="002E7FD2"/>
    <w:rsid w:val="002F4D7F"/>
    <w:rsid w:val="00300F4B"/>
    <w:rsid w:val="00302421"/>
    <w:rsid w:val="00302981"/>
    <w:rsid w:val="0030352D"/>
    <w:rsid w:val="00305761"/>
    <w:rsid w:val="00307B60"/>
    <w:rsid w:val="00310655"/>
    <w:rsid w:val="00310A32"/>
    <w:rsid w:val="00311051"/>
    <w:rsid w:val="0031222C"/>
    <w:rsid w:val="003166D1"/>
    <w:rsid w:val="00321C75"/>
    <w:rsid w:val="0032286C"/>
    <w:rsid w:val="00334DD3"/>
    <w:rsid w:val="00340257"/>
    <w:rsid w:val="0034260E"/>
    <w:rsid w:val="00350055"/>
    <w:rsid w:val="003500B9"/>
    <w:rsid w:val="003508E0"/>
    <w:rsid w:val="00350A85"/>
    <w:rsid w:val="00353E4C"/>
    <w:rsid w:val="00356593"/>
    <w:rsid w:val="00356969"/>
    <w:rsid w:val="00357A0D"/>
    <w:rsid w:val="003615E5"/>
    <w:rsid w:val="003639B5"/>
    <w:rsid w:val="00365D0E"/>
    <w:rsid w:val="00367AD0"/>
    <w:rsid w:val="00377999"/>
    <w:rsid w:val="003817CD"/>
    <w:rsid w:val="00381991"/>
    <w:rsid w:val="00381FDA"/>
    <w:rsid w:val="00385546"/>
    <w:rsid w:val="00386C9F"/>
    <w:rsid w:val="00387DB3"/>
    <w:rsid w:val="00391CA0"/>
    <w:rsid w:val="003945D8"/>
    <w:rsid w:val="00394FD0"/>
    <w:rsid w:val="00396EF2"/>
    <w:rsid w:val="00397AAE"/>
    <w:rsid w:val="003A7A5A"/>
    <w:rsid w:val="003A7E6C"/>
    <w:rsid w:val="003B7248"/>
    <w:rsid w:val="003C07C2"/>
    <w:rsid w:val="003C343E"/>
    <w:rsid w:val="003C5C64"/>
    <w:rsid w:val="003C62F1"/>
    <w:rsid w:val="003D0A67"/>
    <w:rsid w:val="003D672F"/>
    <w:rsid w:val="003E4C44"/>
    <w:rsid w:val="003E6152"/>
    <w:rsid w:val="003E66CF"/>
    <w:rsid w:val="003F0D9C"/>
    <w:rsid w:val="00400B2E"/>
    <w:rsid w:val="0040410A"/>
    <w:rsid w:val="00404CB0"/>
    <w:rsid w:val="00414B77"/>
    <w:rsid w:val="0042138B"/>
    <w:rsid w:val="00424401"/>
    <w:rsid w:val="00425840"/>
    <w:rsid w:val="00434BEE"/>
    <w:rsid w:val="004361F0"/>
    <w:rsid w:val="00441431"/>
    <w:rsid w:val="004450A6"/>
    <w:rsid w:val="00454495"/>
    <w:rsid w:val="00455D46"/>
    <w:rsid w:val="00461361"/>
    <w:rsid w:val="0046389D"/>
    <w:rsid w:val="00471414"/>
    <w:rsid w:val="00474F94"/>
    <w:rsid w:val="00477409"/>
    <w:rsid w:val="00482EBE"/>
    <w:rsid w:val="00483F1E"/>
    <w:rsid w:val="004912F2"/>
    <w:rsid w:val="00492363"/>
    <w:rsid w:val="00494220"/>
    <w:rsid w:val="004946BD"/>
    <w:rsid w:val="0049669C"/>
    <w:rsid w:val="00496F08"/>
    <w:rsid w:val="004B1AC7"/>
    <w:rsid w:val="004B2A72"/>
    <w:rsid w:val="004B4458"/>
    <w:rsid w:val="004B5756"/>
    <w:rsid w:val="004B6E9A"/>
    <w:rsid w:val="004C1FFA"/>
    <w:rsid w:val="004C29B1"/>
    <w:rsid w:val="004D07F1"/>
    <w:rsid w:val="004D1112"/>
    <w:rsid w:val="004D2141"/>
    <w:rsid w:val="004E07C3"/>
    <w:rsid w:val="004E1038"/>
    <w:rsid w:val="004E1052"/>
    <w:rsid w:val="004E10CA"/>
    <w:rsid w:val="004E284B"/>
    <w:rsid w:val="004F14A1"/>
    <w:rsid w:val="004F61E8"/>
    <w:rsid w:val="004F7E81"/>
    <w:rsid w:val="0050429E"/>
    <w:rsid w:val="00505E47"/>
    <w:rsid w:val="00506B52"/>
    <w:rsid w:val="00512025"/>
    <w:rsid w:val="005123B0"/>
    <w:rsid w:val="005158D2"/>
    <w:rsid w:val="005173D2"/>
    <w:rsid w:val="00525B9D"/>
    <w:rsid w:val="005278A1"/>
    <w:rsid w:val="00534437"/>
    <w:rsid w:val="00540E14"/>
    <w:rsid w:val="00541EAB"/>
    <w:rsid w:val="00541F76"/>
    <w:rsid w:val="00547600"/>
    <w:rsid w:val="00550871"/>
    <w:rsid w:val="005534A5"/>
    <w:rsid w:val="00553534"/>
    <w:rsid w:val="00554A65"/>
    <w:rsid w:val="0055503D"/>
    <w:rsid w:val="00561105"/>
    <w:rsid w:val="0056389E"/>
    <w:rsid w:val="00565153"/>
    <w:rsid w:val="00565B62"/>
    <w:rsid w:val="00571E15"/>
    <w:rsid w:val="005734DA"/>
    <w:rsid w:val="00575849"/>
    <w:rsid w:val="00576E14"/>
    <w:rsid w:val="005825BE"/>
    <w:rsid w:val="00582DAF"/>
    <w:rsid w:val="00593530"/>
    <w:rsid w:val="00594C2A"/>
    <w:rsid w:val="005975E8"/>
    <w:rsid w:val="005A291A"/>
    <w:rsid w:val="005A386C"/>
    <w:rsid w:val="005A4134"/>
    <w:rsid w:val="005A59BA"/>
    <w:rsid w:val="005A68BF"/>
    <w:rsid w:val="005A6984"/>
    <w:rsid w:val="005B3FF4"/>
    <w:rsid w:val="005B499F"/>
    <w:rsid w:val="005B5CFE"/>
    <w:rsid w:val="005B7E00"/>
    <w:rsid w:val="005C542A"/>
    <w:rsid w:val="005C7F57"/>
    <w:rsid w:val="005D3383"/>
    <w:rsid w:val="005E04B4"/>
    <w:rsid w:val="005E3BB5"/>
    <w:rsid w:val="005E5273"/>
    <w:rsid w:val="005E704A"/>
    <w:rsid w:val="005F02B1"/>
    <w:rsid w:val="005F067C"/>
    <w:rsid w:val="006047F0"/>
    <w:rsid w:val="00607B05"/>
    <w:rsid w:val="006124C3"/>
    <w:rsid w:val="006135A6"/>
    <w:rsid w:val="00613FA8"/>
    <w:rsid w:val="00620D68"/>
    <w:rsid w:val="00623AA3"/>
    <w:rsid w:val="00625C50"/>
    <w:rsid w:val="0062755D"/>
    <w:rsid w:val="00634832"/>
    <w:rsid w:val="00635413"/>
    <w:rsid w:val="00636D64"/>
    <w:rsid w:val="00637201"/>
    <w:rsid w:val="00637EE8"/>
    <w:rsid w:val="0064057F"/>
    <w:rsid w:val="0064143C"/>
    <w:rsid w:val="00641C0A"/>
    <w:rsid w:val="006513DD"/>
    <w:rsid w:val="00655347"/>
    <w:rsid w:val="006613C4"/>
    <w:rsid w:val="00666E4A"/>
    <w:rsid w:val="00666F54"/>
    <w:rsid w:val="006676CA"/>
    <w:rsid w:val="006710C3"/>
    <w:rsid w:val="006763E3"/>
    <w:rsid w:val="00676B57"/>
    <w:rsid w:val="00676CE9"/>
    <w:rsid w:val="0067716A"/>
    <w:rsid w:val="0068364B"/>
    <w:rsid w:val="00686402"/>
    <w:rsid w:val="0069029C"/>
    <w:rsid w:val="00691BC6"/>
    <w:rsid w:val="006921D0"/>
    <w:rsid w:val="00695864"/>
    <w:rsid w:val="006A29AF"/>
    <w:rsid w:val="006A34BA"/>
    <w:rsid w:val="006A386D"/>
    <w:rsid w:val="006A4753"/>
    <w:rsid w:val="006A4CCD"/>
    <w:rsid w:val="006A5DA3"/>
    <w:rsid w:val="006A74CE"/>
    <w:rsid w:val="006B6D97"/>
    <w:rsid w:val="006C550C"/>
    <w:rsid w:val="006C55DA"/>
    <w:rsid w:val="006C71CD"/>
    <w:rsid w:val="006D0F84"/>
    <w:rsid w:val="006E6E2F"/>
    <w:rsid w:val="006E7E0B"/>
    <w:rsid w:val="006E7F8A"/>
    <w:rsid w:val="006F0255"/>
    <w:rsid w:val="006F0430"/>
    <w:rsid w:val="006F3E76"/>
    <w:rsid w:val="006F3FAF"/>
    <w:rsid w:val="006F5F1C"/>
    <w:rsid w:val="006F60CF"/>
    <w:rsid w:val="006F6231"/>
    <w:rsid w:val="006F6748"/>
    <w:rsid w:val="00702F63"/>
    <w:rsid w:val="00704897"/>
    <w:rsid w:val="007068FC"/>
    <w:rsid w:val="007107C6"/>
    <w:rsid w:val="007109D8"/>
    <w:rsid w:val="00715F27"/>
    <w:rsid w:val="0071797E"/>
    <w:rsid w:val="00720BE1"/>
    <w:rsid w:val="00722648"/>
    <w:rsid w:val="0072352F"/>
    <w:rsid w:val="00731963"/>
    <w:rsid w:val="00737442"/>
    <w:rsid w:val="00741D9B"/>
    <w:rsid w:val="007453B3"/>
    <w:rsid w:val="00746CB2"/>
    <w:rsid w:val="0074724C"/>
    <w:rsid w:val="007513AE"/>
    <w:rsid w:val="0075230A"/>
    <w:rsid w:val="00752628"/>
    <w:rsid w:val="00755325"/>
    <w:rsid w:val="00756FE4"/>
    <w:rsid w:val="007602AF"/>
    <w:rsid w:val="00767B98"/>
    <w:rsid w:val="00767E01"/>
    <w:rsid w:val="00771C95"/>
    <w:rsid w:val="00780A47"/>
    <w:rsid w:val="00780F23"/>
    <w:rsid w:val="00784717"/>
    <w:rsid w:val="007917BE"/>
    <w:rsid w:val="007931D1"/>
    <w:rsid w:val="007951CA"/>
    <w:rsid w:val="00796E2E"/>
    <w:rsid w:val="007A0780"/>
    <w:rsid w:val="007A1449"/>
    <w:rsid w:val="007A1D8C"/>
    <w:rsid w:val="007B1869"/>
    <w:rsid w:val="007B3902"/>
    <w:rsid w:val="007C0A8F"/>
    <w:rsid w:val="007C225C"/>
    <w:rsid w:val="007C6118"/>
    <w:rsid w:val="007C66C1"/>
    <w:rsid w:val="007D0506"/>
    <w:rsid w:val="007D1D95"/>
    <w:rsid w:val="007D42ED"/>
    <w:rsid w:val="007E24CA"/>
    <w:rsid w:val="007E2608"/>
    <w:rsid w:val="007E5564"/>
    <w:rsid w:val="007F1253"/>
    <w:rsid w:val="007F3710"/>
    <w:rsid w:val="007F7938"/>
    <w:rsid w:val="007F7C28"/>
    <w:rsid w:val="007F7F97"/>
    <w:rsid w:val="00802FC4"/>
    <w:rsid w:val="00804B57"/>
    <w:rsid w:val="008119D2"/>
    <w:rsid w:val="008127B0"/>
    <w:rsid w:val="00823AB4"/>
    <w:rsid w:val="0082465E"/>
    <w:rsid w:val="0082476F"/>
    <w:rsid w:val="00831D0F"/>
    <w:rsid w:val="00834079"/>
    <w:rsid w:val="00835C7C"/>
    <w:rsid w:val="00836099"/>
    <w:rsid w:val="008429C5"/>
    <w:rsid w:val="008434C3"/>
    <w:rsid w:val="00843503"/>
    <w:rsid w:val="008445D3"/>
    <w:rsid w:val="00845023"/>
    <w:rsid w:val="00850A46"/>
    <w:rsid w:val="00850F93"/>
    <w:rsid w:val="008515EE"/>
    <w:rsid w:val="00854FD4"/>
    <w:rsid w:val="0086055D"/>
    <w:rsid w:val="00872BAD"/>
    <w:rsid w:val="00880069"/>
    <w:rsid w:val="0088136E"/>
    <w:rsid w:val="008846D6"/>
    <w:rsid w:val="00892D21"/>
    <w:rsid w:val="00892FF7"/>
    <w:rsid w:val="008942F1"/>
    <w:rsid w:val="008A4768"/>
    <w:rsid w:val="008A636D"/>
    <w:rsid w:val="008A737B"/>
    <w:rsid w:val="008B0EC2"/>
    <w:rsid w:val="008B1575"/>
    <w:rsid w:val="008B3490"/>
    <w:rsid w:val="008B47EA"/>
    <w:rsid w:val="008C027C"/>
    <w:rsid w:val="008C237D"/>
    <w:rsid w:val="008C41FA"/>
    <w:rsid w:val="008D3626"/>
    <w:rsid w:val="008D6EBF"/>
    <w:rsid w:val="008E2F41"/>
    <w:rsid w:val="008E752A"/>
    <w:rsid w:val="00904F21"/>
    <w:rsid w:val="00907931"/>
    <w:rsid w:val="0091164B"/>
    <w:rsid w:val="00916516"/>
    <w:rsid w:val="0092369B"/>
    <w:rsid w:val="009251C5"/>
    <w:rsid w:val="009345B6"/>
    <w:rsid w:val="00934959"/>
    <w:rsid w:val="00940734"/>
    <w:rsid w:val="00940F44"/>
    <w:rsid w:val="00941002"/>
    <w:rsid w:val="00947689"/>
    <w:rsid w:val="0095180B"/>
    <w:rsid w:val="0095377B"/>
    <w:rsid w:val="00955CBF"/>
    <w:rsid w:val="00956EC0"/>
    <w:rsid w:val="009579B5"/>
    <w:rsid w:val="0096128D"/>
    <w:rsid w:val="00963A32"/>
    <w:rsid w:val="00970632"/>
    <w:rsid w:val="00971150"/>
    <w:rsid w:val="00975561"/>
    <w:rsid w:val="0098076E"/>
    <w:rsid w:val="00984A84"/>
    <w:rsid w:val="00984EF6"/>
    <w:rsid w:val="00987FD8"/>
    <w:rsid w:val="00990B3C"/>
    <w:rsid w:val="00993D8D"/>
    <w:rsid w:val="009956C6"/>
    <w:rsid w:val="00996F81"/>
    <w:rsid w:val="009A16DD"/>
    <w:rsid w:val="009A45B0"/>
    <w:rsid w:val="009B1B66"/>
    <w:rsid w:val="009B22CA"/>
    <w:rsid w:val="009B3159"/>
    <w:rsid w:val="009B5905"/>
    <w:rsid w:val="009B7708"/>
    <w:rsid w:val="009C3906"/>
    <w:rsid w:val="009C393F"/>
    <w:rsid w:val="009C3991"/>
    <w:rsid w:val="009C6413"/>
    <w:rsid w:val="009C6B44"/>
    <w:rsid w:val="009D1753"/>
    <w:rsid w:val="009E4C0D"/>
    <w:rsid w:val="009E5E09"/>
    <w:rsid w:val="009E714C"/>
    <w:rsid w:val="009F27F0"/>
    <w:rsid w:val="009F587A"/>
    <w:rsid w:val="009F7728"/>
    <w:rsid w:val="009F7C7A"/>
    <w:rsid w:val="009F7E7C"/>
    <w:rsid w:val="00A02D5F"/>
    <w:rsid w:val="00A03CC1"/>
    <w:rsid w:val="00A04BF1"/>
    <w:rsid w:val="00A13812"/>
    <w:rsid w:val="00A13D3C"/>
    <w:rsid w:val="00A16095"/>
    <w:rsid w:val="00A1734D"/>
    <w:rsid w:val="00A222B3"/>
    <w:rsid w:val="00A336A2"/>
    <w:rsid w:val="00A50A22"/>
    <w:rsid w:val="00A64EE1"/>
    <w:rsid w:val="00A67FC3"/>
    <w:rsid w:val="00A715A8"/>
    <w:rsid w:val="00A7773B"/>
    <w:rsid w:val="00A7779A"/>
    <w:rsid w:val="00A86757"/>
    <w:rsid w:val="00A9278B"/>
    <w:rsid w:val="00A937DF"/>
    <w:rsid w:val="00AA039B"/>
    <w:rsid w:val="00AA0705"/>
    <w:rsid w:val="00AA1164"/>
    <w:rsid w:val="00AA1568"/>
    <w:rsid w:val="00AA1BA4"/>
    <w:rsid w:val="00AA46D5"/>
    <w:rsid w:val="00AA5A1E"/>
    <w:rsid w:val="00AB0464"/>
    <w:rsid w:val="00AB3FFA"/>
    <w:rsid w:val="00AB61BD"/>
    <w:rsid w:val="00AB6B2D"/>
    <w:rsid w:val="00AB6B88"/>
    <w:rsid w:val="00AC2F4D"/>
    <w:rsid w:val="00AD32C4"/>
    <w:rsid w:val="00AE3228"/>
    <w:rsid w:val="00AE3CE5"/>
    <w:rsid w:val="00AE5B1A"/>
    <w:rsid w:val="00AF29CC"/>
    <w:rsid w:val="00AF541C"/>
    <w:rsid w:val="00AF72F1"/>
    <w:rsid w:val="00AF7BEA"/>
    <w:rsid w:val="00B0217A"/>
    <w:rsid w:val="00B03FB3"/>
    <w:rsid w:val="00B120B9"/>
    <w:rsid w:val="00B14A18"/>
    <w:rsid w:val="00B210B9"/>
    <w:rsid w:val="00B2533E"/>
    <w:rsid w:val="00B26EE9"/>
    <w:rsid w:val="00B27212"/>
    <w:rsid w:val="00B31D34"/>
    <w:rsid w:val="00B323E2"/>
    <w:rsid w:val="00B32D79"/>
    <w:rsid w:val="00B366E1"/>
    <w:rsid w:val="00B37F5F"/>
    <w:rsid w:val="00B40971"/>
    <w:rsid w:val="00B41CB2"/>
    <w:rsid w:val="00B43CA5"/>
    <w:rsid w:val="00B445A4"/>
    <w:rsid w:val="00B50C4E"/>
    <w:rsid w:val="00B53468"/>
    <w:rsid w:val="00B54563"/>
    <w:rsid w:val="00B54D68"/>
    <w:rsid w:val="00B55DDD"/>
    <w:rsid w:val="00B57556"/>
    <w:rsid w:val="00B6220E"/>
    <w:rsid w:val="00B65F05"/>
    <w:rsid w:val="00B72C47"/>
    <w:rsid w:val="00B754D6"/>
    <w:rsid w:val="00B76464"/>
    <w:rsid w:val="00B81EF1"/>
    <w:rsid w:val="00B84551"/>
    <w:rsid w:val="00B86CFD"/>
    <w:rsid w:val="00B86E13"/>
    <w:rsid w:val="00B91665"/>
    <w:rsid w:val="00B92511"/>
    <w:rsid w:val="00B94EAE"/>
    <w:rsid w:val="00B97019"/>
    <w:rsid w:val="00BA467D"/>
    <w:rsid w:val="00BA4AA3"/>
    <w:rsid w:val="00BA536E"/>
    <w:rsid w:val="00BB025F"/>
    <w:rsid w:val="00BB1CFE"/>
    <w:rsid w:val="00BB3539"/>
    <w:rsid w:val="00BB44DE"/>
    <w:rsid w:val="00BB6A06"/>
    <w:rsid w:val="00BC00FB"/>
    <w:rsid w:val="00BC63FD"/>
    <w:rsid w:val="00BC7826"/>
    <w:rsid w:val="00BD0D77"/>
    <w:rsid w:val="00BD3814"/>
    <w:rsid w:val="00BD4E3C"/>
    <w:rsid w:val="00BD53FE"/>
    <w:rsid w:val="00BE1071"/>
    <w:rsid w:val="00BE5E45"/>
    <w:rsid w:val="00BE6133"/>
    <w:rsid w:val="00BF054A"/>
    <w:rsid w:val="00BF2411"/>
    <w:rsid w:val="00BF5F87"/>
    <w:rsid w:val="00BF6492"/>
    <w:rsid w:val="00BF6922"/>
    <w:rsid w:val="00BF764E"/>
    <w:rsid w:val="00BF7EB5"/>
    <w:rsid w:val="00C02583"/>
    <w:rsid w:val="00C02EEF"/>
    <w:rsid w:val="00C02F5C"/>
    <w:rsid w:val="00C03C6C"/>
    <w:rsid w:val="00C10391"/>
    <w:rsid w:val="00C16227"/>
    <w:rsid w:val="00C16789"/>
    <w:rsid w:val="00C25E34"/>
    <w:rsid w:val="00C27E6B"/>
    <w:rsid w:val="00C310B9"/>
    <w:rsid w:val="00C342D5"/>
    <w:rsid w:val="00C401CD"/>
    <w:rsid w:val="00C4035A"/>
    <w:rsid w:val="00C41045"/>
    <w:rsid w:val="00C41952"/>
    <w:rsid w:val="00C42B04"/>
    <w:rsid w:val="00C5118C"/>
    <w:rsid w:val="00C53183"/>
    <w:rsid w:val="00C55128"/>
    <w:rsid w:val="00C56DF5"/>
    <w:rsid w:val="00C570CC"/>
    <w:rsid w:val="00C60BB4"/>
    <w:rsid w:val="00C659F1"/>
    <w:rsid w:val="00C65F24"/>
    <w:rsid w:val="00C719FC"/>
    <w:rsid w:val="00C92881"/>
    <w:rsid w:val="00C95730"/>
    <w:rsid w:val="00C96FB5"/>
    <w:rsid w:val="00C979D7"/>
    <w:rsid w:val="00CA61F9"/>
    <w:rsid w:val="00CB2437"/>
    <w:rsid w:val="00CB2EDD"/>
    <w:rsid w:val="00CC2810"/>
    <w:rsid w:val="00CC3BEF"/>
    <w:rsid w:val="00CC6705"/>
    <w:rsid w:val="00CD0331"/>
    <w:rsid w:val="00CD4B75"/>
    <w:rsid w:val="00CD50DA"/>
    <w:rsid w:val="00CD791D"/>
    <w:rsid w:val="00CE0037"/>
    <w:rsid w:val="00CE4442"/>
    <w:rsid w:val="00CE46FB"/>
    <w:rsid w:val="00CE520C"/>
    <w:rsid w:val="00CF07B3"/>
    <w:rsid w:val="00CF18F8"/>
    <w:rsid w:val="00CF3637"/>
    <w:rsid w:val="00CF4BEC"/>
    <w:rsid w:val="00CF5F3A"/>
    <w:rsid w:val="00CF6054"/>
    <w:rsid w:val="00CF6947"/>
    <w:rsid w:val="00D005FF"/>
    <w:rsid w:val="00D00948"/>
    <w:rsid w:val="00D00C1F"/>
    <w:rsid w:val="00D00C42"/>
    <w:rsid w:val="00D16016"/>
    <w:rsid w:val="00D1679C"/>
    <w:rsid w:val="00D218A6"/>
    <w:rsid w:val="00D23722"/>
    <w:rsid w:val="00D23C64"/>
    <w:rsid w:val="00D244E3"/>
    <w:rsid w:val="00D25933"/>
    <w:rsid w:val="00D26B29"/>
    <w:rsid w:val="00D3340C"/>
    <w:rsid w:val="00D37B73"/>
    <w:rsid w:val="00D444B1"/>
    <w:rsid w:val="00D44645"/>
    <w:rsid w:val="00D54B74"/>
    <w:rsid w:val="00D61605"/>
    <w:rsid w:val="00D62946"/>
    <w:rsid w:val="00D62C14"/>
    <w:rsid w:val="00D636CD"/>
    <w:rsid w:val="00D66FF2"/>
    <w:rsid w:val="00D71E39"/>
    <w:rsid w:val="00D77286"/>
    <w:rsid w:val="00D77D53"/>
    <w:rsid w:val="00D809E3"/>
    <w:rsid w:val="00D80FEA"/>
    <w:rsid w:val="00D85336"/>
    <w:rsid w:val="00D86A6A"/>
    <w:rsid w:val="00D873C9"/>
    <w:rsid w:val="00D961E3"/>
    <w:rsid w:val="00D97628"/>
    <w:rsid w:val="00DA0491"/>
    <w:rsid w:val="00DA1E21"/>
    <w:rsid w:val="00DA284A"/>
    <w:rsid w:val="00DA56E9"/>
    <w:rsid w:val="00DB0436"/>
    <w:rsid w:val="00DB304D"/>
    <w:rsid w:val="00DB6F51"/>
    <w:rsid w:val="00DB7EBE"/>
    <w:rsid w:val="00DC0370"/>
    <w:rsid w:val="00DC0ABE"/>
    <w:rsid w:val="00DC1D8A"/>
    <w:rsid w:val="00DC24A7"/>
    <w:rsid w:val="00DC3601"/>
    <w:rsid w:val="00DC5BE7"/>
    <w:rsid w:val="00DC66BB"/>
    <w:rsid w:val="00DD1823"/>
    <w:rsid w:val="00DE2909"/>
    <w:rsid w:val="00DE6424"/>
    <w:rsid w:val="00DE6CBB"/>
    <w:rsid w:val="00DF032B"/>
    <w:rsid w:val="00DF1F28"/>
    <w:rsid w:val="00DF4878"/>
    <w:rsid w:val="00DF52D4"/>
    <w:rsid w:val="00E05506"/>
    <w:rsid w:val="00E0551B"/>
    <w:rsid w:val="00E11319"/>
    <w:rsid w:val="00E15CF5"/>
    <w:rsid w:val="00E16169"/>
    <w:rsid w:val="00E20381"/>
    <w:rsid w:val="00E2055A"/>
    <w:rsid w:val="00E23A7E"/>
    <w:rsid w:val="00E25646"/>
    <w:rsid w:val="00E27289"/>
    <w:rsid w:val="00E2776C"/>
    <w:rsid w:val="00E27982"/>
    <w:rsid w:val="00E52E8C"/>
    <w:rsid w:val="00E54AD4"/>
    <w:rsid w:val="00E61AA5"/>
    <w:rsid w:val="00E62BC4"/>
    <w:rsid w:val="00E66EDC"/>
    <w:rsid w:val="00E7293E"/>
    <w:rsid w:val="00E74D52"/>
    <w:rsid w:val="00E90334"/>
    <w:rsid w:val="00EA0DB8"/>
    <w:rsid w:val="00EA141C"/>
    <w:rsid w:val="00EA2EB9"/>
    <w:rsid w:val="00EA6CDF"/>
    <w:rsid w:val="00EC0977"/>
    <w:rsid w:val="00EC4A6A"/>
    <w:rsid w:val="00EC6B3A"/>
    <w:rsid w:val="00ED25C1"/>
    <w:rsid w:val="00ED61FE"/>
    <w:rsid w:val="00EE6009"/>
    <w:rsid w:val="00EF154D"/>
    <w:rsid w:val="00EF1683"/>
    <w:rsid w:val="00EF2F58"/>
    <w:rsid w:val="00EF5C7D"/>
    <w:rsid w:val="00F0009F"/>
    <w:rsid w:val="00F02AA0"/>
    <w:rsid w:val="00F0621A"/>
    <w:rsid w:val="00F07C59"/>
    <w:rsid w:val="00F24E6E"/>
    <w:rsid w:val="00F25EF5"/>
    <w:rsid w:val="00F33797"/>
    <w:rsid w:val="00F43EC5"/>
    <w:rsid w:val="00F521A3"/>
    <w:rsid w:val="00F52A10"/>
    <w:rsid w:val="00F630C6"/>
    <w:rsid w:val="00F66463"/>
    <w:rsid w:val="00F67325"/>
    <w:rsid w:val="00F80F7B"/>
    <w:rsid w:val="00F85CC5"/>
    <w:rsid w:val="00F91689"/>
    <w:rsid w:val="00FA51CA"/>
    <w:rsid w:val="00FA7259"/>
    <w:rsid w:val="00FA726D"/>
    <w:rsid w:val="00FA7381"/>
    <w:rsid w:val="00FA7B26"/>
    <w:rsid w:val="00FB60BC"/>
    <w:rsid w:val="00FC0EA9"/>
    <w:rsid w:val="00FC350B"/>
    <w:rsid w:val="00FC4A80"/>
    <w:rsid w:val="00FC697E"/>
    <w:rsid w:val="00FC7E16"/>
    <w:rsid w:val="00FD0B7E"/>
    <w:rsid w:val="00FD2962"/>
    <w:rsid w:val="00FD2DBF"/>
    <w:rsid w:val="00FD41F1"/>
    <w:rsid w:val="00FD4655"/>
    <w:rsid w:val="00FD4B3F"/>
    <w:rsid w:val="00FD6D10"/>
    <w:rsid w:val="00FD72DE"/>
    <w:rsid w:val="00FE13F6"/>
    <w:rsid w:val="00FE2DE4"/>
    <w:rsid w:val="00FE3DB0"/>
    <w:rsid w:val="00FE3E47"/>
    <w:rsid w:val="00FE744B"/>
    <w:rsid w:val="00FF1DE7"/>
    <w:rsid w:val="00FF32AD"/>
    <w:rsid w:val="00FF54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2B9D0EA5"/>
  <w15:docId w15:val="{1E115C3E-0256-4555-8B76-79FA58DCD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336"/>
    <w:rPr>
      <w:sz w:val="24"/>
      <w:szCs w:val="24"/>
      <w:lang w:val="en-AU" w:eastAsia="en-AU"/>
    </w:rPr>
  </w:style>
  <w:style w:type="paragraph" w:styleId="Heading1">
    <w:name w:val="heading 1"/>
    <w:basedOn w:val="Normal"/>
    <w:next w:val="Normal"/>
    <w:link w:val="Heading1Char"/>
    <w:autoRedefine/>
    <w:qFormat/>
    <w:rsid w:val="00A50A22"/>
    <w:pPr>
      <w:keepNext/>
      <w:numPr>
        <w:numId w:val="24"/>
      </w:numPr>
      <w:spacing w:before="240" w:after="60"/>
      <w:outlineLvl w:val="0"/>
    </w:pPr>
    <w:rPr>
      <w:bCs/>
      <w:kern w:val="32"/>
      <w:szCs w:val="32"/>
    </w:rPr>
  </w:style>
  <w:style w:type="paragraph" w:styleId="Heading3">
    <w:name w:val="heading 3"/>
    <w:basedOn w:val="Normal"/>
    <w:link w:val="Heading3Char"/>
    <w:uiPriority w:val="9"/>
    <w:qFormat/>
    <w:rsid w:val="00CE520C"/>
    <w:pPr>
      <w:spacing w:before="240" w:after="240" w:line="336" w:lineRule="auto"/>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2583"/>
    <w:rPr>
      <w:color w:val="0000FF"/>
      <w:u w:val="single"/>
    </w:rPr>
  </w:style>
  <w:style w:type="table" w:styleId="TableGrid">
    <w:name w:val="Table Grid"/>
    <w:basedOn w:val="TableNormal"/>
    <w:rsid w:val="00455D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921D0"/>
    <w:rPr>
      <w:rFonts w:ascii="Tahoma" w:hAnsi="Tahoma" w:cs="Tahoma"/>
      <w:sz w:val="16"/>
      <w:szCs w:val="16"/>
    </w:rPr>
  </w:style>
  <w:style w:type="paragraph" w:styleId="FootnoteText">
    <w:name w:val="footnote text"/>
    <w:basedOn w:val="Normal"/>
    <w:link w:val="FootnoteTextChar"/>
    <w:semiHidden/>
    <w:rsid w:val="00635413"/>
    <w:rPr>
      <w:sz w:val="20"/>
      <w:szCs w:val="20"/>
    </w:rPr>
  </w:style>
  <w:style w:type="character" w:styleId="FootnoteReference">
    <w:name w:val="footnote reference"/>
    <w:semiHidden/>
    <w:rsid w:val="00635413"/>
    <w:rPr>
      <w:vertAlign w:val="superscript"/>
    </w:rPr>
  </w:style>
  <w:style w:type="character" w:styleId="CommentReference">
    <w:name w:val="annotation reference"/>
    <w:semiHidden/>
    <w:rsid w:val="001A7651"/>
    <w:rPr>
      <w:sz w:val="16"/>
      <w:szCs w:val="16"/>
    </w:rPr>
  </w:style>
  <w:style w:type="paragraph" w:styleId="CommentText">
    <w:name w:val="annotation text"/>
    <w:basedOn w:val="Normal"/>
    <w:semiHidden/>
    <w:rsid w:val="001A7651"/>
    <w:rPr>
      <w:sz w:val="20"/>
      <w:szCs w:val="20"/>
    </w:rPr>
  </w:style>
  <w:style w:type="paragraph" w:styleId="CommentSubject">
    <w:name w:val="annotation subject"/>
    <w:basedOn w:val="CommentText"/>
    <w:next w:val="CommentText"/>
    <w:semiHidden/>
    <w:rsid w:val="001A7651"/>
    <w:rPr>
      <w:b/>
      <w:bCs/>
    </w:rPr>
  </w:style>
  <w:style w:type="character" w:styleId="Emphasis">
    <w:name w:val="Emphasis"/>
    <w:uiPriority w:val="20"/>
    <w:qFormat/>
    <w:rsid w:val="00AF72F1"/>
    <w:rPr>
      <w:i/>
      <w:iCs/>
    </w:rPr>
  </w:style>
  <w:style w:type="paragraph" w:styleId="Header">
    <w:name w:val="header"/>
    <w:basedOn w:val="Normal"/>
    <w:link w:val="HeaderChar"/>
    <w:rsid w:val="00194089"/>
    <w:pPr>
      <w:tabs>
        <w:tab w:val="center" w:pos="4513"/>
        <w:tab w:val="right" w:pos="9026"/>
      </w:tabs>
    </w:pPr>
  </w:style>
  <w:style w:type="character" w:customStyle="1" w:styleId="HeaderChar">
    <w:name w:val="Header Char"/>
    <w:link w:val="Header"/>
    <w:rsid w:val="00194089"/>
    <w:rPr>
      <w:sz w:val="24"/>
      <w:szCs w:val="24"/>
    </w:rPr>
  </w:style>
  <w:style w:type="paragraph" w:styleId="Footer">
    <w:name w:val="footer"/>
    <w:basedOn w:val="Normal"/>
    <w:link w:val="FooterChar"/>
    <w:rsid w:val="00194089"/>
    <w:pPr>
      <w:tabs>
        <w:tab w:val="center" w:pos="4513"/>
        <w:tab w:val="right" w:pos="9026"/>
      </w:tabs>
    </w:pPr>
  </w:style>
  <w:style w:type="character" w:customStyle="1" w:styleId="FooterChar">
    <w:name w:val="Footer Char"/>
    <w:link w:val="Footer"/>
    <w:uiPriority w:val="99"/>
    <w:rsid w:val="00194089"/>
    <w:rPr>
      <w:sz w:val="24"/>
      <w:szCs w:val="24"/>
    </w:rPr>
  </w:style>
  <w:style w:type="character" w:customStyle="1" w:styleId="Heading3Char">
    <w:name w:val="Heading 3 Char"/>
    <w:link w:val="Heading3"/>
    <w:uiPriority w:val="9"/>
    <w:rsid w:val="00CE520C"/>
    <w:rPr>
      <w:b/>
      <w:bCs/>
      <w:sz w:val="24"/>
      <w:szCs w:val="24"/>
    </w:rPr>
  </w:style>
  <w:style w:type="paragraph" w:styleId="NormalWeb">
    <w:name w:val="Normal (Web)"/>
    <w:basedOn w:val="Normal"/>
    <w:uiPriority w:val="99"/>
    <w:unhideWhenUsed/>
    <w:rsid w:val="00CE520C"/>
    <w:pPr>
      <w:spacing w:after="240"/>
    </w:pPr>
    <w:rPr>
      <w:sz w:val="16"/>
      <w:szCs w:val="16"/>
    </w:rPr>
  </w:style>
  <w:style w:type="character" w:customStyle="1" w:styleId="Heading1Char">
    <w:name w:val="Heading 1 Char"/>
    <w:link w:val="Heading1"/>
    <w:rsid w:val="00A50A22"/>
    <w:rPr>
      <w:bCs/>
      <w:kern w:val="32"/>
      <w:sz w:val="24"/>
      <w:szCs w:val="32"/>
      <w:lang w:val="en-AU" w:eastAsia="en-AU"/>
    </w:rPr>
  </w:style>
  <w:style w:type="paragraph" w:customStyle="1" w:styleId="Default">
    <w:name w:val="Default"/>
    <w:rsid w:val="00940F44"/>
    <w:pPr>
      <w:autoSpaceDE w:val="0"/>
      <w:autoSpaceDN w:val="0"/>
      <w:adjustRightInd w:val="0"/>
    </w:pPr>
    <w:rPr>
      <w:color w:val="000000"/>
      <w:sz w:val="24"/>
      <w:szCs w:val="24"/>
      <w:lang w:val="en-AU" w:eastAsia="en-AU"/>
    </w:rPr>
  </w:style>
  <w:style w:type="paragraph" w:styleId="List">
    <w:name w:val="List"/>
    <w:basedOn w:val="Normal"/>
    <w:rsid w:val="00FE3DB0"/>
    <w:pPr>
      <w:ind w:left="283" w:hanging="283"/>
    </w:pPr>
  </w:style>
  <w:style w:type="character" w:styleId="PageNumber">
    <w:name w:val="page number"/>
    <w:rsid w:val="006A4CCD"/>
  </w:style>
  <w:style w:type="paragraph" w:styleId="ListParagraph">
    <w:name w:val="List Paragraph"/>
    <w:basedOn w:val="Normal"/>
    <w:uiPriority w:val="34"/>
    <w:qFormat/>
    <w:rsid w:val="006A4CCD"/>
    <w:pPr>
      <w:ind w:left="720"/>
      <w:contextualSpacing/>
    </w:pPr>
    <w:rPr>
      <w:sz w:val="20"/>
      <w:szCs w:val="20"/>
    </w:rPr>
  </w:style>
  <w:style w:type="character" w:customStyle="1" w:styleId="normaltextrun">
    <w:name w:val="normaltextrun"/>
    <w:basedOn w:val="DefaultParagraphFont"/>
    <w:rsid w:val="00281E4F"/>
  </w:style>
  <w:style w:type="paragraph" w:customStyle="1" w:styleId="Num3">
    <w:name w:val="Num 3"/>
    <w:rsid w:val="00162996"/>
    <w:pPr>
      <w:tabs>
        <w:tab w:val="left" w:pos="1701"/>
        <w:tab w:val="num" w:pos="2007"/>
        <w:tab w:val="num" w:pos="2160"/>
      </w:tabs>
      <w:spacing w:before="120" w:after="120" w:line="360" w:lineRule="auto"/>
      <w:ind w:left="1701" w:hanging="567"/>
    </w:pPr>
    <w:rPr>
      <w:rFonts w:ascii="Book Antiqua" w:hAnsi="Book Antiqua" w:cs="Arial"/>
      <w:sz w:val="24"/>
      <w:lang w:val="en-AU" w:eastAsia="en-US"/>
    </w:rPr>
  </w:style>
  <w:style w:type="character" w:customStyle="1" w:styleId="FootnoteTextChar">
    <w:name w:val="Footnote Text Char"/>
    <w:basedOn w:val="DefaultParagraphFont"/>
    <w:link w:val="FootnoteText"/>
    <w:semiHidden/>
    <w:rsid w:val="00206FC6"/>
    <w:rPr>
      <w:lang w:val="en-AU" w:eastAsia="en-AU"/>
    </w:rPr>
  </w:style>
  <w:style w:type="paragraph" w:customStyle="1" w:styleId="Num1">
    <w:name w:val="Num 1"/>
    <w:rsid w:val="00206FC6"/>
    <w:pPr>
      <w:numPr>
        <w:numId w:val="45"/>
      </w:numPr>
      <w:tabs>
        <w:tab w:val="left" w:pos="567"/>
      </w:tabs>
      <w:spacing w:before="120" w:after="120" w:line="360" w:lineRule="auto"/>
      <w:ind w:left="567" w:hanging="567"/>
    </w:pPr>
    <w:rPr>
      <w:rFonts w:ascii="Book Antiqua" w:hAnsi="Book Antiqua" w:cs="Arial"/>
      <w:sz w:val="24"/>
      <w:lang w:val="en-AU" w:eastAsia="en-US"/>
    </w:rPr>
  </w:style>
  <w:style w:type="paragraph" w:customStyle="1" w:styleId="Num2">
    <w:name w:val="Num 2"/>
    <w:rsid w:val="00206FC6"/>
    <w:pPr>
      <w:numPr>
        <w:ilvl w:val="1"/>
        <w:numId w:val="45"/>
      </w:numPr>
      <w:tabs>
        <w:tab w:val="left" w:pos="1134"/>
      </w:tabs>
      <w:spacing w:before="120" w:after="120" w:line="360" w:lineRule="auto"/>
      <w:ind w:left="1134" w:hanging="567"/>
    </w:pPr>
    <w:rPr>
      <w:rFonts w:ascii="Book Antiqua" w:hAnsi="Book Antiqua" w:cs="Arial"/>
      <w:sz w:val="24"/>
      <w:lang w:val="en-AU" w:eastAsia="en-US"/>
    </w:rPr>
  </w:style>
  <w:style w:type="paragraph" w:customStyle="1" w:styleId="Indent1">
    <w:name w:val="Indent 1"/>
    <w:rsid w:val="00206FC6"/>
    <w:pPr>
      <w:numPr>
        <w:ilvl w:val="2"/>
        <w:numId w:val="45"/>
      </w:numPr>
      <w:tabs>
        <w:tab w:val="clear" w:pos="2007"/>
      </w:tabs>
      <w:spacing w:before="120" w:after="120" w:line="360" w:lineRule="auto"/>
      <w:ind w:left="567" w:firstLine="0"/>
    </w:pPr>
    <w:rPr>
      <w:rFonts w:ascii="Arial" w:hAnsi="Arial" w:cs="Arial"/>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970160">
      <w:bodyDiv w:val="1"/>
      <w:marLeft w:val="0"/>
      <w:marRight w:val="0"/>
      <w:marTop w:val="0"/>
      <w:marBottom w:val="0"/>
      <w:divBdr>
        <w:top w:val="none" w:sz="0" w:space="0" w:color="auto"/>
        <w:left w:val="none" w:sz="0" w:space="0" w:color="auto"/>
        <w:bottom w:val="none" w:sz="0" w:space="0" w:color="auto"/>
        <w:right w:val="none" w:sz="0" w:space="0" w:color="auto"/>
      </w:divBdr>
      <w:divsChild>
        <w:div w:id="963970008">
          <w:marLeft w:val="0"/>
          <w:marRight w:val="0"/>
          <w:marTop w:val="0"/>
          <w:marBottom w:val="0"/>
          <w:divBdr>
            <w:top w:val="none" w:sz="0" w:space="0" w:color="auto"/>
            <w:left w:val="none" w:sz="0" w:space="0" w:color="auto"/>
            <w:bottom w:val="none" w:sz="0" w:space="0" w:color="auto"/>
            <w:right w:val="none" w:sz="0" w:space="0" w:color="auto"/>
          </w:divBdr>
          <w:divsChild>
            <w:div w:id="1963412794">
              <w:marLeft w:val="0"/>
              <w:marRight w:val="0"/>
              <w:marTop w:val="0"/>
              <w:marBottom w:val="0"/>
              <w:divBdr>
                <w:top w:val="none" w:sz="0" w:space="0" w:color="auto"/>
                <w:left w:val="none" w:sz="0" w:space="0" w:color="auto"/>
                <w:bottom w:val="none" w:sz="0" w:space="0" w:color="auto"/>
                <w:right w:val="none" w:sz="0" w:space="0" w:color="auto"/>
              </w:divBdr>
              <w:divsChild>
                <w:div w:id="5197382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563685340">
      <w:bodyDiv w:val="1"/>
      <w:marLeft w:val="0"/>
      <w:marRight w:val="0"/>
      <w:marTop w:val="0"/>
      <w:marBottom w:val="0"/>
      <w:divBdr>
        <w:top w:val="none" w:sz="0" w:space="0" w:color="auto"/>
        <w:left w:val="none" w:sz="0" w:space="0" w:color="auto"/>
        <w:bottom w:val="none" w:sz="0" w:space="0" w:color="auto"/>
        <w:right w:val="none" w:sz="0" w:space="0" w:color="auto"/>
      </w:divBdr>
    </w:div>
    <w:div w:id="660037960">
      <w:bodyDiv w:val="1"/>
      <w:marLeft w:val="0"/>
      <w:marRight w:val="0"/>
      <w:marTop w:val="0"/>
      <w:marBottom w:val="0"/>
      <w:divBdr>
        <w:top w:val="none" w:sz="0" w:space="0" w:color="auto"/>
        <w:left w:val="none" w:sz="0" w:space="0" w:color="auto"/>
        <w:bottom w:val="none" w:sz="0" w:space="0" w:color="auto"/>
        <w:right w:val="none" w:sz="0" w:space="0" w:color="auto"/>
      </w:divBdr>
      <w:divsChild>
        <w:div w:id="1901134058">
          <w:marLeft w:val="0"/>
          <w:marRight w:val="0"/>
          <w:marTop w:val="0"/>
          <w:marBottom w:val="0"/>
          <w:divBdr>
            <w:top w:val="none" w:sz="0" w:space="0" w:color="auto"/>
            <w:left w:val="none" w:sz="0" w:space="0" w:color="auto"/>
            <w:bottom w:val="none" w:sz="0" w:space="0" w:color="auto"/>
            <w:right w:val="none" w:sz="0" w:space="0" w:color="auto"/>
          </w:divBdr>
          <w:divsChild>
            <w:div w:id="465663471">
              <w:marLeft w:val="0"/>
              <w:marRight w:val="0"/>
              <w:marTop w:val="0"/>
              <w:marBottom w:val="0"/>
              <w:divBdr>
                <w:top w:val="none" w:sz="0" w:space="0" w:color="auto"/>
                <w:left w:val="none" w:sz="0" w:space="0" w:color="auto"/>
                <w:bottom w:val="none" w:sz="0" w:space="0" w:color="auto"/>
                <w:right w:val="none" w:sz="0" w:space="0" w:color="auto"/>
              </w:divBdr>
              <w:divsChild>
                <w:div w:id="14019508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52842649">
      <w:bodyDiv w:val="1"/>
      <w:marLeft w:val="0"/>
      <w:marRight w:val="0"/>
      <w:marTop w:val="0"/>
      <w:marBottom w:val="0"/>
      <w:divBdr>
        <w:top w:val="none" w:sz="0" w:space="0" w:color="auto"/>
        <w:left w:val="none" w:sz="0" w:space="0" w:color="auto"/>
        <w:bottom w:val="none" w:sz="0" w:space="0" w:color="auto"/>
        <w:right w:val="none" w:sz="0" w:space="0" w:color="auto"/>
      </w:divBdr>
    </w:div>
    <w:div w:id="1786727947">
      <w:bodyDiv w:val="1"/>
      <w:marLeft w:val="0"/>
      <w:marRight w:val="0"/>
      <w:marTop w:val="0"/>
      <w:marBottom w:val="0"/>
      <w:divBdr>
        <w:top w:val="none" w:sz="0" w:space="0" w:color="auto"/>
        <w:left w:val="none" w:sz="0" w:space="0" w:color="auto"/>
        <w:bottom w:val="none" w:sz="0" w:space="0" w:color="auto"/>
        <w:right w:val="none" w:sz="0" w:space="0" w:color="auto"/>
      </w:divBdr>
      <w:divsChild>
        <w:div w:id="51389141">
          <w:marLeft w:val="0"/>
          <w:marRight w:val="0"/>
          <w:marTop w:val="0"/>
          <w:marBottom w:val="0"/>
          <w:divBdr>
            <w:top w:val="none" w:sz="0" w:space="0" w:color="auto"/>
            <w:left w:val="none" w:sz="0" w:space="0" w:color="auto"/>
            <w:bottom w:val="none" w:sz="0" w:space="0" w:color="auto"/>
            <w:right w:val="none" w:sz="0" w:space="0" w:color="auto"/>
          </w:divBdr>
          <w:divsChild>
            <w:div w:id="132069050">
              <w:marLeft w:val="0"/>
              <w:marRight w:val="0"/>
              <w:marTop w:val="0"/>
              <w:marBottom w:val="0"/>
              <w:divBdr>
                <w:top w:val="none" w:sz="0" w:space="0" w:color="auto"/>
                <w:left w:val="none" w:sz="0" w:space="0" w:color="auto"/>
                <w:bottom w:val="none" w:sz="0" w:space="0" w:color="auto"/>
                <w:right w:val="none" w:sz="0" w:space="0" w:color="auto"/>
              </w:divBdr>
              <w:divsChild>
                <w:div w:id="14141561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upremecourt.vic.gov.au/home/law+and+practice/specialist+areas+of+law/major+to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premecourt.vic.gov.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remecourt.vic.gov.au/home/law+and+practice/specialist+areas+of+law/major+t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926EC1D92A87A4492BE89A594A6FF4A" ma:contentTypeVersion="2" ma:contentTypeDescription="Create a new document." ma:contentTypeScope="" ma:versionID="abb6e84170e48461376d35542e9ca05b">
  <xsd:schema xmlns:xsd="http://www.w3.org/2001/XMLSchema" xmlns:xs="http://www.w3.org/2001/XMLSchema" xmlns:p="http://schemas.microsoft.com/office/2006/metadata/properties" xmlns:ns2="3d35400e-913e-4289-a6bb-c9c808f4167f" targetNamespace="http://schemas.microsoft.com/office/2006/metadata/properties" ma:root="true" ma:fieldsID="4315028a7ee4b12a5890dfc9b0f3b158" ns2:_="">
    <xsd:import namespace="3d35400e-913e-4289-a6bb-c9c808f4167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5400e-913e-4289-a6bb-c9c808f4167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414EE-EF98-4B84-9475-0133DEEAA887}">
  <ds:schemaRefs>
    <ds:schemaRef ds:uri="http://schemas.microsoft.com/office/2006/metadata/longProperties"/>
  </ds:schemaRefs>
</ds:datastoreItem>
</file>

<file path=customXml/itemProps2.xml><?xml version="1.0" encoding="utf-8"?>
<ds:datastoreItem xmlns:ds="http://schemas.openxmlformats.org/officeDocument/2006/customXml" ds:itemID="{173682FA-736D-4334-B886-BC4D23C6E68C}">
  <ds:schemaRefs>
    <ds:schemaRef ds:uri="http://schemas.microsoft.com/sharepoint/v3/contenttype/forms"/>
  </ds:schemaRefs>
</ds:datastoreItem>
</file>

<file path=customXml/itemProps3.xml><?xml version="1.0" encoding="utf-8"?>
<ds:datastoreItem xmlns:ds="http://schemas.openxmlformats.org/officeDocument/2006/customXml" ds:itemID="{F53C5FFA-8516-4FEC-A1E4-38241312D51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3d35400e-913e-4289-a6bb-c9c808f4167f"/>
    <ds:schemaRef ds:uri="http://www.w3.org/XML/1998/namespace"/>
  </ds:schemaRefs>
</ds:datastoreItem>
</file>

<file path=customXml/itemProps4.xml><?xml version="1.0" encoding="utf-8"?>
<ds:datastoreItem xmlns:ds="http://schemas.openxmlformats.org/officeDocument/2006/customXml" ds:itemID="{3224732C-5D0D-477F-8917-9899B10A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5400e-913e-4289-a6bb-c9c808f416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335BB6-46E4-46FF-BE39-A2764093196F}">
  <ds:schemaRefs>
    <ds:schemaRef ds:uri="http://schemas.openxmlformats.org/officeDocument/2006/bibliography"/>
  </ds:schemaRefs>
</ds:datastoreItem>
</file>

<file path=customXml/itemProps6.xml><?xml version="1.0" encoding="utf-8"?>
<ds:datastoreItem xmlns:ds="http://schemas.openxmlformats.org/officeDocument/2006/customXml" ds:itemID="{DA6F5C5A-6043-4CE7-9225-62E00C20A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Practice Note SC CL 4 Major Torts List</vt:lpstr>
    </vt:vector>
  </TitlesOfParts>
  <Company>Supreme Court of Victoria</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4 Major Torts List</dc:title>
  <dc:subject/>
  <dc:creator>Supreme Court of Victoria</dc:creator>
  <cp:keywords/>
  <dc:description/>
  <cp:lastModifiedBy>Viv Macgillivray</cp:lastModifiedBy>
  <cp:revision>10</cp:revision>
  <cp:lastPrinted>2016-04-22T04:31:00Z</cp:lastPrinted>
  <dcterms:created xsi:type="dcterms:W3CDTF">2016-10-28T00:11:00Z</dcterms:created>
  <dcterms:modified xsi:type="dcterms:W3CDTF">2016-11-28T05:19:00Z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0x0101009926EC1D92A87A4492BE89A594A6FF4A</vt:lpwstr>
  </property>
</Properties>
</file>